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simple41"/>
        <w:tblpPr w:leftFromText="180" w:rightFromText="180" w:vertAnchor="page" w:horzAnchor="page" w:tblpX="1433" w:tblpY="2481"/>
        <w:tblOverlap w:val="never"/>
        <w:tblW w:w="9498" w:type="dxa"/>
        <w:tblLook w:val="04A0" w:firstRow="1" w:lastRow="0" w:firstColumn="1" w:lastColumn="0" w:noHBand="0" w:noVBand="1"/>
      </w:tblPr>
      <w:tblGrid>
        <w:gridCol w:w="1903"/>
        <w:gridCol w:w="1078"/>
        <w:gridCol w:w="1078"/>
        <w:gridCol w:w="1020"/>
        <w:gridCol w:w="1020"/>
        <w:gridCol w:w="1484"/>
        <w:gridCol w:w="1915"/>
      </w:tblGrid>
      <w:tr w:rsidR="009756FF" w:rsidTr="00700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rFonts w:eastAsia="Times New Roman"/>
                <w:b w:val="0"/>
                <w:bCs w:val="0"/>
                <w:color w:val="auto"/>
                <w:sz w:val="16"/>
                <w:szCs w:val="16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Anxiolytics</w:t>
            </w:r>
          </w:p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principal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Anxiolytics</w:t>
            </w:r>
          </w:p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season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Hypnotics</w:t>
            </w:r>
          </w:p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principal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Hypnotics</w:t>
            </w:r>
          </w:p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season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Antidepressants</w:t>
            </w:r>
          </w:p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principal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Antidepressants</w:t>
            </w:r>
          </w:p>
          <w:p w:rsidR="009756FF" w:rsidRDefault="003D5905" w:rsidP="007000F5">
            <w:pPr>
              <w:spacing w:before="150" w:after="15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season</w:t>
            </w:r>
            <w:r>
              <w:rPr>
                <w:rFonts w:eastAsia="Times New Roman"/>
                <w:bCs w:val="0"/>
                <w:color w:val="auto"/>
                <w:sz w:val="16"/>
                <w:szCs w:val="16"/>
              </w:rPr>
              <w:t>)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Time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  <w:lang w:val="en-GB"/>
              </w:rPr>
              <w:t xml:space="preserve"> a 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0·9989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9982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0·9980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9977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0·9994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9993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(0·0003)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(0·0003)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(0·0005)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(0·0005)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(0·0002)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(0·0002)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Covid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1·0462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0708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1·0786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0960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1·0567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0590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:rsidR="009756FF" w:rsidTr="007000F5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(0·0124)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(0·012</w:t>
            </w:r>
            <w:r>
              <w:rPr>
                <w:rFonts w:eastAsia="Times New Roman"/>
                <w:color w:val="auto"/>
                <w:sz w:val="16"/>
                <w:szCs w:val="16"/>
              </w:rPr>
              <w:t>7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(0·0243)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</w:t>
            </w:r>
            <w:r>
              <w:rPr>
                <w:rFonts w:eastAsia="Times New Roman"/>
                <w:color w:val="auto"/>
                <w:sz w:val="16"/>
                <w:szCs w:val="16"/>
              </w:rPr>
              <w:t>241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(0·0117)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011</w:t>
            </w:r>
            <w:r>
              <w:rPr>
                <w:rFonts w:eastAsia="Times New Roman"/>
                <w:color w:val="auto"/>
                <w:sz w:val="16"/>
                <w:szCs w:val="16"/>
              </w:rPr>
              <w:t>9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</w:tr>
      <w:tr w:rsidR="009756FF" w:rsidTr="007000F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time_after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1·0024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0028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1·0031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0030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1·0020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0019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(0·0003)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(0·0003)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(0·0006)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</w:t>
            </w:r>
            <w:r>
              <w:rPr>
                <w:rFonts w:eastAsia="Times New Roman"/>
                <w:color w:val="auto"/>
                <w:sz w:val="16"/>
                <w:szCs w:val="16"/>
              </w:rPr>
              <w:t>7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(0·0003)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</w:t>
            </w:r>
            <w:r>
              <w:rPr>
                <w:rFonts w:eastAsia="Times New Roman"/>
                <w:color w:val="auto"/>
                <w:sz w:val="16"/>
                <w:szCs w:val="16"/>
              </w:rPr>
              <w:t>3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</w:tr>
      <w:tr w:rsidR="009756FF" w:rsidTr="007000F5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Autumn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1392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1022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0664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</w:t>
            </w:r>
            <w:r>
              <w:rPr>
                <w:rFonts w:eastAsia="Times New Roman"/>
                <w:color w:val="auto"/>
                <w:sz w:val="16"/>
                <w:szCs w:val="16"/>
              </w:rPr>
              <w:t>9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0178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0087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Winter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0226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0527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0190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:rsidR="009756FF" w:rsidTr="007000F5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</w:t>
            </w:r>
            <w:r>
              <w:rPr>
                <w:rFonts w:eastAsia="Times New Roman"/>
                <w:color w:val="auto"/>
                <w:sz w:val="16"/>
                <w:szCs w:val="16"/>
              </w:rPr>
              <w:t>9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016</w:t>
            </w:r>
            <w:r>
              <w:rPr>
                <w:rFonts w:eastAsia="Times New Roman"/>
                <w:color w:val="auto"/>
                <w:sz w:val="16"/>
                <w:szCs w:val="16"/>
              </w:rPr>
              <w:t>5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0081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Spring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0714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0715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0562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(0·000</w:t>
            </w:r>
            <w:r>
              <w:rPr>
                <w:rFonts w:eastAsia="Times New Roman"/>
                <w:color w:val="auto"/>
                <w:sz w:val="16"/>
                <w:szCs w:val="16"/>
              </w:rPr>
              <w:t>9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0164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(</w:t>
            </w:r>
            <w:r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0081</w:t>
            </w:r>
            <w:r>
              <w:rPr>
                <w:rFonts w:eastAsia="Times New Roman"/>
                <w:color w:val="auto"/>
                <w:sz w:val="16"/>
                <w:szCs w:val="16"/>
              </w:rPr>
              <w:t>)</w:t>
            </w:r>
          </w:p>
        </w:tc>
      </w:tr>
      <w:tr w:rsidR="009756FF" w:rsidTr="007000F5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Number of observations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123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123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123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123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123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123</w:t>
            </w:r>
          </w:p>
        </w:tc>
      </w:tr>
      <w:tr w:rsidR="009756FF" w:rsidTr="007000F5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Log Likelihood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-2476·46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-2349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-1037·74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-1021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-2226·24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-2185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06</w:t>
            </w:r>
          </w:p>
        </w:tc>
      </w:tr>
      <w:tr w:rsidR="009756FF" w:rsidTr="007000F5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Deviance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3885·94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3632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1167·61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1134.37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3369·36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3287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01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AIC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4960·92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4713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2083·49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2056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4460·48</w:t>
            </w:r>
          </w:p>
        </w:tc>
        <w:tc>
          <w:tcPr>
            <w:tcW w:w="1915" w:type="dxa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4384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12</w:t>
            </w:r>
          </w:p>
        </w:tc>
      </w:tr>
      <w:tr w:rsidR="009756FF" w:rsidTr="007000F5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756FF" w:rsidRDefault="003D5905" w:rsidP="007000F5">
            <w:pPr>
              <w:spacing w:before="150" w:after="150"/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BIC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4976·98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4732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2099·55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2075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4476·54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6FF" w:rsidRDefault="003D5905" w:rsidP="007000F5">
            <w:pPr>
              <w:spacing w:before="150" w:after="15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6"/>
                <w:szCs w:val="16"/>
              </w:rPr>
            </w:pPr>
            <w:r>
              <w:rPr>
                <w:rFonts w:eastAsia="Times New Roman"/>
                <w:color w:val="auto"/>
                <w:sz w:val="16"/>
                <w:szCs w:val="16"/>
              </w:rPr>
              <w:t>4403</w:t>
            </w:r>
            <w:r>
              <w:rPr>
                <w:rFonts w:eastAsia="Times New Roman"/>
                <w:color w:val="auto"/>
                <w:sz w:val="16"/>
                <w:szCs w:val="16"/>
              </w:rPr>
              <w:t>·</w:t>
            </w:r>
            <w:r>
              <w:rPr>
                <w:rFonts w:eastAsia="Times New Roman"/>
                <w:color w:val="auto"/>
                <w:sz w:val="16"/>
                <w:szCs w:val="16"/>
              </w:rPr>
              <w:t>81</w:t>
            </w:r>
          </w:p>
        </w:tc>
      </w:tr>
      <w:tr w:rsidR="009756FF" w:rsidTr="007000F5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7"/>
            <w:tcBorders>
              <w:top w:val="single" w:sz="4" w:space="0" w:color="auto"/>
            </w:tcBorders>
          </w:tcPr>
          <w:p w:rsidR="009756FF" w:rsidRDefault="003D5905" w:rsidP="007000F5">
            <w:pPr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rFonts w:eastAsia="Times New Roman"/>
                <w:color w:val="auto"/>
                <w:sz w:val="16"/>
                <w:szCs w:val="16"/>
                <w:vertAlign w:val="superscript"/>
                <w:lang w:val="en-GB"/>
              </w:rPr>
              <w:t>***</w:t>
            </w:r>
            <w:r>
              <w:rPr>
                <w:rFonts w:eastAsia="Times New Roman"/>
                <w:color w:val="auto"/>
                <w:sz w:val="16"/>
                <w:szCs w:val="16"/>
                <w:lang w:val="en-GB"/>
              </w:rPr>
              <w:t xml:space="preserve">p &lt; 0·001; 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  <w:lang w:val="en-GB"/>
              </w:rPr>
              <w:t>**</w:t>
            </w:r>
            <w:r>
              <w:rPr>
                <w:rFonts w:eastAsia="Times New Roman"/>
                <w:color w:val="auto"/>
                <w:sz w:val="16"/>
                <w:szCs w:val="16"/>
                <w:lang w:val="en-GB"/>
              </w:rPr>
              <w:t xml:space="preserve">p &lt; 0·01; </w:t>
            </w:r>
            <w:r>
              <w:rPr>
                <w:rFonts w:eastAsia="Times New Roman"/>
                <w:color w:val="auto"/>
                <w:sz w:val="16"/>
                <w:szCs w:val="16"/>
                <w:vertAlign w:val="superscript"/>
                <w:lang w:val="en-GB"/>
              </w:rPr>
              <w:t>*</w:t>
            </w:r>
            <w:r>
              <w:rPr>
                <w:rFonts w:eastAsia="Times New Roman"/>
                <w:color w:val="auto"/>
                <w:sz w:val="16"/>
                <w:szCs w:val="16"/>
                <w:lang w:val="en-GB"/>
              </w:rPr>
              <w:t>p &lt; 0·05</w:t>
            </w:r>
          </w:p>
          <w:p w:rsidR="009756FF" w:rsidRDefault="003D5905" w:rsidP="007000F5">
            <w:pPr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rFonts w:eastAsia="Times New Roman"/>
                <w:color w:val="auto"/>
                <w:sz w:val="16"/>
                <w:szCs w:val="16"/>
                <w:vertAlign w:val="superscript"/>
                <w:lang w:val="en-GB"/>
              </w:rPr>
              <w:t xml:space="preserve">a  </w:t>
            </w:r>
            <w:r>
              <w:rPr>
                <w:rFonts w:eastAsia="Times New Roman"/>
                <w:color w:val="auto"/>
                <w:sz w:val="16"/>
                <w:szCs w:val="16"/>
                <w:lang w:val="en-GB"/>
              </w:rPr>
              <w:t>measured in weeks from 24th January 2020 to April 2021 (from week 1 to 124)</w:t>
            </w:r>
          </w:p>
          <w:p w:rsidR="009756FF" w:rsidRDefault="003D5905" w:rsidP="007000F5">
            <w:pPr>
              <w:jc w:val="both"/>
              <w:rPr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color w:val="auto"/>
                <w:sz w:val="16"/>
                <w:szCs w:val="16"/>
                <w:vertAlign w:val="superscript"/>
                <w:lang w:val="en-GB"/>
              </w:rPr>
              <w:t xml:space="preserve">b </w:t>
            </w:r>
            <w:r>
              <w:rPr>
                <w:color w:val="auto"/>
                <w:sz w:val="16"/>
                <w:szCs w:val="16"/>
                <w:lang w:val="en-GB"/>
              </w:rPr>
              <w:t>coded 1 from the start of the epidemic,</w:t>
            </w:r>
            <w:r>
              <w:rPr>
                <w:color w:val="auto"/>
                <w:lang w:val="en-GB"/>
              </w:rPr>
              <w:t xml:space="preserve"> </w:t>
            </w:r>
            <w:r>
              <w:rPr>
                <w:color w:val="auto"/>
                <w:sz w:val="16"/>
                <w:szCs w:val="16"/>
                <w:lang w:val="en-GB"/>
              </w:rPr>
              <w:t>defined at 24th January 2020, 0 otherwise</w:t>
            </w:r>
          </w:p>
          <w:p w:rsidR="009756FF" w:rsidRDefault="003D5905" w:rsidP="007000F5">
            <w:pPr>
              <w:jc w:val="both"/>
              <w:rPr>
                <w:rFonts w:eastAsia="Times New Roman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color w:val="auto"/>
                <w:sz w:val="16"/>
                <w:szCs w:val="16"/>
                <w:vertAlign w:val="superscript"/>
                <w:lang w:val="en-GB"/>
              </w:rPr>
              <w:t>c</w:t>
            </w:r>
            <w:r>
              <w:rPr>
                <w:color w:val="auto"/>
                <w:sz w:val="16"/>
                <w:szCs w:val="16"/>
                <w:lang w:val="en-GB"/>
              </w:rPr>
              <w:t xml:space="preserve"> measured in weeks, coded 0 before the start of the epidemic and equal to the number of weeks afterwards (from week 1 to 67)</w:t>
            </w:r>
          </w:p>
        </w:tc>
      </w:tr>
    </w:tbl>
    <w:p w:rsidR="007000F5" w:rsidRDefault="003D5905">
      <w:pPr>
        <w:rPr>
          <w:b/>
          <w:bCs/>
        </w:rPr>
      </w:pPr>
      <w:r>
        <w:rPr>
          <w:b/>
          <w:bCs/>
        </w:rPr>
        <w:t xml:space="preserve">Supplementary file : </w:t>
      </w:r>
    </w:p>
    <w:p w:rsidR="007000F5" w:rsidRDefault="007000F5">
      <w:pPr>
        <w:rPr>
          <w:b/>
          <w:bCs/>
        </w:rPr>
      </w:pPr>
    </w:p>
    <w:p w:rsidR="009756FF" w:rsidRPr="007000F5" w:rsidRDefault="003D5905">
      <w:pPr>
        <w:rPr>
          <w:bCs/>
        </w:rPr>
      </w:pPr>
      <w:r w:rsidRPr="007000F5">
        <w:rPr>
          <w:bCs/>
        </w:rPr>
        <w:t>Table S1</w:t>
      </w:r>
      <w:r w:rsidR="007000F5" w:rsidRPr="007000F5">
        <w:rPr>
          <w:bCs/>
        </w:rPr>
        <w:t xml:space="preserve"> : </w:t>
      </w:r>
      <w:r w:rsidR="007000F5" w:rsidRPr="007000F5">
        <w:rPr>
          <w:bCs/>
        </w:rPr>
        <w:t>Rate ratios for the dispensing</w:t>
      </w:r>
      <w:r w:rsidR="007000F5">
        <w:rPr>
          <w:bCs/>
        </w:rPr>
        <w:t xml:space="preserve"> considering seasonal effect</w:t>
      </w:r>
      <w:bookmarkStart w:id="0" w:name="_GoBack"/>
      <w:bookmarkEnd w:id="0"/>
      <w:r w:rsidR="007000F5" w:rsidRPr="007000F5">
        <w:rPr>
          <w:bCs/>
        </w:rPr>
        <w:t xml:space="preserve"> of the three psychotropic drug categories between January 1, 2019, and April 30, 2021, among French military personnel, considering that the epidemic breakpoint date was January 24, 2020.</w:t>
      </w:r>
    </w:p>
    <w:p w:rsidR="007000F5" w:rsidRDefault="007000F5">
      <w:pPr>
        <w:rPr>
          <w:color w:val="auto"/>
          <w:lang w:val="en-GB"/>
        </w:rPr>
      </w:pPr>
    </w:p>
    <w:p w:rsidR="007000F5" w:rsidRDefault="007000F5">
      <w:pPr>
        <w:rPr>
          <w:b/>
          <w:bCs/>
        </w:rPr>
      </w:pPr>
    </w:p>
    <w:sectPr w:rsidR="007000F5" w:rsidSect="007000F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05" w:rsidRDefault="003D5905">
      <w:pPr>
        <w:spacing w:line="240" w:lineRule="auto"/>
      </w:pPr>
      <w:r>
        <w:separator/>
      </w:r>
    </w:p>
  </w:endnote>
  <w:endnote w:type="continuationSeparator" w:id="0">
    <w:p w:rsidR="003D5905" w:rsidRDefault="003D5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05" w:rsidRDefault="003D5905">
      <w:pPr>
        <w:spacing w:line="240" w:lineRule="auto"/>
      </w:pPr>
      <w:r>
        <w:separator/>
      </w:r>
    </w:p>
  </w:footnote>
  <w:footnote w:type="continuationSeparator" w:id="0">
    <w:p w:rsidR="003D5905" w:rsidRDefault="003D590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E5"/>
    <w:rsid w:val="003D5905"/>
    <w:rsid w:val="004F7F51"/>
    <w:rsid w:val="005217E5"/>
    <w:rsid w:val="00572072"/>
    <w:rsid w:val="007000F5"/>
    <w:rsid w:val="007B1E17"/>
    <w:rsid w:val="009756FF"/>
    <w:rsid w:val="2CB17636"/>
    <w:rsid w:val="45C861CE"/>
    <w:rsid w:val="4BC026E2"/>
    <w:rsid w:val="4E4F6E0F"/>
    <w:rsid w:val="5155120A"/>
    <w:rsid w:val="5A1712DC"/>
    <w:rsid w:val="6A0271ED"/>
    <w:rsid w:val="6DD57882"/>
    <w:rsid w:val="731D1723"/>
    <w:rsid w:val="7F9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F098"/>
  <w15:docId w15:val="{63B979CB-18FE-4A6A-85C5-174A44B9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Marianne" w:eastAsia="Arial Unicode MS" w:hAnsi="Marianne" w:cs="Calibri"/>
      <w:color w:val="000000"/>
      <w:sz w:val="22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simple41">
    <w:name w:val="Tableau simple 41"/>
    <w:basedOn w:val="Tableau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Marc-Antoine MP</dc:creator>
  <cp:lastModifiedBy>SANCHEZ Marc-Antoine MP</cp:lastModifiedBy>
  <cp:revision>2</cp:revision>
  <dcterms:created xsi:type="dcterms:W3CDTF">2022-07-13T05:26:00Z</dcterms:created>
  <dcterms:modified xsi:type="dcterms:W3CDTF">2022-07-13T05:26:00Z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1036-11.2.0.11191</vt:lpwstr>
  </property>
  <property fmtid="{D5CDD505-2E9C-101B-9397-08002B2CF9AE}" pid="3" name="ICV">
    <vt:lpwstr>C0FD84D8B077473AB54F1CBC4CDB7A1B</vt:lpwstr>
  </property>
</Properties>
</file>