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7845A" w14:textId="119FAB5A" w:rsidR="00B91387" w:rsidRPr="00572879" w:rsidRDefault="00B91387" w:rsidP="00B91387">
      <w:pPr>
        <w:rPr>
          <w:rFonts w:ascii="Times" w:hAnsi="Times" w:cs="Times"/>
          <w:b/>
          <w:sz w:val="20"/>
          <w:szCs w:val="20"/>
        </w:rPr>
      </w:pPr>
      <w:r>
        <w:rPr>
          <w:rFonts w:ascii="Times" w:hAnsi="Times" w:cs="Times"/>
          <w:b/>
          <w:sz w:val="20"/>
          <w:szCs w:val="20"/>
        </w:rPr>
        <w:t xml:space="preserve">Additional file 2. </w:t>
      </w:r>
      <w:r w:rsidRPr="00572879">
        <w:rPr>
          <w:rFonts w:ascii="Times" w:hAnsi="Times" w:cs="Times"/>
          <w:b/>
          <w:sz w:val="20"/>
          <w:szCs w:val="20"/>
        </w:rPr>
        <w:t>Prevention and control of non-communicable diseases in antenatal, intrapartum</w:t>
      </w:r>
      <w:r>
        <w:rPr>
          <w:rFonts w:ascii="Times" w:hAnsi="Times" w:cs="Times"/>
          <w:b/>
          <w:sz w:val="20"/>
          <w:szCs w:val="20"/>
        </w:rPr>
        <w:t>,</w:t>
      </w:r>
      <w:r w:rsidRPr="00572879">
        <w:rPr>
          <w:rFonts w:ascii="Times" w:hAnsi="Times" w:cs="Times"/>
          <w:b/>
          <w:sz w:val="20"/>
          <w:szCs w:val="20"/>
        </w:rPr>
        <w:t xml:space="preserve"> and postpartum care: a systematic </w:t>
      </w:r>
      <w:r>
        <w:rPr>
          <w:rFonts w:ascii="Times" w:hAnsi="Times" w:cs="Times"/>
          <w:b/>
          <w:sz w:val="20"/>
          <w:szCs w:val="20"/>
        </w:rPr>
        <w:t xml:space="preserve">scoping </w:t>
      </w:r>
      <w:r w:rsidRPr="00572879">
        <w:rPr>
          <w:rFonts w:ascii="Times" w:hAnsi="Times" w:cs="Times"/>
          <w:b/>
          <w:sz w:val="20"/>
          <w:szCs w:val="20"/>
        </w:rPr>
        <w:t>review of clinical practice guidelines since 2011</w:t>
      </w:r>
    </w:p>
    <w:p w14:paraId="70BD546B" w14:textId="4AA54059" w:rsidR="00B91387" w:rsidRPr="00281E32" w:rsidRDefault="00B91387" w:rsidP="00B91387">
      <w:pPr>
        <w:rPr>
          <w:rFonts w:ascii="Times" w:hAnsi="Times" w:cs="Times"/>
          <w:b/>
          <w:sz w:val="20"/>
          <w:szCs w:val="20"/>
        </w:rPr>
      </w:pPr>
      <w:r>
        <w:rPr>
          <w:rFonts w:ascii="Times" w:hAnsi="Times" w:cs="Times"/>
          <w:b/>
          <w:sz w:val="20"/>
          <w:szCs w:val="20"/>
        </w:rPr>
        <w:t xml:space="preserve">Table </w:t>
      </w:r>
      <w:r w:rsidR="00745F58">
        <w:rPr>
          <w:rFonts w:ascii="Times" w:hAnsi="Times" w:cs="Times"/>
          <w:b/>
          <w:sz w:val="20"/>
          <w:szCs w:val="20"/>
        </w:rPr>
        <w:t>1</w:t>
      </w:r>
      <w:r>
        <w:rPr>
          <w:rFonts w:ascii="Times" w:hAnsi="Times" w:cs="Times"/>
          <w:b/>
          <w:sz w:val="20"/>
          <w:szCs w:val="20"/>
        </w:rPr>
        <w:t xml:space="preserve">. Non-communicable disease categories for analysis and selected high-priority conditions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91387" w:rsidRPr="005208AF" w14:paraId="5C12CEFF" w14:textId="77777777" w:rsidTr="00281E32">
        <w:trPr>
          <w:trHeight w:val="326"/>
        </w:trPr>
        <w:tc>
          <w:tcPr>
            <w:tcW w:w="3397" w:type="dxa"/>
            <w:shd w:val="clear" w:color="auto" w:fill="E7E6E6" w:themeFill="background2"/>
          </w:tcPr>
          <w:p w14:paraId="2A5C7A58" w14:textId="77777777" w:rsidR="00B91387" w:rsidRPr="00036760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1E32">
              <w:rPr>
                <w:rFonts w:ascii="Times New Roman" w:hAnsi="Times New Roman" w:cs="Times New Roman"/>
                <w:bCs/>
                <w:sz w:val="20"/>
                <w:szCs w:val="20"/>
              </w:rPr>
              <w:t>Non-communicable disease categories</w:t>
            </w:r>
          </w:p>
        </w:tc>
        <w:tc>
          <w:tcPr>
            <w:tcW w:w="5619" w:type="dxa"/>
            <w:shd w:val="clear" w:color="auto" w:fill="E7E6E6" w:themeFill="background2"/>
          </w:tcPr>
          <w:p w14:paraId="38CE43FB" w14:textId="77777777" w:rsidR="00B91387" w:rsidRPr="00CE3DB4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281E32">
              <w:rPr>
                <w:rFonts w:ascii="Times New Roman" w:hAnsi="Times New Roman" w:cs="Times New Roman"/>
                <w:bCs/>
                <w:sz w:val="20"/>
                <w:szCs w:val="20"/>
              </w:rPr>
              <w:t>Included conditions</w:t>
            </w:r>
            <w:r w:rsidRPr="00036760">
              <w:rPr>
                <w:rFonts w:ascii="Times New Roman" w:eastAsia="Arial" w:hAnsi="Times New Roman" w:cs="Times New Roman"/>
                <w:bCs/>
                <w:sz w:val="16"/>
                <w:szCs w:val="16"/>
                <w:vertAlign w:val="superscript"/>
                <w:lang w:eastAsia="en-US"/>
              </w:rPr>
              <w:t>†</w:t>
            </w:r>
          </w:p>
        </w:tc>
      </w:tr>
      <w:tr w:rsidR="00B91387" w:rsidRPr="005208AF" w14:paraId="1552045B" w14:textId="77777777" w:rsidTr="00281E32">
        <w:trPr>
          <w:trHeight w:val="283"/>
        </w:trPr>
        <w:tc>
          <w:tcPr>
            <w:tcW w:w="3397" w:type="dxa"/>
          </w:tcPr>
          <w:p w14:paraId="589BEC2B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Malignant neoplasms</w:t>
            </w:r>
          </w:p>
        </w:tc>
        <w:tc>
          <w:tcPr>
            <w:tcW w:w="5619" w:type="dxa"/>
          </w:tcPr>
          <w:p w14:paraId="70C01E29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tabs>
                <w:tab w:val="left" w:pos="1428"/>
              </w:tabs>
              <w:spacing w:before="100" w:beforeAutospacing="1" w:after="0" w:line="240" w:lineRule="auto"/>
              <w:ind w:left="714" w:hanging="357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All cancers and other neoplasms</w:t>
            </w:r>
          </w:p>
        </w:tc>
      </w:tr>
      <w:tr w:rsidR="00B91387" w:rsidRPr="005208AF" w14:paraId="0127061B" w14:textId="77777777" w:rsidTr="00281E32">
        <w:trPr>
          <w:trHeight w:val="283"/>
        </w:trPr>
        <w:tc>
          <w:tcPr>
            <w:tcW w:w="3397" w:type="dxa"/>
          </w:tcPr>
          <w:p w14:paraId="067DDB79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Diabetes mellitus </w:t>
            </w:r>
          </w:p>
        </w:tc>
        <w:tc>
          <w:tcPr>
            <w:tcW w:w="5619" w:type="dxa"/>
          </w:tcPr>
          <w:p w14:paraId="25595E37" w14:textId="77777777" w:rsidR="00B91387" w:rsidRPr="00746DD4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ind w:left="714" w:hanging="357"/>
              <w:rPr>
                <w:rFonts w:ascii="Times New Roman" w:hAnsi="Times New Roman" w:cs="Times New Roman"/>
                <w:b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Diabetes mellitus</w:t>
            </w:r>
          </w:p>
          <w:p w14:paraId="708032BA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ind w:left="714" w:hanging="357"/>
              <w:rPr>
                <w:rFonts w:ascii="Times New Roman" w:hAnsi="Times New Roman" w:cs="Times New Roman"/>
                <w:bCs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Gestational diabetes mellitus</w:t>
            </w:r>
          </w:p>
        </w:tc>
      </w:tr>
      <w:tr w:rsidR="00B91387" w:rsidRPr="005208AF" w14:paraId="1E0592FB" w14:textId="77777777" w:rsidTr="00281E32">
        <w:trPr>
          <w:trHeight w:val="283"/>
        </w:trPr>
        <w:tc>
          <w:tcPr>
            <w:tcW w:w="3397" w:type="dxa"/>
          </w:tcPr>
          <w:p w14:paraId="5121E916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Endocrine, blood, immune disorders</w:t>
            </w:r>
          </w:p>
        </w:tc>
        <w:tc>
          <w:tcPr>
            <w:tcW w:w="5619" w:type="dxa"/>
          </w:tcPr>
          <w:p w14:paraId="1CF7E270" w14:textId="77777777" w:rsidR="00B91387" w:rsidRPr="00746DD4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ind w:left="714" w:hanging="357"/>
              <w:rPr>
                <w:rFonts w:ascii="Times New Roman" w:hAnsi="Times New Roman" w:cs="Times New Roman"/>
                <w:b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Thalassemia</w:t>
            </w:r>
          </w:p>
          <w:p w14:paraId="6CB6A1C6" w14:textId="77777777" w:rsidR="00B91387" w:rsidRPr="00746DD4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ind w:left="714" w:hanging="357"/>
              <w:rPr>
                <w:rFonts w:ascii="Times New Roman" w:hAnsi="Times New Roman" w:cs="Times New Roman"/>
                <w:b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Sickle cell disorders and trait</w:t>
            </w:r>
          </w:p>
          <w:p w14:paraId="356926E3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ind w:left="714" w:hanging="357"/>
              <w:rPr>
                <w:rFonts w:ascii="Times New Roman" w:hAnsi="Times New Roman" w:cs="Times New Roman"/>
                <w:bCs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Other haemoglobinopathies and hemolytic anemias</w:t>
            </w:r>
          </w:p>
        </w:tc>
      </w:tr>
      <w:tr w:rsidR="00B91387" w:rsidRPr="005208AF" w14:paraId="5E097CC0" w14:textId="77777777" w:rsidTr="00281E32">
        <w:trPr>
          <w:trHeight w:val="283"/>
        </w:trPr>
        <w:tc>
          <w:tcPr>
            <w:tcW w:w="3397" w:type="dxa"/>
          </w:tcPr>
          <w:p w14:paraId="56E469B8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Mental and substance use disorders</w:t>
            </w:r>
          </w:p>
        </w:tc>
        <w:tc>
          <w:tcPr>
            <w:tcW w:w="5619" w:type="dxa"/>
          </w:tcPr>
          <w:p w14:paraId="13B89D13" w14:textId="77777777" w:rsidR="00B91387" w:rsidRPr="00746DD4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Depressive disorders</w:t>
            </w:r>
          </w:p>
          <w:p w14:paraId="2C6EA497" w14:textId="77777777" w:rsidR="00B91387" w:rsidRPr="00746DD4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Bipolar disorder</w:t>
            </w:r>
          </w:p>
          <w:p w14:paraId="2BAD01A9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Schizophrenia</w:t>
            </w:r>
          </w:p>
          <w:p w14:paraId="27256AD7" w14:textId="77777777" w:rsidR="00B91387" w:rsidRPr="00746DD4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Alcohol use disorders</w:t>
            </w:r>
          </w:p>
          <w:p w14:paraId="618087A8" w14:textId="77777777" w:rsidR="00B91387" w:rsidRPr="00746DD4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Drug use disorders</w:t>
            </w:r>
          </w:p>
          <w:p w14:paraId="1AE111CC" w14:textId="77777777" w:rsidR="00B91387" w:rsidRPr="00746DD4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Anxiety disorders</w:t>
            </w:r>
          </w:p>
          <w:p w14:paraId="477489D0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Eating disorders</w:t>
            </w:r>
          </w:p>
          <w:p w14:paraId="5CD7CE12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Autism and Asperger syndrome</w:t>
            </w:r>
          </w:p>
        </w:tc>
      </w:tr>
      <w:tr w:rsidR="00B91387" w:rsidRPr="005208AF" w14:paraId="1F99AA17" w14:textId="77777777" w:rsidTr="00281E32">
        <w:trPr>
          <w:trHeight w:val="283"/>
        </w:trPr>
        <w:tc>
          <w:tcPr>
            <w:tcW w:w="3397" w:type="dxa"/>
          </w:tcPr>
          <w:p w14:paraId="2D03C764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Neurological conditions</w:t>
            </w:r>
          </w:p>
        </w:tc>
        <w:tc>
          <w:tcPr>
            <w:tcW w:w="5619" w:type="dxa"/>
          </w:tcPr>
          <w:p w14:paraId="0505018D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Alzheimer disease and other dementias</w:t>
            </w:r>
          </w:p>
          <w:p w14:paraId="2C1936DF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Parkinson disease</w:t>
            </w:r>
          </w:p>
          <w:p w14:paraId="5E5AC8C6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Epilepsy</w:t>
            </w:r>
          </w:p>
          <w:p w14:paraId="5BD543DF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Multiple sclerosis</w:t>
            </w:r>
          </w:p>
        </w:tc>
      </w:tr>
      <w:tr w:rsidR="00B91387" w:rsidRPr="005208AF" w14:paraId="76A9D1CF" w14:textId="77777777" w:rsidTr="00281E32">
        <w:trPr>
          <w:trHeight w:val="283"/>
        </w:trPr>
        <w:tc>
          <w:tcPr>
            <w:tcW w:w="3397" w:type="dxa"/>
          </w:tcPr>
          <w:p w14:paraId="651EF34B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Sense organ diseases</w:t>
            </w:r>
          </w:p>
        </w:tc>
        <w:tc>
          <w:tcPr>
            <w:tcW w:w="5619" w:type="dxa"/>
          </w:tcPr>
          <w:p w14:paraId="6F687443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Glaucoma</w:t>
            </w:r>
          </w:p>
          <w:p w14:paraId="15411D63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Cataracts</w:t>
            </w:r>
          </w:p>
          <w:p w14:paraId="7E1119EE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Uncorrected refractive errors</w:t>
            </w:r>
          </w:p>
          <w:p w14:paraId="711CBDCA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Macular degeneration</w:t>
            </w:r>
          </w:p>
        </w:tc>
      </w:tr>
      <w:tr w:rsidR="00B91387" w:rsidRPr="005208AF" w14:paraId="0D65D1E0" w14:textId="77777777" w:rsidTr="00281E32">
        <w:trPr>
          <w:trHeight w:val="283"/>
        </w:trPr>
        <w:tc>
          <w:tcPr>
            <w:tcW w:w="3397" w:type="dxa"/>
          </w:tcPr>
          <w:p w14:paraId="6BE2F3E6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Cardiovascular diseases</w:t>
            </w:r>
          </w:p>
        </w:tc>
        <w:tc>
          <w:tcPr>
            <w:tcW w:w="5619" w:type="dxa"/>
          </w:tcPr>
          <w:p w14:paraId="7CB3A893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Rheumatic heart disease</w:t>
            </w:r>
          </w:p>
          <w:p w14:paraId="13571082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Hypertensive heart disease (including </w:t>
            </w:r>
            <w:r w:rsidRPr="00746DD4">
              <w:rPr>
                <w:rFonts w:ascii="Times New Roman" w:hAnsi="Times New Roman" w:cs="Times New Roman"/>
                <w:b/>
                <w:lang w:val="en-US"/>
              </w:rPr>
              <w:t>chronic hypertension</w:t>
            </w:r>
            <w:r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0E20FD82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Ischemic heart disease</w:t>
            </w:r>
          </w:p>
          <w:p w14:paraId="22AA1322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Stroke</w:t>
            </w:r>
          </w:p>
          <w:p w14:paraId="71ACCDF3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Cardiomyopathy, myocarditis, endocarditis</w:t>
            </w:r>
          </w:p>
        </w:tc>
      </w:tr>
      <w:tr w:rsidR="00B91387" w:rsidRPr="005208AF" w14:paraId="2E43CF7A" w14:textId="77777777" w:rsidTr="00281E32">
        <w:trPr>
          <w:trHeight w:val="283"/>
        </w:trPr>
        <w:tc>
          <w:tcPr>
            <w:tcW w:w="3397" w:type="dxa"/>
          </w:tcPr>
          <w:p w14:paraId="163135C0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Respiratory diseases </w:t>
            </w:r>
          </w:p>
        </w:tc>
        <w:tc>
          <w:tcPr>
            <w:tcW w:w="5619" w:type="dxa"/>
          </w:tcPr>
          <w:p w14:paraId="78E7C324" w14:textId="77777777" w:rsidR="00B91387" w:rsidRPr="00746DD4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Chronic obstructive pulmonary disease</w:t>
            </w:r>
          </w:p>
          <w:p w14:paraId="6E36255A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746DD4">
              <w:rPr>
                <w:rFonts w:ascii="Times New Roman" w:hAnsi="Times New Roman" w:cs="Times New Roman"/>
                <w:b/>
                <w:lang w:val="en-US"/>
              </w:rPr>
              <w:t>Asthma</w:t>
            </w:r>
          </w:p>
        </w:tc>
      </w:tr>
      <w:tr w:rsidR="00B91387" w:rsidRPr="005208AF" w14:paraId="32FEFAF7" w14:textId="77777777" w:rsidTr="00281E32">
        <w:trPr>
          <w:trHeight w:val="283"/>
        </w:trPr>
        <w:tc>
          <w:tcPr>
            <w:tcW w:w="3397" w:type="dxa"/>
          </w:tcPr>
          <w:p w14:paraId="7A7B56CE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Digestive diseases</w:t>
            </w:r>
          </w:p>
        </w:tc>
        <w:tc>
          <w:tcPr>
            <w:tcW w:w="5619" w:type="dxa"/>
          </w:tcPr>
          <w:p w14:paraId="68BE14B8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Peptic ulcer disease</w:t>
            </w:r>
          </w:p>
          <w:p w14:paraId="5F2DC8A9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Cirrhosis of the liver</w:t>
            </w:r>
          </w:p>
          <w:p w14:paraId="7A77D1DC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Appendicitis</w:t>
            </w:r>
          </w:p>
          <w:p w14:paraId="61BAD649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Gastritis and duodenitis</w:t>
            </w:r>
          </w:p>
          <w:p w14:paraId="57BBA7FA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Paralytic ileus and intestinal obstruction</w:t>
            </w:r>
          </w:p>
          <w:p w14:paraId="55280C84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Inflammatory bowel disease</w:t>
            </w:r>
          </w:p>
          <w:p w14:paraId="7C7516F7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Gallbladder and biliary diseases</w:t>
            </w:r>
          </w:p>
        </w:tc>
      </w:tr>
      <w:tr w:rsidR="00B91387" w:rsidRPr="005208AF" w14:paraId="17DC2EA7" w14:textId="77777777" w:rsidTr="00281E32">
        <w:trPr>
          <w:trHeight w:val="283"/>
        </w:trPr>
        <w:tc>
          <w:tcPr>
            <w:tcW w:w="3397" w:type="dxa"/>
          </w:tcPr>
          <w:p w14:paraId="7AEEABAC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Genitourinary diseases</w:t>
            </w:r>
          </w:p>
        </w:tc>
        <w:tc>
          <w:tcPr>
            <w:tcW w:w="5619" w:type="dxa"/>
          </w:tcPr>
          <w:p w14:paraId="313CCC70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Kidney diseases</w:t>
            </w:r>
          </w:p>
          <w:p w14:paraId="047BAE59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Gynecological diseases</w:t>
            </w:r>
          </w:p>
        </w:tc>
      </w:tr>
      <w:tr w:rsidR="00B91387" w:rsidRPr="005208AF" w14:paraId="37AD7436" w14:textId="77777777" w:rsidTr="00281E32">
        <w:trPr>
          <w:trHeight w:val="283"/>
        </w:trPr>
        <w:tc>
          <w:tcPr>
            <w:tcW w:w="3397" w:type="dxa"/>
          </w:tcPr>
          <w:p w14:paraId="74F6777C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Skin diseases</w:t>
            </w:r>
          </w:p>
        </w:tc>
        <w:tc>
          <w:tcPr>
            <w:tcW w:w="5619" w:type="dxa"/>
          </w:tcPr>
          <w:p w14:paraId="2E52C071" w14:textId="77777777" w:rsidR="00B91387" w:rsidRPr="00281E32" w:rsidRDefault="00B91387" w:rsidP="00281E32">
            <w:pPr>
              <w:spacing w:before="100" w:beforeAutospacing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1E32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ny</w:t>
            </w:r>
            <w:r w:rsidRPr="00281E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skin diseases (ICD-10 codes L00-L98)</w:t>
            </w:r>
          </w:p>
        </w:tc>
      </w:tr>
      <w:tr w:rsidR="00B91387" w:rsidRPr="005208AF" w14:paraId="37165BC1" w14:textId="77777777" w:rsidTr="00281E32">
        <w:trPr>
          <w:trHeight w:val="283"/>
        </w:trPr>
        <w:tc>
          <w:tcPr>
            <w:tcW w:w="3397" w:type="dxa"/>
          </w:tcPr>
          <w:p w14:paraId="14500832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Musculoskeletal diseases</w:t>
            </w:r>
          </w:p>
        </w:tc>
        <w:tc>
          <w:tcPr>
            <w:tcW w:w="5619" w:type="dxa"/>
          </w:tcPr>
          <w:p w14:paraId="5D573211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Rheumatoid arthritis</w:t>
            </w:r>
          </w:p>
          <w:p w14:paraId="75289016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Osteoarthritis</w:t>
            </w:r>
          </w:p>
          <w:p w14:paraId="302C9AFF" w14:textId="77777777" w:rsidR="00B91387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Gout</w:t>
            </w:r>
          </w:p>
          <w:p w14:paraId="3A42FDFB" w14:textId="77777777" w:rsidR="00B91387" w:rsidRPr="0055701E" w:rsidRDefault="00B91387" w:rsidP="00B91387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Back and neck pain</w:t>
            </w:r>
          </w:p>
        </w:tc>
      </w:tr>
      <w:tr w:rsidR="00B91387" w:rsidRPr="005208AF" w14:paraId="1595F02A" w14:textId="77777777" w:rsidTr="00281E32">
        <w:trPr>
          <w:trHeight w:val="283"/>
        </w:trPr>
        <w:tc>
          <w:tcPr>
            <w:tcW w:w="3397" w:type="dxa"/>
          </w:tcPr>
          <w:p w14:paraId="6FCABF38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Congenital anomalies</w:t>
            </w:r>
          </w:p>
        </w:tc>
        <w:tc>
          <w:tcPr>
            <w:tcW w:w="5619" w:type="dxa"/>
          </w:tcPr>
          <w:p w14:paraId="5016CBD1" w14:textId="77777777" w:rsidR="00B91387" w:rsidRPr="005208AF" w:rsidRDefault="00B91387" w:rsidP="00281E32">
            <w:pPr>
              <w:spacing w:before="100" w:beforeAutospacing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Any congenital anomalies, including neural tube defects, cleft lip and cleft palate, down syndrome, congenital heart anomalies</w:t>
            </w:r>
          </w:p>
        </w:tc>
      </w:tr>
      <w:tr w:rsidR="00B91387" w:rsidRPr="005208AF" w14:paraId="7E868006" w14:textId="77777777" w:rsidTr="00281E32">
        <w:trPr>
          <w:trHeight w:val="283"/>
        </w:trPr>
        <w:tc>
          <w:tcPr>
            <w:tcW w:w="3397" w:type="dxa"/>
          </w:tcPr>
          <w:p w14:paraId="342B2991" w14:textId="77777777" w:rsidR="00B91387" w:rsidRPr="005208AF" w:rsidRDefault="00B91387" w:rsidP="00281E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8AF">
              <w:rPr>
                <w:rFonts w:ascii="Times New Roman" w:hAnsi="Times New Roman" w:cs="Times New Roman"/>
                <w:bCs/>
                <w:sz w:val="20"/>
                <w:szCs w:val="20"/>
              </w:rPr>
              <w:t>Oral conditions</w:t>
            </w:r>
          </w:p>
        </w:tc>
        <w:tc>
          <w:tcPr>
            <w:tcW w:w="5619" w:type="dxa"/>
          </w:tcPr>
          <w:p w14:paraId="76E65CE4" w14:textId="77777777" w:rsidR="00B91387" w:rsidRPr="005208AF" w:rsidRDefault="00B91387" w:rsidP="00281E32">
            <w:pPr>
              <w:spacing w:before="100" w:beforeAutospacing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Any oral conditions, including dental caries, periodontal disease, edentulism</w:t>
            </w:r>
          </w:p>
        </w:tc>
      </w:tr>
    </w:tbl>
    <w:p w14:paraId="4FED2772" w14:textId="08EA6749" w:rsidR="00B474CB" w:rsidRDefault="00B91387">
      <w:r w:rsidRPr="00746DD4">
        <w:rPr>
          <w:rFonts w:ascii="Times New Roman" w:eastAsia="Arial" w:hAnsi="Times New Roman" w:cs="Times New Roman"/>
          <w:sz w:val="16"/>
          <w:szCs w:val="16"/>
          <w:vertAlign w:val="superscript"/>
          <w:lang w:eastAsia="en-US"/>
        </w:rPr>
        <w:t>*</w:t>
      </w:r>
      <w:r>
        <w:rPr>
          <w:rFonts w:ascii="Times New Roman" w:eastAsia="Arial" w:hAnsi="Times New Roman" w:cs="Times New Roman"/>
          <w:sz w:val="16"/>
          <w:szCs w:val="16"/>
          <w:lang w:eastAsia="en-US"/>
        </w:rPr>
        <w:t xml:space="preserve"> High-priority conditions identified for WHO guideline development are in bold.</w:t>
      </w:r>
      <w:r>
        <w:rPr>
          <w:rFonts w:ascii="Times New Roman" w:eastAsia="Arial" w:hAnsi="Times New Roman" w:cs="Times New Roman"/>
          <w:sz w:val="16"/>
          <w:szCs w:val="16"/>
          <w:lang w:eastAsia="en-US"/>
        </w:rPr>
        <w:br/>
      </w:r>
      <w:r w:rsidRPr="00746DD4">
        <w:rPr>
          <w:rFonts w:ascii="Times New Roman" w:eastAsia="Arial" w:hAnsi="Times New Roman" w:cs="Times New Roman"/>
          <w:sz w:val="16"/>
          <w:szCs w:val="16"/>
          <w:vertAlign w:val="superscript"/>
          <w:lang w:eastAsia="en-US"/>
        </w:rPr>
        <w:t>†</w:t>
      </w:r>
      <w:r>
        <w:rPr>
          <w:rFonts w:ascii="Times New Roman" w:eastAsia="Arial" w:hAnsi="Times New Roman" w:cs="Times New Roman"/>
          <w:sz w:val="16"/>
          <w:szCs w:val="16"/>
          <w:lang w:eastAsia="en-US"/>
        </w:rPr>
        <w:t xml:space="preserve"> Categories and conditions adapted from World Health Organization Global Health Estimates. Listed included conditions are not exhaustive. A full list of conditions and their ICD codes are available from WHO methods and data sources for country-level causes of death 2000-2019 (Global Health Estimates Technical Paper WHO/DDI/DNA/GHE/2020.2, available from: </w:t>
      </w:r>
      <w:hyperlink r:id="rId5" w:history="1">
        <w:r w:rsidRPr="00C33F43">
          <w:rPr>
            <w:rStyle w:val="Hyperlink"/>
            <w:rFonts w:ascii="Times New Roman" w:eastAsia="Arial" w:hAnsi="Times New Roman" w:cs="Times New Roman"/>
            <w:sz w:val="16"/>
            <w:szCs w:val="16"/>
            <w:lang w:eastAsia="en-US"/>
          </w:rPr>
          <w:t>https://www.who.int/docs/default-source/gho-documents/global-health-estimates/ghe2019_cod_methods.pdf?sfvrsn=37bcfacc_5</w:t>
        </w:r>
      </w:hyperlink>
      <w:r>
        <w:rPr>
          <w:rFonts w:ascii="Times New Roman" w:eastAsia="Arial" w:hAnsi="Times New Roman" w:cs="Times New Roman"/>
          <w:sz w:val="16"/>
          <w:szCs w:val="16"/>
          <w:lang w:eastAsia="en-US"/>
        </w:rPr>
        <w:t>. Accessed 02 May 2022)</w:t>
      </w:r>
    </w:p>
    <w:sectPr w:rsidR="00B47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5140"/>
    <w:multiLevelType w:val="hybridMultilevel"/>
    <w:tmpl w:val="CC58C844"/>
    <w:lvl w:ilvl="0" w:tplc="386CFE3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87"/>
    <w:rsid w:val="00213693"/>
    <w:rsid w:val="00327331"/>
    <w:rsid w:val="005D36F9"/>
    <w:rsid w:val="00745F58"/>
    <w:rsid w:val="00B91387"/>
    <w:rsid w:val="00C95A36"/>
    <w:rsid w:val="00DC5C90"/>
    <w:rsid w:val="00E9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26E16"/>
  <w15:chartTrackingRefBased/>
  <w15:docId w15:val="{702EF71D-53F9-46A0-809F-69D65892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38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387"/>
    <w:pPr>
      <w:spacing w:before="200" w:after="200" w:line="276" w:lineRule="auto"/>
      <w:ind w:left="720"/>
      <w:contextualSpacing/>
    </w:pPr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B913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ho.int/docs/default-source/gho-documents/global-health-estimates/ghe2019_cod_methods.pdf?sfvrsn=37bcfacc_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389</Words>
  <Characters>2220</Characters>
  <Application>Microsoft Office Word</Application>
  <DocSecurity>0</DocSecurity>
  <Lines>18</Lines>
  <Paragraphs>5</Paragraphs>
  <ScaleCrop>false</ScaleCrop>
  <Company>Monash University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Jung</dc:creator>
  <cp:keywords/>
  <dc:description/>
  <cp:lastModifiedBy>Jenny Jung</cp:lastModifiedBy>
  <cp:revision>3</cp:revision>
  <dcterms:created xsi:type="dcterms:W3CDTF">2022-07-17T10:42:00Z</dcterms:created>
  <dcterms:modified xsi:type="dcterms:W3CDTF">2022-07-17T10:46:00Z</dcterms:modified>
</cp:coreProperties>
</file>