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4EF4" w:rsidRDefault="00274EF4" w:rsidP="00274EF4">
      <w:pPr>
        <w:spacing w:beforeLines="50" w:before="156"/>
        <w:rPr>
          <w:rFonts w:ascii="Times New Roman" w:hAnsi="Times New Roman" w:cs="Times New Roman"/>
          <w:b/>
          <w:bCs/>
          <w:sz w:val="24"/>
          <w:szCs w:val="28"/>
        </w:rPr>
      </w:pPr>
      <w:r w:rsidRPr="00357951">
        <w:rPr>
          <w:rFonts w:ascii="Times New Roman" w:hAnsi="Times New Roman" w:cs="Times New Roman"/>
          <w:b/>
          <w:bCs/>
          <w:color w:val="FF0000"/>
          <w:sz w:val="24"/>
          <w:szCs w:val="28"/>
        </w:rPr>
        <w:t>Table S9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. </w:t>
      </w:r>
      <w:r w:rsidRPr="00892E70">
        <w:rPr>
          <w:rFonts w:ascii="Times New Roman" w:hAnsi="Times New Roman" w:cs="Times New Roman"/>
          <w:b/>
          <w:bCs/>
          <w:sz w:val="24"/>
          <w:szCs w:val="28"/>
        </w:rPr>
        <w:t xml:space="preserve">Multivariate 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analysis of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the </w:t>
      </w:r>
      <w:r w:rsidRPr="00F11D7C">
        <w:rPr>
          <w:rFonts w:ascii="Times New Roman" w:hAnsi="Times New Roman" w:cs="Times New Roman"/>
          <w:b/>
          <w:bCs/>
          <w:sz w:val="24"/>
          <w:szCs w:val="28"/>
        </w:rPr>
        <w:t xml:space="preserve">correlation between </w:t>
      </w:r>
      <w:r>
        <w:rPr>
          <w:rFonts w:ascii="Times New Roman" w:hAnsi="Times New Roman" w:cs="Times New Roman"/>
          <w:b/>
          <w:bCs/>
          <w:sz w:val="24"/>
          <w:szCs w:val="28"/>
        </w:rPr>
        <w:t>biomarkers</w:t>
      </w:r>
      <w:r w:rsidRPr="00624168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>and</w:t>
      </w:r>
      <w:r w:rsidRPr="00624168">
        <w:rPr>
          <w:rFonts w:ascii="Times New Roman" w:hAnsi="Times New Roman" w:cs="Times New Roman"/>
          <w:b/>
          <w:bCs/>
          <w:sz w:val="24"/>
          <w:szCs w:val="28"/>
        </w:rPr>
        <w:t xml:space="preserve"> progression-free survival (PFS)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2175"/>
        <w:gridCol w:w="1226"/>
        <w:gridCol w:w="1915"/>
        <w:gridCol w:w="1404"/>
        <w:gridCol w:w="1226"/>
        <w:gridCol w:w="1915"/>
        <w:gridCol w:w="1404"/>
      </w:tblGrid>
      <w:tr w:rsidR="00274EF4" w:rsidRPr="00AE40BB" w:rsidTr="00EF3A30">
        <w:tc>
          <w:tcPr>
            <w:tcW w:w="965" w:type="pct"/>
            <w:vMerge w:val="restart"/>
            <w:tcBorders>
              <w:top w:val="single" w:sz="4" w:space="0" w:color="auto"/>
            </w:tcBorders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kern w:val="2"/>
                <w:sz w:val="24"/>
                <w:szCs w:val="24"/>
              </w:rPr>
              <w:t>Characteristics</w:t>
            </w:r>
          </w:p>
        </w:tc>
        <w:tc>
          <w:tcPr>
            <w:tcW w:w="779" w:type="pct"/>
            <w:vMerge w:val="restart"/>
            <w:tcBorders>
              <w:top w:val="single" w:sz="4" w:space="0" w:color="auto"/>
            </w:tcBorders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kern w:val="2"/>
                <w:sz w:val="24"/>
                <w:szCs w:val="24"/>
              </w:rPr>
              <w:t>N</w:t>
            </w:r>
            <w:r>
              <w:rPr>
                <w:color w:val="000000"/>
                <w:kern w:val="2"/>
                <w:sz w:val="24"/>
                <w:szCs w:val="24"/>
              </w:rPr>
              <w:t>o.</w:t>
            </w:r>
            <w:r w:rsidRPr="00AE40BB">
              <w:rPr>
                <w:color w:val="000000"/>
                <w:kern w:val="2"/>
                <w:sz w:val="24"/>
                <w:szCs w:val="24"/>
              </w:rPr>
              <w:t xml:space="preserve"> of patients</w:t>
            </w:r>
          </w:p>
        </w:tc>
        <w:tc>
          <w:tcPr>
            <w:tcW w:w="162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Univariate analysis</w:t>
            </w:r>
          </w:p>
        </w:tc>
        <w:tc>
          <w:tcPr>
            <w:tcW w:w="1628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bookmarkStart w:id="0" w:name="_Hlk111618388"/>
            <w:r w:rsidRPr="00AE40BB">
              <w:rPr>
                <w:color w:val="000000"/>
                <w:sz w:val="24"/>
                <w:szCs w:val="24"/>
              </w:rPr>
              <w:t>Multivariate analysis</w:t>
            </w:r>
            <w:bookmarkEnd w:id="0"/>
          </w:p>
        </w:tc>
      </w:tr>
      <w:tr w:rsidR="00274EF4" w:rsidRPr="00AE40BB" w:rsidTr="00EF3A30">
        <w:tc>
          <w:tcPr>
            <w:tcW w:w="965" w:type="pct"/>
            <w:vMerge/>
            <w:tcBorders>
              <w:bottom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779" w:type="pct"/>
            <w:vMerge/>
            <w:tcBorders>
              <w:bottom w:val="single" w:sz="4" w:space="0" w:color="auto"/>
            </w:tcBorders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439" w:type="pct"/>
            <w:tcBorders>
              <w:top w:val="single" w:sz="4" w:space="0" w:color="auto"/>
              <w:bottom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HR</w:t>
            </w:r>
          </w:p>
        </w:tc>
        <w:tc>
          <w:tcPr>
            <w:tcW w:w="686" w:type="pct"/>
            <w:tcBorders>
              <w:top w:val="single" w:sz="4" w:space="0" w:color="auto"/>
              <w:bottom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95%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E40BB">
              <w:rPr>
                <w:color w:val="000000"/>
                <w:sz w:val="24"/>
                <w:szCs w:val="24"/>
              </w:rPr>
              <w:t>CI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30D40">
              <w:rPr>
                <w:i/>
                <w:iCs/>
                <w:color w:val="000000"/>
                <w:sz w:val="24"/>
                <w:szCs w:val="24"/>
              </w:rPr>
              <w:t>p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E40BB">
              <w:rPr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439" w:type="pct"/>
            <w:tcBorders>
              <w:top w:val="single" w:sz="4" w:space="0" w:color="auto"/>
              <w:bottom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HR</w:t>
            </w:r>
          </w:p>
        </w:tc>
        <w:tc>
          <w:tcPr>
            <w:tcW w:w="686" w:type="pct"/>
            <w:tcBorders>
              <w:top w:val="single" w:sz="4" w:space="0" w:color="auto"/>
              <w:bottom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95%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AE40BB">
              <w:rPr>
                <w:color w:val="000000"/>
                <w:sz w:val="24"/>
                <w:szCs w:val="24"/>
              </w:rPr>
              <w:t>CI</w:t>
            </w:r>
          </w:p>
        </w:tc>
        <w:tc>
          <w:tcPr>
            <w:tcW w:w="503" w:type="pct"/>
            <w:tcBorders>
              <w:top w:val="single" w:sz="4" w:space="0" w:color="auto"/>
              <w:bottom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604CC3">
              <w:rPr>
                <w:i/>
                <w:iCs/>
                <w:color w:val="000000"/>
                <w:sz w:val="24"/>
                <w:szCs w:val="24"/>
              </w:rPr>
              <w:t>p</w:t>
            </w:r>
            <w:r>
              <w:rPr>
                <w:color w:val="000000"/>
                <w:sz w:val="24"/>
                <w:szCs w:val="24"/>
              </w:rPr>
              <w:t>-</w:t>
            </w:r>
            <w:r w:rsidRPr="00AE40BB">
              <w:rPr>
                <w:color w:val="000000"/>
                <w:sz w:val="24"/>
                <w:szCs w:val="24"/>
              </w:rPr>
              <w:t>value</w:t>
            </w:r>
          </w:p>
        </w:tc>
      </w:tr>
      <w:tr w:rsidR="00274EF4" w:rsidRPr="00AE40BB" w:rsidTr="00EF3A30">
        <w:tc>
          <w:tcPr>
            <w:tcW w:w="965" w:type="pct"/>
            <w:tcBorders>
              <w:top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VEGFR-1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5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 w:rsidRPr="00AE40BB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779" w:type="pct"/>
            <w:tcBorders>
              <w:top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1 vs. 11</w:t>
            </w:r>
          </w:p>
        </w:tc>
        <w:tc>
          <w:tcPr>
            <w:tcW w:w="439" w:type="pct"/>
            <w:tcBorders>
              <w:top w:val="single" w:sz="4" w:space="0" w:color="auto"/>
            </w:tcBorders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0.404</w:t>
            </w:r>
          </w:p>
        </w:tc>
        <w:tc>
          <w:tcPr>
            <w:tcW w:w="686" w:type="pct"/>
            <w:tcBorders>
              <w:top w:val="single" w:sz="4" w:space="0" w:color="auto"/>
            </w:tcBorders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0.137-1.185</w:t>
            </w:r>
          </w:p>
        </w:tc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0.099</w:t>
            </w:r>
          </w:p>
        </w:tc>
        <w:tc>
          <w:tcPr>
            <w:tcW w:w="439" w:type="pct"/>
            <w:tcBorders>
              <w:top w:val="single" w:sz="4" w:space="0" w:color="auto"/>
            </w:tcBorders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0.306</w:t>
            </w:r>
          </w:p>
        </w:tc>
        <w:tc>
          <w:tcPr>
            <w:tcW w:w="686" w:type="pct"/>
            <w:tcBorders>
              <w:top w:val="single" w:sz="4" w:space="0" w:color="auto"/>
            </w:tcBorders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0.074-1.257</w:t>
            </w:r>
          </w:p>
        </w:tc>
        <w:tc>
          <w:tcPr>
            <w:tcW w:w="503" w:type="pct"/>
            <w:tcBorders>
              <w:top w:val="single" w:sz="4" w:space="0" w:color="auto"/>
            </w:tcBorders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0.100</w:t>
            </w:r>
          </w:p>
        </w:tc>
      </w:tr>
      <w:tr w:rsidR="00274EF4" w:rsidRPr="00AE40BB" w:rsidTr="00EF3A30">
        <w:tc>
          <w:tcPr>
            <w:tcW w:w="965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VEGFR-2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2)</w:t>
            </w:r>
          </w:p>
        </w:tc>
        <w:tc>
          <w:tcPr>
            <w:tcW w:w="77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5 vs. 7</w:t>
            </w:r>
          </w:p>
        </w:tc>
        <w:tc>
          <w:tcPr>
            <w:tcW w:w="439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0.744</w:t>
            </w:r>
          </w:p>
        </w:tc>
        <w:tc>
          <w:tcPr>
            <w:tcW w:w="686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0.200-2.771</w:t>
            </w:r>
          </w:p>
        </w:tc>
        <w:tc>
          <w:tcPr>
            <w:tcW w:w="503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0.659</w:t>
            </w:r>
          </w:p>
        </w:tc>
        <w:tc>
          <w:tcPr>
            <w:tcW w:w="43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686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503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274EF4" w:rsidRPr="00AE40BB" w:rsidTr="00EF3A30">
        <w:tc>
          <w:tcPr>
            <w:tcW w:w="965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VEGFR-3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6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6)</w:t>
            </w:r>
          </w:p>
        </w:tc>
        <w:tc>
          <w:tcPr>
            <w:tcW w:w="77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6 vs. 6</w:t>
            </w:r>
          </w:p>
        </w:tc>
        <w:tc>
          <w:tcPr>
            <w:tcW w:w="439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0.968</w:t>
            </w:r>
          </w:p>
        </w:tc>
        <w:tc>
          <w:tcPr>
            <w:tcW w:w="686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0.328-2.855</w:t>
            </w:r>
          </w:p>
        </w:tc>
        <w:tc>
          <w:tcPr>
            <w:tcW w:w="503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0.953</w:t>
            </w:r>
          </w:p>
        </w:tc>
        <w:tc>
          <w:tcPr>
            <w:tcW w:w="43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686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503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274EF4" w:rsidRPr="00AE40BB" w:rsidTr="00EF3A30">
        <w:tc>
          <w:tcPr>
            <w:tcW w:w="965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VEGF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2)</w:t>
            </w:r>
          </w:p>
        </w:tc>
        <w:tc>
          <w:tcPr>
            <w:tcW w:w="77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4 vs. 6</w:t>
            </w:r>
          </w:p>
        </w:tc>
        <w:tc>
          <w:tcPr>
            <w:tcW w:w="439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0.270</w:t>
            </w:r>
          </w:p>
        </w:tc>
        <w:tc>
          <w:tcPr>
            <w:tcW w:w="686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0.058-1.252</w:t>
            </w:r>
          </w:p>
        </w:tc>
        <w:tc>
          <w:tcPr>
            <w:tcW w:w="503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0.094</w:t>
            </w:r>
          </w:p>
        </w:tc>
        <w:tc>
          <w:tcPr>
            <w:tcW w:w="439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0.226</w:t>
            </w:r>
          </w:p>
        </w:tc>
        <w:tc>
          <w:tcPr>
            <w:tcW w:w="686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0.025-2.037</w:t>
            </w:r>
          </w:p>
        </w:tc>
        <w:tc>
          <w:tcPr>
            <w:tcW w:w="503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0.185</w:t>
            </w:r>
          </w:p>
        </w:tc>
      </w:tr>
      <w:tr w:rsidR="00274EF4" w:rsidRPr="00AE40BB" w:rsidTr="00EF3A30">
        <w:tc>
          <w:tcPr>
            <w:tcW w:w="965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EGFR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2)</w:t>
            </w:r>
          </w:p>
        </w:tc>
        <w:tc>
          <w:tcPr>
            <w:tcW w:w="77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3 vs. 9</w:t>
            </w:r>
          </w:p>
        </w:tc>
        <w:tc>
          <w:tcPr>
            <w:tcW w:w="439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0.823</w:t>
            </w:r>
          </w:p>
        </w:tc>
        <w:tc>
          <w:tcPr>
            <w:tcW w:w="686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0.291-2.327</w:t>
            </w:r>
          </w:p>
        </w:tc>
        <w:tc>
          <w:tcPr>
            <w:tcW w:w="503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0.713</w:t>
            </w:r>
          </w:p>
        </w:tc>
        <w:tc>
          <w:tcPr>
            <w:tcW w:w="43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686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503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274EF4" w:rsidRPr="00AE40BB" w:rsidTr="00EF3A30">
        <w:tc>
          <w:tcPr>
            <w:tcW w:w="965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Ki67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20%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20%)</w:t>
            </w:r>
          </w:p>
        </w:tc>
        <w:tc>
          <w:tcPr>
            <w:tcW w:w="77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2 vs. 11</w:t>
            </w:r>
          </w:p>
        </w:tc>
        <w:tc>
          <w:tcPr>
            <w:tcW w:w="439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0.946</w:t>
            </w:r>
          </w:p>
        </w:tc>
        <w:tc>
          <w:tcPr>
            <w:tcW w:w="686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0.345-2.595</w:t>
            </w:r>
          </w:p>
        </w:tc>
        <w:tc>
          <w:tcPr>
            <w:tcW w:w="503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0.914</w:t>
            </w:r>
          </w:p>
        </w:tc>
        <w:tc>
          <w:tcPr>
            <w:tcW w:w="43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686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503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274EF4" w:rsidRPr="00AE40BB" w:rsidTr="00EF3A30">
        <w:tc>
          <w:tcPr>
            <w:tcW w:w="965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CD31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6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6)</w:t>
            </w:r>
          </w:p>
        </w:tc>
        <w:tc>
          <w:tcPr>
            <w:tcW w:w="77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2 vs. 11</w:t>
            </w:r>
          </w:p>
        </w:tc>
        <w:tc>
          <w:tcPr>
            <w:tcW w:w="439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0.355</w:t>
            </w:r>
          </w:p>
        </w:tc>
        <w:tc>
          <w:tcPr>
            <w:tcW w:w="686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0.107-1.181</w:t>
            </w:r>
          </w:p>
        </w:tc>
        <w:tc>
          <w:tcPr>
            <w:tcW w:w="503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0.091</w:t>
            </w:r>
          </w:p>
        </w:tc>
        <w:tc>
          <w:tcPr>
            <w:tcW w:w="439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0.768</w:t>
            </w:r>
          </w:p>
        </w:tc>
        <w:tc>
          <w:tcPr>
            <w:tcW w:w="686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0.204-2.900</w:t>
            </w:r>
          </w:p>
        </w:tc>
        <w:tc>
          <w:tcPr>
            <w:tcW w:w="503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0.697</w:t>
            </w:r>
          </w:p>
        </w:tc>
      </w:tr>
      <w:tr w:rsidR="00274EF4" w:rsidRPr="00AE40BB" w:rsidTr="00EF3A30">
        <w:tc>
          <w:tcPr>
            <w:tcW w:w="965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FGFR-1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2)</w:t>
            </w:r>
          </w:p>
        </w:tc>
        <w:tc>
          <w:tcPr>
            <w:tcW w:w="77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5 vs. 8</w:t>
            </w:r>
          </w:p>
        </w:tc>
        <w:tc>
          <w:tcPr>
            <w:tcW w:w="439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0.732</w:t>
            </w:r>
          </w:p>
        </w:tc>
        <w:tc>
          <w:tcPr>
            <w:tcW w:w="686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0.262-2.045</w:t>
            </w:r>
          </w:p>
        </w:tc>
        <w:tc>
          <w:tcPr>
            <w:tcW w:w="503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0.552</w:t>
            </w:r>
          </w:p>
        </w:tc>
        <w:tc>
          <w:tcPr>
            <w:tcW w:w="43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686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503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274EF4" w:rsidRPr="00AE40BB" w:rsidTr="00EF3A30">
        <w:tc>
          <w:tcPr>
            <w:tcW w:w="965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PDGFR-α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1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1)</w:t>
            </w:r>
          </w:p>
        </w:tc>
        <w:tc>
          <w:tcPr>
            <w:tcW w:w="77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4 vs. 7</w:t>
            </w:r>
          </w:p>
        </w:tc>
        <w:tc>
          <w:tcPr>
            <w:tcW w:w="439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0.489</w:t>
            </w:r>
          </w:p>
        </w:tc>
        <w:tc>
          <w:tcPr>
            <w:tcW w:w="686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0.144-1.662</w:t>
            </w:r>
          </w:p>
        </w:tc>
        <w:tc>
          <w:tcPr>
            <w:tcW w:w="503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0.252</w:t>
            </w:r>
          </w:p>
        </w:tc>
        <w:tc>
          <w:tcPr>
            <w:tcW w:w="43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686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503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274EF4" w:rsidRPr="00AE40BB" w:rsidTr="00EF3A30">
        <w:tc>
          <w:tcPr>
            <w:tcW w:w="965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PDGFR-β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2)</w:t>
            </w:r>
          </w:p>
        </w:tc>
        <w:tc>
          <w:tcPr>
            <w:tcW w:w="77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8 vs. 3</w:t>
            </w:r>
          </w:p>
        </w:tc>
        <w:tc>
          <w:tcPr>
            <w:tcW w:w="439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1.134</w:t>
            </w:r>
          </w:p>
        </w:tc>
        <w:tc>
          <w:tcPr>
            <w:tcW w:w="686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0.243-5.291</w:t>
            </w:r>
          </w:p>
        </w:tc>
        <w:tc>
          <w:tcPr>
            <w:tcW w:w="503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0.873</w:t>
            </w:r>
          </w:p>
        </w:tc>
        <w:tc>
          <w:tcPr>
            <w:tcW w:w="43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686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503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  <w:tr w:rsidR="00274EF4" w:rsidRPr="00AE40BB" w:rsidTr="00EF3A30">
        <w:tc>
          <w:tcPr>
            <w:tcW w:w="965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</w:t>
            </w:r>
            <w:r w:rsidRPr="00AE40BB">
              <w:rPr>
                <w:color w:val="000000"/>
                <w:sz w:val="24"/>
                <w:szCs w:val="24"/>
              </w:rPr>
              <w:t>-Kit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4)</w:t>
            </w:r>
          </w:p>
        </w:tc>
        <w:tc>
          <w:tcPr>
            <w:tcW w:w="779" w:type="pct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7 vs. 6</w:t>
            </w:r>
          </w:p>
        </w:tc>
        <w:tc>
          <w:tcPr>
            <w:tcW w:w="439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F6546F">
              <w:rPr>
                <w:color w:val="000000"/>
                <w:sz w:val="24"/>
                <w:szCs w:val="24"/>
              </w:rPr>
              <w:t>0.172</w:t>
            </w:r>
          </w:p>
        </w:tc>
        <w:tc>
          <w:tcPr>
            <w:tcW w:w="686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F6546F">
              <w:rPr>
                <w:color w:val="000000"/>
                <w:sz w:val="24"/>
                <w:szCs w:val="24"/>
              </w:rPr>
              <w:t>0.036-0.829</w:t>
            </w:r>
          </w:p>
        </w:tc>
        <w:tc>
          <w:tcPr>
            <w:tcW w:w="503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F6546F">
              <w:rPr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439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F6546F">
              <w:rPr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686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F6546F">
              <w:rPr>
                <w:color w:val="000000"/>
                <w:sz w:val="24"/>
                <w:szCs w:val="24"/>
              </w:rPr>
              <w:t>0.002-0.606</w:t>
            </w:r>
          </w:p>
        </w:tc>
        <w:tc>
          <w:tcPr>
            <w:tcW w:w="503" w:type="pct"/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F6546F">
              <w:rPr>
                <w:color w:val="000000"/>
                <w:sz w:val="24"/>
                <w:szCs w:val="24"/>
              </w:rPr>
              <w:t>0.022</w:t>
            </w:r>
          </w:p>
        </w:tc>
      </w:tr>
      <w:tr w:rsidR="00274EF4" w:rsidRPr="00AE40BB" w:rsidTr="00EF3A30">
        <w:tc>
          <w:tcPr>
            <w:tcW w:w="965" w:type="pct"/>
            <w:tcBorders>
              <w:bottom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</w:t>
            </w:r>
            <w:r w:rsidRPr="00AE40BB">
              <w:rPr>
                <w:color w:val="000000"/>
                <w:sz w:val="24"/>
                <w:szCs w:val="24"/>
              </w:rPr>
              <w:t>-Met</w:t>
            </w:r>
            <w:r>
              <w:rPr>
                <w:color w:val="000000"/>
                <w:sz w:val="24"/>
                <w:szCs w:val="24"/>
              </w:rPr>
              <w:t xml:space="preserve"> (</w:t>
            </w:r>
            <w:r w:rsidRPr="00AE40BB">
              <w:rPr>
                <w:color w:val="000000"/>
                <w:sz w:val="24"/>
                <w:szCs w:val="24"/>
              </w:rPr>
              <w:t>≤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 vs.</w:t>
            </w:r>
            <w:r w:rsidRPr="00AE40BB">
              <w:rPr>
                <w:color w:val="000000"/>
                <w:sz w:val="24"/>
                <w:szCs w:val="24"/>
              </w:rPr>
              <w:t xml:space="preserve"> &gt;</w:t>
            </w:r>
            <w:r w:rsidR="00D8718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4)</w:t>
            </w:r>
          </w:p>
        </w:tc>
        <w:tc>
          <w:tcPr>
            <w:tcW w:w="779" w:type="pct"/>
            <w:tcBorders>
              <w:bottom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>3 vs. 0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686" w:type="pct"/>
            <w:tcBorders>
              <w:bottom w:val="single" w:sz="4" w:space="0" w:color="auto"/>
            </w:tcBorders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  <w:r w:rsidRPr="00AE40BB"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39" w:type="pct"/>
            <w:tcBorders>
              <w:bottom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686" w:type="pct"/>
            <w:tcBorders>
              <w:bottom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  <w:tc>
          <w:tcPr>
            <w:tcW w:w="503" w:type="pct"/>
            <w:tcBorders>
              <w:bottom w:val="single" w:sz="4" w:space="0" w:color="auto"/>
            </w:tcBorders>
          </w:tcPr>
          <w:p w:rsidR="00274EF4" w:rsidRPr="00AE40BB" w:rsidRDefault="00274EF4" w:rsidP="00EF3A30">
            <w:pPr>
              <w:widowControl/>
              <w:spacing w:before="100" w:beforeAutospacing="1" w:after="100" w:afterAutospacing="1"/>
              <w:rPr>
                <w:color w:val="000000"/>
                <w:sz w:val="24"/>
                <w:szCs w:val="24"/>
              </w:rPr>
            </w:pPr>
          </w:p>
        </w:tc>
      </w:tr>
    </w:tbl>
    <w:p w:rsidR="00274EF4" w:rsidRPr="00AE40BB" w:rsidRDefault="00274EF4" w:rsidP="00274EF4">
      <w:pPr>
        <w:rPr>
          <w:rFonts w:ascii="Times New Roman" w:hAnsi="Times New Roman" w:cs="Times New Roman"/>
          <w:sz w:val="24"/>
          <w:szCs w:val="24"/>
        </w:rPr>
      </w:pPr>
      <w:r w:rsidRPr="00AE40BB">
        <w:rPr>
          <w:rFonts w:ascii="Times New Roman" w:hAnsi="Times New Roman" w:cs="Times New Roman"/>
          <w:sz w:val="24"/>
          <w:szCs w:val="24"/>
        </w:rPr>
        <w:t>VEGFR</w:t>
      </w:r>
      <w:r w:rsidR="00E633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E6338B">
        <w:rPr>
          <w:rFonts w:ascii="Times New Roman" w:hAnsi="Times New Roman" w:cs="Times New Roman"/>
          <w:sz w:val="24"/>
          <w:szCs w:val="24"/>
        </w:rPr>
        <w:t xml:space="preserve"> </w:t>
      </w:r>
      <w:r w:rsidRPr="00AE40BB">
        <w:rPr>
          <w:rFonts w:ascii="Times New Roman" w:hAnsi="Times New Roman" w:cs="Times New Roman"/>
          <w:sz w:val="24"/>
          <w:szCs w:val="24"/>
        </w:rPr>
        <w:t>vascular endothelial growth factor receptor; FGFR</w:t>
      </w:r>
      <w:r w:rsidR="00E633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E6338B">
        <w:rPr>
          <w:rFonts w:ascii="Times New Roman" w:hAnsi="Times New Roman" w:cs="Times New Roman"/>
          <w:sz w:val="24"/>
          <w:szCs w:val="24"/>
        </w:rPr>
        <w:t xml:space="preserve"> </w:t>
      </w:r>
      <w:r w:rsidRPr="00AE40BB">
        <w:rPr>
          <w:rFonts w:ascii="Times New Roman" w:hAnsi="Times New Roman" w:cs="Times New Roman"/>
          <w:sz w:val="24"/>
          <w:szCs w:val="24"/>
        </w:rPr>
        <w:t xml:space="preserve">fibroblast growth factor receptor; </w:t>
      </w:r>
      <w:bookmarkStart w:id="1" w:name="OLE_LINK71"/>
      <w:bookmarkStart w:id="2" w:name="OLE_LINK70"/>
      <w:r w:rsidRPr="00AE40BB">
        <w:rPr>
          <w:rFonts w:ascii="Times New Roman" w:hAnsi="Times New Roman" w:cs="Times New Roman"/>
          <w:sz w:val="24"/>
          <w:szCs w:val="24"/>
        </w:rPr>
        <w:t>PDGFR</w:t>
      </w:r>
      <w:r w:rsidR="00E633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E6338B">
        <w:rPr>
          <w:rFonts w:ascii="Times New Roman" w:hAnsi="Times New Roman" w:cs="Times New Roman"/>
          <w:sz w:val="24"/>
          <w:szCs w:val="24"/>
        </w:rPr>
        <w:t xml:space="preserve"> </w:t>
      </w:r>
      <w:r w:rsidRPr="00AE40BB">
        <w:rPr>
          <w:rFonts w:ascii="Times New Roman" w:hAnsi="Times New Roman" w:cs="Times New Roman"/>
          <w:sz w:val="24"/>
          <w:szCs w:val="24"/>
        </w:rPr>
        <w:t>platelet-derived growth factor receptor;</w:t>
      </w:r>
      <w:bookmarkEnd w:id="1"/>
      <w:bookmarkEnd w:id="2"/>
      <w:r w:rsidRPr="00AE40BB">
        <w:rPr>
          <w:rFonts w:ascii="Times New Roman" w:hAnsi="Times New Roman" w:cs="Times New Roman"/>
          <w:sz w:val="24"/>
          <w:szCs w:val="24"/>
        </w:rPr>
        <w:t xml:space="preserve"> VEGR</w:t>
      </w:r>
      <w:r w:rsidR="00E633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E6338B">
        <w:rPr>
          <w:rFonts w:ascii="Times New Roman" w:hAnsi="Times New Roman" w:cs="Times New Roman"/>
          <w:sz w:val="24"/>
          <w:szCs w:val="24"/>
        </w:rPr>
        <w:t xml:space="preserve"> </w:t>
      </w:r>
      <w:r w:rsidRPr="00AE40BB">
        <w:rPr>
          <w:rFonts w:ascii="Times New Roman" w:hAnsi="Times New Roman" w:cs="Times New Roman"/>
          <w:sz w:val="24"/>
          <w:szCs w:val="24"/>
        </w:rPr>
        <w:t xml:space="preserve">vascular endothelial growth factor; </w:t>
      </w:r>
      <w:bookmarkStart w:id="3" w:name="OLE_LINK73"/>
      <w:bookmarkStart w:id="4" w:name="OLE_LINK72"/>
      <w:r w:rsidRPr="00AE40BB">
        <w:rPr>
          <w:rFonts w:ascii="Times New Roman" w:hAnsi="Times New Roman" w:cs="Times New Roman"/>
          <w:sz w:val="24"/>
          <w:szCs w:val="24"/>
        </w:rPr>
        <w:t>EGFR</w:t>
      </w:r>
      <w:r w:rsidR="00E633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E6338B">
        <w:rPr>
          <w:rFonts w:ascii="Times New Roman" w:hAnsi="Times New Roman" w:cs="Times New Roman"/>
          <w:sz w:val="24"/>
          <w:szCs w:val="24"/>
        </w:rPr>
        <w:t xml:space="preserve"> </w:t>
      </w:r>
      <w:r w:rsidRPr="00AE40BB">
        <w:rPr>
          <w:rFonts w:ascii="Times New Roman" w:hAnsi="Times New Roman" w:cs="Times New Roman"/>
          <w:sz w:val="24"/>
          <w:szCs w:val="24"/>
        </w:rPr>
        <w:t>epidermal growth factor receptor;</w:t>
      </w:r>
      <w:bookmarkEnd w:id="3"/>
      <w:bookmarkEnd w:id="4"/>
      <w:r w:rsidRPr="00AE40BB">
        <w:rPr>
          <w:rFonts w:ascii="Times New Roman" w:hAnsi="Times New Roman" w:cs="Times New Roman"/>
          <w:sz w:val="24"/>
          <w:szCs w:val="24"/>
        </w:rPr>
        <w:t xml:space="preserve"> HR</w:t>
      </w:r>
      <w:r w:rsidR="00E633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E6338B">
        <w:rPr>
          <w:rFonts w:ascii="Times New Roman" w:hAnsi="Times New Roman" w:cs="Times New Roman"/>
          <w:sz w:val="24"/>
          <w:szCs w:val="24"/>
        </w:rPr>
        <w:t xml:space="preserve"> </w:t>
      </w:r>
      <w:r w:rsidRPr="00AE40BB">
        <w:rPr>
          <w:rFonts w:ascii="Times New Roman" w:hAnsi="Times New Roman" w:cs="Times New Roman"/>
          <w:sz w:val="24"/>
          <w:szCs w:val="24"/>
        </w:rPr>
        <w:t>hazard ratio; CI</w:t>
      </w:r>
      <w:r w:rsidR="00E6338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=</w:t>
      </w:r>
      <w:r w:rsidR="00E6338B">
        <w:rPr>
          <w:rFonts w:ascii="Times New Roman" w:hAnsi="Times New Roman" w:cs="Times New Roman"/>
          <w:sz w:val="24"/>
          <w:szCs w:val="24"/>
        </w:rPr>
        <w:t xml:space="preserve"> </w:t>
      </w:r>
      <w:r w:rsidRPr="00AE40BB">
        <w:rPr>
          <w:rFonts w:ascii="Times New Roman" w:hAnsi="Times New Roman" w:cs="Times New Roman"/>
          <w:sz w:val="24"/>
          <w:szCs w:val="24"/>
        </w:rPr>
        <w:t>confidence interval.</w:t>
      </w:r>
    </w:p>
    <w:p w:rsidR="00FB48D5" w:rsidRDefault="00274EF4" w:rsidP="00274EF4">
      <w:r>
        <w:rPr>
          <w:rFonts w:ascii="Times New Roman" w:hAnsi="Times New Roman"/>
          <w:sz w:val="24"/>
          <w:szCs w:val="24"/>
        </w:rPr>
        <w:t>T</w:t>
      </w:r>
      <w:r w:rsidRPr="00B9026B">
        <w:rPr>
          <w:rFonts w:ascii="Times New Roman" w:hAnsi="Times New Roman"/>
          <w:sz w:val="24"/>
          <w:szCs w:val="24"/>
        </w:rPr>
        <w:t xml:space="preserve">he cutoff </w:t>
      </w:r>
      <w:r w:rsidRPr="00B9026B">
        <w:rPr>
          <w:rFonts w:ascii="Times New Roman" w:hAnsi="Times New Roman" w:hint="eastAsia"/>
          <w:sz w:val="24"/>
          <w:szCs w:val="24"/>
        </w:rPr>
        <w:t>values</w:t>
      </w:r>
      <w:r w:rsidRPr="00B9026B">
        <w:rPr>
          <w:rFonts w:ascii="Times New Roman" w:hAnsi="Times New Roman"/>
          <w:sz w:val="24"/>
          <w:szCs w:val="24"/>
        </w:rPr>
        <w:t xml:space="preserve"> for low versus high biomarker expressions were the median H score or staining</w:t>
      </w:r>
      <w:r w:rsidRPr="00B9026B">
        <w:t xml:space="preserve"> </w:t>
      </w:r>
      <w:r w:rsidRPr="00B9026B">
        <w:rPr>
          <w:rFonts w:ascii="Times New Roman" w:hAnsi="Times New Roman"/>
          <w:sz w:val="24"/>
          <w:szCs w:val="24"/>
        </w:rPr>
        <w:t>percentage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B9026B">
        <w:rPr>
          <w:rFonts w:ascii="Times New Roman" w:hAnsi="Times New Roman" w:hint="eastAsia"/>
          <w:sz w:val="24"/>
          <w:szCs w:val="24"/>
        </w:rPr>
        <w:t>Ki</w:t>
      </w:r>
      <w:r w:rsidRPr="00B9026B">
        <w:rPr>
          <w:rFonts w:ascii="Times New Roman" w:hAnsi="Times New Roman"/>
          <w:sz w:val="24"/>
          <w:szCs w:val="24"/>
        </w:rPr>
        <w:t>67</w:t>
      </w:r>
      <w:r>
        <w:rPr>
          <w:rFonts w:ascii="Times New Roman" w:hAnsi="Times New Roman"/>
          <w:sz w:val="24"/>
          <w:szCs w:val="24"/>
        </w:rPr>
        <w:t xml:space="preserve">) or </w:t>
      </w:r>
      <w:proofErr w:type="spellStart"/>
      <w:r w:rsidRPr="00F11D7C">
        <w:rPr>
          <w:rFonts w:ascii="Times New Roman" w:hAnsi="Times New Roman" w:cs="Times New Roman"/>
          <w:sz w:val="24"/>
          <w:szCs w:val="24"/>
        </w:rPr>
        <w:t>microvessel</w:t>
      </w:r>
      <w:proofErr w:type="spellEnd"/>
      <w:r w:rsidRPr="00F11D7C">
        <w:rPr>
          <w:rFonts w:ascii="Times New Roman" w:hAnsi="Times New Roman" w:cs="Times New Roman"/>
          <w:sz w:val="24"/>
          <w:szCs w:val="24"/>
        </w:rPr>
        <w:t xml:space="preserve"> density (MVD</w:t>
      </w:r>
      <w:r>
        <w:rPr>
          <w:rFonts w:ascii="Times New Roman" w:hAnsi="Times New Roman" w:cs="Times New Roman"/>
          <w:sz w:val="24"/>
          <w:szCs w:val="24"/>
        </w:rPr>
        <w:t>, CD31</w:t>
      </w:r>
      <w:r w:rsidRPr="00F11D7C">
        <w:rPr>
          <w:rFonts w:ascii="Times New Roman" w:hAnsi="Times New Roman" w:cs="Times New Roman"/>
          <w:sz w:val="24"/>
          <w:szCs w:val="24"/>
        </w:rPr>
        <w:t>)</w:t>
      </w:r>
      <w:r w:rsidRPr="00B9026B">
        <w:rPr>
          <w:rFonts w:ascii="Times New Roman" w:hAnsi="Times New Roman"/>
          <w:sz w:val="24"/>
          <w:szCs w:val="24"/>
        </w:rPr>
        <w:t xml:space="preserve"> for the study population evaluable for biomarker.</w:t>
      </w:r>
    </w:p>
    <w:sectPr w:rsidR="00FB48D5" w:rsidSect="00274EF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0154" w:rsidRDefault="003E0154" w:rsidP="00357951">
      <w:r>
        <w:separator/>
      </w:r>
    </w:p>
  </w:endnote>
  <w:endnote w:type="continuationSeparator" w:id="0">
    <w:p w:rsidR="003E0154" w:rsidRDefault="003E0154" w:rsidP="00357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0154" w:rsidRDefault="003E0154" w:rsidP="00357951">
      <w:r>
        <w:separator/>
      </w:r>
    </w:p>
  </w:footnote>
  <w:footnote w:type="continuationSeparator" w:id="0">
    <w:p w:rsidR="003E0154" w:rsidRDefault="003E0154" w:rsidP="003579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QzNbWwNDI0sDQztzBT0lEKTi0uzszPAykwrgUA13FX+SwAAAA="/>
  </w:docVars>
  <w:rsids>
    <w:rsidRoot w:val="00274EF4"/>
    <w:rsid w:val="00054ABE"/>
    <w:rsid w:val="00274EF4"/>
    <w:rsid w:val="00357951"/>
    <w:rsid w:val="003E0154"/>
    <w:rsid w:val="006B295E"/>
    <w:rsid w:val="00D87188"/>
    <w:rsid w:val="00E6338B"/>
    <w:rsid w:val="00EF4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3474C"/>
  <w15:chartTrackingRefBased/>
  <w15:docId w15:val="{D8B7ED19-8490-4BEA-89A9-021CDDEB6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E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274EF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579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5795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579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579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ABCDEFG</dc:creator>
  <cp:keywords/>
  <dc:description/>
  <cp:lastModifiedBy>ABCDEFG</cp:lastModifiedBy>
  <cp:revision>4</cp:revision>
  <dcterms:created xsi:type="dcterms:W3CDTF">2022-10-31T02:11:00Z</dcterms:created>
  <dcterms:modified xsi:type="dcterms:W3CDTF">2022-10-31T07:17:00Z</dcterms:modified>
</cp:coreProperties>
</file>