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1F46" w:rsidRDefault="00FA1F46" w:rsidP="00FA1F46">
      <w:pPr>
        <w:spacing w:beforeLines="50" w:before="156"/>
        <w:rPr>
          <w:rFonts w:ascii="Times New Roman" w:hAnsi="Times New Roman" w:cs="Times New Roman"/>
          <w:b/>
          <w:bCs/>
          <w:sz w:val="24"/>
          <w:szCs w:val="28"/>
        </w:rPr>
      </w:pPr>
      <w:r w:rsidRPr="0086295F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S10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Pr="00892E70">
        <w:rPr>
          <w:rFonts w:ascii="Times New Roman" w:hAnsi="Times New Roman" w:cs="Times New Roman"/>
          <w:b/>
          <w:bCs/>
          <w:sz w:val="24"/>
          <w:szCs w:val="28"/>
        </w:rPr>
        <w:t xml:space="preserve">Multivariate 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analysis of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the 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correlation between </w:t>
      </w:r>
      <w:r>
        <w:rPr>
          <w:rFonts w:ascii="Times New Roman" w:hAnsi="Times New Roman" w:cs="Times New Roman"/>
          <w:b/>
          <w:bCs/>
          <w:sz w:val="24"/>
          <w:szCs w:val="28"/>
        </w:rPr>
        <w:t>biomarkers</w:t>
      </w:r>
      <w:r w:rsidRPr="0062416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>and</w:t>
      </w:r>
      <w:r w:rsidRPr="0062416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B26D0A">
        <w:rPr>
          <w:rFonts w:ascii="Times New Roman" w:hAnsi="Times New Roman" w:cs="Times New Roman"/>
          <w:b/>
          <w:bCs/>
          <w:sz w:val="24"/>
          <w:szCs w:val="28"/>
        </w:rPr>
        <w:t>overall survival (OS)</w:t>
      </w:r>
    </w:p>
    <w:tbl>
      <w:tblPr>
        <w:tblStyle w:val="a3"/>
        <w:tblW w:w="49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266"/>
        <w:gridCol w:w="1136"/>
        <w:gridCol w:w="140"/>
        <w:gridCol w:w="1844"/>
        <w:gridCol w:w="1445"/>
        <w:gridCol w:w="1381"/>
        <w:gridCol w:w="1867"/>
        <w:gridCol w:w="1320"/>
      </w:tblGrid>
      <w:tr w:rsidR="00FA1F46" w:rsidTr="00EF3A30">
        <w:tc>
          <w:tcPr>
            <w:tcW w:w="915" w:type="pct"/>
            <w:vMerge w:val="restart"/>
            <w:tcBorders>
              <w:top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812" w:type="pct"/>
            <w:vMerge w:val="restart"/>
            <w:tcBorders>
              <w:top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N</w:t>
            </w:r>
            <w:r>
              <w:rPr>
                <w:color w:val="000000"/>
                <w:sz w:val="24"/>
                <w:szCs w:val="24"/>
              </w:rPr>
              <w:t xml:space="preserve">o. </w:t>
            </w:r>
            <w:r w:rsidRPr="00B26D0A">
              <w:rPr>
                <w:color w:val="000000"/>
                <w:sz w:val="24"/>
                <w:szCs w:val="24"/>
              </w:rPr>
              <w:t>of patients</w:t>
            </w:r>
          </w:p>
        </w:tc>
        <w:tc>
          <w:tcPr>
            <w:tcW w:w="1636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Univariate analysis</w:t>
            </w:r>
          </w:p>
        </w:tc>
        <w:tc>
          <w:tcPr>
            <w:tcW w:w="163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Multivariate analysis</w:t>
            </w:r>
          </w:p>
        </w:tc>
      </w:tr>
      <w:tr w:rsidR="00FA1F46" w:rsidTr="00EF3A30">
        <w:tc>
          <w:tcPr>
            <w:tcW w:w="915" w:type="pct"/>
            <w:vMerge/>
            <w:tcBorders>
              <w:bottom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812" w:type="pct"/>
            <w:vMerge/>
            <w:tcBorders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HR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ind w:firstLineChars="100" w:firstLine="240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95%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26D0A">
              <w:rPr>
                <w:color w:val="000000"/>
                <w:sz w:val="24"/>
                <w:szCs w:val="24"/>
              </w:rPr>
              <w:t>CI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30D40">
              <w:rPr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-</w:t>
            </w:r>
            <w:r w:rsidRPr="00B26D0A">
              <w:rPr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HR</w:t>
            </w: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95%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26D0A">
              <w:rPr>
                <w:color w:val="000000"/>
                <w:sz w:val="24"/>
                <w:szCs w:val="24"/>
              </w:rPr>
              <w:t>CI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30D40">
              <w:rPr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-</w:t>
            </w:r>
            <w:r w:rsidRPr="00B26D0A">
              <w:rPr>
                <w:color w:val="000000"/>
                <w:sz w:val="24"/>
                <w:szCs w:val="24"/>
              </w:rPr>
              <w:t>value</w:t>
            </w:r>
          </w:p>
        </w:tc>
      </w:tr>
      <w:tr w:rsidR="00FA1F46" w:rsidTr="00EF3A30">
        <w:tc>
          <w:tcPr>
            <w:tcW w:w="915" w:type="pct"/>
            <w:tcBorders>
              <w:top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bookmarkStart w:id="0" w:name="OLE_LINK33"/>
            <w:bookmarkStart w:id="1" w:name="OLE_LINK32"/>
            <w:r w:rsidRPr="00B26D0A">
              <w:rPr>
                <w:color w:val="000000"/>
                <w:sz w:val="24"/>
                <w:szCs w:val="24"/>
              </w:rPr>
              <w:t>VEGFR-1</w:t>
            </w:r>
            <w:bookmarkEnd w:id="0"/>
            <w:bookmarkEnd w:id="1"/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5)</w:t>
            </w:r>
          </w:p>
        </w:tc>
        <w:tc>
          <w:tcPr>
            <w:tcW w:w="812" w:type="pct"/>
            <w:tcBorders>
              <w:top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1 vs. 11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0.441</w:t>
            </w:r>
          </w:p>
        </w:tc>
        <w:tc>
          <w:tcPr>
            <w:tcW w:w="661" w:type="pct"/>
            <w:tcBorders>
              <w:top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0.128-1.514</w:t>
            </w:r>
          </w:p>
        </w:tc>
        <w:tc>
          <w:tcPr>
            <w:tcW w:w="518" w:type="pct"/>
            <w:tcBorders>
              <w:top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0.193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VEGFR-2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5 vs. 7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0.204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0.026-1.600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9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VEGFR-3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6 vs. 6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0.496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0.106-2.310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0.371</w:t>
            </w:r>
          </w:p>
        </w:tc>
        <w:tc>
          <w:tcPr>
            <w:tcW w:w="49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VEGF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4 vs. 6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0.000-4.110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0.154</w:t>
            </w:r>
          </w:p>
        </w:tc>
        <w:tc>
          <w:tcPr>
            <w:tcW w:w="49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EGFR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3 vs. 9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0.268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0.058-1.246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0.093</w:t>
            </w:r>
          </w:p>
        </w:tc>
        <w:tc>
          <w:tcPr>
            <w:tcW w:w="495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0.375</w:t>
            </w:r>
          </w:p>
        </w:tc>
        <w:tc>
          <w:tcPr>
            <w:tcW w:w="669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0.074-1.892</w:t>
            </w:r>
          </w:p>
        </w:tc>
        <w:tc>
          <w:tcPr>
            <w:tcW w:w="473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0.235</w:t>
            </w: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Ki67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20%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20%)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 vs. 11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1.255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0.391-4.031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0.703</w:t>
            </w:r>
          </w:p>
        </w:tc>
        <w:tc>
          <w:tcPr>
            <w:tcW w:w="49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CD31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 vs. 11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0.396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0.112-1.405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0.152</w:t>
            </w:r>
          </w:p>
        </w:tc>
        <w:tc>
          <w:tcPr>
            <w:tcW w:w="49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FGFR-1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5 vs. 8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0.266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0.058-1.224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0.089</w:t>
            </w:r>
          </w:p>
        </w:tc>
        <w:tc>
          <w:tcPr>
            <w:tcW w:w="495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0.398</w:t>
            </w:r>
          </w:p>
        </w:tc>
        <w:tc>
          <w:tcPr>
            <w:tcW w:w="669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0.079-2.014</w:t>
            </w:r>
          </w:p>
        </w:tc>
        <w:tc>
          <w:tcPr>
            <w:tcW w:w="473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0.266</w:t>
            </w: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PDGFR-α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4 vs. 7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0.535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0.139-2.057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0.363</w:t>
            </w:r>
          </w:p>
        </w:tc>
        <w:tc>
          <w:tcPr>
            <w:tcW w:w="49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PDGFR-β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8 vs. 3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2.351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0.455-12.151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0.308</w:t>
            </w:r>
          </w:p>
        </w:tc>
        <w:tc>
          <w:tcPr>
            <w:tcW w:w="49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rPr>
          <w:trHeight w:val="87"/>
        </w:trPr>
        <w:tc>
          <w:tcPr>
            <w:tcW w:w="91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</w:t>
            </w:r>
            <w:r w:rsidRPr="00B26D0A">
              <w:rPr>
                <w:color w:val="000000"/>
                <w:sz w:val="24"/>
                <w:szCs w:val="24"/>
              </w:rPr>
              <w:t>-Kit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4)</w:t>
            </w:r>
          </w:p>
        </w:tc>
        <w:tc>
          <w:tcPr>
            <w:tcW w:w="812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7 vs. 6</w:t>
            </w:r>
          </w:p>
        </w:tc>
        <w:tc>
          <w:tcPr>
            <w:tcW w:w="457" w:type="pct"/>
            <w:gridSpan w:val="2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0.279</w:t>
            </w:r>
          </w:p>
        </w:tc>
        <w:tc>
          <w:tcPr>
            <w:tcW w:w="661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0.056-1.376</w:t>
            </w:r>
          </w:p>
        </w:tc>
        <w:tc>
          <w:tcPr>
            <w:tcW w:w="518" w:type="pct"/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0.117</w:t>
            </w:r>
          </w:p>
        </w:tc>
        <w:tc>
          <w:tcPr>
            <w:tcW w:w="495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1F46" w:rsidTr="00EF3A30">
        <w:tc>
          <w:tcPr>
            <w:tcW w:w="915" w:type="pct"/>
            <w:tcBorders>
              <w:bottom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</w:t>
            </w:r>
            <w:r w:rsidRPr="00B26D0A">
              <w:rPr>
                <w:color w:val="000000"/>
                <w:sz w:val="24"/>
                <w:szCs w:val="24"/>
              </w:rPr>
              <w:t>-Met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EA59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4)</w:t>
            </w:r>
          </w:p>
        </w:tc>
        <w:tc>
          <w:tcPr>
            <w:tcW w:w="812" w:type="pct"/>
            <w:tcBorders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 vs. 0</w:t>
            </w:r>
          </w:p>
        </w:tc>
        <w:tc>
          <w:tcPr>
            <w:tcW w:w="457" w:type="pct"/>
            <w:gridSpan w:val="2"/>
            <w:tcBorders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26D0A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B26D0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vAlign w:val="center"/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B26D0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bottom w:val="single" w:sz="4" w:space="0" w:color="auto"/>
            </w:tcBorders>
          </w:tcPr>
          <w:p w:rsidR="00FA1F46" w:rsidRPr="00B26D0A" w:rsidRDefault="00FA1F46" w:rsidP="00EF3A30">
            <w:pPr>
              <w:widowControl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FA1F46" w:rsidRDefault="00FA1F46" w:rsidP="00FA1F46">
      <w:pPr>
        <w:rPr>
          <w:rFonts w:ascii="Times New Roman" w:hAnsi="Times New Roman" w:cs="Times New Roman"/>
          <w:sz w:val="24"/>
          <w:szCs w:val="24"/>
        </w:rPr>
      </w:pPr>
      <w:r w:rsidRPr="00AE40BB">
        <w:rPr>
          <w:rFonts w:ascii="Times New Roman" w:hAnsi="Times New Roman" w:cs="Times New Roman"/>
          <w:sz w:val="24"/>
          <w:szCs w:val="24"/>
        </w:rPr>
        <w:t>VEGFR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vascular endothelial growth factor receptor; FGFR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fibroblast growth factor receptor; PDGFR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platelet-derived growth factor receptor; VEGR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vascular endothelial growth factor; EGFR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epidermal growth factor receptor; HR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hazard ratio; CI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A5969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confidence interval.</w:t>
      </w:r>
    </w:p>
    <w:p w:rsidR="00FA1F46" w:rsidRPr="00B9026B" w:rsidRDefault="00FA1F46" w:rsidP="00FA1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B9026B">
        <w:rPr>
          <w:rFonts w:ascii="Times New Roman" w:hAnsi="Times New Roman"/>
          <w:sz w:val="24"/>
          <w:szCs w:val="24"/>
        </w:rPr>
        <w:t xml:space="preserve">he cutoff </w:t>
      </w:r>
      <w:r w:rsidRPr="00B9026B">
        <w:rPr>
          <w:rFonts w:ascii="Times New Roman" w:hAnsi="Times New Roman" w:hint="eastAsia"/>
          <w:sz w:val="24"/>
          <w:szCs w:val="24"/>
        </w:rPr>
        <w:t>values</w:t>
      </w:r>
      <w:r w:rsidRPr="00B9026B">
        <w:rPr>
          <w:rFonts w:ascii="Times New Roman" w:hAnsi="Times New Roman"/>
          <w:sz w:val="24"/>
          <w:szCs w:val="24"/>
        </w:rPr>
        <w:t xml:space="preserve"> for low versus high biomarker expressions were the median H score or staining</w:t>
      </w:r>
      <w:r w:rsidRPr="00B9026B">
        <w:t xml:space="preserve"> </w:t>
      </w:r>
      <w:r w:rsidRPr="00B9026B">
        <w:rPr>
          <w:rFonts w:ascii="Times New Roman" w:hAnsi="Times New Roman"/>
          <w:sz w:val="24"/>
          <w:szCs w:val="24"/>
        </w:rPr>
        <w:t>percentage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B9026B">
        <w:rPr>
          <w:rFonts w:ascii="Times New Roman" w:hAnsi="Times New Roman" w:hint="eastAsia"/>
          <w:sz w:val="24"/>
          <w:szCs w:val="24"/>
        </w:rPr>
        <w:t>Ki</w:t>
      </w:r>
      <w:r w:rsidRPr="00B9026B">
        <w:rPr>
          <w:rFonts w:ascii="Times New Roman" w:hAnsi="Times New Roman"/>
          <w:sz w:val="24"/>
          <w:szCs w:val="24"/>
        </w:rPr>
        <w:t>67</w:t>
      </w:r>
      <w:r>
        <w:rPr>
          <w:rFonts w:ascii="Times New Roman" w:hAnsi="Times New Roman"/>
          <w:sz w:val="24"/>
          <w:szCs w:val="24"/>
        </w:rPr>
        <w:t xml:space="preserve">) or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 density (MVD</w:t>
      </w:r>
      <w:r>
        <w:rPr>
          <w:rFonts w:ascii="Times New Roman" w:hAnsi="Times New Roman" w:cs="Times New Roman"/>
          <w:sz w:val="24"/>
          <w:szCs w:val="24"/>
        </w:rPr>
        <w:t>, CD31</w:t>
      </w:r>
      <w:r w:rsidRPr="00F11D7C">
        <w:rPr>
          <w:rFonts w:ascii="Times New Roman" w:hAnsi="Times New Roman" w:cs="Times New Roman"/>
          <w:sz w:val="24"/>
          <w:szCs w:val="24"/>
        </w:rPr>
        <w:t>)</w:t>
      </w:r>
      <w:r w:rsidRPr="00B9026B">
        <w:rPr>
          <w:rFonts w:ascii="Times New Roman" w:hAnsi="Times New Roman"/>
          <w:sz w:val="24"/>
          <w:szCs w:val="24"/>
        </w:rPr>
        <w:t xml:space="preserve"> for the study population evaluable for biomarker.</w:t>
      </w:r>
      <w:r w:rsidRPr="00B902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8D5" w:rsidRDefault="00000000"/>
    <w:p w:rsidR="000A0CDB" w:rsidRPr="00FA1F46" w:rsidRDefault="000A0CDB"/>
    <w:sectPr w:rsidR="000A0CDB" w:rsidRPr="00FA1F46" w:rsidSect="00FA1F4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2D4E" w:rsidRDefault="00EC2D4E" w:rsidP="0086295F">
      <w:r>
        <w:separator/>
      </w:r>
    </w:p>
  </w:endnote>
  <w:endnote w:type="continuationSeparator" w:id="0">
    <w:p w:rsidR="00EC2D4E" w:rsidRDefault="00EC2D4E" w:rsidP="0086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D4E" w:rsidRDefault="00EC2D4E" w:rsidP="0086295F">
      <w:r>
        <w:separator/>
      </w:r>
    </w:p>
  </w:footnote>
  <w:footnote w:type="continuationSeparator" w:id="0">
    <w:p w:rsidR="00EC2D4E" w:rsidRDefault="00EC2D4E" w:rsidP="008629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bU0NTc3trA0NDRR0lEKTi0uzszPAykwrgUAyFrLpywAAAA="/>
  </w:docVars>
  <w:rsids>
    <w:rsidRoot w:val="005245E0"/>
    <w:rsid w:val="00054ABE"/>
    <w:rsid w:val="000A0CDB"/>
    <w:rsid w:val="000A0F2C"/>
    <w:rsid w:val="005245E0"/>
    <w:rsid w:val="006B295E"/>
    <w:rsid w:val="0086295F"/>
    <w:rsid w:val="00EA5969"/>
    <w:rsid w:val="00EC2D4E"/>
    <w:rsid w:val="00FA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5236F"/>
  <w15:chartTrackingRefBased/>
  <w15:docId w15:val="{7BE60AD7-C11E-4536-917D-B9E476BF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F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A1F4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29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6295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62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629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5</cp:revision>
  <dcterms:created xsi:type="dcterms:W3CDTF">2022-10-31T02:12:00Z</dcterms:created>
  <dcterms:modified xsi:type="dcterms:W3CDTF">2022-10-31T07:18:00Z</dcterms:modified>
</cp:coreProperties>
</file>