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34B6" w:rsidRPr="00F11D7C" w:rsidRDefault="008C34B6" w:rsidP="008C34B6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D02807">
        <w:rPr>
          <w:rFonts w:ascii="Times New Roman" w:hAnsi="Times New Roman" w:cs="Times New Roman"/>
          <w:b/>
          <w:bCs/>
          <w:color w:val="FF0000"/>
          <w:sz w:val="24"/>
          <w:szCs w:val="28"/>
        </w:rPr>
        <w:t>Table S6</w:t>
      </w:r>
      <w:r w:rsidRPr="00F11D7C">
        <w:rPr>
          <w:rFonts w:ascii="Times New Roman" w:hAnsi="Times New Roman" w:cs="Times New Roman"/>
          <w:b/>
          <w:bCs/>
          <w:sz w:val="24"/>
          <w:szCs w:val="28"/>
        </w:rPr>
        <w:t xml:space="preserve">. </w:t>
      </w:r>
      <w:bookmarkStart w:id="0" w:name="_Hlk118106638"/>
      <w:r w:rsidRPr="00F11D7C">
        <w:rPr>
          <w:rFonts w:ascii="Times New Roman" w:hAnsi="Times New Roman" w:cs="Times New Roman"/>
          <w:b/>
          <w:bCs/>
          <w:sz w:val="24"/>
          <w:szCs w:val="28"/>
        </w:rPr>
        <w:t xml:space="preserve">Subgroup analysis of </w:t>
      </w:r>
      <w:r>
        <w:rPr>
          <w:rFonts w:ascii="Times New Roman" w:hAnsi="Times New Roman" w:cs="Times New Roman"/>
          <w:b/>
          <w:bCs/>
          <w:sz w:val="24"/>
          <w:szCs w:val="28"/>
        </w:rPr>
        <w:t>the relation</w:t>
      </w:r>
      <w:r w:rsidRPr="00F11D7C">
        <w:rPr>
          <w:rFonts w:ascii="Times New Roman" w:hAnsi="Times New Roman" w:cs="Times New Roman"/>
          <w:b/>
          <w:bCs/>
          <w:sz w:val="24"/>
          <w:szCs w:val="28"/>
        </w:rPr>
        <w:t xml:space="preserve"> between </w:t>
      </w:r>
      <w:r w:rsidRPr="001B3D6E">
        <w:rPr>
          <w:rFonts w:ascii="Times New Roman" w:hAnsi="Times New Roman" w:cs="Times New Roman"/>
          <w:b/>
          <w:bCs/>
          <w:sz w:val="24"/>
          <w:szCs w:val="28"/>
        </w:rPr>
        <w:t>clinical factors</w:t>
      </w:r>
      <w:r w:rsidRPr="00F11D7C">
        <w:rPr>
          <w:rFonts w:ascii="Times New Roman" w:hAnsi="Times New Roman" w:cs="Times New Roman"/>
          <w:b/>
          <w:bCs/>
          <w:sz w:val="24"/>
          <w:szCs w:val="28"/>
        </w:rPr>
        <w:t xml:space="preserve"> and progression-free survival (PFS)</w:t>
      </w:r>
    </w:p>
    <w:tbl>
      <w:tblPr>
        <w:tblW w:w="3811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885"/>
        <w:gridCol w:w="3258"/>
        <w:gridCol w:w="2519"/>
      </w:tblGrid>
      <w:tr w:rsidR="008C34B6" w:rsidTr="00EF3A30">
        <w:trPr>
          <w:trHeight w:val="252"/>
        </w:trPr>
        <w:tc>
          <w:tcPr>
            <w:tcW w:w="13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bookmarkEnd w:id="0"/>
          <w:p w:rsidR="008C34B6" w:rsidRPr="001C1DAF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A21E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Characteristics</w:t>
            </w:r>
          </w:p>
        </w:tc>
        <w:tc>
          <w:tcPr>
            <w:tcW w:w="8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4B6" w:rsidRPr="001C1DAF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A21E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No. of patients</w:t>
            </w:r>
          </w:p>
        </w:tc>
        <w:tc>
          <w:tcPr>
            <w:tcW w:w="15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4B6" w:rsidRPr="001C1DAF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Median </w:t>
            </w:r>
            <w:r w:rsidRPr="00A21E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PFS (months, 95%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1E5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CI)</w:t>
            </w:r>
          </w:p>
        </w:tc>
        <w:tc>
          <w:tcPr>
            <w:tcW w:w="11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34B6" w:rsidRPr="001C1DAF" w:rsidRDefault="008C34B6" w:rsidP="00EF3A3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961DD6">
              <w:rPr>
                <w:rFonts w:ascii="Times New Roman" w:eastAsia="宋体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-value</w:t>
            </w:r>
          </w:p>
        </w:tc>
      </w:tr>
      <w:tr w:rsidR="008C34B6" w:rsidTr="00EF3A30">
        <w:trPr>
          <w:trHeight w:val="252"/>
        </w:trPr>
        <w:tc>
          <w:tcPr>
            <w:tcW w:w="1399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88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4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0.964</w:t>
            </w:r>
          </w:p>
        </w:tc>
      </w:tr>
      <w:tr w:rsidR="008C34B6" w:rsidTr="00EF3A30">
        <w:trPr>
          <w:trHeight w:val="252"/>
        </w:trPr>
        <w:tc>
          <w:tcPr>
            <w:tcW w:w="1399" w:type="pct"/>
            <w:tcBorders>
              <w:top w:val="nil"/>
            </w:tcBorders>
            <w:shd w:val="clear" w:color="auto" w:fill="auto"/>
            <w:vAlign w:val="center"/>
          </w:tcPr>
          <w:p w:rsidR="008C34B6" w:rsidRDefault="008C34B6" w:rsidP="00EF3A30">
            <w:pPr>
              <w:widowControl/>
              <w:ind w:firstLineChars="76" w:firstLine="182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≤</w:t>
            </w:r>
            <w:r w:rsidR="0043791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86" w:type="pct"/>
            <w:tcBorders>
              <w:top w:val="nil"/>
            </w:tcBorders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31" w:type="pct"/>
            <w:tcBorders>
              <w:top w:val="nil"/>
            </w:tcBorders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8.97 (4.45-13.49)</w:t>
            </w:r>
          </w:p>
        </w:tc>
        <w:tc>
          <w:tcPr>
            <w:tcW w:w="1184" w:type="pct"/>
            <w:vMerge/>
            <w:tcBorders>
              <w:top w:val="nil"/>
            </w:tcBorders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ind w:firstLineChars="76" w:firstLine="182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&gt;</w:t>
            </w:r>
            <w:r w:rsidR="0043791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8.38 (7.48-9.29)</w:t>
            </w:r>
          </w:p>
        </w:tc>
        <w:tc>
          <w:tcPr>
            <w:tcW w:w="1184" w:type="pct"/>
            <w:vMerge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Sex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4" w:type="pct"/>
            <w:vMerge w:val="restar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0.756</w:t>
            </w: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ind w:firstLineChars="76" w:firstLine="182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8.08 (6.41-9.75)</w:t>
            </w:r>
          </w:p>
        </w:tc>
        <w:tc>
          <w:tcPr>
            <w:tcW w:w="1184" w:type="pct"/>
            <w:vMerge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ind w:firstLineChars="76" w:firstLine="182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10.38 (6.44-14.32)</w:t>
            </w:r>
          </w:p>
        </w:tc>
        <w:tc>
          <w:tcPr>
            <w:tcW w:w="1184" w:type="pct"/>
            <w:vMerge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ECOG 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PS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4" w:type="pct"/>
            <w:vMerge w:val="restar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0.967</w:t>
            </w: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ind w:firstLineChars="76" w:firstLine="182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10.38 (5.79-14.97)</w:t>
            </w:r>
          </w:p>
        </w:tc>
        <w:tc>
          <w:tcPr>
            <w:tcW w:w="1184" w:type="pct"/>
            <w:vMerge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ind w:firstLineChars="76" w:firstLine="182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8.08 (6.73-9.43)</w:t>
            </w:r>
          </w:p>
        </w:tc>
        <w:tc>
          <w:tcPr>
            <w:tcW w:w="1184" w:type="pct"/>
            <w:vMerge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Previous </w:t>
            </w:r>
            <w:r w:rsidRPr="00955E9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surgical treatment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4" w:type="pct"/>
            <w:vMerge w:val="restar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0.422</w:t>
            </w: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ind w:firstLineChars="76" w:firstLine="182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10.38 (6.76-14.00)</w:t>
            </w:r>
          </w:p>
        </w:tc>
        <w:tc>
          <w:tcPr>
            <w:tcW w:w="1184" w:type="pct"/>
            <w:vMerge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ind w:firstLineChars="76" w:firstLine="182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7.59 (4.85-10.33)</w:t>
            </w:r>
          </w:p>
        </w:tc>
        <w:tc>
          <w:tcPr>
            <w:tcW w:w="1184" w:type="pct"/>
            <w:vMerge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Lymph node metastasis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4" w:type="pct"/>
            <w:vMerge w:val="restar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0.49</w:t>
            </w:r>
            <w:r w:rsidRPr="001C1DAF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0</w:t>
            </w: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ind w:firstLineChars="76" w:firstLine="182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9.76 (7.14-12.38)</w:t>
            </w:r>
          </w:p>
        </w:tc>
        <w:tc>
          <w:tcPr>
            <w:tcW w:w="1184" w:type="pct"/>
            <w:vMerge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ind w:firstLineChars="76" w:firstLine="182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6.37 (5.82-6.93)</w:t>
            </w:r>
          </w:p>
        </w:tc>
        <w:tc>
          <w:tcPr>
            <w:tcW w:w="1184" w:type="pct"/>
            <w:vMerge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Lung metastasis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4" w:type="pct"/>
            <w:vMerge w:val="restar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0.093</w:t>
            </w: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ind w:firstLineChars="76" w:firstLine="182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11.73 (7.28-16.18)</w:t>
            </w:r>
          </w:p>
        </w:tc>
        <w:tc>
          <w:tcPr>
            <w:tcW w:w="1184" w:type="pct"/>
            <w:vMerge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ind w:firstLineChars="76" w:firstLine="182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7.59 (6.39-8.80)</w:t>
            </w:r>
          </w:p>
        </w:tc>
        <w:tc>
          <w:tcPr>
            <w:tcW w:w="1184" w:type="pct"/>
            <w:vMerge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Liver metastasis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4" w:type="pct"/>
            <w:vMerge w:val="restar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0.164</w:t>
            </w: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ind w:firstLineChars="76" w:firstLine="182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7.59 (4.94-10.24)</w:t>
            </w:r>
          </w:p>
        </w:tc>
        <w:tc>
          <w:tcPr>
            <w:tcW w:w="1184" w:type="pct"/>
            <w:vMerge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ind w:firstLineChars="76" w:firstLine="182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8.97 (5.64-12.30)</w:t>
            </w:r>
          </w:p>
        </w:tc>
        <w:tc>
          <w:tcPr>
            <w:tcW w:w="1184" w:type="pct"/>
            <w:vMerge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Number of metastatic 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sites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4" w:type="pct"/>
            <w:vMerge w:val="restar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0.53</w:t>
            </w:r>
            <w:r w:rsidRPr="001C1DAF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0</w:t>
            </w: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ind w:firstLineChars="76" w:firstLine="182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≤</w:t>
            </w:r>
            <w:r w:rsidR="0043791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8.97 (5.45-12.49)</w:t>
            </w:r>
          </w:p>
        </w:tc>
        <w:tc>
          <w:tcPr>
            <w:tcW w:w="1184" w:type="pct"/>
            <w:vMerge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ind w:firstLineChars="76" w:firstLine="182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&gt;</w:t>
            </w:r>
            <w:r w:rsidR="0043791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8.38 (7.29-9.47)</w:t>
            </w:r>
          </w:p>
        </w:tc>
        <w:tc>
          <w:tcPr>
            <w:tcW w:w="1184" w:type="pct"/>
            <w:vMerge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lastRenderedPageBreak/>
              <w:t>Distant metastasis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4" w:type="pct"/>
            <w:vMerge w:val="restar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0.347</w:t>
            </w: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ind w:firstLineChars="76" w:firstLine="182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8.97 (6.21-11.73)</w:t>
            </w:r>
          </w:p>
        </w:tc>
        <w:tc>
          <w:tcPr>
            <w:tcW w:w="1184" w:type="pct"/>
            <w:vMerge/>
            <w:shd w:val="clear" w:color="auto" w:fill="auto"/>
            <w:vAlign w:val="center"/>
          </w:tcPr>
          <w:p w:rsidR="008C34B6" w:rsidRDefault="008C34B6" w:rsidP="00EF3A30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34B6" w:rsidTr="00EF3A30">
        <w:trPr>
          <w:trHeight w:val="252"/>
        </w:trPr>
        <w:tc>
          <w:tcPr>
            <w:tcW w:w="1399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ind w:firstLineChars="76" w:firstLine="182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886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31" w:type="pct"/>
            <w:shd w:val="clear" w:color="auto" w:fill="auto"/>
            <w:vAlign w:val="center"/>
          </w:tcPr>
          <w:p w:rsidR="008C34B6" w:rsidRDefault="008C34B6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C1DAF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8.38 (4.32-12.45)</w:t>
            </w:r>
          </w:p>
        </w:tc>
        <w:tc>
          <w:tcPr>
            <w:tcW w:w="1184" w:type="pct"/>
            <w:vMerge/>
            <w:shd w:val="clear" w:color="auto" w:fill="auto"/>
            <w:vAlign w:val="center"/>
          </w:tcPr>
          <w:p w:rsidR="008C34B6" w:rsidRDefault="008C34B6" w:rsidP="00EF3A30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C34B6" w:rsidRDefault="008C34B6" w:rsidP="008C34B6">
      <w:pPr>
        <w:rPr>
          <w:rFonts w:ascii="Times New Roman" w:hAnsi="Times New Roman" w:cs="Times New Roman"/>
          <w:sz w:val="24"/>
          <w:szCs w:val="28"/>
        </w:rPr>
      </w:pPr>
      <w:r w:rsidRPr="00F11D7C">
        <w:rPr>
          <w:rFonts w:ascii="Times New Roman" w:hAnsi="Times New Roman" w:cs="Times New Roman"/>
          <w:sz w:val="24"/>
          <w:szCs w:val="28"/>
        </w:rPr>
        <w:t>ECOG PS</w:t>
      </w:r>
      <w:r w:rsidR="00437918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=</w:t>
      </w:r>
      <w:r w:rsidR="00437918">
        <w:rPr>
          <w:rFonts w:ascii="Times New Roman" w:hAnsi="Times New Roman" w:cs="Times New Roman"/>
          <w:sz w:val="24"/>
          <w:szCs w:val="28"/>
        </w:rPr>
        <w:t xml:space="preserve"> </w:t>
      </w:r>
      <w:r w:rsidRPr="00F11D7C">
        <w:rPr>
          <w:rFonts w:ascii="Times New Roman" w:hAnsi="Times New Roman" w:cs="Times New Roman"/>
          <w:sz w:val="24"/>
          <w:szCs w:val="28"/>
        </w:rPr>
        <w:t xml:space="preserve">Eastern Cooperative Oncology Group </w:t>
      </w:r>
      <w:r>
        <w:rPr>
          <w:rFonts w:ascii="Times New Roman" w:hAnsi="Times New Roman" w:cs="Times New Roman"/>
          <w:sz w:val="24"/>
          <w:szCs w:val="28"/>
        </w:rPr>
        <w:t>P</w:t>
      </w:r>
      <w:r w:rsidRPr="00F11D7C">
        <w:rPr>
          <w:rFonts w:ascii="Times New Roman" w:hAnsi="Times New Roman" w:cs="Times New Roman"/>
          <w:sz w:val="24"/>
          <w:szCs w:val="28"/>
        </w:rPr>
        <w:t xml:space="preserve">erformance </w:t>
      </w:r>
      <w:r>
        <w:rPr>
          <w:rFonts w:ascii="Times New Roman" w:hAnsi="Times New Roman" w:cs="Times New Roman"/>
          <w:sz w:val="24"/>
          <w:szCs w:val="28"/>
        </w:rPr>
        <w:t>S</w:t>
      </w:r>
      <w:r w:rsidRPr="00F11D7C">
        <w:rPr>
          <w:rFonts w:ascii="Times New Roman" w:hAnsi="Times New Roman" w:cs="Times New Roman"/>
          <w:sz w:val="24"/>
          <w:szCs w:val="28"/>
        </w:rPr>
        <w:t>core; CI</w:t>
      </w:r>
      <w:r w:rsidR="00437918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=</w:t>
      </w:r>
      <w:r w:rsidR="00437918">
        <w:rPr>
          <w:rFonts w:ascii="Times New Roman" w:hAnsi="Times New Roman" w:cs="Times New Roman"/>
          <w:sz w:val="24"/>
          <w:szCs w:val="28"/>
        </w:rPr>
        <w:t xml:space="preserve"> </w:t>
      </w:r>
      <w:r w:rsidRPr="00F11D7C">
        <w:rPr>
          <w:rFonts w:ascii="Times New Roman" w:hAnsi="Times New Roman" w:cs="Times New Roman"/>
          <w:sz w:val="24"/>
          <w:szCs w:val="28"/>
        </w:rPr>
        <w:t>confidence interval.</w:t>
      </w:r>
    </w:p>
    <w:p w:rsidR="00FB48D5" w:rsidRPr="008C34B6" w:rsidRDefault="00000000"/>
    <w:sectPr w:rsidR="00FB48D5" w:rsidRPr="008C34B6" w:rsidSect="0045213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A2796" w:rsidRDefault="007A2796" w:rsidP="00D02807">
      <w:r>
        <w:separator/>
      </w:r>
    </w:p>
  </w:endnote>
  <w:endnote w:type="continuationSeparator" w:id="0">
    <w:p w:rsidR="007A2796" w:rsidRDefault="007A2796" w:rsidP="00D02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A2796" w:rsidRDefault="007A2796" w:rsidP="00D02807">
      <w:r>
        <w:separator/>
      </w:r>
    </w:p>
  </w:footnote>
  <w:footnote w:type="continuationSeparator" w:id="0">
    <w:p w:rsidR="007A2796" w:rsidRDefault="007A2796" w:rsidP="00D028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QzNTUzMTQzMzA0MDFV0lEKTi0uzszPAykwrgUAICb64ywAAAA="/>
  </w:docVars>
  <w:rsids>
    <w:rsidRoot w:val="00452133"/>
    <w:rsid w:val="00054ABE"/>
    <w:rsid w:val="000C7A3E"/>
    <w:rsid w:val="00437918"/>
    <w:rsid w:val="00452133"/>
    <w:rsid w:val="006B295E"/>
    <w:rsid w:val="007A2796"/>
    <w:rsid w:val="008C34B6"/>
    <w:rsid w:val="00D0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E75A7"/>
  <w15:chartTrackingRefBased/>
  <w15:docId w15:val="{29C40991-8540-4BED-A5D6-E8CE999B0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4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28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0280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28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02807"/>
    <w:rPr>
      <w:sz w:val="18"/>
      <w:szCs w:val="18"/>
    </w:rPr>
  </w:style>
  <w:style w:type="paragraph" w:styleId="a7">
    <w:name w:val="List Paragraph"/>
    <w:basedOn w:val="a"/>
    <w:uiPriority w:val="34"/>
    <w:qFormat/>
    <w:rsid w:val="0043791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ABCDEFG</dc:creator>
  <cp:keywords/>
  <dc:description/>
  <cp:lastModifiedBy>ABCDEFG</cp:lastModifiedBy>
  <cp:revision>4</cp:revision>
  <dcterms:created xsi:type="dcterms:W3CDTF">2022-10-31T02:07:00Z</dcterms:created>
  <dcterms:modified xsi:type="dcterms:W3CDTF">2022-10-31T07:13:00Z</dcterms:modified>
</cp:coreProperties>
</file>