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0F00" w14:textId="77777777" w:rsidR="00AF09BF" w:rsidRDefault="00B63014" w:rsidP="00914C56">
      <w:pPr>
        <w:rPr>
          <w:rFonts w:ascii="Times New Roman" w:eastAsia="Times New Roman" w:hAnsi="Times New Roman" w:cs="Times New Roman"/>
          <w:b/>
          <w:sz w:val="36"/>
          <w:szCs w:val="36"/>
          <w:u w:val="single"/>
          <w:lang w:eastAsia="en-GB"/>
        </w:rPr>
      </w:pPr>
      <w:r w:rsidRPr="00962070">
        <w:rPr>
          <w:rFonts w:ascii="Times New Roman" w:eastAsia="Times New Roman" w:hAnsi="Times New Roman" w:cs="Times New Roman"/>
          <w:b/>
          <w:sz w:val="36"/>
          <w:szCs w:val="36"/>
          <w:u w:val="single"/>
          <w:lang w:eastAsia="en-GB"/>
        </w:rPr>
        <w:t xml:space="preserve">Additional file 2: </w:t>
      </w:r>
      <w:r w:rsidR="00914C56" w:rsidRPr="00962070">
        <w:rPr>
          <w:rFonts w:ascii="Times New Roman" w:eastAsia="Times New Roman" w:hAnsi="Times New Roman" w:cs="Times New Roman"/>
          <w:b/>
          <w:sz w:val="36"/>
          <w:szCs w:val="36"/>
          <w:u w:val="single"/>
          <w:lang w:eastAsia="en-GB"/>
        </w:rPr>
        <w:t xml:space="preserve">STROBE-MR </w:t>
      </w:r>
      <w:r w:rsidR="000C51D2">
        <w:rPr>
          <w:rFonts w:ascii="Times New Roman" w:eastAsia="Times New Roman" w:hAnsi="Times New Roman" w:cs="Times New Roman"/>
          <w:b/>
          <w:sz w:val="36"/>
          <w:szCs w:val="36"/>
          <w:u w:val="single"/>
          <w:lang w:eastAsia="en-GB"/>
        </w:rPr>
        <w:t>C</w:t>
      </w:r>
      <w:r w:rsidR="00914C56" w:rsidRPr="00962070">
        <w:rPr>
          <w:rFonts w:ascii="Times New Roman" w:eastAsia="Times New Roman" w:hAnsi="Times New Roman" w:cs="Times New Roman"/>
          <w:b/>
          <w:sz w:val="36"/>
          <w:szCs w:val="36"/>
          <w:u w:val="single"/>
          <w:lang w:eastAsia="en-GB"/>
        </w:rPr>
        <w:t>hecklist</w:t>
      </w:r>
      <w:r w:rsidR="00AF09BF">
        <w:rPr>
          <w:rFonts w:ascii="Times New Roman" w:eastAsia="Times New Roman" w:hAnsi="Times New Roman" w:cs="Times New Roman"/>
          <w:b/>
          <w:sz w:val="36"/>
          <w:szCs w:val="36"/>
          <w:u w:val="single"/>
          <w:lang w:eastAsia="en-GB"/>
        </w:rPr>
        <w:t>.</w:t>
      </w:r>
    </w:p>
    <w:p w14:paraId="08932AA9" w14:textId="6530733E" w:rsidR="00EF4B94" w:rsidRPr="00AF09BF" w:rsidRDefault="00AF09BF" w:rsidP="00914C56">
      <w:pPr>
        <w:rPr>
          <w:rFonts w:ascii="Times New Roman" w:eastAsia="Times New Roman" w:hAnsi="Times New Roman" w:cs="Times New Roman"/>
          <w:bCs/>
          <w:sz w:val="24"/>
          <w:szCs w:val="24"/>
          <w:lang w:eastAsia="en-GB"/>
        </w:rPr>
      </w:pPr>
      <w:r w:rsidRPr="00AF09BF">
        <w:rPr>
          <w:rFonts w:ascii="Times New Roman" w:eastAsia="Times New Roman" w:hAnsi="Times New Roman" w:cs="Times New Roman"/>
          <w:bCs/>
          <w:sz w:val="24"/>
          <w:szCs w:val="24"/>
          <w:lang w:eastAsia="en-GB"/>
        </w:rPr>
        <w:t>Checklist</w:t>
      </w:r>
      <w:r w:rsidR="00914C56" w:rsidRPr="00AF09BF">
        <w:rPr>
          <w:rFonts w:ascii="Times New Roman" w:eastAsia="Times New Roman" w:hAnsi="Times New Roman" w:cs="Times New Roman"/>
          <w:bCs/>
          <w:sz w:val="24"/>
          <w:szCs w:val="24"/>
          <w:lang w:eastAsia="en-GB"/>
        </w:rPr>
        <w:t xml:space="preserve"> of recommended items to address in reports of Mendelian randomization studies</w:t>
      </w:r>
      <w:r w:rsidR="009854A9" w:rsidRPr="00AF09BF">
        <w:rPr>
          <w:rFonts w:ascii="Times New Roman" w:eastAsia="Times New Roman" w:hAnsi="Times New Roman" w:cs="Times New Roman"/>
          <w:bCs/>
          <w:sz w:val="24"/>
          <w:szCs w:val="24"/>
          <w:lang w:eastAsia="en-GB"/>
        </w:rPr>
        <w:fldChar w:fldCharType="begin" w:fldLock="1"/>
      </w:r>
      <w:r w:rsidR="009854A9" w:rsidRPr="00AF09BF">
        <w:rPr>
          <w:rFonts w:ascii="Times New Roman" w:eastAsia="Times New Roman" w:hAnsi="Times New Roman" w:cs="Times New Roman"/>
          <w:bCs/>
          <w:sz w:val="24"/>
          <w:szCs w:val="24"/>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sidRPr="00AF09BF">
        <w:rPr>
          <w:rFonts w:ascii="Times New Roman" w:eastAsia="Times New Roman" w:hAnsi="Times New Roman" w:cs="Times New Roman"/>
          <w:bCs/>
          <w:sz w:val="24"/>
          <w:szCs w:val="24"/>
          <w:lang w:eastAsia="en-GB"/>
        </w:rPr>
        <w:fldChar w:fldCharType="separate"/>
      </w:r>
      <w:r w:rsidR="009854A9" w:rsidRPr="00AF09BF">
        <w:rPr>
          <w:rFonts w:ascii="Times New Roman" w:eastAsia="Times New Roman" w:hAnsi="Times New Roman" w:cs="Times New Roman"/>
          <w:bCs/>
          <w:noProof/>
          <w:sz w:val="24"/>
          <w:szCs w:val="24"/>
          <w:vertAlign w:val="superscript"/>
          <w:lang w:eastAsia="en-GB"/>
        </w:rPr>
        <w:t>1</w:t>
      </w:r>
      <w:r w:rsidR="009854A9" w:rsidRPr="00AF09BF">
        <w:rPr>
          <w:rFonts w:ascii="Times New Roman" w:eastAsia="Times New Roman" w:hAnsi="Times New Roman" w:cs="Times New Roman"/>
          <w:bCs/>
          <w:sz w:val="24"/>
          <w:szCs w:val="24"/>
          <w:lang w:eastAsia="en-GB"/>
        </w:rPr>
        <w:fldChar w:fldCharType="end"/>
      </w:r>
      <w:r w:rsidR="009854A9" w:rsidRPr="00AF09BF">
        <w:rPr>
          <w:rFonts w:ascii="Times New Roman" w:eastAsia="Times New Roman" w:hAnsi="Times New Roman" w:cs="Times New Roman"/>
          <w:bCs/>
          <w:sz w:val="24"/>
          <w:szCs w:val="24"/>
          <w:lang w:eastAsia="en-GB"/>
        </w:rPr>
        <w:t xml:space="preserve"> </w:t>
      </w:r>
      <w:r w:rsidR="00804498" w:rsidRPr="00AF09BF">
        <w:rPr>
          <w:rFonts w:ascii="Times New Roman" w:eastAsia="Times New Roman" w:hAnsi="Times New Roman" w:cs="Times New Roman"/>
          <w:bCs/>
          <w:sz w:val="24"/>
          <w:szCs w:val="24"/>
          <w:lang w:eastAsia="en-GB"/>
        </w:rPr>
        <w:fldChar w:fldCharType="begin" w:fldLock="1"/>
      </w:r>
      <w:r w:rsidR="009854A9" w:rsidRPr="00AF09BF">
        <w:rPr>
          <w:rFonts w:ascii="Times New Roman" w:eastAsia="Times New Roman" w:hAnsi="Times New Roman" w:cs="Times New Roman"/>
          <w:bCs/>
          <w:sz w:val="24"/>
          <w:szCs w:val="24"/>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sidRPr="00AF09BF">
        <w:rPr>
          <w:rFonts w:ascii="Times New Roman" w:eastAsia="Times New Roman" w:hAnsi="Times New Roman" w:cs="Times New Roman"/>
          <w:bCs/>
          <w:sz w:val="24"/>
          <w:szCs w:val="24"/>
          <w:lang w:eastAsia="en-GB"/>
        </w:rPr>
        <w:fldChar w:fldCharType="separate"/>
      </w:r>
      <w:r w:rsidR="009854A9" w:rsidRPr="00AF09BF">
        <w:rPr>
          <w:rFonts w:ascii="Times New Roman" w:eastAsia="Times New Roman" w:hAnsi="Times New Roman" w:cs="Times New Roman"/>
          <w:bCs/>
          <w:noProof/>
          <w:sz w:val="24"/>
          <w:szCs w:val="24"/>
          <w:vertAlign w:val="superscript"/>
          <w:lang w:eastAsia="en-GB"/>
        </w:rPr>
        <w:t>2</w:t>
      </w:r>
      <w:r w:rsidR="00804498" w:rsidRPr="00AF09BF">
        <w:rPr>
          <w:rFonts w:ascii="Times New Roman" w:eastAsia="Times New Roman" w:hAnsi="Times New Roman" w:cs="Times New Roman"/>
          <w:bCs/>
          <w:sz w:val="24"/>
          <w:szCs w:val="24"/>
          <w:lang w:eastAsia="en-GB"/>
        </w:rPr>
        <w:fldChar w:fldCharType="end"/>
      </w:r>
      <w:r w:rsidR="00425135" w:rsidRPr="00AF09BF">
        <w:rPr>
          <w:rFonts w:ascii="Times New Roman" w:eastAsia="Times New Roman" w:hAnsi="Times New Roman" w:cs="Times New Roman"/>
          <w:bCs/>
          <w:sz w:val="24"/>
          <w:szCs w:val="24"/>
          <w:lang w:eastAsia="en-GB"/>
        </w:rPr>
        <w:t>.</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7"/>
        <w:gridCol w:w="6834"/>
        <w:gridCol w:w="1007"/>
        <w:gridCol w:w="4245"/>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43044182" w:rsidR="00D8098C" w:rsidRPr="00F0337F"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p>
        </w:tc>
        <w:tc>
          <w:tcPr>
            <w:tcW w:w="4320" w:type="dxa"/>
            <w:tcBorders>
              <w:top w:val="single" w:sz="6" w:space="0" w:color="7F7F7F"/>
              <w:bottom w:val="single" w:sz="6" w:space="0" w:color="7F7F7F"/>
            </w:tcBorders>
            <w:shd w:val="clear" w:color="auto" w:fill="EEEEEE"/>
          </w:tcPr>
          <w:p w14:paraId="2F6D1FAF" w14:textId="6B236584" w:rsidR="00D8098C" w:rsidRDefault="0068189E" w:rsidP="00426603">
            <w:pPr>
              <w:spacing w:beforeLines="40" w:before="96" w:afterLines="40" w:after="96" w:line="24" w:lineRule="atLeast"/>
              <w:rPr>
                <w:rFonts w:eastAsia="Times New Roman"/>
                <w:sz w:val="18"/>
                <w:szCs w:val="18"/>
                <w:lang w:val="en-GB" w:eastAsia="en-GB"/>
              </w:rPr>
            </w:pPr>
            <w:r w:rsidRPr="0068189E">
              <w:rPr>
                <w:rFonts w:eastAsia="Times New Roman"/>
                <w:sz w:val="18"/>
                <w:szCs w:val="18"/>
                <w:lang w:val="en-GB" w:eastAsia="en-GB"/>
              </w:rPr>
              <w:t>Identifying and ranking causal biochemical biomarkers for breast cancer: a Mendelian randomisation study</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098A2279" w:rsidR="00D8098C" w:rsidRPr="00F0337F"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3-4</w:t>
            </w:r>
          </w:p>
        </w:tc>
        <w:tc>
          <w:tcPr>
            <w:tcW w:w="4320" w:type="dxa"/>
            <w:shd w:val="clear" w:color="auto" w:fill="EEEEEE"/>
          </w:tcPr>
          <w:p w14:paraId="587E7FE0" w14:textId="77777777" w:rsidR="00D8098C"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68189E">
              <w:rPr>
                <w:rFonts w:eastAsia="Times New Roman"/>
                <w:sz w:val="18"/>
                <w:szCs w:val="18"/>
                <w:lang w:val="en-GB" w:eastAsia="en-GB"/>
              </w:rPr>
              <w:t>the exact mechanisms of breast cancer initiation and progression are not known [2], necessitating a better understanding of disease aetiology.</w:t>
            </w:r>
            <w:r>
              <w:rPr>
                <w:rFonts w:eastAsia="Times New Roman"/>
                <w:sz w:val="18"/>
                <w:szCs w:val="18"/>
                <w:lang w:val="en-GB" w:eastAsia="en-GB"/>
              </w:rPr>
              <w:t xml:space="preserve">” </w:t>
            </w:r>
          </w:p>
          <w:p w14:paraId="01759FFC" w14:textId="77777777" w:rsidR="0068189E"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68189E">
              <w:rPr>
                <w:rFonts w:eastAsia="Times New Roman"/>
                <w:sz w:val="18"/>
                <w:szCs w:val="18"/>
                <w:lang w:val="en-GB" w:eastAsia="en-GB"/>
              </w:rPr>
              <w:t>A few observational studies have been performed to study the associations between some of the UKB biochemical biomarkers and overall breast cancer, and significant associations have been found for several biomarkers.</w:t>
            </w:r>
            <w:r>
              <w:rPr>
                <w:rFonts w:eastAsia="Times New Roman"/>
                <w:sz w:val="18"/>
                <w:szCs w:val="18"/>
                <w:lang w:val="en-GB" w:eastAsia="en-GB"/>
              </w:rPr>
              <w:t>”</w:t>
            </w:r>
            <w:r w:rsidRPr="0068189E">
              <w:rPr>
                <w:rFonts w:eastAsia="Times New Roman"/>
                <w:sz w:val="18"/>
                <w:szCs w:val="18"/>
                <w:lang w:val="en-GB" w:eastAsia="en-GB"/>
              </w:rPr>
              <w:t xml:space="preserve"> </w:t>
            </w:r>
          </w:p>
          <w:p w14:paraId="5D990A22" w14:textId="03746A20" w:rsidR="0068189E"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68189E">
              <w:rPr>
                <w:rFonts w:eastAsia="Times New Roman"/>
                <w:sz w:val="18"/>
                <w:szCs w:val="18"/>
                <w:lang w:val="en-GB" w:eastAsia="en-GB"/>
              </w:rPr>
              <w:t>To our knowledge, fewer than half of the biochemical biomarkers in the UKB have been investigated for likely causal associations with overall breast cancer using MR</w:t>
            </w:r>
            <w:r w:rsidR="006E6F0A">
              <w:rPr>
                <w:rFonts w:eastAsia="Times New Roman"/>
                <w:sz w:val="18"/>
                <w:szCs w:val="18"/>
                <w:lang w:val="en-GB" w:eastAsia="en-GB"/>
              </w:rPr>
              <w:t>…”</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2858C11C" w:rsidR="00D8098C" w:rsidRPr="00A1236D" w:rsidRDefault="006E6F0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w:t>
            </w:r>
          </w:p>
        </w:tc>
        <w:tc>
          <w:tcPr>
            <w:tcW w:w="4320" w:type="dxa"/>
            <w:tcBorders>
              <w:bottom w:val="single" w:sz="6" w:space="0" w:color="7F7F7F"/>
            </w:tcBorders>
          </w:tcPr>
          <w:p w14:paraId="048F985D" w14:textId="21FBFD26" w:rsidR="00E05055" w:rsidRDefault="00E0505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E05055">
              <w:rPr>
                <w:rFonts w:eastAsia="Times New Roman"/>
                <w:sz w:val="18"/>
                <w:szCs w:val="18"/>
                <w:lang w:val="en-GB" w:eastAsia="en-GB"/>
              </w:rPr>
              <w:t>This study aimed to use an MR framework to 1) explore univariable associations between genetically predicted levels of UKB biochemical biomarkers and genetic liability to overall, ER-positive, and ER-negative breast cancer, 2) investigate significant associations in detail through multivariable and bidirectional approaches, and 3) to rank the associated biomarkers by genetic evidence using a multivariable Bayesian MR approach.</w:t>
            </w:r>
            <w:r>
              <w:rPr>
                <w:rFonts w:eastAsia="Times New Roman"/>
                <w:sz w:val="18"/>
                <w:szCs w:val="18"/>
                <w:lang w:val="en-GB" w:eastAsia="en-GB"/>
              </w:rPr>
              <w:t>”</w:t>
            </w:r>
          </w:p>
          <w:p w14:paraId="11250836" w14:textId="569A9D41" w:rsidR="00D8098C" w:rsidRDefault="0068189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68189E">
              <w:rPr>
                <w:rFonts w:eastAsia="Times New Roman"/>
                <w:sz w:val="18"/>
                <w:szCs w:val="18"/>
                <w:lang w:val="en-GB" w:eastAsia="en-GB"/>
              </w:rPr>
              <w:t>Mendelian randomisation (MR) complements observational studies by using genetic variants as instrumental variables (IVs) to establish likely causal associations between exposures and outcomes.</w:t>
            </w:r>
            <w:r>
              <w:rPr>
                <w:rFonts w:eastAsia="Times New Roman"/>
                <w:sz w:val="18"/>
                <w:szCs w:val="18"/>
                <w:lang w:val="en-GB" w:eastAsia="en-GB"/>
              </w:rPr>
              <w:t>”</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7431B">
              <w:rPr>
                <w:rFonts w:eastAsia="Times New Roman"/>
                <w:sz w:val="18"/>
                <w:szCs w:val="18"/>
                <w:shd w:val="clear" w:color="auto" w:fill="FFFFFF"/>
                <w:lang w:val="en-GB" w:eastAsia="en-GB"/>
              </w:rPr>
              <w:t xml:space="preserve">Setting: </w:t>
            </w:r>
            <w:r w:rsidRPr="00A7431B">
              <w:rPr>
                <w:rFonts w:eastAsia="Times New Roman"/>
                <w:sz w:val="18"/>
                <w:szCs w:val="18"/>
                <w:lang w:val="en-GB" w:eastAsia="en-GB"/>
              </w:rPr>
              <w:t xml:space="preserve">Describe the study design and the underlying population, if possible. </w:t>
            </w:r>
            <w:r w:rsidRPr="00A7431B">
              <w:rPr>
                <w:rFonts w:eastAsia="Times New Roman"/>
                <w:sz w:val="18"/>
                <w:szCs w:val="18"/>
                <w:shd w:val="clear" w:color="auto" w:fill="FFFFFF"/>
                <w:lang w:val="en-GB" w:eastAsia="en-GB"/>
              </w:rPr>
              <w:t xml:space="preserve">Describe the setting, locations, and relevant dates, including periods </w:t>
            </w:r>
            <w:r w:rsidRPr="00A7431B">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74C5387B" w:rsidR="00D8098C" w:rsidRPr="00A1236D" w:rsidRDefault="00A7431B" w:rsidP="00426603">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5-6</w:t>
            </w:r>
          </w:p>
        </w:tc>
        <w:tc>
          <w:tcPr>
            <w:tcW w:w="4320" w:type="dxa"/>
            <w:shd w:val="clear" w:color="auto" w:fill="EEEEEE"/>
          </w:tcPr>
          <w:p w14:paraId="3C91F6CF" w14:textId="29A43F80" w:rsidR="00A7431B" w:rsidRPr="00A7431B" w:rsidRDefault="00A7431B" w:rsidP="00A7431B">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A7431B">
              <w:rPr>
                <w:rFonts w:eastAsia="Times New Roman"/>
                <w:sz w:val="18"/>
                <w:szCs w:val="18"/>
                <w:shd w:val="clear" w:color="auto" w:fill="FFFFFF"/>
                <w:lang w:val="en-GB" w:eastAsia="en-GB"/>
              </w:rPr>
              <w:t>We obtained publicly available summary-level genome-wide association study (GWAS) statistics on 34 serum, urine, and red blood cell biomarker levels, body mass index (BMI), and alcohol intake frequency from unrelated female participants of white-British ancestry (n = 194,174) in the UKB cohort study from Neale et al. [9]. The genotypes and 34 biomarker levels were collected by the UKB study at baseline between 2006 and 2010 using various laboratory techniques and instruments by different suppliers [7, 10]. The GWASes were performed using age, age^2, and the first 20 principal components (PCs) as covariates [11]. Inverse-rank normalised GWAS data was used because many of the quantitative biomarker traits were non-normally distributed. Most women (at least 59%) in the UKB cohort were post-menopausal [12]. More information about the panel of UKB biomarkers and the original UKB study can be found elsewhere [3, 7].</w:t>
            </w:r>
            <w:r>
              <w:rPr>
                <w:rFonts w:eastAsia="Times New Roman"/>
                <w:sz w:val="18"/>
                <w:szCs w:val="18"/>
                <w:shd w:val="clear" w:color="auto" w:fill="FFFFFF"/>
                <w:lang w:val="en-GB" w:eastAsia="en-GB"/>
              </w:rPr>
              <w:t>”</w:t>
            </w:r>
          </w:p>
          <w:p w14:paraId="46B62EF4" w14:textId="77777777" w:rsidR="00A7431B" w:rsidRPr="00A7431B" w:rsidRDefault="00A7431B" w:rsidP="00A7431B">
            <w:pPr>
              <w:spacing w:beforeLines="40" w:before="96" w:afterLines="40" w:after="96" w:line="24" w:lineRule="atLeast"/>
              <w:rPr>
                <w:rFonts w:eastAsia="Times New Roman"/>
                <w:sz w:val="18"/>
                <w:szCs w:val="18"/>
                <w:shd w:val="clear" w:color="auto" w:fill="FFFFFF"/>
                <w:lang w:val="en-GB" w:eastAsia="en-GB"/>
              </w:rPr>
            </w:pPr>
          </w:p>
          <w:p w14:paraId="33F4171D" w14:textId="232BD72E" w:rsidR="00D8098C" w:rsidRDefault="00A7431B" w:rsidP="00A7431B">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A7431B">
              <w:rPr>
                <w:rFonts w:eastAsia="Times New Roman"/>
                <w:sz w:val="18"/>
                <w:szCs w:val="18"/>
                <w:shd w:val="clear" w:color="auto" w:fill="FFFFFF"/>
                <w:lang w:val="en-GB" w:eastAsia="en-GB"/>
              </w:rPr>
              <w:t>Publicly available GWAS summary statistics on overall breast cancer cases (n = 122,977) and controls (n = 105,974) of European ancestry were obtained from the BCAC [13]. Of the breast cancer cases, 69,501 were ER-positive, 21,468 were ER-negative, and the majority developed post-menopause. More details about the original studies are described elsewhere [8, 14, 15].</w:t>
            </w:r>
            <w:r>
              <w:rPr>
                <w:rFonts w:eastAsia="Times New Roman"/>
                <w:sz w:val="18"/>
                <w:szCs w:val="18"/>
                <w:shd w:val="clear" w:color="auto" w:fill="FFFFFF"/>
                <w:lang w:val="en-GB" w:eastAsia="en-GB"/>
              </w:rPr>
              <w:t>”</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750CE278" w:rsidR="00D8098C" w:rsidRPr="00A1236D" w:rsidRDefault="00A7431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5-6</w:t>
            </w:r>
          </w:p>
        </w:tc>
        <w:tc>
          <w:tcPr>
            <w:tcW w:w="4320" w:type="dxa"/>
          </w:tcPr>
          <w:p w14:paraId="54CF7FC8" w14:textId="77777777" w:rsidR="00D8098C" w:rsidRDefault="00A7431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A7431B">
              <w:rPr>
                <w:rFonts w:eastAsia="Times New Roman"/>
                <w:sz w:val="18"/>
                <w:szCs w:val="18"/>
                <w:shd w:val="clear" w:color="auto" w:fill="FFFFFF"/>
                <w:lang w:val="en-GB" w:eastAsia="en-GB"/>
              </w:rPr>
              <w:t>unrelated female participants of white-British ancestry (n = 194,174) in the UKB cohort study</w:t>
            </w:r>
            <w:r>
              <w:rPr>
                <w:rFonts w:eastAsia="Times New Roman"/>
                <w:sz w:val="18"/>
                <w:szCs w:val="18"/>
                <w:shd w:val="clear" w:color="auto" w:fill="FFFFFF"/>
                <w:lang w:val="en-GB" w:eastAsia="en-GB"/>
              </w:rPr>
              <w:t>...”</w:t>
            </w:r>
          </w:p>
          <w:p w14:paraId="37C3B4C3" w14:textId="7E7D746C" w:rsidR="00A7431B" w:rsidRDefault="00A7431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A7431B">
              <w:rPr>
                <w:rFonts w:eastAsia="Times New Roman"/>
                <w:sz w:val="18"/>
                <w:szCs w:val="18"/>
                <w:shd w:val="clear" w:color="auto" w:fill="FFFFFF"/>
                <w:lang w:val="en-GB" w:eastAsia="en-GB"/>
              </w:rPr>
              <w:t>Publicly available GWAS summary statistics on overall breast cancer cases (n = 122,977) and controls (n = 105,974) of European ancestry were obtained from the BCAC</w:t>
            </w:r>
            <w:r>
              <w:rPr>
                <w:rFonts w:eastAsia="Times New Roman"/>
                <w:sz w:val="18"/>
                <w:szCs w:val="18"/>
                <w:shd w:val="clear" w:color="auto" w:fill="FFFFFF"/>
                <w:lang w:val="en-GB" w:eastAsia="en-GB"/>
              </w:rPr>
              <w:t>.”</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387346DB" w:rsidR="00D8098C" w:rsidRPr="00A1236D" w:rsidRDefault="00A7431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shd w:val="clear" w:color="auto" w:fill="EEEEEE"/>
          </w:tcPr>
          <w:p w14:paraId="26B556E6" w14:textId="5206A233" w:rsidR="00D8098C" w:rsidRDefault="00A7431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A7431B">
              <w:rPr>
                <w:rFonts w:eastAsia="Times New Roman"/>
                <w:sz w:val="18"/>
                <w:szCs w:val="18"/>
                <w:lang w:val="en-GB" w:eastAsia="en-GB"/>
              </w:rPr>
              <w:t xml:space="preserve">For each exposure, we selected associated single-nucleotide polymorphisms (SNPs) at genome-wide significance (P &lt; 5 x 10-8) and ensured their independence by removing those in linkage-disequilibrium using the PLINK method (r2 </w:t>
            </w:r>
            <w:r w:rsidRPr="00A7431B">
              <w:rPr>
                <w:rFonts w:eastAsia="Times New Roman"/>
                <w:sz w:val="18"/>
                <w:szCs w:val="18"/>
                <w:lang w:val="en-GB" w:eastAsia="en-GB"/>
              </w:rPr>
              <w:lastRenderedPageBreak/>
              <w:t>&lt; 0.001, clumping distance = 10,000kb). We then harmonised the directions of the effect alleles between exposures and outcomes.</w:t>
            </w:r>
            <w:r>
              <w:rPr>
                <w:rFonts w:eastAsia="Times New Roman"/>
                <w:sz w:val="18"/>
                <w:szCs w:val="18"/>
                <w:lang w:val="en-GB" w:eastAsia="en-GB"/>
              </w:rPr>
              <w:t>”</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638956B7" w:rsidR="00D8098C" w:rsidRPr="00A1236D" w:rsidRDefault="00A7431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6</w:t>
            </w:r>
          </w:p>
        </w:tc>
        <w:tc>
          <w:tcPr>
            <w:tcW w:w="4320" w:type="dxa"/>
          </w:tcPr>
          <w:p w14:paraId="18BB4B57" w14:textId="527DDDE0" w:rsidR="00D8098C" w:rsidRDefault="00A7431B"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A7431B">
              <w:rPr>
                <w:rFonts w:eastAsia="Times New Roman"/>
                <w:sz w:val="18"/>
                <w:szCs w:val="18"/>
                <w:shd w:val="clear" w:color="auto" w:fill="FFFFFF"/>
                <w:lang w:val="en-GB" w:eastAsia="en-GB"/>
              </w:rPr>
              <w:t>Publicly available GWAS summary statistics on overall breast cancer cases (n = 122,977) and controls (n = 105,974) of European ancestry were obtained from the BCAC [13]. Of the breast cancer cases, 69,501 were ER-positive, 21,468 were ER-negative, and the majority developed post-menopause. More details about the original studies are described elsewhere [8, 14, 15].</w:t>
            </w:r>
            <w:r>
              <w:rPr>
                <w:rFonts w:eastAsia="Times New Roman"/>
                <w:sz w:val="18"/>
                <w:szCs w:val="18"/>
                <w:shd w:val="clear" w:color="auto" w:fill="FFFFFF"/>
                <w:lang w:val="en-GB" w:eastAsia="en-GB"/>
              </w:rPr>
              <w:t>”</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0DCEDADC" w:rsidR="00D8098C" w:rsidRPr="00A1236D" w:rsidRDefault="00243835"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29</w:t>
            </w:r>
          </w:p>
        </w:tc>
        <w:tc>
          <w:tcPr>
            <w:tcW w:w="4320" w:type="dxa"/>
            <w:shd w:val="clear" w:color="auto" w:fill="EEEEEE"/>
          </w:tcPr>
          <w:p w14:paraId="6067A95B" w14:textId="32C0F25D" w:rsidR="00D8098C" w:rsidRDefault="00243835"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w:t>
            </w:r>
            <w:r w:rsidRPr="00243835">
              <w:rPr>
                <w:rFonts w:eastAsia="Times New Roman"/>
                <w:sz w:val="18"/>
                <w:szCs w:val="18"/>
                <w:shd w:val="clear" w:color="auto" w:fill="FFFFFF"/>
                <w:lang w:val="en-GB" w:eastAsia="en-GB"/>
              </w:rPr>
              <w:t>The UK Biobank study obtained ethics approval from the North West Centre for Research Ethics Committee (11/NW/0382) [7]. Each study in the BCAC was approved by the ethics committee of each individual study [8].</w:t>
            </w:r>
            <w:r>
              <w:rPr>
                <w:rFonts w:eastAsia="Times New Roman"/>
                <w:sz w:val="18"/>
                <w:szCs w:val="18"/>
                <w:shd w:val="clear" w:color="auto" w:fill="FFFFFF"/>
                <w:lang w:val="en-GB" w:eastAsia="en-GB"/>
              </w:rPr>
              <w:t>”</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0FF3BBD2" w:rsidR="00D8098C" w:rsidRPr="00A1236D"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tcPr>
          <w:p w14:paraId="7A54DE1B" w14:textId="50CF777E" w:rsidR="00D8098C"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43835">
              <w:rPr>
                <w:rFonts w:eastAsia="Times New Roman"/>
                <w:sz w:val="18"/>
                <w:szCs w:val="18"/>
                <w:lang w:val="en-GB" w:eastAsia="en-GB"/>
              </w:rPr>
              <w:t>In all our MR analyses, SNPs must satisfy three assumptions to be considered valid IVs. Genetic variants must 1) strongly associate with the exposure (the relevance assumption), 2) be independent of confounders (the independence assumption), and 3) affect the outcome only through their effect on the exposure (the exclusion restriction assumption).</w:t>
            </w:r>
            <w:r>
              <w:rPr>
                <w:rFonts w:eastAsia="Times New Roman"/>
                <w:sz w:val="18"/>
                <w:szCs w:val="18"/>
                <w:lang w:val="en-GB" w:eastAsia="en-GB"/>
              </w:rPr>
              <w:t>”</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375570DA" w:rsidR="00D8098C" w:rsidRPr="00A1236D"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tcPr>
          <w:p w14:paraId="76159846" w14:textId="08F8B89E" w:rsidR="00D8098C"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43835">
              <w:rPr>
                <w:rFonts w:eastAsia="Times New Roman"/>
                <w:sz w:val="18"/>
                <w:szCs w:val="18"/>
                <w:lang w:val="en-GB" w:eastAsia="en-GB"/>
              </w:rPr>
              <w:t>Inverse-rank normalised GWAS data was used because many of the quantitative biomarker traits were non-normally distributed.</w:t>
            </w:r>
            <w:r>
              <w:rPr>
                <w:rFonts w:eastAsia="Times New Roman"/>
                <w:sz w:val="18"/>
                <w:szCs w:val="18"/>
                <w:lang w:val="en-GB" w:eastAsia="en-GB"/>
              </w:rPr>
              <w:t>”</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768F18CE" w:rsidR="00D8098C" w:rsidRPr="00A1236D"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shd w:val="clear" w:color="auto" w:fill="EEEEEE"/>
          </w:tcPr>
          <w:p w14:paraId="1612F89F" w14:textId="45DF1380" w:rsidR="00D8098C"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43835">
              <w:rPr>
                <w:rFonts w:eastAsia="Times New Roman"/>
                <w:sz w:val="18"/>
                <w:szCs w:val="18"/>
                <w:lang w:val="en-GB" w:eastAsia="en-GB"/>
              </w:rPr>
              <w:t>For each exposure, we selected associated single-nucleotide polymorphisms (SNPs) at genome-wide significance (P &lt; 5 x 10-8) and ensured their independence by removing those in linkage-disequilibrium using the PLINK method (r2 &lt; 0.001, clumping distance = 10,000kb). We then harmonised the directions of the effect alleles between exposures and outcomes.</w:t>
            </w:r>
            <w:r>
              <w:rPr>
                <w:rFonts w:eastAsia="Times New Roman"/>
                <w:sz w:val="18"/>
                <w:szCs w:val="18"/>
                <w:lang w:val="en-GB" w:eastAsia="en-GB"/>
              </w:rPr>
              <w:t>”</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0229C44C" w:rsidR="00D8098C" w:rsidRPr="00A1236D"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334D44EB" w14:textId="71F7B7E0" w:rsidR="00D8098C" w:rsidRDefault="0024383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43835">
              <w:rPr>
                <w:rFonts w:eastAsia="Times New Roman"/>
                <w:sz w:val="18"/>
                <w:szCs w:val="18"/>
                <w:lang w:val="en-GB" w:eastAsia="en-GB"/>
              </w:rPr>
              <w:t>The main univariable analysis consisted of inverse-variance weighted (IVW) MR between each exposure and each outcome.</w:t>
            </w:r>
            <w:r>
              <w:rPr>
                <w:rFonts w:eastAsia="Times New Roman"/>
                <w:sz w:val="18"/>
                <w:szCs w:val="18"/>
                <w:lang w:val="en-GB" w:eastAsia="en-GB"/>
              </w:rPr>
              <w:t>”</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55728741" w:rsidR="00D8098C" w:rsidRPr="00A1236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16808665" w14:textId="2A2EAF7F" w:rsidR="00D8098C"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508F3B6E" w:rsidR="00D8098C" w:rsidRPr="00A1236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tcPr>
          <w:p w14:paraId="490E44D4" w14:textId="4798EB7F" w:rsidR="00D8098C"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913CD">
              <w:rPr>
                <w:rFonts w:eastAsia="Times New Roman"/>
                <w:sz w:val="18"/>
                <w:szCs w:val="18"/>
                <w:lang w:val="en-GB" w:eastAsia="en-GB"/>
              </w:rPr>
              <w:t>We used P &lt; 0.05 as the nominal significance threshold. We also derived false discovery rate (FDR) corrected P-values with the Benjamini-Hochberg (BH) method and used P &lt; 0.05 as the FDR-corrected significance threshold.</w:t>
            </w:r>
            <w:r>
              <w:rPr>
                <w:rFonts w:eastAsia="Times New Roman"/>
                <w:sz w:val="18"/>
                <w:szCs w:val="18"/>
                <w:lang w:val="en-GB" w:eastAsia="en-GB"/>
              </w:rPr>
              <w:t>”</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28A798D3" w:rsidR="00D8098C" w:rsidRPr="00A1236D" w:rsidRDefault="008913CD"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320" w:type="dxa"/>
            <w:shd w:val="clear" w:color="auto" w:fill="EEEEEE"/>
          </w:tcPr>
          <w:p w14:paraId="5D46DB2B" w14:textId="3645D15F" w:rsidR="00D8098C" w:rsidRDefault="008913CD" w:rsidP="008913CD">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913CD">
              <w:rPr>
                <w:rFonts w:eastAsia="Times New Roman"/>
                <w:sz w:val="18"/>
                <w:szCs w:val="18"/>
                <w:lang w:val="en-GB" w:eastAsia="en-GB"/>
              </w:rPr>
              <w:t>we employed several additional univariable approaches with different underlying assumptions about the structure of the pleiotropy for all exposures, including the MR-Egger [19], weighted median [20], and MR Pleiotropy RESidual Sum and Outlier (MR-PRESSO) [21].</w:t>
            </w:r>
            <w:r>
              <w:rPr>
                <w:rFonts w:eastAsia="Times New Roman"/>
                <w:sz w:val="18"/>
                <w:szCs w:val="18"/>
                <w:lang w:val="en-GB" w:eastAsia="en-GB"/>
              </w:rPr>
              <w:t>”</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3C5BCBD6" w:rsidR="00D8098C" w:rsidRPr="00A1236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p>
        </w:tc>
        <w:tc>
          <w:tcPr>
            <w:tcW w:w="4320" w:type="dxa"/>
          </w:tcPr>
          <w:p w14:paraId="229BFDFD" w14:textId="3AA7A750" w:rsidR="008913C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913CD">
              <w:rPr>
                <w:rFonts w:eastAsia="Times New Roman"/>
                <w:sz w:val="18"/>
                <w:szCs w:val="18"/>
                <w:lang w:val="en-GB" w:eastAsia="en-GB"/>
              </w:rPr>
              <w:t>We performed two-sample MVMR analyses for all seven biomarkers that were nominally significantly associated with overall breast cancer in IVW MR. We searched for associations at P &lt; 10-8 of all variants used as IVs in Phenoscanner [24, 25] (Additional file 3: T1-T7), a database providing summarised GWASes, and adjusted for traits that could be considered reasons for horizontal pleiotropy.</w:t>
            </w:r>
            <w:r>
              <w:rPr>
                <w:rFonts w:eastAsia="Times New Roman"/>
                <w:sz w:val="18"/>
                <w:szCs w:val="18"/>
                <w:lang w:val="en-GB" w:eastAsia="en-GB"/>
              </w:rPr>
              <w:t>”</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6BD156FA" w:rsidR="00D8098C" w:rsidRPr="00A1236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10</w:t>
            </w:r>
          </w:p>
        </w:tc>
        <w:tc>
          <w:tcPr>
            <w:tcW w:w="4320" w:type="dxa"/>
          </w:tcPr>
          <w:p w14:paraId="79626260" w14:textId="521C1D1B" w:rsidR="00D8098C"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913CD">
              <w:rPr>
                <w:rFonts w:eastAsia="Times New Roman"/>
                <w:sz w:val="18"/>
                <w:szCs w:val="18"/>
                <w:lang w:val="en-GB" w:eastAsia="en-GB"/>
              </w:rPr>
              <w:t>We employed the TwoSampleMR [31], MendelianRandomization [32], MRPRESSO [33], and ieugwasr [34] R packages, as well as the GitHub repository https://github.com/verena-zuber/ for MR-BMA for our analyses using R (version 4.0.5). We searched for secondary trait associations using Phenoscanner [24, 25].</w:t>
            </w:r>
            <w:r>
              <w:rPr>
                <w:rFonts w:eastAsia="Times New Roman"/>
                <w:sz w:val="18"/>
                <w:szCs w:val="18"/>
                <w:lang w:val="en-GB" w:eastAsia="en-GB"/>
              </w:rPr>
              <w:t>”</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214F51D0" w:rsidR="00D8098C" w:rsidRPr="00A1236D"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5</w:t>
            </w:r>
          </w:p>
        </w:tc>
        <w:tc>
          <w:tcPr>
            <w:tcW w:w="4320" w:type="dxa"/>
            <w:tcBorders>
              <w:bottom w:val="single" w:sz="6" w:space="0" w:color="7F7F7F"/>
            </w:tcBorders>
            <w:shd w:val="clear" w:color="auto" w:fill="EEEEEE"/>
          </w:tcPr>
          <w:p w14:paraId="3EFCD231" w14:textId="19C0A115" w:rsidR="00D8098C" w:rsidRDefault="008913C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913CD">
              <w:rPr>
                <w:rFonts w:eastAsia="Times New Roman"/>
                <w:sz w:val="18"/>
                <w:szCs w:val="18"/>
                <w:lang w:val="en-GB" w:eastAsia="en-GB"/>
              </w:rPr>
              <w:t>We did not pre-register the study protocol.</w:t>
            </w:r>
            <w:r>
              <w:rPr>
                <w:rFonts w:eastAsia="Times New Roman"/>
                <w:sz w:val="18"/>
                <w:szCs w:val="18"/>
                <w:lang w:val="en-GB" w:eastAsia="en-GB"/>
              </w:rPr>
              <w:t>”</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601B2953"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5-6</w:t>
            </w:r>
          </w:p>
        </w:tc>
        <w:tc>
          <w:tcPr>
            <w:tcW w:w="4320" w:type="dxa"/>
          </w:tcPr>
          <w:p w14:paraId="0B2BD562" w14:textId="77777777"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AB1752">
              <w:rPr>
                <w:rFonts w:eastAsia="Times New Roman"/>
                <w:sz w:val="18"/>
                <w:szCs w:val="18"/>
                <w:lang w:val="en-GB" w:eastAsia="en-GB"/>
              </w:rPr>
              <w:t>from unrelated female participants of white-British ancestry (n = 194,174) in the UKB cohort study</w:t>
            </w:r>
            <w:r>
              <w:rPr>
                <w:rFonts w:eastAsia="Times New Roman"/>
                <w:sz w:val="18"/>
                <w:szCs w:val="18"/>
                <w:lang w:val="en-GB" w:eastAsia="en-GB"/>
              </w:rPr>
              <w:t>…”</w:t>
            </w:r>
          </w:p>
          <w:p w14:paraId="144B6351" w14:textId="77777777" w:rsidR="00AB1752" w:rsidRDefault="00AB1752" w:rsidP="00426603">
            <w:pPr>
              <w:spacing w:beforeLines="40" w:before="96" w:afterLines="40" w:after="96" w:line="24" w:lineRule="atLeast"/>
              <w:rPr>
                <w:rFonts w:eastAsia="Times New Roman"/>
                <w:sz w:val="18"/>
                <w:szCs w:val="18"/>
                <w:lang w:val="en-GB" w:eastAsia="en-GB"/>
              </w:rPr>
            </w:pPr>
          </w:p>
          <w:p w14:paraId="00D65497" w14:textId="6322E398" w:rsidR="00AB1752"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lastRenderedPageBreak/>
              <w:t>“</w:t>
            </w:r>
            <w:r w:rsidRPr="00AB1752">
              <w:rPr>
                <w:rFonts w:eastAsia="Times New Roman"/>
                <w:sz w:val="18"/>
                <w:szCs w:val="18"/>
                <w:lang w:val="en-GB" w:eastAsia="en-GB"/>
              </w:rPr>
              <w:t>Publicly available GWAS summary statistics on overall breast cancer cases (n = 122,977) and controls (n = 105,974) of European ancestry were obtained from the BCAC [13].</w:t>
            </w:r>
            <w:r>
              <w:rPr>
                <w:rFonts w:eastAsia="Times New Roman"/>
                <w:sz w:val="18"/>
                <w:szCs w:val="18"/>
                <w:lang w:val="en-GB" w:eastAsia="en-GB"/>
              </w:rPr>
              <w:t>”</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6BA2B1C8"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0FD9D468" w14:textId="052CC6E7"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5920BD71"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449D40FD" w14:textId="0A24A70C"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04F850EA"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5</w:t>
            </w:r>
          </w:p>
        </w:tc>
        <w:tc>
          <w:tcPr>
            <w:tcW w:w="4320" w:type="dxa"/>
            <w:shd w:val="clear" w:color="auto" w:fill="EEEEEE"/>
          </w:tcPr>
          <w:p w14:paraId="6164632F" w14:textId="4CB9AD67" w:rsidR="00641E00" w:rsidRDefault="00D0471F"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D0471F">
              <w:rPr>
                <w:rFonts w:eastAsia="Times New Roman"/>
                <w:sz w:val="18"/>
                <w:szCs w:val="18"/>
                <w:lang w:val="en-GB" w:eastAsia="en-GB"/>
              </w:rPr>
              <w:t>Our data only includes women of European descent to reduce bias from population stratification.</w:t>
            </w:r>
            <w:r>
              <w:rPr>
                <w:rFonts w:eastAsia="Times New Roman"/>
                <w:sz w:val="18"/>
                <w:szCs w:val="18"/>
                <w:lang w:val="en-GB" w:eastAsia="en-GB"/>
              </w:rPr>
              <w:t>”</w:t>
            </w:r>
          </w:p>
          <w:p w14:paraId="572A71AE" w14:textId="77777777" w:rsidR="00641E00" w:rsidRDefault="00641E00" w:rsidP="00426603">
            <w:pPr>
              <w:spacing w:beforeLines="40" w:before="96" w:afterLines="40" w:after="96" w:line="24" w:lineRule="atLeast"/>
              <w:rPr>
                <w:rFonts w:eastAsia="Times New Roman"/>
                <w:sz w:val="18"/>
                <w:szCs w:val="18"/>
                <w:lang w:val="en-GB" w:eastAsia="en-GB"/>
              </w:rPr>
            </w:pPr>
          </w:p>
          <w:p w14:paraId="5B2A1A71" w14:textId="77610E09"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AB1752">
              <w:rPr>
                <w:rFonts w:eastAsia="Times New Roman"/>
                <w:sz w:val="18"/>
                <w:szCs w:val="18"/>
                <w:lang w:val="en-GB" w:eastAsia="en-GB"/>
              </w:rPr>
              <w:t>Our study used summary-level exposure data from the UKB study [7] and summary-level outcome data from the Breast Cancer Association Consortium (BCAC) [8]. The BCAC includes ~6000 samples from the UK [8], which amounts to, at most, a ~1.4% sample overlap between the exposure and outcome samples.</w:t>
            </w:r>
            <w:r>
              <w:rPr>
                <w:rFonts w:eastAsia="Times New Roman"/>
                <w:sz w:val="18"/>
                <w:szCs w:val="18"/>
                <w:lang w:val="en-GB" w:eastAsia="en-GB"/>
              </w:rPr>
              <w:t>”</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ECB58E2"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11</w:t>
            </w:r>
          </w:p>
        </w:tc>
        <w:tc>
          <w:tcPr>
            <w:tcW w:w="4320" w:type="dxa"/>
            <w:shd w:val="clear" w:color="auto" w:fill="EEEEEE"/>
          </w:tcPr>
          <w:p w14:paraId="7BCA1C07" w14:textId="55439CFE"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AB1752">
              <w:rPr>
                <w:rFonts w:eastAsia="Times New Roman"/>
                <w:sz w:val="18"/>
                <w:szCs w:val="18"/>
                <w:lang w:val="en-GB" w:eastAsia="en-GB"/>
              </w:rPr>
              <w:t>We used an average of 147 SNPs with F-statistics ranging from 29 to 2360 as IVs for IVW analyses for these biomarkers (Additional file 3: T8-T14).</w:t>
            </w:r>
            <w:r>
              <w:rPr>
                <w:rFonts w:eastAsia="Times New Roman"/>
                <w:sz w:val="18"/>
                <w:szCs w:val="18"/>
                <w:lang w:val="en-GB" w:eastAsia="en-GB"/>
              </w:rPr>
              <w:t>”</w:t>
            </w: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1A62EA9E"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15, 20-21</w:t>
            </w:r>
          </w:p>
        </w:tc>
        <w:tc>
          <w:tcPr>
            <w:tcW w:w="4320" w:type="dxa"/>
          </w:tcPr>
          <w:p w14:paraId="4564CEDB" w14:textId="7C95BFA9" w:rsidR="00D8098C" w:rsidRDefault="00AB1752" w:rsidP="00AB175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AB1752">
              <w:rPr>
                <w:rFonts w:eastAsia="Times New Roman"/>
                <w:sz w:val="18"/>
                <w:szCs w:val="18"/>
                <w:lang w:val="en-GB" w:eastAsia="en-GB"/>
              </w:rPr>
              <w:t>The forest plot in the centre displays the odds ratio</w:t>
            </w:r>
            <w:r>
              <w:rPr>
                <w:rFonts w:eastAsia="Times New Roman"/>
                <w:sz w:val="18"/>
                <w:szCs w:val="18"/>
                <w:lang w:val="en-GB" w:eastAsia="en-GB"/>
              </w:rPr>
              <w:t xml:space="preserve"> </w:t>
            </w:r>
            <w:r w:rsidRPr="00AB1752">
              <w:rPr>
                <w:rFonts w:eastAsia="Times New Roman"/>
                <w:sz w:val="18"/>
                <w:szCs w:val="18"/>
                <w:lang w:val="en-GB" w:eastAsia="en-GB"/>
              </w:rPr>
              <w:t>of the effect of an SD increase in genetically predicted concentration on overall breast cancer liability</w:t>
            </w:r>
            <w:r>
              <w:rPr>
                <w:rFonts w:eastAsia="Times New Roman"/>
                <w:sz w:val="18"/>
                <w:szCs w:val="18"/>
                <w:lang w:val="en-GB" w:eastAsia="en-GB"/>
              </w:rPr>
              <w:t>…”</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4F115FBA" w:rsidR="00D8098C" w:rsidRPr="00A1236D"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4A2216FF" w14:textId="4F3DE1A2" w:rsidR="00D8098C" w:rsidRDefault="00AB175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B0D0A52" w:rsidR="00D8098C" w:rsidRPr="00A1236D" w:rsidRDefault="00FE286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Fig. 1 p. </w:t>
            </w:r>
            <w:r w:rsidR="0009537E">
              <w:rPr>
                <w:rFonts w:eastAsia="Times New Roman"/>
                <w:sz w:val="18"/>
                <w:szCs w:val="18"/>
                <w:lang w:val="en-GB" w:eastAsia="en-GB"/>
              </w:rPr>
              <w:t>15</w:t>
            </w:r>
            <w:r>
              <w:rPr>
                <w:rFonts w:eastAsia="Times New Roman"/>
                <w:sz w:val="18"/>
                <w:szCs w:val="18"/>
                <w:lang w:val="en-GB" w:eastAsia="en-GB"/>
              </w:rPr>
              <w:t xml:space="preserve"> and Figs. 2-3 pgs.</w:t>
            </w:r>
            <w:r w:rsidR="0009537E">
              <w:rPr>
                <w:rFonts w:eastAsia="Times New Roman"/>
                <w:sz w:val="18"/>
                <w:szCs w:val="18"/>
                <w:lang w:val="en-GB" w:eastAsia="en-GB"/>
              </w:rPr>
              <w:t xml:space="preserve"> 20-21</w:t>
            </w:r>
          </w:p>
        </w:tc>
        <w:tc>
          <w:tcPr>
            <w:tcW w:w="4320" w:type="dxa"/>
          </w:tcPr>
          <w:p w14:paraId="7B9F0A4D" w14:textId="1A2D33E4" w:rsidR="00D8098C" w:rsidRDefault="0009537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09537E">
              <w:rPr>
                <w:rFonts w:eastAsia="Times New Roman"/>
                <w:sz w:val="18"/>
                <w:szCs w:val="18"/>
                <w:lang w:val="en-GB" w:eastAsia="en-GB"/>
              </w:rPr>
              <w:t>Biomarkers of nominal significance in IVW MR analyses are shown in descending order of significance. The forest plot in the centre displays the odds ratio of the effect of an SD increase in genetically predicted concentration</w:t>
            </w:r>
            <w:r>
              <w:rPr>
                <w:rFonts w:eastAsia="Times New Roman"/>
                <w:sz w:val="18"/>
                <w:szCs w:val="18"/>
                <w:lang w:val="en-GB" w:eastAsia="en-GB"/>
              </w:rPr>
              <w:t>…”</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127AD5D8" w:rsidR="00D8098C" w:rsidRPr="00A1236D" w:rsidRDefault="005027CF"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11</w:t>
            </w:r>
          </w:p>
        </w:tc>
        <w:tc>
          <w:tcPr>
            <w:tcW w:w="4320" w:type="dxa"/>
          </w:tcPr>
          <w:p w14:paraId="5E7081D1" w14:textId="1B8A0DD3" w:rsidR="00D8098C" w:rsidRDefault="005027CF"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00C77160" w:rsidRPr="00C77160">
              <w:rPr>
                <w:rFonts w:eastAsia="Times New Roman"/>
                <w:sz w:val="18"/>
                <w:szCs w:val="18"/>
                <w:lang w:val="en-GB" w:eastAsia="en-GB"/>
              </w:rPr>
              <w:t xml:space="preserve">We screened all UKB biochemical biomarkers for likely causal associations with overall breast cancer using various univariable MR methods </w:t>
            </w:r>
            <w:r>
              <w:rPr>
                <w:rFonts w:eastAsia="Times New Roman"/>
                <w:sz w:val="18"/>
                <w:szCs w:val="18"/>
                <w:lang w:val="en-GB" w:eastAsia="en-GB"/>
              </w:rPr>
              <w:t>…”</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79F72935" w:rsidR="00D8098C" w:rsidRPr="00A1236D"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205C4ED8" w14:textId="61C86D2E" w:rsidR="00D8098C"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3E338291" w:rsidR="00D8098C" w:rsidRPr="00A1236D"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11</w:t>
            </w:r>
          </w:p>
        </w:tc>
        <w:tc>
          <w:tcPr>
            <w:tcW w:w="4320" w:type="dxa"/>
            <w:shd w:val="clear" w:color="auto" w:fill="EEEEEE"/>
          </w:tcPr>
          <w:p w14:paraId="73386906" w14:textId="146F0055" w:rsidR="00D8098C"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C77160">
              <w:rPr>
                <w:rFonts w:eastAsia="Times New Roman"/>
                <w:sz w:val="18"/>
                <w:szCs w:val="18"/>
                <w:lang w:val="en-GB" w:eastAsia="en-GB"/>
              </w:rPr>
              <w:t>. For these biomarkers, the weighted median, MR-Egger, and MR-PRESSO effect directions and sizes were largely consistent with our IVW MR findings, apart from the MR-Egger result for aspartate aminotransferase</w:t>
            </w:r>
            <w:r>
              <w:rPr>
                <w:rFonts w:eastAsia="Times New Roman"/>
                <w:sz w:val="18"/>
                <w:szCs w:val="18"/>
                <w:lang w:val="en-GB" w:eastAsia="en-GB"/>
              </w:rPr>
              <w:t>…”</w:t>
            </w: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3B3282EB" w:rsidR="00D8098C" w:rsidRPr="00A1236D"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12</w:t>
            </w:r>
          </w:p>
        </w:tc>
        <w:tc>
          <w:tcPr>
            <w:tcW w:w="4320" w:type="dxa"/>
          </w:tcPr>
          <w:p w14:paraId="5BB83735" w14:textId="1AE3A4EF" w:rsidR="00D8098C"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C77160">
              <w:rPr>
                <w:rFonts w:eastAsia="Times New Roman"/>
                <w:sz w:val="18"/>
                <w:szCs w:val="18"/>
                <w:lang w:val="en-GB" w:eastAsia="en-GB"/>
              </w:rPr>
              <w:t>After adjusting for BMI and alcohol in MVMR, genetically predicted HDL cholesterol, ALP, testosterone, triglycerides, IGF-1, and apoA had significant direct effects on overall breast cancer liability, while aspartate aminotransferase did not</w:t>
            </w:r>
            <w:r>
              <w:rPr>
                <w:rFonts w:eastAsia="Times New Roman"/>
                <w:sz w:val="18"/>
                <w:szCs w:val="18"/>
                <w:lang w:val="en-GB" w:eastAsia="en-GB"/>
              </w:rPr>
              <w:t>…”</w:t>
            </w: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468ADAB3" w:rsidR="00D8098C" w:rsidRPr="00A1236D"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13</w:t>
            </w:r>
          </w:p>
        </w:tc>
        <w:tc>
          <w:tcPr>
            <w:tcW w:w="4320" w:type="dxa"/>
            <w:shd w:val="clear" w:color="auto" w:fill="EEEEEE"/>
          </w:tcPr>
          <w:p w14:paraId="66751F07" w14:textId="3AEBA0FE" w:rsidR="00D8098C" w:rsidRDefault="00C7716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C77160">
              <w:rPr>
                <w:rFonts w:eastAsia="Times New Roman"/>
                <w:sz w:val="18"/>
                <w:szCs w:val="18"/>
                <w:lang w:val="en-GB" w:eastAsia="en-GB"/>
              </w:rPr>
              <w:t>We found no evidence of an association in bidirectional MR between genetically predicted overall breast cancer liability and genetically predicted ALP concentrations</w:t>
            </w:r>
            <w:r>
              <w:rPr>
                <w:rFonts w:eastAsia="Times New Roman"/>
                <w:sz w:val="18"/>
                <w:szCs w:val="18"/>
                <w:lang w:val="en-GB" w:eastAsia="en-GB"/>
              </w:rPr>
              <w:t>…”</w:t>
            </w: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DF448C9" w:rsidR="00D8098C" w:rsidRPr="00A1236D" w:rsidRDefault="003F453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23-27</w:t>
            </w:r>
          </w:p>
        </w:tc>
        <w:tc>
          <w:tcPr>
            <w:tcW w:w="4320" w:type="dxa"/>
          </w:tcPr>
          <w:p w14:paraId="7B882C5B" w14:textId="5ED1B3F2" w:rsidR="00D8098C" w:rsidRDefault="003F453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3F4537">
              <w:rPr>
                <w:rFonts w:eastAsia="Times New Roman"/>
                <w:sz w:val="18"/>
                <w:szCs w:val="18"/>
                <w:lang w:val="en-GB" w:eastAsia="en-GB"/>
              </w:rPr>
              <w:t>A nominally significant negative association between serum levels of calcium and overall breast cancer risk was found in cohort studies [36], but not in an MR study [37], with which our study concurs.</w:t>
            </w:r>
            <w:r>
              <w:rPr>
                <w:rFonts w:eastAsia="Times New Roman"/>
                <w:sz w:val="18"/>
                <w:szCs w:val="18"/>
                <w:lang w:val="en-GB" w:eastAsia="en-GB"/>
              </w:rPr>
              <w:t>”</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51BB2F41" w:rsidR="00D8098C" w:rsidRPr="00A1236D" w:rsidRDefault="003F453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Additional file 4</w:t>
            </w:r>
          </w:p>
        </w:tc>
        <w:tc>
          <w:tcPr>
            <w:tcW w:w="4320" w:type="dxa"/>
            <w:tcBorders>
              <w:bottom w:val="single" w:sz="6" w:space="0" w:color="7F7F7F"/>
            </w:tcBorders>
            <w:shd w:val="clear" w:color="auto" w:fill="EEEEEE"/>
          </w:tcPr>
          <w:p w14:paraId="03A6AB9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3B35773D" w:rsidR="00D8098C" w:rsidRPr="00A1236D" w:rsidRDefault="003F453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23</w:t>
            </w:r>
          </w:p>
        </w:tc>
        <w:tc>
          <w:tcPr>
            <w:tcW w:w="4320" w:type="dxa"/>
            <w:shd w:val="clear" w:color="auto" w:fill="EEEEEE"/>
          </w:tcPr>
          <w:p w14:paraId="70F1DDE7" w14:textId="7BCDD881" w:rsidR="00D8098C" w:rsidRDefault="003F453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3F4537">
              <w:rPr>
                <w:rFonts w:eastAsia="Times New Roman"/>
                <w:sz w:val="18"/>
                <w:szCs w:val="18"/>
                <w:lang w:val="en-GB" w:eastAsia="en-GB"/>
              </w:rPr>
              <w:t xml:space="preserve">In this study, we used a hypothesis-generating two-sample summary-level MR approach to screen the UKB for biochemical breast cancer biomarkers. We found that increases of 1 standard deviation in the genetically predicted levels of testosterone, HDL cholesterol, IGF-1, and ALP were robustly and consistently </w:t>
            </w:r>
            <w:r w:rsidRPr="003F4537">
              <w:rPr>
                <w:rFonts w:eastAsia="Times New Roman"/>
                <w:sz w:val="18"/>
                <w:szCs w:val="18"/>
                <w:lang w:val="en-GB" w:eastAsia="en-GB"/>
              </w:rPr>
              <w:lastRenderedPageBreak/>
              <w:t>associated with overall breast cancer liability in a variety of univariable, multivariable, bidirectional, and ranking methods based on MR. These associations remained for ER-positive breast cancer, but only HDL cholesterol remained associated with ER-negative breast cancer. To our knowledge, ALP has not been associated with breast cancer before.</w:t>
            </w:r>
            <w:r>
              <w:rPr>
                <w:rFonts w:eastAsia="Times New Roman"/>
                <w:sz w:val="18"/>
                <w:szCs w:val="18"/>
                <w:lang w:val="en-GB" w:eastAsia="en-GB"/>
              </w:rPr>
              <w:t>”</w:t>
            </w: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3E490C42" w:rsidR="00D8098C" w:rsidRPr="00A1236D" w:rsidRDefault="00146F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27</w:t>
            </w:r>
          </w:p>
        </w:tc>
        <w:tc>
          <w:tcPr>
            <w:tcW w:w="4320" w:type="dxa"/>
          </w:tcPr>
          <w:p w14:paraId="7F35E1C6" w14:textId="77777777" w:rsidR="00146FE2" w:rsidRPr="00146FE2" w:rsidRDefault="00146FE2" w:rsidP="00146FE2">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146FE2">
              <w:rPr>
                <w:rFonts w:eastAsia="Times New Roman"/>
                <w:sz w:val="18"/>
                <w:szCs w:val="18"/>
                <w:lang w:val="en-GB" w:eastAsia="en-GB"/>
              </w:rPr>
              <w:t xml:space="preserve">A limitation of our study was that the data was restricted to women of white-European ancestry to avoid heterogeneity issues, which hinders our ability to generalise to populations of other ethnic backgrounds. Another deficit of our study was that our exposure [12] and outcome [8] samples were predominantly post-menopausal, thus limiting generalisability to pre-menopausal women. Moreover, though we performed multiple MR sensitivity analyses, there is still the possibility of residual pleiotropy. </w:t>
            </w:r>
          </w:p>
          <w:p w14:paraId="5123580C" w14:textId="77777777" w:rsidR="00146FE2" w:rsidRPr="00146FE2" w:rsidRDefault="00146FE2" w:rsidP="00146FE2">
            <w:pPr>
              <w:spacing w:beforeLines="40" w:before="96" w:afterLines="40" w:after="96" w:line="24" w:lineRule="atLeast"/>
              <w:rPr>
                <w:rFonts w:eastAsia="Times New Roman"/>
                <w:sz w:val="18"/>
                <w:szCs w:val="18"/>
                <w:lang w:val="en-GB" w:eastAsia="en-GB"/>
              </w:rPr>
            </w:pPr>
          </w:p>
          <w:p w14:paraId="7CB4BA33" w14:textId="1ED65188" w:rsidR="00D8098C" w:rsidRDefault="00146FE2" w:rsidP="00146FE2">
            <w:pPr>
              <w:spacing w:beforeLines="40" w:before="96" w:afterLines="40" w:after="96" w:line="24" w:lineRule="atLeast"/>
              <w:rPr>
                <w:rFonts w:eastAsia="Times New Roman"/>
                <w:sz w:val="18"/>
                <w:szCs w:val="18"/>
                <w:lang w:val="en-GB" w:eastAsia="en-GB"/>
              </w:rPr>
            </w:pPr>
            <w:r w:rsidRPr="00146FE2">
              <w:rPr>
                <w:rFonts w:eastAsia="Times New Roman"/>
                <w:sz w:val="18"/>
                <w:szCs w:val="18"/>
                <w:lang w:val="en-GB" w:eastAsia="en-GB"/>
              </w:rPr>
              <w:t>Our study’s strengths include applying many univariable sensitivity analyses to appraise the validity of IV assumptions and limit potential bias from pleiotropy.</w:t>
            </w:r>
            <w:r>
              <w:rPr>
                <w:rFonts w:eastAsia="Times New Roman"/>
                <w:sz w:val="18"/>
                <w:szCs w:val="18"/>
                <w:lang w:val="en-GB" w:eastAsia="en-GB"/>
              </w:rPr>
              <w:t>”</w:t>
            </w: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70B7F315" w:rsidR="00D8098C" w:rsidRPr="00A1236D" w:rsidRDefault="002D6A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23-27</w:t>
            </w:r>
          </w:p>
        </w:tc>
        <w:tc>
          <w:tcPr>
            <w:tcW w:w="4320" w:type="dxa"/>
          </w:tcPr>
          <w:p w14:paraId="5251245C"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0B556C9C" w:rsidR="00D8098C" w:rsidRPr="00A1236D" w:rsidRDefault="002D6A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23-27</w:t>
            </w:r>
          </w:p>
        </w:tc>
        <w:tc>
          <w:tcPr>
            <w:tcW w:w="4320" w:type="dxa"/>
            <w:shd w:val="clear" w:color="auto" w:fill="EEEEEE"/>
          </w:tcPr>
          <w:p w14:paraId="3A91F000" w14:textId="7298EE69" w:rsidR="00D8098C" w:rsidRDefault="002D6A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D6AE2">
              <w:rPr>
                <w:rFonts w:eastAsia="Times New Roman"/>
                <w:sz w:val="18"/>
                <w:szCs w:val="18"/>
                <w:lang w:val="en-GB" w:eastAsia="en-GB"/>
              </w:rPr>
              <w:t>One possible explanation for this finding is that ALP-prioritized genes are enriched in primary and secondary sexual organs, and crucially, gene sets enriched among ALP-associated variants included oestradiol 17-beta-dehydrogenase activity, which catalyses oestradiol to the less potent estrone, thus reducing the risk of breast cancer [35].</w:t>
            </w:r>
            <w:r>
              <w:rPr>
                <w:rFonts w:eastAsia="Times New Roman"/>
                <w:sz w:val="18"/>
                <w:szCs w:val="18"/>
                <w:lang w:val="en-GB" w:eastAsia="en-GB"/>
              </w:rPr>
              <w:t>”</w:t>
            </w: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2AD252CB" w:rsidR="00D8098C" w:rsidRPr="00A1236D" w:rsidRDefault="002D6AE2" w:rsidP="00426603">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78058AE6" w14:textId="79C2DF4A" w:rsidR="00D8098C" w:rsidRDefault="002D6AE2" w:rsidP="00426603">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6DFE5844" w:rsidR="00D8098C" w:rsidRPr="00A1236D" w:rsidRDefault="002D6A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27</w:t>
            </w:r>
          </w:p>
        </w:tc>
        <w:tc>
          <w:tcPr>
            <w:tcW w:w="4320" w:type="dxa"/>
            <w:tcBorders>
              <w:bottom w:val="single" w:sz="6" w:space="0" w:color="7F7F7F"/>
            </w:tcBorders>
            <w:shd w:val="clear" w:color="auto" w:fill="EEEEEE"/>
          </w:tcPr>
          <w:p w14:paraId="41ABF5A9" w14:textId="042170E4" w:rsidR="00D8098C" w:rsidRDefault="002D6AE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2D6AE2">
              <w:rPr>
                <w:rFonts w:eastAsia="Times New Roman"/>
                <w:sz w:val="18"/>
                <w:szCs w:val="18"/>
                <w:lang w:val="en-GB" w:eastAsia="en-GB"/>
              </w:rPr>
              <w:t xml:space="preserve">Biomarker samples were collected prospectively from a large sample, and we accounted for population stratification by restricting our study to participants of white-European ethnicity and adjusting for genetic principal components. We </w:t>
            </w:r>
            <w:r w:rsidRPr="002D6AE2">
              <w:rPr>
                <w:rFonts w:eastAsia="Times New Roman"/>
                <w:sz w:val="18"/>
                <w:szCs w:val="18"/>
                <w:lang w:val="en-GB" w:eastAsia="en-GB"/>
              </w:rPr>
              <w:lastRenderedPageBreak/>
              <w:t>explored genetic associations in women, which excluded the potential for sex-specific effects that can arise for biomarkers such as testosterone [57].</w:t>
            </w:r>
            <w:r>
              <w:rPr>
                <w:rFonts w:eastAsia="Times New Roman"/>
                <w:sz w:val="18"/>
                <w:szCs w:val="18"/>
                <w:lang w:val="en-GB" w:eastAsia="en-GB"/>
              </w:rPr>
              <w:t>”</w:t>
            </w: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1C0C5D79" w:rsidR="00D8098C" w:rsidRPr="00F0337F"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30</w:t>
            </w:r>
          </w:p>
        </w:tc>
        <w:tc>
          <w:tcPr>
            <w:tcW w:w="4320" w:type="dxa"/>
            <w:shd w:val="clear" w:color="auto" w:fill="EEEEEE"/>
          </w:tcPr>
          <w:p w14:paraId="2C6CE5FF" w14:textId="3CFFCCED" w:rsidR="00D8098C"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16211">
              <w:rPr>
                <w:rFonts w:eastAsia="Times New Roman"/>
                <w:sz w:val="18"/>
                <w:szCs w:val="18"/>
                <w:lang w:val="en-GB" w:eastAsia="en-GB"/>
              </w:rPr>
              <w:t>KKT was supported by Cancer Research UK (C18281/A29019).</w:t>
            </w:r>
            <w:r>
              <w:rPr>
                <w:rFonts w:eastAsia="Times New Roman"/>
                <w:sz w:val="18"/>
                <w:szCs w:val="18"/>
                <w:lang w:val="en-GB" w:eastAsia="en-GB"/>
              </w:rPr>
              <w:t>”</w:t>
            </w: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422864BD" w:rsidR="00D8098C" w:rsidRPr="00F0337F"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29</w:t>
            </w:r>
          </w:p>
        </w:tc>
        <w:tc>
          <w:tcPr>
            <w:tcW w:w="4320" w:type="dxa"/>
          </w:tcPr>
          <w:p w14:paraId="38DE3AA7" w14:textId="0CCA632B" w:rsidR="00D8098C"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16211">
              <w:rPr>
                <w:rFonts w:eastAsia="Times New Roman"/>
                <w:sz w:val="18"/>
                <w:szCs w:val="18"/>
                <w:lang w:val="en-GB" w:eastAsia="en-GB"/>
              </w:rPr>
              <w:t>We thank the participants and researchers for making the summary-level data used in this study publicly available. The summary-level GWAS statistics for the exposures were obtained from Neale et al. [9]. The GWAS summary statistics of overall breast cancer cases and controls were obtained from the BCAC [13].</w:t>
            </w:r>
            <w:r>
              <w:rPr>
                <w:rFonts w:eastAsia="Times New Roman"/>
                <w:sz w:val="18"/>
                <w:szCs w:val="18"/>
                <w:lang w:val="en-GB" w:eastAsia="en-GB"/>
              </w:rPr>
              <w:t>”</w:t>
            </w: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316FA78F" w:rsidR="00D8098C" w:rsidRPr="00F0337F"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30</w:t>
            </w:r>
          </w:p>
        </w:tc>
        <w:tc>
          <w:tcPr>
            <w:tcW w:w="4320" w:type="dxa"/>
            <w:tcBorders>
              <w:bottom w:val="single" w:sz="6" w:space="0" w:color="7F7F7F"/>
            </w:tcBorders>
            <w:shd w:val="clear" w:color="auto" w:fill="EEEEEE"/>
          </w:tcPr>
          <w:p w14:paraId="5D9123A4" w14:textId="5FAEB6CD" w:rsidR="00D8098C" w:rsidRDefault="0081621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w:t>
            </w:r>
            <w:r w:rsidRPr="00816211">
              <w:rPr>
                <w:rFonts w:eastAsia="Times New Roman"/>
                <w:sz w:val="18"/>
                <w:szCs w:val="18"/>
                <w:lang w:val="en-GB" w:eastAsia="en-GB"/>
              </w:rPr>
              <w:t>The authors declare that they have no competing interests.</w:t>
            </w:r>
            <w:r>
              <w:rPr>
                <w:rFonts w:eastAsia="Times New Roman"/>
                <w:sz w:val="18"/>
                <w:szCs w:val="18"/>
                <w:lang w:val="en-GB" w:eastAsia="en-GB"/>
              </w:rPr>
              <w:t>”</w:t>
            </w:r>
          </w:p>
        </w:tc>
      </w:tr>
    </w:tbl>
    <w:p w14:paraId="386115B2" w14:textId="17D6D8D3" w:rsidR="00800ED7"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E6F48" w14:textId="77777777" w:rsidR="00B81FD0" w:rsidRDefault="00B81FD0">
      <w:pPr>
        <w:spacing w:line="240" w:lineRule="auto"/>
      </w:pPr>
      <w:r>
        <w:separator/>
      </w:r>
    </w:p>
  </w:endnote>
  <w:endnote w:type="continuationSeparator" w:id="0">
    <w:p w14:paraId="379FDE8D" w14:textId="77777777" w:rsidR="00B81FD0" w:rsidRDefault="00B81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A166" w14:textId="77777777" w:rsidR="00CB1B9F" w:rsidRDefault="00AF09BF" w:rsidP="00A365E5">
    <w:pPr>
      <w:pStyle w:val="Footer"/>
      <w:framePr w:wrap="none" w:vAnchor="text" w:hAnchor="margin" w:xAlign="right" w:y="1"/>
      <w:rPr>
        <w:rStyle w:val="PageNumber"/>
      </w:rPr>
    </w:pPr>
  </w:p>
  <w:p w14:paraId="40A0897E" w14:textId="77777777" w:rsidR="00CB1B9F" w:rsidRDefault="00AF09BF" w:rsidP="00C141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7B5E" w14:textId="0AA16358" w:rsidR="00CB1B9F" w:rsidRDefault="003D447D">
    <w:pPr>
      <w:pStyle w:val="Footer"/>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CB1B9F" w:rsidRDefault="00AF09BF" w:rsidP="00C141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A77DF" w14:textId="77777777" w:rsidR="00B81FD0" w:rsidRDefault="00B81FD0">
      <w:pPr>
        <w:spacing w:line="240" w:lineRule="auto"/>
      </w:pPr>
      <w:r>
        <w:separator/>
      </w:r>
    </w:p>
  </w:footnote>
  <w:footnote w:type="continuationSeparator" w:id="0">
    <w:p w14:paraId="22EFB175" w14:textId="77777777" w:rsidR="00B81FD0" w:rsidRDefault="00B81FD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Q0NTOxNLQws7Q0MjJW0lEKTi0uzszPAykwrQUA/fQUHCwAAAA="/>
  </w:docVars>
  <w:rsids>
    <w:rsidRoot w:val="00914C56"/>
    <w:rsid w:val="0009537E"/>
    <w:rsid w:val="000A4CE8"/>
    <w:rsid w:val="000C51D2"/>
    <w:rsid w:val="00146FE2"/>
    <w:rsid w:val="00243835"/>
    <w:rsid w:val="002663E6"/>
    <w:rsid w:val="002D6AE2"/>
    <w:rsid w:val="003D447D"/>
    <w:rsid w:val="003D47DD"/>
    <w:rsid w:val="003F4537"/>
    <w:rsid w:val="00425135"/>
    <w:rsid w:val="004B5CBB"/>
    <w:rsid w:val="004E11D4"/>
    <w:rsid w:val="005027CF"/>
    <w:rsid w:val="00514462"/>
    <w:rsid w:val="005520ED"/>
    <w:rsid w:val="005A0D0D"/>
    <w:rsid w:val="00641E00"/>
    <w:rsid w:val="0068189E"/>
    <w:rsid w:val="00685D31"/>
    <w:rsid w:val="006912BF"/>
    <w:rsid w:val="006A41D0"/>
    <w:rsid w:val="006B08D5"/>
    <w:rsid w:val="006E6F0A"/>
    <w:rsid w:val="00804498"/>
    <w:rsid w:val="00816211"/>
    <w:rsid w:val="008913CD"/>
    <w:rsid w:val="00914C56"/>
    <w:rsid w:val="00925F00"/>
    <w:rsid w:val="00950729"/>
    <w:rsid w:val="00962070"/>
    <w:rsid w:val="009854A9"/>
    <w:rsid w:val="009E033F"/>
    <w:rsid w:val="00A7431B"/>
    <w:rsid w:val="00AB1752"/>
    <w:rsid w:val="00AF09BF"/>
    <w:rsid w:val="00B63014"/>
    <w:rsid w:val="00B81FD0"/>
    <w:rsid w:val="00BB0BA7"/>
    <w:rsid w:val="00BB6328"/>
    <w:rsid w:val="00BD6812"/>
    <w:rsid w:val="00C77160"/>
    <w:rsid w:val="00D0471F"/>
    <w:rsid w:val="00D65199"/>
    <w:rsid w:val="00D8098C"/>
    <w:rsid w:val="00E05055"/>
    <w:rsid w:val="00ED48A3"/>
    <w:rsid w:val="00EF4B94"/>
    <w:rsid w:val="00FE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4C56"/>
    <w:pPr>
      <w:spacing w:after="0" w:line="276" w:lineRule="auto"/>
    </w:pPr>
    <w:rPr>
      <w:rFonts w:ascii="Arial" w:eastAsia="Arial" w:hAnsi="Arial" w:cs="Arial"/>
      <w:lang w:val="en"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4C56"/>
    <w:pPr>
      <w:tabs>
        <w:tab w:val="center" w:pos="4680"/>
        <w:tab w:val="right" w:pos="9360"/>
      </w:tabs>
      <w:spacing w:line="240" w:lineRule="auto"/>
    </w:pPr>
  </w:style>
  <w:style w:type="character" w:customStyle="1" w:styleId="FooterChar">
    <w:name w:val="Footer Char"/>
    <w:basedOn w:val="DefaultParagraphFont"/>
    <w:link w:val="Footer"/>
    <w:uiPriority w:val="99"/>
    <w:rsid w:val="00914C56"/>
    <w:rPr>
      <w:rFonts w:ascii="Arial" w:eastAsia="Arial" w:hAnsi="Arial" w:cs="Arial"/>
      <w:lang w:val="en" w:eastAsia="de-CH"/>
    </w:rPr>
  </w:style>
  <w:style w:type="character" w:styleId="PageNumber">
    <w:name w:val="page number"/>
    <w:basedOn w:val="DefaultParagraphFont"/>
    <w:uiPriority w:val="99"/>
    <w:semiHidden/>
    <w:unhideWhenUsed/>
    <w:rsid w:val="00914C56"/>
  </w:style>
  <w:style w:type="character" w:styleId="LineNumber">
    <w:name w:val="line number"/>
    <w:basedOn w:val="DefaultParagraphFont"/>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3.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8</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Tang, Sonja</cp:lastModifiedBy>
  <cp:revision>17</cp:revision>
  <cp:lastPrinted>2021-09-28T07:08:00Z</cp:lastPrinted>
  <dcterms:created xsi:type="dcterms:W3CDTF">2022-04-07T08:09:00Z</dcterms:created>
  <dcterms:modified xsi:type="dcterms:W3CDTF">2022-11-21T10:06:00Z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GrammarlyDocumentId">
    <vt:lpwstr>7cca4ec7e2cd3485510ac188a459f399afca6aa654fd231510932b675a74e199</vt:lpwstr>
  </property>
</Properties>
</file>