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1AF40" w14:textId="3AE9E184" w:rsidR="008C2C92" w:rsidRPr="00D37C39" w:rsidRDefault="004033DB">
      <w:pPr>
        <w:rPr>
          <w:rFonts w:ascii="Times New Roman" w:hAnsi="Times New Roman" w:cs="Times New Roman"/>
          <w:b/>
          <w:bCs/>
          <w:sz w:val="36"/>
          <w:szCs w:val="36"/>
          <w:u w:val="single"/>
        </w:rPr>
      </w:pPr>
      <w:r w:rsidRPr="00D37C39">
        <w:rPr>
          <w:rFonts w:ascii="Times New Roman" w:hAnsi="Times New Roman" w:cs="Times New Roman"/>
          <w:b/>
          <w:bCs/>
          <w:sz w:val="36"/>
          <w:szCs w:val="36"/>
          <w:u w:val="single"/>
        </w:rPr>
        <w:t>Additional file</w:t>
      </w:r>
      <w:r w:rsidR="009710E4" w:rsidRPr="00D37C39">
        <w:rPr>
          <w:rFonts w:ascii="Times New Roman" w:hAnsi="Times New Roman" w:cs="Times New Roman"/>
          <w:b/>
          <w:bCs/>
          <w:sz w:val="36"/>
          <w:szCs w:val="36"/>
          <w:u w:val="single"/>
        </w:rPr>
        <w:t xml:space="preserve"> </w:t>
      </w:r>
      <w:r w:rsidR="00180E43" w:rsidRPr="00D37C39">
        <w:rPr>
          <w:rFonts w:ascii="Times New Roman" w:hAnsi="Times New Roman" w:cs="Times New Roman"/>
          <w:b/>
          <w:bCs/>
          <w:sz w:val="36"/>
          <w:szCs w:val="36"/>
          <w:u w:val="single"/>
        </w:rPr>
        <w:t>5</w:t>
      </w:r>
      <w:r w:rsidR="003139EA" w:rsidRPr="00D37C39">
        <w:rPr>
          <w:rFonts w:ascii="Times New Roman" w:hAnsi="Times New Roman" w:cs="Times New Roman"/>
          <w:b/>
          <w:bCs/>
          <w:sz w:val="36"/>
          <w:szCs w:val="36"/>
          <w:u w:val="single"/>
        </w:rPr>
        <w:t xml:space="preserve">: </w:t>
      </w:r>
      <w:r w:rsidR="009B33DA" w:rsidRPr="00D37C39">
        <w:rPr>
          <w:rFonts w:ascii="Times New Roman" w:hAnsi="Times New Roman" w:cs="Times New Roman"/>
          <w:b/>
          <w:bCs/>
          <w:sz w:val="36"/>
          <w:szCs w:val="36"/>
          <w:u w:val="single"/>
        </w:rPr>
        <w:t>Table S1</w:t>
      </w:r>
      <w:r w:rsidR="00D37C39">
        <w:rPr>
          <w:rFonts w:ascii="Times New Roman" w:hAnsi="Times New Roman" w:cs="Times New Roman"/>
          <w:b/>
          <w:bCs/>
          <w:sz w:val="36"/>
          <w:szCs w:val="36"/>
          <w:u w:val="single"/>
        </w:rPr>
        <w:t>.</w:t>
      </w:r>
    </w:p>
    <w:p w14:paraId="1AD96928" w14:textId="3F3784B8" w:rsidR="004033DB" w:rsidRDefault="009B33DA">
      <w:pPr>
        <w:rPr>
          <w:rFonts w:ascii="Times New Roman" w:hAnsi="Times New Roman" w:cs="Times New Roman"/>
          <w:b/>
          <w:bCs/>
          <w:sz w:val="24"/>
          <w:szCs w:val="24"/>
        </w:rPr>
      </w:pPr>
      <w:r>
        <w:rPr>
          <w:rFonts w:ascii="Times New Roman" w:hAnsi="Times New Roman" w:cs="Times New Roman"/>
          <w:b/>
          <w:bCs/>
          <w:sz w:val="24"/>
          <w:szCs w:val="24"/>
        </w:rPr>
        <w:t xml:space="preserve">Table S1. </w:t>
      </w:r>
      <w:r w:rsidR="004033DB" w:rsidRPr="009160F0">
        <w:rPr>
          <w:rFonts w:ascii="Times New Roman" w:hAnsi="Times New Roman" w:cs="Times New Roman"/>
          <w:b/>
          <w:bCs/>
          <w:sz w:val="24"/>
          <w:szCs w:val="24"/>
        </w:rPr>
        <w:t xml:space="preserve">Risk and odds of breast cancer per unit increase </w:t>
      </w:r>
      <w:r w:rsidR="00BF2C6A">
        <w:rPr>
          <w:rFonts w:ascii="Times New Roman" w:hAnsi="Times New Roman" w:cs="Times New Roman"/>
          <w:b/>
          <w:bCs/>
          <w:sz w:val="24"/>
          <w:szCs w:val="24"/>
        </w:rPr>
        <w:t>in</w:t>
      </w:r>
      <w:r w:rsidR="004033DB" w:rsidRPr="009160F0">
        <w:rPr>
          <w:rFonts w:ascii="Times New Roman" w:hAnsi="Times New Roman" w:cs="Times New Roman"/>
          <w:b/>
          <w:bCs/>
          <w:sz w:val="24"/>
          <w:szCs w:val="24"/>
        </w:rPr>
        <w:t xml:space="preserve"> biomarker</w:t>
      </w:r>
      <w:r w:rsidR="00AC0CA0">
        <w:rPr>
          <w:rFonts w:ascii="Times New Roman" w:hAnsi="Times New Roman" w:cs="Times New Roman"/>
          <w:b/>
          <w:bCs/>
          <w:sz w:val="24"/>
          <w:szCs w:val="24"/>
        </w:rPr>
        <w:t xml:space="preserve"> level</w:t>
      </w:r>
      <w:r w:rsidR="004033DB" w:rsidRPr="009160F0">
        <w:rPr>
          <w:rFonts w:ascii="Times New Roman" w:hAnsi="Times New Roman" w:cs="Times New Roman"/>
          <w:b/>
          <w:bCs/>
          <w:sz w:val="24"/>
          <w:szCs w:val="24"/>
        </w:rPr>
        <w:t xml:space="preserve"> in the literature and our study.</w:t>
      </w:r>
    </w:p>
    <w:tbl>
      <w:tblPr>
        <w:tblpPr w:leftFromText="180" w:rightFromText="180" w:vertAnchor="page" w:horzAnchor="margin" w:tblpY="1713"/>
        <w:tblW w:w="4958" w:type="pct"/>
        <w:tblCellMar>
          <w:left w:w="30" w:type="dxa"/>
          <w:right w:w="30" w:type="dxa"/>
        </w:tblCellMar>
        <w:tblLook w:val="0000" w:firstRow="0" w:lastRow="0" w:firstColumn="0" w:lastColumn="0" w:noHBand="0" w:noVBand="0"/>
      </w:tblPr>
      <w:tblGrid>
        <w:gridCol w:w="695"/>
        <w:gridCol w:w="1700"/>
        <w:gridCol w:w="2968"/>
        <w:gridCol w:w="2615"/>
        <w:gridCol w:w="2414"/>
        <w:gridCol w:w="2414"/>
        <w:gridCol w:w="2417"/>
      </w:tblGrid>
      <w:tr w:rsidR="000D1CB5" w:rsidRPr="00662577" w14:paraId="631A1821" w14:textId="393F23C1" w:rsidTr="000D1CB5">
        <w:trPr>
          <w:trHeight w:val="25"/>
        </w:trPr>
        <w:tc>
          <w:tcPr>
            <w:tcW w:w="228" w:type="pct"/>
            <w:vMerge w:val="restart"/>
            <w:tcBorders>
              <w:top w:val="single" w:sz="18" w:space="0" w:color="auto"/>
              <w:left w:val="single" w:sz="18" w:space="0" w:color="auto"/>
              <w:right w:val="single" w:sz="12" w:space="0" w:color="auto"/>
            </w:tcBorders>
            <w:vAlign w:val="center"/>
          </w:tcPr>
          <w:p w14:paraId="293B1BF5" w14:textId="77777777" w:rsidR="00DA73FA" w:rsidRPr="00662577" w:rsidRDefault="00DA73FA" w:rsidP="000D000E">
            <w:pPr>
              <w:autoSpaceDE w:val="0"/>
              <w:autoSpaceDN w:val="0"/>
              <w:adjustRightInd w:val="0"/>
              <w:spacing w:after="0"/>
              <w:jc w:val="center"/>
              <w:rPr>
                <w:rFonts w:cstheme="minorHAnsi"/>
                <w:b/>
                <w:bCs/>
                <w:color w:val="000000"/>
                <w:sz w:val="14"/>
                <w:szCs w:val="14"/>
              </w:rPr>
            </w:pPr>
            <w:r w:rsidRPr="00662577">
              <w:rPr>
                <w:rFonts w:cstheme="minorHAnsi"/>
                <w:b/>
                <w:bCs/>
                <w:color w:val="000000"/>
                <w:sz w:val="14"/>
                <w:szCs w:val="14"/>
              </w:rPr>
              <w:t>Biomarker group</w:t>
            </w:r>
          </w:p>
        </w:tc>
        <w:tc>
          <w:tcPr>
            <w:tcW w:w="558" w:type="pct"/>
            <w:vMerge w:val="restart"/>
            <w:tcBorders>
              <w:top w:val="single" w:sz="18" w:space="0" w:color="auto"/>
              <w:left w:val="single" w:sz="12" w:space="0" w:color="auto"/>
              <w:right w:val="single" w:sz="18" w:space="0" w:color="auto"/>
            </w:tcBorders>
            <w:shd w:val="clear" w:color="auto" w:fill="auto"/>
            <w:vAlign w:val="center"/>
          </w:tcPr>
          <w:p w14:paraId="5BAC51AE" w14:textId="77777777" w:rsidR="00DA73FA" w:rsidRPr="00662577" w:rsidRDefault="00DA73FA" w:rsidP="000D000E">
            <w:pPr>
              <w:autoSpaceDE w:val="0"/>
              <w:autoSpaceDN w:val="0"/>
              <w:adjustRightInd w:val="0"/>
              <w:spacing w:after="0"/>
              <w:rPr>
                <w:rFonts w:cstheme="minorHAnsi"/>
                <w:b/>
                <w:bCs/>
                <w:color w:val="000000"/>
                <w:sz w:val="14"/>
                <w:szCs w:val="14"/>
              </w:rPr>
            </w:pPr>
            <w:r w:rsidRPr="00662577">
              <w:rPr>
                <w:rFonts w:cstheme="minorHAnsi"/>
                <w:b/>
                <w:bCs/>
                <w:color w:val="000000"/>
                <w:sz w:val="14"/>
                <w:szCs w:val="14"/>
              </w:rPr>
              <w:t>Biomarker name</w:t>
            </w:r>
          </w:p>
        </w:tc>
        <w:tc>
          <w:tcPr>
            <w:tcW w:w="1834" w:type="pct"/>
            <w:gridSpan w:val="2"/>
            <w:tcBorders>
              <w:top w:val="single" w:sz="18" w:space="0" w:color="auto"/>
              <w:left w:val="single" w:sz="18" w:space="0" w:color="auto"/>
              <w:bottom w:val="single" w:sz="12" w:space="0" w:color="auto"/>
              <w:right w:val="single" w:sz="18" w:space="0" w:color="auto"/>
            </w:tcBorders>
            <w:shd w:val="clear" w:color="auto" w:fill="auto"/>
            <w:vAlign w:val="center"/>
          </w:tcPr>
          <w:p w14:paraId="7CC66B94" w14:textId="77777777" w:rsidR="00DA73FA" w:rsidRPr="00662577" w:rsidRDefault="00DA73FA" w:rsidP="000D000E">
            <w:pPr>
              <w:autoSpaceDE w:val="0"/>
              <w:autoSpaceDN w:val="0"/>
              <w:adjustRightInd w:val="0"/>
              <w:spacing w:after="0"/>
              <w:jc w:val="center"/>
              <w:rPr>
                <w:rFonts w:cstheme="minorHAnsi"/>
                <w:b/>
                <w:bCs/>
                <w:color w:val="000000"/>
                <w:sz w:val="14"/>
                <w:szCs w:val="14"/>
              </w:rPr>
            </w:pPr>
            <w:r w:rsidRPr="00662577">
              <w:rPr>
                <w:rFonts w:cstheme="minorHAnsi"/>
                <w:b/>
                <w:bCs/>
                <w:color w:val="000000"/>
                <w:sz w:val="14"/>
                <w:szCs w:val="14"/>
              </w:rPr>
              <w:t>Literature findings</w:t>
            </w:r>
          </w:p>
        </w:tc>
        <w:tc>
          <w:tcPr>
            <w:tcW w:w="2380" w:type="pct"/>
            <w:gridSpan w:val="3"/>
            <w:tcBorders>
              <w:top w:val="single" w:sz="18" w:space="0" w:color="auto"/>
              <w:left w:val="single" w:sz="18" w:space="0" w:color="auto"/>
              <w:bottom w:val="single" w:sz="12" w:space="0" w:color="auto"/>
              <w:right w:val="single" w:sz="18" w:space="0" w:color="auto"/>
            </w:tcBorders>
            <w:vAlign w:val="center"/>
          </w:tcPr>
          <w:p w14:paraId="5076B8B6" w14:textId="1BC9BF95" w:rsidR="00DA73FA" w:rsidRPr="00662577" w:rsidRDefault="00DA73FA" w:rsidP="000D000E">
            <w:pPr>
              <w:autoSpaceDE w:val="0"/>
              <w:autoSpaceDN w:val="0"/>
              <w:adjustRightInd w:val="0"/>
              <w:spacing w:after="0"/>
              <w:jc w:val="center"/>
              <w:rPr>
                <w:rFonts w:cstheme="minorHAnsi"/>
                <w:b/>
                <w:bCs/>
                <w:color w:val="000000"/>
                <w:sz w:val="14"/>
                <w:szCs w:val="14"/>
              </w:rPr>
            </w:pPr>
            <w:r w:rsidRPr="00662577">
              <w:rPr>
                <w:rFonts w:eastAsia="Times New Roman" w:cstheme="minorHAnsi"/>
                <w:b/>
                <w:bCs/>
                <w:color w:val="000000"/>
                <w:sz w:val="14"/>
                <w:szCs w:val="14"/>
                <w:lang w:eastAsia="zh-CN"/>
              </w:rPr>
              <w:t>Our findings</w:t>
            </w:r>
          </w:p>
        </w:tc>
      </w:tr>
      <w:tr w:rsidR="00F414A3" w:rsidRPr="00662577" w14:paraId="06A1DB71" w14:textId="77777777" w:rsidTr="008E2B78">
        <w:trPr>
          <w:trHeight w:val="25"/>
        </w:trPr>
        <w:tc>
          <w:tcPr>
            <w:tcW w:w="228" w:type="pct"/>
            <w:vMerge/>
            <w:tcBorders>
              <w:left w:val="single" w:sz="18" w:space="0" w:color="auto"/>
              <w:bottom w:val="single" w:sz="12" w:space="0" w:color="auto"/>
              <w:right w:val="single" w:sz="12" w:space="0" w:color="auto"/>
            </w:tcBorders>
          </w:tcPr>
          <w:p w14:paraId="7B1CA47E" w14:textId="77777777" w:rsidR="000D000E" w:rsidRPr="00662577" w:rsidRDefault="000D000E" w:rsidP="000D000E">
            <w:pPr>
              <w:autoSpaceDE w:val="0"/>
              <w:autoSpaceDN w:val="0"/>
              <w:adjustRightInd w:val="0"/>
              <w:spacing w:after="0"/>
              <w:rPr>
                <w:rFonts w:cstheme="minorHAnsi"/>
                <w:b/>
                <w:bCs/>
                <w:color w:val="000000"/>
                <w:sz w:val="14"/>
                <w:szCs w:val="14"/>
              </w:rPr>
            </w:pPr>
          </w:p>
        </w:tc>
        <w:tc>
          <w:tcPr>
            <w:tcW w:w="558" w:type="pct"/>
            <w:vMerge/>
            <w:tcBorders>
              <w:left w:val="single" w:sz="12" w:space="0" w:color="auto"/>
              <w:bottom w:val="single" w:sz="12" w:space="0" w:color="auto"/>
              <w:right w:val="single" w:sz="18" w:space="0" w:color="auto"/>
            </w:tcBorders>
            <w:shd w:val="clear" w:color="auto" w:fill="auto"/>
          </w:tcPr>
          <w:p w14:paraId="14DF754E" w14:textId="77777777" w:rsidR="000D000E" w:rsidRPr="00662577" w:rsidRDefault="000D000E" w:rsidP="000D000E">
            <w:pPr>
              <w:autoSpaceDE w:val="0"/>
              <w:autoSpaceDN w:val="0"/>
              <w:adjustRightInd w:val="0"/>
              <w:spacing w:after="0"/>
              <w:rPr>
                <w:rFonts w:cstheme="minorHAnsi"/>
                <w:b/>
                <w:bCs/>
                <w:color w:val="000000"/>
                <w:sz w:val="14"/>
                <w:szCs w:val="14"/>
              </w:rPr>
            </w:pPr>
          </w:p>
        </w:tc>
        <w:tc>
          <w:tcPr>
            <w:tcW w:w="975" w:type="pct"/>
            <w:tcBorders>
              <w:top w:val="single" w:sz="12" w:space="0" w:color="auto"/>
              <w:left w:val="single" w:sz="18" w:space="0" w:color="auto"/>
              <w:bottom w:val="single" w:sz="12" w:space="0" w:color="auto"/>
              <w:right w:val="single" w:sz="12" w:space="0" w:color="auto"/>
            </w:tcBorders>
            <w:shd w:val="clear" w:color="auto" w:fill="auto"/>
            <w:vAlign w:val="center"/>
          </w:tcPr>
          <w:p w14:paraId="5BA3EACE" w14:textId="77777777" w:rsidR="000D000E" w:rsidRPr="00662577" w:rsidRDefault="000D000E" w:rsidP="000D000E">
            <w:pPr>
              <w:autoSpaceDE w:val="0"/>
              <w:autoSpaceDN w:val="0"/>
              <w:adjustRightInd w:val="0"/>
              <w:spacing w:after="0"/>
              <w:rPr>
                <w:rFonts w:cstheme="minorHAnsi"/>
                <w:b/>
                <w:bCs/>
                <w:color w:val="000000"/>
                <w:sz w:val="14"/>
                <w:szCs w:val="14"/>
              </w:rPr>
            </w:pPr>
            <w:r w:rsidRPr="00662577">
              <w:rPr>
                <w:rFonts w:cstheme="minorHAnsi"/>
                <w:b/>
                <w:bCs/>
                <w:color w:val="000000"/>
                <w:sz w:val="14"/>
                <w:szCs w:val="14"/>
              </w:rPr>
              <w:t>Risk of overall breast cancer (95% CI)</w:t>
            </w:r>
          </w:p>
        </w:tc>
        <w:tc>
          <w:tcPr>
            <w:tcW w:w="859" w:type="pct"/>
            <w:tcBorders>
              <w:top w:val="single" w:sz="12" w:space="0" w:color="auto"/>
              <w:left w:val="single" w:sz="12" w:space="0" w:color="auto"/>
              <w:bottom w:val="single" w:sz="12" w:space="0" w:color="auto"/>
              <w:right w:val="single" w:sz="18" w:space="0" w:color="auto"/>
            </w:tcBorders>
          </w:tcPr>
          <w:p w14:paraId="6EF32247" w14:textId="5587FF34" w:rsidR="000D000E" w:rsidRPr="00662577" w:rsidRDefault="000D000E" w:rsidP="000D000E">
            <w:pPr>
              <w:autoSpaceDE w:val="0"/>
              <w:autoSpaceDN w:val="0"/>
              <w:adjustRightInd w:val="0"/>
              <w:spacing w:after="0"/>
              <w:rPr>
                <w:rFonts w:cstheme="minorHAnsi"/>
                <w:b/>
                <w:bCs/>
                <w:color w:val="000000"/>
                <w:sz w:val="14"/>
                <w:szCs w:val="14"/>
              </w:rPr>
            </w:pPr>
            <w:r w:rsidRPr="00662577">
              <w:rPr>
                <w:rFonts w:eastAsia="Times New Roman" w:cstheme="minorHAnsi"/>
                <w:b/>
                <w:bCs/>
                <w:color w:val="000000"/>
                <w:sz w:val="14"/>
                <w:szCs w:val="14"/>
                <w:lang w:eastAsia="zh-CN"/>
              </w:rPr>
              <w:t>Odds of overall breast cancer from IVW MR (95% CI)</w:t>
            </w:r>
          </w:p>
        </w:tc>
        <w:tc>
          <w:tcPr>
            <w:tcW w:w="793" w:type="pct"/>
            <w:tcBorders>
              <w:top w:val="single" w:sz="12" w:space="0" w:color="auto"/>
              <w:left w:val="single" w:sz="18" w:space="0" w:color="auto"/>
              <w:bottom w:val="single" w:sz="12" w:space="0" w:color="auto"/>
              <w:right w:val="single" w:sz="12" w:space="0" w:color="auto"/>
            </w:tcBorders>
          </w:tcPr>
          <w:p w14:paraId="0076EB44" w14:textId="29F425A2" w:rsidR="000D000E" w:rsidRPr="00662577" w:rsidRDefault="000D000E" w:rsidP="000D000E">
            <w:pPr>
              <w:autoSpaceDE w:val="0"/>
              <w:autoSpaceDN w:val="0"/>
              <w:adjustRightInd w:val="0"/>
              <w:spacing w:after="0"/>
              <w:rPr>
                <w:rFonts w:cstheme="minorHAnsi"/>
                <w:b/>
                <w:bCs/>
                <w:color w:val="000000"/>
                <w:sz w:val="14"/>
                <w:szCs w:val="14"/>
              </w:rPr>
            </w:pPr>
            <w:r w:rsidRPr="00662577">
              <w:rPr>
                <w:rFonts w:eastAsia="Times New Roman" w:cstheme="minorHAnsi"/>
                <w:b/>
                <w:bCs/>
                <w:color w:val="000000"/>
                <w:sz w:val="14"/>
                <w:szCs w:val="14"/>
                <w:lang w:eastAsia="zh-CN"/>
              </w:rPr>
              <w:t xml:space="preserve">Odds of </w:t>
            </w:r>
            <w:r w:rsidR="00D1476A">
              <w:rPr>
                <w:rFonts w:eastAsia="Times New Roman" w:cstheme="minorHAnsi"/>
                <w:b/>
                <w:bCs/>
                <w:color w:val="000000"/>
                <w:sz w:val="14"/>
                <w:szCs w:val="14"/>
                <w:lang w:eastAsia="zh-CN"/>
              </w:rPr>
              <w:t>overall</w:t>
            </w:r>
            <w:r w:rsidRPr="00662577">
              <w:rPr>
                <w:rFonts w:eastAsia="Times New Roman" w:cstheme="minorHAnsi"/>
                <w:b/>
                <w:bCs/>
                <w:color w:val="000000"/>
                <w:sz w:val="14"/>
                <w:szCs w:val="14"/>
                <w:lang w:eastAsia="zh-CN"/>
              </w:rPr>
              <w:t xml:space="preserve"> breast cancer from IVW MR/ratio method (95% CI)</w:t>
            </w:r>
          </w:p>
        </w:tc>
        <w:tc>
          <w:tcPr>
            <w:tcW w:w="793" w:type="pct"/>
            <w:tcBorders>
              <w:top w:val="single" w:sz="12" w:space="0" w:color="auto"/>
              <w:left w:val="single" w:sz="12" w:space="0" w:color="auto"/>
              <w:bottom w:val="single" w:sz="12" w:space="0" w:color="auto"/>
              <w:right w:val="single" w:sz="12" w:space="0" w:color="auto"/>
            </w:tcBorders>
          </w:tcPr>
          <w:p w14:paraId="6D2C51B6" w14:textId="47CA82CC" w:rsidR="000D000E" w:rsidRPr="00662577" w:rsidRDefault="000D000E" w:rsidP="000D000E">
            <w:pPr>
              <w:autoSpaceDE w:val="0"/>
              <w:autoSpaceDN w:val="0"/>
              <w:adjustRightInd w:val="0"/>
              <w:spacing w:after="0"/>
              <w:rPr>
                <w:rFonts w:cstheme="minorHAnsi"/>
                <w:b/>
                <w:bCs/>
                <w:color w:val="000000"/>
                <w:sz w:val="14"/>
                <w:szCs w:val="14"/>
              </w:rPr>
            </w:pPr>
            <w:r w:rsidRPr="00662577">
              <w:rPr>
                <w:rFonts w:eastAsia="Times New Roman" w:cstheme="minorHAnsi"/>
                <w:b/>
                <w:bCs/>
                <w:color w:val="000000"/>
                <w:sz w:val="14"/>
                <w:szCs w:val="14"/>
                <w:lang w:eastAsia="zh-CN"/>
              </w:rPr>
              <w:t>Odds of</w:t>
            </w:r>
            <w:r w:rsidR="00D1476A">
              <w:rPr>
                <w:rFonts w:eastAsia="Times New Roman" w:cstheme="minorHAnsi"/>
                <w:b/>
                <w:bCs/>
                <w:color w:val="000000"/>
                <w:sz w:val="14"/>
                <w:szCs w:val="14"/>
                <w:lang w:eastAsia="zh-CN"/>
              </w:rPr>
              <w:t xml:space="preserve"> ER-positive</w:t>
            </w:r>
            <w:r w:rsidRPr="00662577">
              <w:rPr>
                <w:rFonts w:eastAsia="Times New Roman" w:cstheme="minorHAnsi"/>
                <w:b/>
                <w:bCs/>
                <w:color w:val="000000"/>
                <w:sz w:val="14"/>
                <w:szCs w:val="14"/>
                <w:lang w:eastAsia="zh-CN"/>
              </w:rPr>
              <w:t xml:space="preserve"> breast cancer from IVW MR/ratio method (95% CI)</w:t>
            </w:r>
          </w:p>
        </w:tc>
        <w:tc>
          <w:tcPr>
            <w:tcW w:w="794" w:type="pct"/>
            <w:tcBorders>
              <w:top w:val="single" w:sz="12" w:space="0" w:color="auto"/>
              <w:left w:val="single" w:sz="12" w:space="0" w:color="auto"/>
              <w:bottom w:val="single" w:sz="12" w:space="0" w:color="auto"/>
              <w:right w:val="single" w:sz="18" w:space="0" w:color="auto"/>
            </w:tcBorders>
            <w:shd w:val="clear" w:color="auto" w:fill="auto"/>
            <w:vAlign w:val="center"/>
          </w:tcPr>
          <w:p w14:paraId="3A73C6E4" w14:textId="08DD2B67" w:rsidR="000D000E" w:rsidRPr="00662577" w:rsidRDefault="00D1476A" w:rsidP="000D000E">
            <w:pPr>
              <w:autoSpaceDE w:val="0"/>
              <w:autoSpaceDN w:val="0"/>
              <w:adjustRightInd w:val="0"/>
              <w:spacing w:after="0"/>
              <w:rPr>
                <w:rFonts w:cstheme="minorHAnsi"/>
                <w:b/>
                <w:bCs/>
                <w:color w:val="000000"/>
                <w:sz w:val="14"/>
                <w:szCs w:val="14"/>
              </w:rPr>
            </w:pPr>
            <w:r>
              <w:rPr>
                <w:rFonts w:cstheme="minorHAnsi"/>
                <w:b/>
                <w:bCs/>
                <w:color w:val="000000"/>
                <w:sz w:val="14"/>
                <w:szCs w:val="14"/>
              </w:rPr>
              <w:t>O</w:t>
            </w:r>
            <w:r w:rsidR="000D000E" w:rsidRPr="00662577">
              <w:rPr>
                <w:rFonts w:cstheme="minorHAnsi"/>
                <w:b/>
                <w:bCs/>
                <w:color w:val="000000"/>
                <w:sz w:val="14"/>
                <w:szCs w:val="14"/>
              </w:rPr>
              <w:t xml:space="preserve">dds of </w:t>
            </w:r>
            <w:r w:rsidRPr="00662577">
              <w:rPr>
                <w:rFonts w:eastAsia="Times New Roman" w:cstheme="minorHAnsi"/>
                <w:b/>
                <w:bCs/>
                <w:color w:val="000000"/>
                <w:sz w:val="14"/>
                <w:szCs w:val="14"/>
                <w:lang w:eastAsia="zh-CN"/>
              </w:rPr>
              <w:t xml:space="preserve">ER-negative </w:t>
            </w:r>
            <w:r w:rsidR="000D000E" w:rsidRPr="00662577">
              <w:rPr>
                <w:rFonts w:cstheme="minorHAnsi"/>
                <w:b/>
                <w:bCs/>
                <w:color w:val="000000"/>
                <w:sz w:val="14"/>
                <w:szCs w:val="14"/>
              </w:rPr>
              <w:t>breast cancer</w:t>
            </w:r>
            <w:r>
              <w:rPr>
                <w:rFonts w:cstheme="minorHAnsi"/>
                <w:b/>
                <w:bCs/>
                <w:color w:val="000000"/>
                <w:sz w:val="14"/>
                <w:szCs w:val="14"/>
              </w:rPr>
              <w:t xml:space="preserve"> </w:t>
            </w:r>
            <w:r w:rsidR="008A50C0">
              <w:rPr>
                <w:rFonts w:cstheme="minorHAnsi"/>
                <w:b/>
                <w:bCs/>
                <w:color w:val="000000"/>
                <w:sz w:val="14"/>
                <w:szCs w:val="14"/>
              </w:rPr>
              <w:t>from</w:t>
            </w:r>
            <w:r w:rsidRPr="00662577">
              <w:rPr>
                <w:rFonts w:eastAsia="Times New Roman" w:cstheme="minorHAnsi"/>
                <w:b/>
                <w:bCs/>
                <w:color w:val="000000"/>
                <w:sz w:val="14"/>
                <w:szCs w:val="14"/>
                <w:lang w:eastAsia="zh-CN"/>
              </w:rPr>
              <w:t xml:space="preserve"> IVW MR/ratio method</w:t>
            </w:r>
            <w:r w:rsidR="000D000E" w:rsidRPr="00662577">
              <w:rPr>
                <w:rFonts w:cstheme="minorHAnsi"/>
                <w:b/>
                <w:bCs/>
                <w:color w:val="000000"/>
                <w:sz w:val="14"/>
                <w:szCs w:val="14"/>
              </w:rPr>
              <w:t xml:space="preserve"> (95% CI)</w:t>
            </w:r>
          </w:p>
        </w:tc>
      </w:tr>
      <w:tr w:rsidR="008E2B78" w:rsidRPr="00662577" w14:paraId="1EE9EC0F" w14:textId="77777777" w:rsidTr="008E2B78">
        <w:trPr>
          <w:trHeight w:val="177"/>
        </w:trPr>
        <w:tc>
          <w:tcPr>
            <w:tcW w:w="228" w:type="pct"/>
            <w:vMerge w:val="restart"/>
            <w:tcBorders>
              <w:top w:val="single" w:sz="12" w:space="0" w:color="auto"/>
              <w:left w:val="single" w:sz="18" w:space="0" w:color="auto"/>
              <w:right w:val="single" w:sz="12" w:space="0" w:color="auto"/>
            </w:tcBorders>
            <w:textDirection w:val="btLr"/>
            <w:vAlign w:val="center"/>
          </w:tcPr>
          <w:p w14:paraId="0A6C43E3" w14:textId="77777777" w:rsidR="008E2B78" w:rsidRPr="00662577" w:rsidRDefault="008E2B78" w:rsidP="008E2B78">
            <w:pPr>
              <w:autoSpaceDE w:val="0"/>
              <w:autoSpaceDN w:val="0"/>
              <w:adjustRightInd w:val="0"/>
              <w:spacing w:after="0"/>
              <w:ind w:left="113" w:right="113"/>
              <w:jc w:val="center"/>
              <w:rPr>
                <w:rFonts w:cstheme="minorHAnsi"/>
                <w:color w:val="000000"/>
                <w:sz w:val="14"/>
                <w:szCs w:val="14"/>
              </w:rPr>
            </w:pPr>
            <w:r w:rsidRPr="00662577">
              <w:rPr>
                <w:rFonts w:cstheme="minorHAnsi"/>
                <w:color w:val="000000"/>
                <w:sz w:val="14"/>
                <w:szCs w:val="14"/>
              </w:rPr>
              <w:t>Bone and joint</w:t>
            </w:r>
          </w:p>
        </w:tc>
        <w:tc>
          <w:tcPr>
            <w:tcW w:w="558" w:type="pct"/>
            <w:tcBorders>
              <w:top w:val="single" w:sz="12" w:space="0" w:color="auto"/>
              <w:left w:val="single" w:sz="12" w:space="0" w:color="auto"/>
              <w:bottom w:val="single" w:sz="4" w:space="0" w:color="auto"/>
              <w:right w:val="single" w:sz="18" w:space="0" w:color="auto"/>
            </w:tcBorders>
            <w:shd w:val="clear" w:color="auto" w:fill="auto"/>
          </w:tcPr>
          <w:p w14:paraId="76751A07" w14:textId="77777777" w:rsidR="008E2B78" w:rsidRPr="00662577" w:rsidRDefault="008E2B78" w:rsidP="008E2B78">
            <w:pPr>
              <w:autoSpaceDE w:val="0"/>
              <w:autoSpaceDN w:val="0"/>
              <w:adjustRightInd w:val="0"/>
              <w:spacing w:after="0"/>
              <w:rPr>
                <w:rFonts w:cstheme="minorHAnsi"/>
                <w:color w:val="000000"/>
                <w:sz w:val="14"/>
                <w:szCs w:val="14"/>
              </w:rPr>
            </w:pPr>
            <w:r w:rsidRPr="00662577">
              <w:rPr>
                <w:rFonts w:cstheme="minorHAnsi"/>
                <w:color w:val="000000"/>
                <w:sz w:val="14"/>
                <w:szCs w:val="14"/>
              </w:rPr>
              <w:t>Alkaline phosphatase</w:t>
            </w:r>
          </w:p>
        </w:tc>
        <w:tc>
          <w:tcPr>
            <w:tcW w:w="975" w:type="pct"/>
            <w:tcBorders>
              <w:top w:val="single" w:sz="12" w:space="0" w:color="auto"/>
              <w:left w:val="single" w:sz="18" w:space="0" w:color="auto"/>
              <w:bottom w:val="single" w:sz="4" w:space="0" w:color="auto"/>
              <w:right w:val="single" w:sz="12" w:space="0" w:color="auto"/>
            </w:tcBorders>
            <w:shd w:val="clear" w:color="auto" w:fill="auto"/>
          </w:tcPr>
          <w:p w14:paraId="05747216" w14:textId="77777777" w:rsidR="008E2B78" w:rsidRPr="00662577" w:rsidRDefault="008E2B78" w:rsidP="008E2B78">
            <w:pPr>
              <w:autoSpaceDE w:val="0"/>
              <w:autoSpaceDN w:val="0"/>
              <w:adjustRightInd w:val="0"/>
              <w:spacing w:after="0"/>
              <w:rPr>
                <w:rFonts w:cstheme="minorHAnsi"/>
                <w:color w:val="000000"/>
                <w:sz w:val="14"/>
                <w:szCs w:val="14"/>
              </w:rPr>
            </w:pPr>
            <w:r w:rsidRPr="00662577">
              <w:rPr>
                <w:rFonts w:cstheme="minorHAnsi"/>
                <w:color w:val="000000"/>
                <w:sz w:val="14"/>
                <w:szCs w:val="14"/>
              </w:rPr>
              <w:t>-</w:t>
            </w:r>
          </w:p>
        </w:tc>
        <w:tc>
          <w:tcPr>
            <w:tcW w:w="859" w:type="pct"/>
            <w:tcBorders>
              <w:top w:val="single" w:sz="12" w:space="0" w:color="auto"/>
              <w:left w:val="single" w:sz="12" w:space="0" w:color="auto"/>
              <w:bottom w:val="single" w:sz="4" w:space="0" w:color="auto"/>
              <w:right w:val="single" w:sz="18" w:space="0" w:color="auto"/>
            </w:tcBorders>
          </w:tcPr>
          <w:p w14:paraId="397D9200" w14:textId="310D954C" w:rsidR="008E2B78" w:rsidRPr="00662577" w:rsidRDefault="008E2B78" w:rsidP="008E2B78">
            <w:pPr>
              <w:autoSpaceDE w:val="0"/>
              <w:autoSpaceDN w:val="0"/>
              <w:adjustRightInd w:val="0"/>
              <w:spacing w:after="0"/>
              <w:rPr>
                <w:rFonts w:cstheme="minorHAnsi"/>
                <w:color w:val="000000"/>
                <w:sz w:val="14"/>
                <w:szCs w:val="14"/>
              </w:rPr>
            </w:pPr>
            <w:r w:rsidRPr="00662577">
              <w:rPr>
                <w:rFonts w:ascii="Calibri" w:hAnsi="Calibri" w:cs="Calibri"/>
                <w:color w:val="000000"/>
                <w:sz w:val="14"/>
                <w:szCs w:val="14"/>
              </w:rPr>
              <w:t>-</w:t>
            </w:r>
          </w:p>
        </w:tc>
        <w:tc>
          <w:tcPr>
            <w:tcW w:w="793" w:type="pct"/>
            <w:tcBorders>
              <w:top w:val="single" w:sz="12" w:space="0" w:color="auto"/>
              <w:left w:val="single" w:sz="18" w:space="0" w:color="auto"/>
              <w:bottom w:val="single" w:sz="4" w:space="0" w:color="auto"/>
              <w:right w:val="single" w:sz="12" w:space="0" w:color="auto"/>
            </w:tcBorders>
          </w:tcPr>
          <w:p w14:paraId="2156E1AB" w14:textId="1B812707" w:rsidR="008E2B78" w:rsidRPr="00D2327D" w:rsidRDefault="008E2B78" w:rsidP="008E2B78">
            <w:pPr>
              <w:autoSpaceDE w:val="0"/>
              <w:autoSpaceDN w:val="0"/>
              <w:adjustRightInd w:val="0"/>
              <w:spacing w:after="0"/>
              <w:rPr>
                <w:rFonts w:cstheme="minorHAnsi"/>
                <w:color w:val="000000"/>
                <w:sz w:val="14"/>
                <w:szCs w:val="14"/>
              </w:rPr>
            </w:pPr>
            <w:r w:rsidRPr="00D2327D">
              <w:rPr>
                <w:rFonts w:cstheme="minorHAnsi"/>
                <w:b/>
                <w:bCs/>
                <w:color w:val="000000"/>
                <w:sz w:val="14"/>
                <w:szCs w:val="14"/>
              </w:rPr>
              <w:t>0.93 (0.89-0.98)</w:t>
            </w:r>
          </w:p>
        </w:tc>
        <w:tc>
          <w:tcPr>
            <w:tcW w:w="793" w:type="pct"/>
            <w:tcBorders>
              <w:top w:val="single" w:sz="12" w:space="0" w:color="auto"/>
              <w:left w:val="single" w:sz="12" w:space="0" w:color="auto"/>
              <w:bottom w:val="single" w:sz="4" w:space="0" w:color="auto"/>
              <w:right w:val="single" w:sz="12" w:space="0" w:color="auto"/>
            </w:tcBorders>
          </w:tcPr>
          <w:p w14:paraId="1D1C2488" w14:textId="0FB92657" w:rsidR="008E2B78" w:rsidRPr="00D2327D" w:rsidRDefault="008E2B78" w:rsidP="008E2B78">
            <w:pPr>
              <w:autoSpaceDE w:val="0"/>
              <w:autoSpaceDN w:val="0"/>
              <w:adjustRightInd w:val="0"/>
              <w:spacing w:after="0"/>
              <w:rPr>
                <w:rFonts w:cstheme="minorHAnsi"/>
                <w:color w:val="000000"/>
                <w:sz w:val="14"/>
                <w:szCs w:val="14"/>
              </w:rPr>
            </w:pPr>
            <w:r w:rsidRPr="00D2327D">
              <w:rPr>
                <w:rFonts w:cstheme="minorHAnsi"/>
                <w:b/>
                <w:bCs/>
                <w:color w:val="000000"/>
                <w:sz w:val="14"/>
                <w:szCs w:val="14"/>
              </w:rPr>
              <w:t>0.94 (0.89-0.99)</w:t>
            </w:r>
          </w:p>
        </w:tc>
        <w:tc>
          <w:tcPr>
            <w:tcW w:w="794" w:type="pct"/>
            <w:tcBorders>
              <w:top w:val="single" w:sz="12" w:space="0" w:color="auto"/>
              <w:left w:val="single" w:sz="12" w:space="0" w:color="auto"/>
              <w:bottom w:val="single" w:sz="4" w:space="0" w:color="auto"/>
              <w:right w:val="single" w:sz="18" w:space="0" w:color="auto"/>
            </w:tcBorders>
            <w:shd w:val="clear" w:color="auto" w:fill="auto"/>
          </w:tcPr>
          <w:p w14:paraId="5F496D10" w14:textId="59A320FB" w:rsidR="008E2B78" w:rsidRPr="00D2327D" w:rsidRDefault="008E2B78" w:rsidP="008E2B78">
            <w:pPr>
              <w:autoSpaceDE w:val="0"/>
              <w:autoSpaceDN w:val="0"/>
              <w:adjustRightInd w:val="0"/>
              <w:spacing w:after="0"/>
              <w:rPr>
                <w:rFonts w:cstheme="minorHAnsi"/>
                <w:color w:val="000000"/>
                <w:sz w:val="14"/>
                <w:szCs w:val="14"/>
              </w:rPr>
            </w:pPr>
            <w:r w:rsidRPr="00D2327D">
              <w:rPr>
                <w:rFonts w:cstheme="minorHAnsi"/>
                <w:color w:val="000000"/>
                <w:sz w:val="14"/>
                <w:szCs w:val="14"/>
              </w:rPr>
              <w:t>0.96 (0.90-1.02)</w:t>
            </w:r>
          </w:p>
        </w:tc>
      </w:tr>
      <w:tr w:rsidR="008E2B78" w:rsidRPr="00662577" w14:paraId="1EEBDC61" w14:textId="77777777" w:rsidTr="008E2B78">
        <w:trPr>
          <w:trHeight w:val="177"/>
        </w:trPr>
        <w:tc>
          <w:tcPr>
            <w:tcW w:w="228" w:type="pct"/>
            <w:vMerge/>
            <w:tcBorders>
              <w:left w:val="single" w:sz="18" w:space="0" w:color="auto"/>
              <w:right w:val="single" w:sz="12" w:space="0" w:color="auto"/>
            </w:tcBorders>
            <w:textDirection w:val="btLr"/>
            <w:vAlign w:val="center"/>
          </w:tcPr>
          <w:p w14:paraId="0F11CED9" w14:textId="77777777" w:rsidR="008E2B78" w:rsidRPr="00662577" w:rsidRDefault="008E2B78" w:rsidP="008E2B78">
            <w:pPr>
              <w:autoSpaceDE w:val="0"/>
              <w:autoSpaceDN w:val="0"/>
              <w:adjustRightInd w:val="0"/>
              <w:spacing w:after="0"/>
              <w:ind w:left="113" w:right="113"/>
              <w:jc w:val="center"/>
              <w:rPr>
                <w:rFonts w:cstheme="minorHAnsi"/>
                <w:color w:val="000000"/>
                <w:sz w:val="14"/>
                <w:szCs w:val="14"/>
              </w:rPr>
            </w:pPr>
          </w:p>
        </w:tc>
        <w:tc>
          <w:tcPr>
            <w:tcW w:w="558" w:type="pct"/>
            <w:tcBorders>
              <w:top w:val="single" w:sz="4" w:space="0" w:color="auto"/>
              <w:left w:val="single" w:sz="12" w:space="0" w:color="auto"/>
              <w:bottom w:val="single" w:sz="4" w:space="0" w:color="auto"/>
              <w:right w:val="single" w:sz="18" w:space="0" w:color="auto"/>
            </w:tcBorders>
            <w:shd w:val="clear" w:color="auto" w:fill="auto"/>
          </w:tcPr>
          <w:p w14:paraId="393914AD" w14:textId="77777777" w:rsidR="008E2B78" w:rsidRPr="00662577" w:rsidRDefault="008E2B78" w:rsidP="008E2B78">
            <w:pPr>
              <w:autoSpaceDE w:val="0"/>
              <w:autoSpaceDN w:val="0"/>
              <w:adjustRightInd w:val="0"/>
              <w:spacing w:after="0"/>
              <w:rPr>
                <w:rFonts w:cstheme="minorHAnsi"/>
                <w:color w:val="000000"/>
                <w:sz w:val="14"/>
                <w:szCs w:val="14"/>
              </w:rPr>
            </w:pPr>
            <w:r w:rsidRPr="00662577">
              <w:rPr>
                <w:rFonts w:cstheme="minorHAnsi"/>
                <w:color w:val="000000"/>
                <w:sz w:val="14"/>
                <w:szCs w:val="14"/>
              </w:rPr>
              <w:t>Calcium</w:t>
            </w:r>
          </w:p>
        </w:tc>
        <w:tc>
          <w:tcPr>
            <w:tcW w:w="975" w:type="pct"/>
            <w:tcBorders>
              <w:top w:val="single" w:sz="4" w:space="0" w:color="auto"/>
              <w:left w:val="single" w:sz="18" w:space="0" w:color="auto"/>
              <w:bottom w:val="single" w:sz="4" w:space="0" w:color="auto"/>
              <w:right w:val="single" w:sz="12" w:space="0" w:color="auto"/>
            </w:tcBorders>
            <w:shd w:val="clear" w:color="auto" w:fill="auto"/>
          </w:tcPr>
          <w:p w14:paraId="5DDB1360" w14:textId="0E0CFCA5" w:rsidR="008E2B78" w:rsidRPr="00662577" w:rsidRDefault="008E2B78" w:rsidP="008E2B78">
            <w:pPr>
              <w:autoSpaceDE w:val="0"/>
              <w:autoSpaceDN w:val="0"/>
              <w:adjustRightInd w:val="0"/>
              <w:spacing w:after="0"/>
              <w:rPr>
                <w:rFonts w:cstheme="minorHAnsi"/>
                <w:b/>
                <w:bCs/>
                <w:color w:val="000000"/>
                <w:sz w:val="14"/>
                <w:szCs w:val="14"/>
              </w:rPr>
            </w:pPr>
            <w:r w:rsidRPr="00662577">
              <w:rPr>
                <w:rFonts w:cstheme="minorHAnsi"/>
                <w:b/>
                <w:bCs/>
                <w:color w:val="000000"/>
                <w:sz w:val="14"/>
                <w:szCs w:val="14"/>
              </w:rPr>
              <w:t>Meta-analysis PHR: 0.80 (0.66-0.97)</w:t>
            </w:r>
            <w:r w:rsidR="004E28AA">
              <w:rPr>
                <w:rFonts w:cstheme="minorHAnsi"/>
                <w:b/>
                <w:bCs/>
                <w:color w:val="000000"/>
                <w:sz w:val="14"/>
                <w:szCs w:val="14"/>
              </w:rPr>
              <w:t xml:space="preserve"> </w:t>
            </w:r>
            <w:sdt>
              <w:sdtPr>
                <w:rPr>
                  <w:rFonts w:cstheme="minorHAnsi"/>
                  <w:bCs/>
                  <w:color w:val="000000"/>
                  <w:sz w:val="14"/>
                  <w:szCs w:val="14"/>
                </w:rPr>
                <w:tag w:val="MENDELEY_CITATION_v3_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"/>
                <w:id w:val="-1442067379"/>
                <w:placeholder>
                  <w:docPart w:val="DefaultPlaceholder_-1854013440"/>
                </w:placeholder>
              </w:sdtPr>
              <w:sdtEndPr/>
              <w:sdtContent>
                <w:r w:rsidR="00F630A3" w:rsidRPr="00F630A3">
                  <w:rPr>
                    <w:rFonts w:cstheme="minorHAnsi"/>
                    <w:bCs/>
                    <w:color w:val="000000"/>
                    <w:sz w:val="14"/>
                    <w:szCs w:val="14"/>
                  </w:rPr>
                  <w:t>[1]</w:t>
                </w:r>
              </w:sdtContent>
            </w:sdt>
          </w:p>
        </w:tc>
        <w:tc>
          <w:tcPr>
            <w:tcW w:w="859" w:type="pct"/>
            <w:tcBorders>
              <w:top w:val="single" w:sz="4" w:space="0" w:color="auto"/>
              <w:left w:val="single" w:sz="12" w:space="0" w:color="auto"/>
              <w:bottom w:val="single" w:sz="4" w:space="0" w:color="auto"/>
              <w:right w:val="single" w:sz="18" w:space="0" w:color="auto"/>
            </w:tcBorders>
          </w:tcPr>
          <w:p w14:paraId="49AB32C3" w14:textId="4CD98F05" w:rsidR="008E2B78" w:rsidRPr="00662577" w:rsidRDefault="008E2B78" w:rsidP="008E2B78">
            <w:pPr>
              <w:autoSpaceDE w:val="0"/>
              <w:autoSpaceDN w:val="0"/>
              <w:adjustRightInd w:val="0"/>
              <w:spacing w:after="0"/>
              <w:rPr>
                <w:rFonts w:cstheme="minorHAnsi"/>
                <w:color w:val="000000"/>
                <w:sz w:val="14"/>
                <w:szCs w:val="14"/>
              </w:rPr>
            </w:pPr>
            <w:r w:rsidRPr="00662577">
              <w:rPr>
                <w:rFonts w:ascii="Calibri" w:hAnsi="Calibri" w:cs="Calibri"/>
                <w:color w:val="000000"/>
                <w:sz w:val="14"/>
                <w:szCs w:val="14"/>
              </w:rPr>
              <w:t xml:space="preserve">OR: 0.91 (0.83-1.13) </w:t>
            </w:r>
            <w:sdt>
              <w:sdtPr>
                <w:rPr>
                  <w:rFonts w:ascii="Calibri" w:hAnsi="Calibri" w:cs="Calibri"/>
                  <w:color w:val="000000"/>
                  <w:sz w:val="14"/>
                  <w:szCs w:val="14"/>
                </w:rPr>
                <w:tag w:val="MENDELEY_CITATION_v3_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"/>
                <w:id w:val="-1412315568"/>
                <w:placeholder>
                  <w:docPart w:val="DefaultPlaceholder_-1854013440"/>
                </w:placeholder>
              </w:sdtPr>
              <w:sdtEndPr/>
              <w:sdtContent>
                <w:r w:rsidR="008F665C" w:rsidRPr="008F665C">
                  <w:rPr>
                    <w:rFonts w:ascii="Calibri" w:hAnsi="Calibri" w:cs="Calibri"/>
                    <w:color w:val="000000"/>
                    <w:sz w:val="14"/>
                    <w:szCs w:val="14"/>
                  </w:rPr>
                  <w:t>[2]</w:t>
                </w:r>
              </w:sdtContent>
            </w:sdt>
          </w:p>
        </w:tc>
        <w:tc>
          <w:tcPr>
            <w:tcW w:w="793" w:type="pct"/>
            <w:tcBorders>
              <w:top w:val="single" w:sz="4" w:space="0" w:color="auto"/>
              <w:left w:val="single" w:sz="18" w:space="0" w:color="auto"/>
              <w:bottom w:val="single" w:sz="4" w:space="0" w:color="auto"/>
              <w:right w:val="single" w:sz="12" w:space="0" w:color="auto"/>
            </w:tcBorders>
          </w:tcPr>
          <w:p w14:paraId="47C733C3" w14:textId="0884C50A" w:rsidR="008E2B78" w:rsidRPr="007064A3" w:rsidRDefault="008E2B78" w:rsidP="008E2B78">
            <w:pPr>
              <w:autoSpaceDE w:val="0"/>
              <w:autoSpaceDN w:val="0"/>
              <w:adjustRightInd w:val="0"/>
              <w:spacing w:after="0"/>
              <w:rPr>
                <w:rFonts w:cstheme="minorHAnsi"/>
                <w:color w:val="000000"/>
                <w:sz w:val="14"/>
                <w:szCs w:val="14"/>
              </w:rPr>
            </w:pPr>
            <w:r w:rsidRPr="007064A3">
              <w:rPr>
                <w:rFonts w:cstheme="minorHAnsi"/>
                <w:color w:val="000000"/>
                <w:sz w:val="14"/>
                <w:szCs w:val="14"/>
              </w:rPr>
              <w:t>1.00 (0.93-1.07)</w:t>
            </w:r>
          </w:p>
        </w:tc>
        <w:tc>
          <w:tcPr>
            <w:tcW w:w="793" w:type="pct"/>
            <w:tcBorders>
              <w:top w:val="single" w:sz="4" w:space="0" w:color="auto"/>
              <w:left w:val="single" w:sz="12" w:space="0" w:color="auto"/>
              <w:bottom w:val="single" w:sz="4" w:space="0" w:color="auto"/>
              <w:right w:val="single" w:sz="12" w:space="0" w:color="auto"/>
            </w:tcBorders>
          </w:tcPr>
          <w:p w14:paraId="4019A046" w14:textId="28493D49" w:rsidR="008E2B78" w:rsidRPr="007064A3" w:rsidRDefault="008E2B78" w:rsidP="008E2B78">
            <w:pPr>
              <w:autoSpaceDE w:val="0"/>
              <w:autoSpaceDN w:val="0"/>
              <w:adjustRightInd w:val="0"/>
              <w:spacing w:after="0"/>
              <w:rPr>
                <w:rFonts w:cstheme="minorHAnsi"/>
                <w:color w:val="000000"/>
                <w:sz w:val="14"/>
                <w:szCs w:val="14"/>
              </w:rPr>
            </w:pPr>
            <w:r w:rsidRPr="007064A3">
              <w:rPr>
                <w:rFonts w:cstheme="minorHAnsi"/>
                <w:color w:val="000000"/>
                <w:sz w:val="14"/>
                <w:szCs w:val="14"/>
              </w:rPr>
              <w:t>1.01 (0.94-1.08)</w:t>
            </w:r>
          </w:p>
        </w:tc>
        <w:tc>
          <w:tcPr>
            <w:tcW w:w="794" w:type="pct"/>
            <w:tcBorders>
              <w:top w:val="single" w:sz="4" w:space="0" w:color="auto"/>
              <w:left w:val="single" w:sz="12" w:space="0" w:color="auto"/>
              <w:bottom w:val="single" w:sz="4" w:space="0" w:color="auto"/>
              <w:right w:val="single" w:sz="18" w:space="0" w:color="auto"/>
            </w:tcBorders>
            <w:shd w:val="clear" w:color="auto" w:fill="auto"/>
          </w:tcPr>
          <w:p w14:paraId="3883449C" w14:textId="29201A18" w:rsidR="008E2B78" w:rsidRPr="007064A3" w:rsidRDefault="008E2B78" w:rsidP="008E2B78">
            <w:pPr>
              <w:autoSpaceDE w:val="0"/>
              <w:autoSpaceDN w:val="0"/>
              <w:adjustRightInd w:val="0"/>
              <w:spacing w:after="0"/>
              <w:rPr>
                <w:rFonts w:cstheme="minorHAnsi"/>
                <w:color w:val="000000"/>
                <w:sz w:val="14"/>
                <w:szCs w:val="14"/>
              </w:rPr>
            </w:pPr>
            <w:r w:rsidRPr="007064A3">
              <w:rPr>
                <w:rFonts w:cstheme="minorHAnsi"/>
                <w:color w:val="000000"/>
                <w:sz w:val="14"/>
                <w:szCs w:val="14"/>
              </w:rPr>
              <w:t>1.01 (0.94-1.08)</w:t>
            </w:r>
          </w:p>
        </w:tc>
      </w:tr>
      <w:tr w:rsidR="008E2B78" w:rsidRPr="00662577" w14:paraId="304EB8ED" w14:textId="77777777" w:rsidTr="008E2B78">
        <w:trPr>
          <w:trHeight w:val="177"/>
        </w:trPr>
        <w:tc>
          <w:tcPr>
            <w:tcW w:w="228" w:type="pct"/>
            <w:vMerge/>
            <w:tcBorders>
              <w:left w:val="single" w:sz="18" w:space="0" w:color="auto"/>
              <w:right w:val="single" w:sz="12" w:space="0" w:color="auto"/>
            </w:tcBorders>
            <w:textDirection w:val="btLr"/>
            <w:vAlign w:val="center"/>
          </w:tcPr>
          <w:p w14:paraId="5972488F" w14:textId="77777777" w:rsidR="008E2B78" w:rsidRPr="00662577" w:rsidRDefault="008E2B78" w:rsidP="008E2B78">
            <w:pPr>
              <w:autoSpaceDE w:val="0"/>
              <w:autoSpaceDN w:val="0"/>
              <w:adjustRightInd w:val="0"/>
              <w:spacing w:after="0"/>
              <w:ind w:left="113" w:right="113"/>
              <w:jc w:val="center"/>
              <w:rPr>
                <w:rFonts w:cstheme="minorHAnsi"/>
                <w:color w:val="000000"/>
                <w:sz w:val="14"/>
                <w:szCs w:val="14"/>
              </w:rPr>
            </w:pPr>
          </w:p>
        </w:tc>
        <w:tc>
          <w:tcPr>
            <w:tcW w:w="558" w:type="pct"/>
            <w:tcBorders>
              <w:top w:val="single" w:sz="4" w:space="0" w:color="auto"/>
              <w:left w:val="single" w:sz="12" w:space="0" w:color="auto"/>
              <w:bottom w:val="single" w:sz="4" w:space="0" w:color="auto"/>
              <w:right w:val="single" w:sz="18" w:space="0" w:color="auto"/>
            </w:tcBorders>
            <w:shd w:val="clear" w:color="auto" w:fill="auto"/>
          </w:tcPr>
          <w:p w14:paraId="10566F31" w14:textId="77777777" w:rsidR="008E2B78" w:rsidRPr="00662577" w:rsidRDefault="008E2B78" w:rsidP="008E2B78">
            <w:pPr>
              <w:autoSpaceDE w:val="0"/>
              <w:autoSpaceDN w:val="0"/>
              <w:adjustRightInd w:val="0"/>
              <w:spacing w:after="0"/>
              <w:rPr>
                <w:rFonts w:cstheme="minorHAnsi"/>
                <w:color w:val="000000"/>
                <w:sz w:val="14"/>
                <w:szCs w:val="14"/>
              </w:rPr>
            </w:pPr>
            <w:r w:rsidRPr="00662577">
              <w:rPr>
                <w:rFonts w:cstheme="minorHAnsi"/>
                <w:color w:val="000000"/>
                <w:sz w:val="14"/>
                <w:szCs w:val="14"/>
              </w:rPr>
              <w:t xml:space="preserve">Rheumatoid factor </w:t>
            </w:r>
          </w:p>
        </w:tc>
        <w:tc>
          <w:tcPr>
            <w:tcW w:w="975" w:type="pct"/>
            <w:tcBorders>
              <w:top w:val="single" w:sz="4" w:space="0" w:color="auto"/>
              <w:left w:val="single" w:sz="18" w:space="0" w:color="auto"/>
              <w:bottom w:val="single" w:sz="4" w:space="0" w:color="auto"/>
              <w:right w:val="single" w:sz="12" w:space="0" w:color="auto"/>
            </w:tcBorders>
            <w:shd w:val="clear" w:color="auto" w:fill="auto"/>
          </w:tcPr>
          <w:p w14:paraId="5EF46B16" w14:textId="77777777" w:rsidR="008E2B78" w:rsidRPr="00662577" w:rsidRDefault="008E2B78" w:rsidP="008E2B78">
            <w:pPr>
              <w:autoSpaceDE w:val="0"/>
              <w:autoSpaceDN w:val="0"/>
              <w:adjustRightInd w:val="0"/>
              <w:spacing w:after="0"/>
              <w:rPr>
                <w:rFonts w:cstheme="minorHAnsi"/>
                <w:color w:val="000000"/>
                <w:sz w:val="14"/>
                <w:szCs w:val="14"/>
              </w:rPr>
            </w:pPr>
            <w:r w:rsidRPr="00662577">
              <w:rPr>
                <w:rFonts w:cstheme="minorHAnsi"/>
                <w:color w:val="000000"/>
                <w:sz w:val="14"/>
                <w:szCs w:val="14"/>
              </w:rPr>
              <w:t>-</w:t>
            </w:r>
          </w:p>
        </w:tc>
        <w:tc>
          <w:tcPr>
            <w:tcW w:w="859" w:type="pct"/>
            <w:tcBorders>
              <w:top w:val="single" w:sz="4" w:space="0" w:color="auto"/>
              <w:left w:val="single" w:sz="12" w:space="0" w:color="auto"/>
              <w:bottom w:val="single" w:sz="4" w:space="0" w:color="auto"/>
              <w:right w:val="single" w:sz="18" w:space="0" w:color="auto"/>
            </w:tcBorders>
          </w:tcPr>
          <w:p w14:paraId="6619D039" w14:textId="58319B3F" w:rsidR="008E2B78" w:rsidRPr="00662577" w:rsidRDefault="008E2B78" w:rsidP="008E2B78">
            <w:pPr>
              <w:autoSpaceDE w:val="0"/>
              <w:autoSpaceDN w:val="0"/>
              <w:adjustRightInd w:val="0"/>
              <w:spacing w:after="0"/>
              <w:rPr>
                <w:rFonts w:cstheme="minorHAnsi"/>
                <w:color w:val="000000"/>
                <w:sz w:val="14"/>
                <w:szCs w:val="14"/>
              </w:rPr>
            </w:pPr>
            <w:r w:rsidRPr="00662577">
              <w:rPr>
                <w:rFonts w:ascii="Calibri" w:hAnsi="Calibri" w:cs="Calibri"/>
                <w:color w:val="000000"/>
                <w:sz w:val="14"/>
                <w:szCs w:val="14"/>
              </w:rPr>
              <w:t>-</w:t>
            </w:r>
          </w:p>
        </w:tc>
        <w:tc>
          <w:tcPr>
            <w:tcW w:w="793" w:type="pct"/>
            <w:tcBorders>
              <w:top w:val="single" w:sz="4" w:space="0" w:color="auto"/>
              <w:left w:val="single" w:sz="18" w:space="0" w:color="auto"/>
              <w:bottom w:val="single" w:sz="4" w:space="0" w:color="auto"/>
              <w:right w:val="single" w:sz="12" w:space="0" w:color="auto"/>
            </w:tcBorders>
          </w:tcPr>
          <w:p w14:paraId="075602DC" w14:textId="1F8760EC" w:rsidR="008E2B78" w:rsidRPr="007064A3" w:rsidRDefault="008E2B78" w:rsidP="008E2B78">
            <w:pPr>
              <w:autoSpaceDE w:val="0"/>
              <w:autoSpaceDN w:val="0"/>
              <w:adjustRightInd w:val="0"/>
              <w:spacing w:after="0"/>
              <w:rPr>
                <w:rFonts w:cstheme="minorHAnsi"/>
                <w:color w:val="000000"/>
                <w:sz w:val="14"/>
                <w:szCs w:val="14"/>
              </w:rPr>
            </w:pPr>
            <w:r w:rsidRPr="007064A3">
              <w:rPr>
                <w:rFonts w:cstheme="minorHAnsi"/>
                <w:color w:val="000000"/>
                <w:sz w:val="14"/>
                <w:szCs w:val="14"/>
              </w:rPr>
              <w:t>0.92 (0.76-1.11)</w:t>
            </w:r>
            <w:r w:rsidR="00737680" w:rsidRPr="007064A3">
              <w:rPr>
                <w:rFonts w:cstheme="minorHAnsi"/>
                <w:color w:val="000000"/>
                <w:sz w:val="14"/>
                <w:szCs w:val="14"/>
                <w:vertAlign w:val="superscript"/>
              </w:rPr>
              <w:t>$</w:t>
            </w:r>
          </w:p>
        </w:tc>
        <w:tc>
          <w:tcPr>
            <w:tcW w:w="793" w:type="pct"/>
            <w:tcBorders>
              <w:top w:val="single" w:sz="4" w:space="0" w:color="auto"/>
              <w:left w:val="single" w:sz="12" w:space="0" w:color="auto"/>
              <w:bottom w:val="single" w:sz="4" w:space="0" w:color="auto"/>
              <w:right w:val="single" w:sz="12" w:space="0" w:color="auto"/>
            </w:tcBorders>
          </w:tcPr>
          <w:p w14:paraId="09B877D5" w14:textId="6CA5BE75" w:rsidR="008E2B78" w:rsidRPr="007064A3" w:rsidRDefault="008E2B78" w:rsidP="008E2B78">
            <w:pPr>
              <w:autoSpaceDE w:val="0"/>
              <w:autoSpaceDN w:val="0"/>
              <w:adjustRightInd w:val="0"/>
              <w:spacing w:after="0"/>
              <w:rPr>
                <w:rFonts w:cstheme="minorHAnsi"/>
                <w:color w:val="000000"/>
                <w:sz w:val="14"/>
                <w:szCs w:val="14"/>
              </w:rPr>
            </w:pPr>
            <w:r w:rsidRPr="007064A3">
              <w:rPr>
                <w:rFonts w:cstheme="minorHAnsi"/>
                <w:color w:val="000000"/>
                <w:sz w:val="14"/>
                <w:szCs w:val="14"/>
              </w:rPr>
              <w:t>0.89 (0.71-1.12)</w:t>
            </w:r>
            <w:r w:rsidR="00E31BE9" w:rsidRPr="007064A3">
              <w:rPr>
                <w:rFonts w:cstheme="minorHAnsi"/>
                <w:color w:val="000000"/>
                <w:sz w:val="14"/>
                <w:szCs w:val="14"/>
              </w:rPr>
              <w:t>*</w:t>
            </w:r>
          </w:p>
        </w:tc>
        <w:tc>
          <w:tcPr>
            <w:tcW w:w="794" w:type="pct"/>
            <w:tcBorders>
              <w:top w:val="single" w:sz="4" w:space="0" w:color="auto"/>
              <w:left w:val="single" w:sz="12" w:space="0" w:color="auto"/>
              <w:bottom w:val="single" w:sz="4" w:space="0" w:color="auto"/>
              <w:right w:val="single" w:sz="18" w:space="0" w:color="auto"/>
            </w:tcBorders>
            <w:shd w:val="clear" w:color="auto" w:fill="auto"/>
          </w:tcPr>
          <w:p w14:paraId="61BD2559" w14:textId="2D8879BA" w:rsidR="008E2B78" w:rsidRPr="007064A3" w:rsidRDefault="008E2B78" w:rsidP="008E2B78">
            <w:pPr>
              <w:autoSpaceDE w:val="0"/>
              <w:autoSpaceDN w:val="0"/>
              <w:adjustRightInd w:val="0"/>
              <w:spacing w:after="0"/>
              <w:rPr>
                <w:rFonts w:cstheme="minorHAnsi"/>
                <w:color w:val="000000"/>
                <w:sz w:val="14"/>
                <w:szCs w:val="14"/>
              </w:rPr>
            </w:pPr>
            <w:r w:rsidRPr="007064A3">
              <w:rPr>
                <w:rFonts w:cstheme="minorHAnsi"/>
                <w:color w:val="333333"/>
                <w:sz w:val="14"/>
                <w:szCs w:val="14"/>
              </w:rPr>
              <w:t>0.89 (0.71-1.12)</w:t>
            </w:r>
            <w:r w:rsidR="00E31BE9" w:rsidRPr="007064A3">
              <w:rPr>
                <w:rFonts w:cstheme="minorHAnsi"/>
                <w:color w:val="333333"/>
                <w:sz w:val="14"/>
                <w:szCs w:val="14"/>
              </w:rPr>
              <w:t>*</w:t>
            </w:r>
          </w:p>
        </w:tc>
      </w:tr>
      <w:tr w:rsidR="008E2B78" w:rsidRPr="00662577" w14:paraId="330F33F4" w14:textId="77777777" w:rsidTr="008E2B78">
        <w:trPr>
          <w:trHeight w:val="177"/>
        </w:trPr>
        <w:tc>
          <w:tcPr>
            <w:tcW w:w="228" w:type="pct"/>
            <w:vMerge/>
            <w:tcBorders>
              <w:left w:val="single" w:sz="18" w:space="0" w:color="auto"/>
              <w:bottom w:val="single" w:sz="12" w:space="0" w:color="auto"/>
              <w:right w:val="single" w:sz="12" w:space="0" w:color="auto"/>
            </w:tcBorders>
            <w:textDirection w:val="btLr"/>
            <w:vAlign w:val="center"/>
          </w:tcPr>
          <w:p w14:paraId="57191DA9" w14:textId="77777777" w:rsidR="008E2B78" w:rsidRPr="00662577" w:rsidRDefault="008E2B78" w:rsidP="008E2B78">
            <w:pPr>
              <w:autoSpaceDE w:val="0"/>
              <w:autoSpaceDN w:val="0"/>
              <w:adjustRightInd w:val="0"/>
              <w:spacing w:after="0"/>
              <w:ind w:left="113" w:right="113"/>
              <w:jc w:val="center"/>
              <w:rPr>
                <w:rFonts w:cstheme="minorHAnsi"/>
                <w:color w:val="000000"/>
                <w:sz w:val="14"/>
                <w:szCs w:val="14"/>
              </w:rPr>
            </w:pPr>
          </w:p>
        </w:tc>
        <w:tc>
          <w:tcPr>
            <w:tcW w:w="558" w:type="pct"/>
            <w:tcBorders>
              <w:top w:val="single" w:sz="4" w:space="0" w:color="auto"/>
              <w:left w:val="single" w:sz="12" w:space="0" w:color="auto"/>
              <w:bottom w:val="single" w:sz="12" w:space="0" w:color="auto"/>
              <w:right w:val="single" w:sz="18" w:space="0" w:color="auto"/>
            </w:tcBorders>
            <w:shd w:val="clear" w:color="auto" w:fill="auto"/>
          </w:tcPr>
          <w:p w14:paraId="7993B3C2" w14:textId="77777777" w:rsidR="008E2B78" w:rsidRPr="00662577" w:rsidRDefault="008E2B78" w:rsidP="008E2B78">
            <w:pPr>
              <w:autoSpaceDE w:val="0"/>
              <w:autoSpaceDN w:val="0"/>
              <w:adjustRightInd w:val="0"/>
              <w:spacing w:after="0"/>
              <w:rPr>
                <w:rFonts w:cstheme="minorHAnsi"/>
                <w:color w:val="000000"/>
                <w:sz w:val="14"/>
                <w:szCs w:val="14"/>
              </w:rPr>
            </w:pPr>
            <w:r w:rsidRPr="00662577">
              <w:rPr>
                <w:rFonts w:cstheme="minorHAnsi"/>
                <w:color w:val="000000"/>
                <w:sz w:val="14"/>
                <w:szCs w:val="14"/>
              </w:rPr>
              <w:t>Vitamin D</w:t>
            </w:r>
          </w:p>
        </w:tc>
        <w:tc>
          <w:tcPr>
            <w:tcW w:w="975" w:type="pct"/>
            <w:tcBorders>
              <w:top w:val="single" w:sz="4" w:space="0" w:color="auto"/>
              <w:left w:val="single" w:sz="18" w:space="0" w:color="auto"/>
              <w:bottom w:val="single" w:sz="12" w:space="0" w:color="auto"/>
              <w:right w:val="single" w:sz="12" w:space="0" w:color="auto"/>
            </w:tcBorders>
            <w:shd w:val="clear" w:color="auto" w:fill="auto"/>
          </w:tcPr>
          <w:p w14:paraId="326411BD" w14:textId="36075C35" w:rsidR="008E2B78" w:rsidRPr="00662577" w:rsidRDefault="009A6A13" w:rsidP="008E2B78">
            <w:pPr>
              <w:autoSpaceDE w:val="0"/>
              <w:autoSpaceDN w:val="0"/>
              <w:adjustRightInd w:val="0"/>
              <w:spacing w:after="0"/>
              <w:rPr>
                <w:rFonts w:cstheme="minorHAnsi"/>
                <w:b/>
                <w:bCs/>
                <w:color w:val="000000"/>
                <w:sz w:val="14"/>
                <w:szCs w:val="14"/>
              </w:rPr>
            </w:pPr>
            <w:r>
              <w:rPr>
                <w:rFonts w:cstheme="minorHAnsi"/>
                <w:b/>
                <w:bCs/>
                <w:color w:val="000000"/>
                <w:sz w:val="14"/>
                <w:szCs w:val="14"/>
              </w:rPr>
              <w:t xml:space="preserve">Prospective cohort </w:t>
            </w:r>
            <w:r w:rsidR="00801C1A">
              <w:rPr>
                <w:rFonts w:cstheme="minorHAnsi"/>
                <w:b/>
                <w:bCs/>
                <w:color w:val="000000"/>
                <w:sz w:val="14"/>
                <w:szCs w:val="14"/>
              </w:rPr>
              <w:t>HR</w:t>
            </w:r>
            <w:r w:rsidR="008E2B78" w:rsidRPr="00662577">
              <w:rPr>
                <w:rFonts w:cstheme="minorHAnsi"/>
                <w:b/>
                <w:bCs/>
                <w:color w:val="000000"/>
                <w:sz w:val="14"/>
                <w:szCs w:val="14"/>
              </w:rPr>
              <w:t>: 0.</w:t>
            </w:r>
            <w:r>
              <w:rPr>
                <w:rFonts w:cstheme="minorHAnsi"/>
                <w:b/>
                <w:bCs/>
                <w:color w:val="000000"/>
                <w:sz w:val="14"/>
                <w:szCs w:val="14"/>
              </w:rPr>
              <w:t>95</w:t>
            </w:r>
            <w:r w:rsidR="008E2B78" w:rsidRPr="00662577">
              <w:rPr>
                <w:rFonts w:cstheme="minorHAnsi"/>
                <w:b/>
                <w:bCs/>
                <w:color w:val="000000"/>
                <w:sz w:val="14"/>
                <w:szCs w:val="14"/>
              </w:rPr>
              <w:t xml:space="preserve"> (0.</w:t>
            </w:r>
            <w:r>
              <w:rPr>
                <w:rFonts w:cstheme="minorHAnsi"/>
                <w:b/>
                <w:bCs/>
                <w:color w:val="000000"/>
                <w:sz w:val="14"/>
                <w:szCs w:val="14"/>
              </w:rPr>
              <w:t>92</w:t>
            </w:r>
            <w:r w:rsidR="008E2B78" w:rsidRPr="00662577">
              <w:rPr>
                <w:rFonts w:cstheme="minorHAnsi"/>
                <w:b/>
                <w:bCs/>
                <w:color w:val="000000"/>
                <w:sz w:val="14"/>
                <w:szCs w:val="14"/>
              </w:rPr>
              <w:t>-0.</w:t>
            </w:r>
            <w:r w:rsidR="00654A89">
              <w:rPr>
                <w:rFonts w:cstheme="minorHAnsi"/>
                <w:b/>
                <w:bCs/>
                <w:color w:val="000000"/>
                <w:sz w:val="14"/>
                <w:szCs w:val="14"/>
              </w:rPr>
              <w:t>98</w:t>
            </w:r>
            <w:r w:rsidR="008E2B78" w:rsidRPr="00662577">
              <w:rPr>
                <w:rFonts w:cstheme="minorHAnsi"/>
                <w:b/>
                <w:bCs/>
                <w:color w:val="000000"/>
                <w:sz w:val="14"/>
                <w:szCs w:val="14"/>
              </w:rPr>
              <w:t xml:space="preserve">) </w:t>
            </w:r>
            <w:sdt>
              <w:sdtPr>
                <w:rPr>
                  <w:rFonts w:cstheme="minorHAnsi"/>
                  <w:bCs/>
                  <w:color w:val="000000"/>
                  <w:sz w:val="14"/>
                  <w:szCs w:val="14"/>
                </w:rPr>
                <w:tag w:val="MENDELEY_CITATION_v3_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"/>
                <w:id w:val="544421124"/>
                <w:placeholder>
                  <w:docPart w:val="DefaultPlaceholder_-1854013440"/>
                </w:placeholder>
              </w:sdtPr>
              <w:sdtEndPr/>
              <w:sdtContent>
                <w:r w:rsidR="008F665C" w:rsidRPr="008F665C">
                  <w:rPr>
                    <w:rFonts w:cstheme="minorHAnsi"/>
                    <w:bCs/>
                    <w:color w:val="000000"/>
                    <w:sz w:val="14"/>
                    <w:szCs w:val="14"/>
                  </w:rPr>
                  <w:t>[3]</w:t>
                </w:r>
              </w:sdtContent>
            </w:sdt>
          </w:p>
        </w:tc>
        <w:tc>
          <w:tcPr>
            <w:tcW w:w="859" w:type="pct"/>
            <w:tcBorders>
              <w:top w:val="single" w:sz="4" w:space="0" w:color="auto"/>
              <w:left w:val="single" w:sz="12" w:space="0" w:color="auto"/>
              <w:bottom w:val="single" w:sz="12" w:space="0" w:color="auto"/>
              <w:right w:val="single" w:sz="18" w:space="0" w:color="auto"/>
            </w:tcBorders>
          </w:tcPr>
          <w:p w14:paraId="0EFA15BF" w14:textId="4D08A8D6" w:rsidR="008E2B78" w:rsidRPr="00662577" w:rsidRDefault="008E2B78" w:rsidP="008E2B78">
            <w:pPr>
              <w:autoSpaceDE w:val="0"/>
              <w:autoSpaceDN w:val="0"/>
              <w:adjustRightInd w:val="0"/>
              <w:spacing w:after="0"/>
              <w:rPr>
                <w:rFonts w:cstheme="minorHAnsi"/>
                <w:color w:val="000000"/>
                <w:sz w:val="14"/>
                <w:szCs w:val="14"/>
              </w:rPr>
            </w:pPr>
            <w:r w:rsidRPr="00662577">
              <w:rPr>
                <w:rFonts w:ascii="Calibri" w:hAnsi="Calibri" w:cs="Calibri"/>
                <w:color w:val="000000"/>
                <w:sz w:val="14"/>
                <w:szCs w:val="14"/>
              </w:rPr>
              <w:t>OR: 1.0</w:t>
            </w:r>
            <w:r w:rsidR="00CB3A52">
              <w:rPr>
                <w:rFonts w:ascii="Calibri" w:hAnsi="Calibri" w:cs="Calibri"/>
                <w:color w:val="000000"/>
                <w:sz w:val="14"/>
                <w:szCs w:val="14"/>
              </w:rPr>
              <w:t>0</w:t>
            </w:r>
            <w:r w:rsidRPr="00662577">
              <w:rPr>
                <w:rFonts w:ascii="Calibri" w:hAnsi="Calibri" w:cs="Calibri"/>
                <w:color w:val="000000"/>
                <w:sz w:val="14"/>
                <w:szCs w:val="14"/>
              </w:rPr>
              <w:t xml:space="preserve"> (0.9</w:t>
            </w:r>
            <w:r w:rsidR="00CB3A52">
              <w:rPr>
                <w:rFonts w:ascii="Calibri" w:hAnsi="Calibri" w:cs="Calibri"/>
                <w:color w:val="000000"/>
                <w:sz w:val="14"/>
                <w:szCs w:val="14"/>
              </w:rPr>
              <w:t>8</w:t>
            </w:r>
            <w:r w:rsidRPr="00662577">
              <w:rPr>
                <w:rFonts w:ascii="Calibri" w:hAnsi="Calibri" w:cs="Calibri"/>
                <w:color w:val="000000"/>
                <w:sz w:val="14"/>
                <w:szCs w:val="14"/>
              </w:rPr>
              <w:t>-1.0</w:t>
            </w:r>
            <w:r w:rsidR="00CB3A52">
              <w:rPr>
                <w:rFonts w:ascii="Calibri" w:hAnsi="Calibri" w:cs="Calibri"/>
                <w:color w:val="000000"/>
                <w:sz w:val="14"/>
                <w:szCs w:val="14"/>
              </w:rPr>
              <w:t>2</w:t>
            </w:r>
            <w:r w:rsidRPr="00662577">
              <w:rPr>
                <w:rFonts w:ascii="Calibri" w:hAnsi="Calibri" w:cs="Calibri"/>
                <w:color w:val="000000"/>
                <w:sz w:val="14"/>
                <w:szCs w:val="14"/>
              </w:rPr>
              <w:t xml:space="preserve">) </w:t>
            </w:r>
            <w:sdt>
              <w:sdtPr>
                <w:rPr>
                  <w:rFonts w:ascii="Calibri" w:hAnsi="Calibri" w:cs="Calibri"/>
                  <w:color w:val="000000"/>
                  <w:sz w:val="14"/>
                  <w:szCs w:val="14"/>
                </w:rPr>
                <w:tag w:val="MENDELEY_CITATION_v3_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"/>
                <w:id w:val="-1363822280"/>
                <w:placeholder>
                  <w:docPart w:val="DefaultPlaceholder_-1854013440"/>
                </w:placeholder>
              </w:sdtPr>
              <w:sdtEndPr/>
              <w:sdtContent>
                <w:r w:rsidR="008F665C" w:rsidRPr="008F665C">
                  <w:rPr>
                    <w:rFonts w:ascii="Calibri" w:hAnsi="Calibri" w:cs="Calibri"/>
                    <w:color w:val="000000"/>
                    <w:sz w:val="14"/>
                    <w:szCs w:val="14"/>
                  </w:rPr>
                  <w:t>[3]</w:t>
                </w:r>
              </w:sdtContent>
            </w:sdt>
          </w:p>
        </w:tc>
        <w:tc>
          <w:tcPr>
            <w:tcW w:w="793" w:type="pct"/>
            <w:tcBorders>
              <w:top w:val="single" w:sz="4" w:space="0" w:color="auto"/>
              <w:left w:val="single" w:sz="18" w:space="0" w:color="auto"/>
              <w:bottom w:val="single" w:sz="12" w:space="0" w:color="auto"/>
              <w:right w:val="single" w:sz="12" w:space="0" w:color="auto"/>
            </w:tcBorders>
          </w:tcPr>
          <w:p w14:paraId="2B21076C" w14:textId="33050533" w:rsidR="008E2B78" w:rsidRPr="007064A3" w:rsidRDefault="008E2B78" w:rsidP="008E2B78">
            <w:pPr>
              <w:autoSpaceDE w:val="0"/>
              <w:autoSpaceDN w:val="0"/>
              <w:adjustRightInd w:val="0"/>
              <w:spacing w:after="0"/>
              <w:rPr>
                <w:rFonts w:cstheme="minorHAnsi"/>
                <w:color w:val="000000"/>
                <w:sz w:val="14"/>
                <w:szCs w:val="14"/>
              </w:rPr>
            </w:pPr>
            <w:r w:rsidRPr="007064A3">
              <w:rPr>
                <w:rFonts w:cstheme="minorHAnsi"/>
                <w:color w:val="000000"/>
                <w:sz w:val="14"/>
                <w:szCs w:val="14"/>
              </w:rPr>
              <w:t>1.03 (0.96-1.11)</w:t>
            </w:r>
          </w:p>
        </w:tc>
        <w:tc>
          <w:tcPr>
            <w:tcW w:w="793" w:type="pct"/>
            <w:tcBorders>
              <w:top w:val="single" w:sz="4" w:space="0" w:color="auto"/>
              <w:left w:val="single" w:sz="12" w:space="0" w:color="auto"/>
              <w:bottom w:val="single" w:sz="12" w:space="0" w:color="auto"/>
              <w:right w:val="single" w:sz="12" w:space="0" w:color="auto"/>
            </w:tcBorders>
          </w:tcPr>
          <w:p w14:paraId="2D267534" w14:textId="24B40680" w:rsidR="008E2B78" w:rsidRPr="007064A3" w:rsidRDefault="008E2B78" w:rsidP="008E2B78">
            <w:pPr>
              <w:autoSpaceDE w:val="0"/>
              <w:autoSpaceDN w:val="0"/>
              <w:adjustRightInd w:val="0"/>
              <w:spacing w:after="0"/>
              <w:rPr>
                <w:rFonts w:cstheme="minorHAnsi"/>
                <w:color w:val="000000"/>
                <w:sz w:val="14"/>
                <w:szCs w:val="14"/>
              </w:rPr>
            </w:pPr>
            <w:r w:rsidRPr="007064A3">
              <w:rPr>
                <w:rFonts w:cstheme="minorHAnsi"/>
                <w:color w:val="000000"/>
                <w:sz w:val="14"/>
                <w:szCs w:val="14"/>
              </w:rPr>
              <w:t>1.01 (0.91-1.11)</w:t>
            </w:r>
          </w:p>
        </w:tc>
        <w:tc>
          <w:tcPr>
            <w:tcW w:w="794" w:type="pct"/>
            <w:tcBorders>
              <w:top w:val="single" w:sz="4" w:space="0" w:color="auto"/>
              <w:left w:val="single" w:sz="12" w:space="0" w:color="auto"/>
              <w:bottom w:val="single" w:sz="12" w:space="0" w:color="auto"/>
              <w:right w:val="single" w:sz="18" w:space="0" w:color="auto"/>
            </w:tcBorders>
            <w:shd w:val="clear" w:color="auto" w:fill="auto"/>
          </w:tcPr>
          <w:p w14:paraId="440947AB" w14:textId="1B200ACD" w:rsidR="008E2B78" w:rsidRPr="007064A3" w:rsidRDefault="008E2B78" w:rsidP="008E2B78">
            <w:pPr>
              <w:autoSpaceDE w:val="0"/>
              <w:autoSpaceDN w:val="0"/>
              <w:adjustRightInd w:val="0"/>
              <w:spacing w:after="0"/>
              <w:rPr>
                <w:rFonts w:cstheme="minorHAnsi"/>
                <w:color w:val="000000"/>
                <w:sz w:val="14"/>
                <w:szCs w:val="14"/>
              </w:rPr>
            </w:pPr>
            <w:r w:rsidRPr="007064A3">
              <w:rPr>
                <w:rFonts w:cstheme="minorHAnsi"/>
                <w:color w:val="000000"/>
                <w:sz w:val="14"/>
                <w:szCs w:val="14"/>
              </w:rPr>
              <w:t>1.01 (0.91-1.11)</w:t>
            </w:r>
          </w:p>
        </w:tc>
      </w:tr>
      <w:tr w:rsidR="005B6562" w:rsidRPr="00662577" w14:paraId="7BAA20FB" w14:textId="77777777" w:rsidTr="008E2B78">
        <w:trPr>
          <w:trHeight w:val="25"/>
        </w:trPr>
        <w:tc>
          <w:tcPr>
            <w:tcW w:w="228" w:type="pct"/>
            <w:vMerge w:val="restart"/>
            <w:tcBorders>
              <w:top w:val="dashed" w:sz="4" w:space="0" w:color="auto"/>
              <w:left w:val="single" w:sz="18" w:space="0" w:color="auto"/>
              <w:right w:val="single" w:sz="12" w:space="0" w:color="auto"/>
            </w:tcBorders>
            <w:textDirection w:val="btLr"/>
            <w:vAlign w:val="center"/>
          </w:tcPr>
          <w:p w14:paraId="6948E065" w14:textId="77777777" w:rsidR="005B6562" w:rsidRPr="00662577" w:rsidRDefault="005B6562" w:rsidP="005B6562">
            <w:pPr>
              <w:autoSpaceDE w:val="0"/>
              <w:autoSpaceDN w:val="0"/>
              <w:adjustRightInd w:val="0"/>
              <w:spacing w:after="0"/>
              <w:ind w:left="113" w:right="113"/>
              <w:jc w:val="center"/>
              <w:rPr>
                <w:rFonts w:cstheme="minorHAnsi"/>
                <w:color w:val="000000"/>
                <w:sz w:val="14"/>
                <w:szCs w:val="14"/>
              </w:rPr>
            </w:pPr>
            <w:r w:rsidRPr="00662577">
              <w:rPr>
                <w:rFonts w:cstheme="minorHAnsi"/>
                <w:color w:val="000000"/>
                <w:sz w:val="14"/>
                <w:szCs w:val="14"/>
              </w:rPr>
              <w:t>Cancer</w:t>
            </w:r>
          </w:p>
        </w:tc>
        <w:tc>
          <w:tcPr>
            <w:tcW w:w="558" w:type="pct"/>
            <w:tcBorders>
              <w:top w:val="single" w:sz="12" w:space="0" w:color="auto"/>
              <w:left w:val="single" w:sz="12" w:space="0" w:color="auto"/>
              <w:bottom w:val="single" w:sz="4" w:space="0" w:color="auto"/>
              <w:right w:val="single" w:sz="18" w:space="0" w:color="auto"/>
            </w:tcBorders>
            <w:shd w:val="clear" w:color="auto" w:fill="auto"/>
          </w:tcPr>
          <w:p w14:paraId="2BD56AD8" w14:textId="77777777" w:rsidR="005B6562" w:rsidRPr="00662577" w:rsidRDefault="005B6562" w:rsidP="005B6562">
            <w:pPr>
              <w:autoSpaceDE w:val="0"/>
              <w:autoSpaceDN w:val="0"/>
              <w:adjustRightInd w:val="0"/>
              <w:spacing w:after="0"/>
              <w:rPr>
                <w:rFonts w:cstheme="minorHAnsi"/>
                <w:color w:val="000000"/>
                <w:sz w:val="14"/>
                <w:szCs w:val="14"/>
              </w:rPr>
            </w:pPr>
            <w:r w:rsidRPr="00662577">
              <w:rPr>
                <w:rFonts w:cstheme="minorHAnsi"/>
                <w:color w:val="000000"/>
                <w:sz w:val="14"/>
                <w:szCs w:val="14"/>
              </w:rPr>
              <w:t xml:space="preserve">IGF-1 </w:t>
            </w:r>
          </w:p>
        </w:tc>
        <w:tc>
          <w:tcPr>
            <w:tcW w:w="975" w:type="pct"/>
            <w:tcBorders>
              <w:top w:val="single" w:sz="12" w:space="0" w:color="auto"/>
              <w:left w:val="single" w:sz="18" w:space="0" w:color="auto"/>
              <w:bottom w:val="single" w:sz="4" w:space="0" w:color="auto"/>
              <w:right w:val="single" w:sz="12" w:space="0" w:color="auto"/>
            </w:tcBorders>
            <w:shd w:val="clear" w:color="auto" w:fill="auto"/>
          </w:tcPr>
          <w:p w14:paraId="3570A661" w14:textId="54B6C604" w:rsidR="005B6562" w:rsidRPr="00662577" w:rsidRDefault="005B6562" w:rsidP="005B6562">
            <w:pPr>
              <w:autoSpaceDE w:val="0"/>
              <w:autoSpaceDN w:val="0"/>
              <w:adjustRightInd w:val="0"/>
              <w:spacing w:after="0"/>
              <w:rPr>
                <w:rFonts w:cstheme="minorHAnsi"/>
                <w:b/>
                <w:bCs/>
                <w:color w:val="000000"/>
                <w:sz w:val="14"/>
                <w:szCs w:val="14"/>
              </w:rPr>
            </w:pPr>
            <w:r w:rsidRPr="00662577">
              <w:rPr>
                <w:rFonts w:cstheme="minorHAnsi"/>
                <w:b/>
                <w:bCs/>
                <w:color w:val="000000"/>
                <w:sz w:val="14"/>
                <w:szCs w:val="14"/>
              </w:rPr>
              <w:t>Prospective cohort HR: 1.11 (1.07-1.16)</w:t>
            </w:r>
            <w:r w:rsidR="009B4F63">
              <w:rPr>
                <w:rFonts w:cstheme="minorHAnsi"/>
                <w:b/>
                <w:bCs/>
                <w:color w:val="000000"/>
                <w:sz w:val="14"/>
                <w:szCs w:val="14"/>
              </w:rPr>
              <w:t xml:space="preserve"> </w:t>
            </w:r>
            <w:sdt>
              <w:sdtPr>
                <w:rPr>
                  <w:rFonts w:cstheme="minorHAnsi"/>
                  <w:bCs/>
                  <w:color w:val="000000"/>
                  <w:sz w:val="14"/>
                  <w:szCs w:val="14"/>
                </w:rPr>
                <w:tag w:val="MENDELEY_CITATION_v3_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"/>
                <w:id w:val="1021598569"/>
                <w:placeholder>
                  <w:docPart w:val="DefaultPlaceholder_-1854013440"/>
                </w:placeholder>
              </w:sdtPr>
              <w:sdtEndPr/>
              <w:sdtContent>
                <w:r w:rsidR="008F665C" w:rsidRPr="008F665C">
                  <w:rPr>
                    <w:rFonts w:cstheme="minorHAnsi"/>
                    <w:bCs/>
                    <w:color w:val="000000"/>
                    <w:sz w:val="14"/>
                    <w:szCs w:val="14"/>
                  </w:rPr>
                  <w:t>[4]</w:t>
                </w:r>
              </w:sdtContent>
            </w:sdt>
            <w:r w:rsidRPr="00662577">
              <w:rPr>
                <w:rFonts w:cstheme="minorHAnsi"/>
                <w:b/>
                <w:bCs/>
                <w:color w:val="000000"/>
                <w:sz w:val="14"/>
                <w:szCs w:val="14"/>
              </w:rPr>
              <w:t xml:space="preserve"> </w:t>
            </w:r>
          </w:p>
        </w:tc>
        <w:tc>
          <w:tcPr>
            <w:tcW w:w="859" w:type="pct"/>
            <w:tcBorders>
              <w:top w:val="single" w:sz="12" w:space="0" w:color="auto"/>
              <w:left w:val="single" w:sz="12" w:space="0" w:color="auto"/>
              <w:bottom w:val="single" w:sz="4" w:space="0" w:color="auto"/>
              <w:right w:val="single" w:sz="18" w:space="0" w:color="auto"/>
            </w:tcBorders>
          </w:tcPr>
          <w:p w14:paraId="2B6C3B2F" w14:textId="136FD7B4" w:rsidR="005B6562" w:rsidRPr="00662577" w:rsidRDefault="005B6562" w:rsidP="005B6562">
            <w:pPr>
              <w:autoSpaceDE w:val="0"/>
              <w:autoSpaceDN w:val="0"/>
              <w:adjustRightInd w:val="0"/>
              <w:spacing w:after="0"/>
              <w:rPr>
                <w:rFonts w:cstheme="minorHAnsi"/>
                <w:b/>
                <w:bCs/>
                <w:color w:val="000000"/>
                <w:sz w:val="14"/>
                <w:szCs w:val="14"/>
              </w:rPr>
            </w:pPr>
            <w:r w:rsidRPr="00662577">
              <w:rPr>
                <w:rFonts w:ascii="Calibri" w:hAnsi="Calibri" w:cs="Calibri"/>
                <w:b/>
                <w:bCs/>
                <w:color w:val="000000"/>
                <w:sz w:val="14"/>
                <w:szCs w:val="14"/>
              </w:rPr>
              <w:t xml:space="preserve">OR: 1.05 (1.01-1.10) </w:t>
            </w:r>
            <w:sdt>
              <w:sdtPr>
                <w:rPr>
                  <w:rFonts w:ascii="Calibri" w:hAnsi="Calibri" w:cs="Calibri"/>
                  <w:bCs/>
                  <w:color w:val="000000"/>
                  <w:sz w:val="14"/>
                  <w:szCs w:val="14"/>
                </w:rPr>
                <w:tag w:val="MENDELEY_CITATION_v3_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"/>
                <w:id w:val="329722155"/>
                <w:placeholder>
                  <w:docPart w:val="DefaultPlaceholder_-1854013440"/>
                </w:placeholder>
              </w:sdtPr>
              <w:sdtEndPr/>
              <w:sdtContent>
                <w:r w:rsidR="008F665C" w:rsidRPr="008F665C">
                  <w:rPr>
                    <w:rFonts w:ascii="Calibri" w:hAnsi="Calibri" w:cs="Calibri"/>
                    <w:bCs/>
                    <w:color w:val="000000"/>
                    <w:sz w:val="14"/>
                    <w:szCs w:val="14"/>
                  </w:rPr>
                  <w:t>[4]</w:t>
                </w:r>
              </w:sdtContent>
            </w:sdt>
          </w:p>
        </w:tc>
        <w:tc>
          <w:tcPr>
            <w:tcW w:w="793" w:type="pct"/>
            <w:tcBorders>
              <w:top w:val="single" w:sz="12" w:space="0" w:color="auto"/>
              <w:left w:val="single" w:sz="18" w:space="0" w:color="auto"/>
              <w:bottom w:val="single" w:sz="4" w:space="0" w:color="auto"/>
              <w:right w:val="single" w:sz="12" w:space="0" w:color="auto"/>
            </w:tcBorders>
          </w:tcPr>
          <w:p w14:paraId="72275137" w14:textId="7886F5FA" w:rsidR="005B6562" w:rsidRPr="007064A3" w:rsidRDefault="005B6562" w:rsidP="005B6562">
            <w:pPr>
              <w:autoSpaceDE w:val="0"/>
              <w:autoSpaceDN w:val="0"/>
              <w:adjustRightInd w:val="0"/>
              <w:spacing w:after="0"/>
              <w:rPr>
                <w:rFonts w:cstheme="minorHAnsi"/>
                <w:b/>
                <w:bCs/>
                <w:color w:val="000000"/>
                <w:sz w:val="14"/>
                <w:szCs w:val="14"/>
              </w:rPr>
            </w:pPr>
            <w:r w:rsidRPr="007064A3">
              <w:rPr>
                <w:rFonts w:cstheme="minorHAnsi"/>
                <w:b/>
                <w:bCs/>
                <w:color w:val="000000"/>
                <w:sz w:val="14"/>
                <w:szCs w:val="14"/>
              </w:rPr>
              <w:t>1.08 (1.02-1.13)</w:t>
            </w:r>
          </w:p>
        </w:tc>
        <w:tc>
          <w:tcPr>
            <w:tcW w:w="793" w:type="pct"/>
            <w:tcBorders>
              <w:top w:val="single" w:sz="12" w:space="0" w:color="auto"/>
              <w:left w:val="single" w:sz="12" w:space="0" w:color="auto"/>
              <w:bottom w:val="single" w:sz="4" w:space="0" w:color="auto"/>
              <w:right w:val="single" w:sz="12" w:space="0" w:color="auto"/>
            </w:tcBorders>
          </w:tcPr>
          <w:p w14:paraId="69638E55" w14:textId="68189747" w:rsidR="005B6562" w:rsidRPr="007064A3" w:rsidRDefault="005B6562" w:rsidP="005B6562">
            <w:pPr>
              <w:autoSpaceDE w:val="0"/>
              <w:autoSpaceDN w:val="0"/>
              <w:adjustRightInd w:val="0"/>
              <w:spacing w:after="0"/>
              <w:rPr>
                <w:rFonts w:cstheme="minorHAnsi"/>
                <w:b/>
                <w:bCs/>
                <w:color w:val="000000"/>
                <w:sz w:val="14"/>
                <w:szCs w:val="14"/>
              </w:rPr>
            </w:pPr>
            <w:r w:rsidRPr="007064A3">
              <w:rPr>
                <w:rFonts w:cstheme="minorHAnsi"/>
                <w:b/>
                <w:bCs/>
                <w:color w:val="000000"/>
                <w:sz w:val="14"/>
                <w:szCs w:val="14"/>
              </w:rPr>
              <w:t>1.07 (1.01-1.14)</w:t>
            </w:r>
          </w:p>
        </w:tc>
        <w:tc>
          <w:tcPr>
            <w:tcW w:w="794" w:type="pct"/>
            <w:tcBorders>
              <w:top w:val="single" w:sz="12" w:space="0" w:color="auto"/>
              <w:left w:val="single" w:sz="12" w:space="0" w:color="auto"/>
              <w:bottom w:val="single" w:sz="4" w:space="0" w:color="auto"/>
              <w:right w:val="single" w:sz="18" w:space="0" w:color="auto"/>
            </w:tcBorders>
            <w:shd w:val="clear" w:color="auto" w:fill="auto"/>
          </w:tcPr>
          <w:p w14:paraId="3DAB9CC6" w14:textId="57F81734" w:rsidR="005B6562" w:rsidRPr="007064A3" w:rsidRDefault="005B6562" w:rsidP="005B6562">
            <w:pPr>
              <w:autoSpaceDE w:val="0"/>
              <w:autoSpaceDN w:val="0"/>
              <w:adjustRightInd w:val="0"/>
              <w:spacing w:after="0"/>
              <w:rPr>
                <w:rFonts w:cstheme="minorHAnsi"/>
                <w:b/>
                <w:bCs/>
                <w:color w:val="000000"/>
                <w:sz w:val="14"/>
                <w:szCs w:val="14"/>
              </w:rPr>
            </w:pPr>
            <w:r w:rsidRPr="007064A3">
              <w:rPr>
                <w:rFonts w:cstheme="minorHAnsi"/>
                <w:color w:val="000000"/>
                <w:sz w:val="14"/>
                <w:szCs w:val="14"/>
              </w:rPr>
              <w:t>1.04 (0.97-1.11)</w:t>
            </w:r>
          </w:p>
        </w:tc>
      </w:tr>
      <w:tr w:rsidR="005B6562" w:rsidRPr="00662577" w14:paraId="5C7CC9BF" w14:textId="77777777" w:rsidTr="008E2B78">
        <w:trPr>
          <w:trHeight w:val="25"/>
        </w:trPr>
        <w:tc>
          <w:tcPr>
            <w:tcW w:w="228" w:type="pct"/>
            <w:vMerge/>
            <w:tcBorders>
              <w:left w:val="single" w:sz="18" w:space="0" w:color="auto"/>
              <w:right w:val="single" w:sz="12" w:space="0" w:color="auto"/>
            </w:tcBorders>
            <w:textDirection w:val="btLr"/>
            <w:vAlign w:val="center"/>
          </w:tcPr>
          <w:p w14:paraId="48C04135" w14:textId="77777777" w:rsidR="005B6562" w:rsidRPr="00662577" w:rsidRDefault="005B6562" w:rsidP="005B6562">
            <w:pPr>
              <w:autoSpaceDE w:val="0"/>
              <w:autoSpaceDN w:val="0"/>
              <w:adjustRightInd w:val="0"/>
              <w:spacing w:after="0"/>
              <w:ind w:left="113" w:right="113"/>
              <w:jc w:val="center"/>
              <w:rPr>
                <w:rFonts w:cstheme="minorHAnsi"/>
                <w:color w:val="000000"/>
                <w:sz w:val="14"/>
                <w:szCs w:val="14"/>
              </w:rPr>
            </w:pPr>
          </w:p>
        </w:tc>
        <w:tc>
          <w:tcPr>
            <w:tcW w:w="558" w:type="pct"/>
            <w:tcBorders>
              <w:top w:val="single" w:sz="4" w:space="0" w:color="auto"/>
              <w:left w:val="single" w:sz="12" w:space="0" w:color="auto"/>
              <w:bottom w:val="single" w:sz="4" w:space="0" w:color="auto"/>
              <w:right w:val="single" w:sz="18" w:space="0" w:color="auto"/>
            </w:tcBorders>
            <w:shd w:val="clear" w:color="auto" w:fill="auto"/>
          </w:tcPr>
          <w:p w14:paraId="12926A32" w14:textId="77777777" w:rsidR="005B6562" w:rsidRPr="00662577" w:rsidRDefault="005B6562" w:rsidP="005B6562">
            <w:pPr>
              <w:autoSpaceDE w:val="0"/>
              <w:autoSpaceDN w:val="0"/>
              <w:adjustRightInd w:val="0"/>
              <w:spacing w:after="0"/>
              <w:rPr>
                <w:rFonts w:cstheme="minorHAnsi"/>
                <w:color w:val="000000"/>
                <w:sz w:val="14"/>
                <w:szCs w:val="14"/>
              </w:rPr>
            </w:pPr>
            <w:r w:rsidRPr="00662577">
              <w:rPr>
                <w:rFonts w:cstheme="minorHAnsi"/>
                <w:color w:val="000000"/>
                <w:sz w:val="14"/>
                <w:szCs w:val="14"/>
              </w:rPr>
              <w:t xml:space="preserve">Oestradiol </w:t>
            </w:r>
          </w:p>
        </w:tc>
        <w:tc>
          <w:tcPr>
            <w:tcW w:w="975" w:type="pct"/>
            <w:tcBorders>
              <w:top w:val="single" w:sz="4" w:space="0" w:color="auto"/>
              <w:left w:val="single" w:sz="18" w:space="0" w:color="auto"/>
              <w:bottom w:val="single" w:sz="4" w:space="0" w:color="auto"/>
              <w:right w:val="single" w:sz="12" w:space="0" w:color="auto"/>
            </w:tcBorders>
            <w:shd w:val="clear" w:color="auto" w:fill="auto"/>
          </w:tcPr>
          <w:p w14:paraId="1600AEC6" w14:textId="5E9B1DE6" w:rsidR="005B6562" w:rsidRPr="00662577" w:rsidRDefault="005B6562" w:rsidP="005B6562">
            <w:pPr>
              <w:autoSpaceDE w:val="0"/>
              <w:autoSpaceDN w:val="0"/>
              <w:adjustRightInd w:val="0"/>
              <w:spacing w:after="0"/>
              <w:rPr>
                <w:rFonts w:cstheme="minorHAnsi"/>
                <w:b/>
                <w:bCs/>
                <w:color w:val="000000"/>
                <w:sz w:val="14"/>
                <w:szCs w:val="14"/>
              </w:rPr>
            </w:pPr>
            <w:r w:rsidRPr="00662577">
              <w:rPr>
                <w:rFonts w:cstheme="minorHAnsi"/>
                <w:b/>
                <w:bCs/>
                <w:color w:val="000000"/>
                <w:sz w:val="14"/>
                <w:szCs w:val="14"/>
              </w:rPr>
              <w:t xml:space="preserve">Meta-analysis OR: 2.15 (1.87-2.46) </w:t>
            </w:r>
            <w:sdt>
              <w:sdtPr>
                <w:rPr>
                  <w:rFonts w:cstheme="minorHAnsi"/>
                  <w:bCs/>
                  <w:color w:val="000000"/>
                  <w:sz w:val="14"/>
                  <w:szCs w:val="14"/>
                </w:rPr>
                <w:tag w:val="MENDELEY_CITATION_v3_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"/>
                <w:id w:val="-50774736"/>
                <w:placeholder>
                  <w:docPart w:val="DefaultPlaceholder_-1854013440"/>
                </w:placeholder>
              </w:sdtPr>
              <w:sdtEndPr/>
              <w:sdtContent>
                <w:r w:rsidR="008F665C" w:rsidRPr="008F665C">
                  <w:rPr>
                    <w:rFonts w:cstheme="minorHAnsi"/>
                    <w:bCs/>
                    <w:color w:val="000000"/>
                    <w:sz w:val="14"/>
                    <w:szCs w:val="14"/>
                  </w:rPr>
                  <w:t>[5]</w:t>
                </w:r>
              </w:sdtContent>
            </w:sdt>
            <w:r w:rsidR="00A669F5">
              <w:rPr>
                <w:rFonts w:cstheme="minorHAnsi"/>
                <w:b/>
                <w:bCs/>
                <w:color w:val="000000"/>
                <w:sz w:val="14"/>
                <w:szCs w:val="14"/>
              </w:rPr>
              <w:t xml:space="preserve"> </w:t>
            </w:r>
          </w:p>
        </w:tc>
        <w:tc>
          <w:tcPr>
            <w:tcW w:w="859" w:type="pct"/>
            <w:tcBorders>
              <w:top w:val="single" w:sz="4" w:space="0" w:color="auto"/>
              <w:left w:val="single" w:sz="12" w:space="0" w:color="auto"/>
              <w:bottom w:val="single" w:sz="4" w:space="0" w:color="auto"/>
              <w:right w:val="single" w:sz="18" w:space="0" w:color="auto"/>
            </w:tcBorders>
          </w:tcPr>
          <w:p w14:paraId="38A7B47D" w14:textId="65573591" w:rsidR="005B6562" w:rsidRPr="00662577" w:rsidRDefault="005B6562" w:rsidP="005B6562">
            <w:pPr>
              <w:autoSpaceDE w:val="0"/>
              <w:autoSpaceDN w:val="0"/>
              <w:adjustRightInd w:val="0"/>
              <w:spacing w:after="0"/>
              <w:rPr>
                <w:rFonts w:cstheme="minorHAnsi"/>
                <w:color w:val="000000"/>
                <w:sz w:val="14"/>
                <w:szCs w:val="14"/>
              </w:rPr>
            </w:pPr>
            <w:r w:rsidRPr="00662577">
              <w:rPr>
                <w:rFonts w:ascii="Calibri" w:hAnsi="Calibri" w:cs="Calibri"/>
                <w:color w:val="000000"/>
                <w:sz w:val="14"/>
                <w:szCs w:val="14"/>
              </w:rPr>
              <w:t>-</w:t>
            </w:r>
          </w:p>
        </w:tc>
        <w:tc>
          <w:tcPr>
            <w:tcW w:w="793" w:type="pct"/>
            <w:tcBorders>
              <w:top w:val="single" w:sz="4" w:space="0" w:color="auto"/>
              <w:left w:val="single" w:sz="18" w:space="0" w:color="auto"/>
              <w:bottom w:val="single" w:sz="4" w:space="0" w:color="auto"/>
              <w:right w:val="single" w:sz="12" w:space="0" w:color="auto"/>
            </w:tcBorders>
          </w:tcPr>
          <w:p w14:paraId="14C3E339" w14:textId="081E2E74" w:rsidR="005B6562" w:rsidRPr="007064A3" w:rsidRDefault="005B6562" w:rsidP="005B6562">
            <w:pPr>
              <w:autoSpaceDE w:val="0"/>
              <w:autoSpaceDN w:val="0"/>
              <w:adjustRightInd w:val="0"/>
              <w:spacing w:after="0"/>
              <w:rPr>
                <w:rFonts w:cstheme="minorHAnsi"/>
                <w:color w:val="000000"/>
                <w:sz w:val="14"/>
                <w:szCs w:val="14"/>
              </w:rPr>
            </w:pPr>
            <w:r w:rsidRPr="007064A3">
              <w:rPr>
                <w:rFonts w:cstheme="minorHAnsi"/>
                <w:color w:val="000000"/>
                <w:sz w:val="14"/>
                <w:szCs w:val="14"/>
              </w:rPr>
              <w:t>0.91 (0.68-1.23)</w:t>
            </w:r>
            <w:r w:rsidR="00737680" w:rsidRPr="007064A3">
              <w:rPr>
                <w:rFonts w:cstheme="minorHAnsi"/>
                <w:color w:val="000000"/>
                <w:sz w:val="14"/>
                <w:szCs w:val="14"/>
                <w:vertAlign w:val="superscript"/>
              </w:rPr>
              <w:t>$</w:t>
            </w:r>
          </w:p>
        </w:tc>
        <w:tc>
          <w:tcPr>
            <w:tcW w:w="793" w:type="pct"/>
            <w:tcBorders>
              <w:top w:val="single" w:sz="4" w:space="0" w:color="auto"/>
              <w:left w:val="single" w:sz="12" w:space="0" w:color="auto"/>
              <w:bottom w:val="single" w:sz="4" w:space="0" w:color="auto"/>
              <w:right w:val="single" w:sz="12" w:space="0" w:color="auto"/>
            </w:tcBorders>
          </w:tcPr>
          <w:p w14:paraId="39F0C3F2" w14:textId="68BAFCD5" w:rsidR="005B6562" w:rsidRPr="007064A3" w:rsidRDefault="005B6562" w:rsidP="005B6562">
            <w:pPr>
              <w:autoSpaceDE w:val="0"/>
              <w:autoSpaceDN w:val="0"/>
              <w:adjustRightInd w:val="0"/>
              <w:spacing w:after="0"/>
              <w:rPr>
                <w:rFonts w:cstheme="minorHAnsi"/>
                <w:color w:val="000000"/>
                <w:sz w:val="14"/>
                <w:szCs w:val="14"/>
              </w:rPr>
            </w:pPr>
            <w:r w:rsidRPr="007064A3">
              <w:rPr>
                <w:rFonts w:cstheme="minorHAnsi"/>
                <w:color w:val="000000"/>
                <w:sz w:val="14"/>
                <w:szCs w:val="14"/>
              </w:rPr>
              <w:t>0.96 (0.68-1.37)</w:t>
            </w:r>
            <w:r w:rsidR="00737680" w:rsidRPr="007064A3">
              <w:rPr>
                <w:rFonts w:cstheme="minorHAnsi"/>
                <w:color w:val="000000"/>
                <w:sz w:val="14"/>
                <w:szCs w:val="14"/>
                <w:vertAlign w:val="superscript"/>
              </w:rPr>
              <w:t>$</w:t>
            </w:r>
          </w:p>
        </w:tc>
        <w:tc>
          <w:tcPr>
            <w:tcW w:w="794" w:type="pct"/>
            <w:tcBorders>
              <w:top w:val="single" w:sz="4" w:space="0" w:color="auto"/>
              <w:left w:val="single" w:sz="12" w:space="0" w:color="auto"/>
              <w:bottom w:val="single" w:sz="4" w:space="0" w:color="auto"/>
              <w:right w:val="single" w:sz="18" w:space="0" w:color="auto"/>
            </w:tcBorders>
            <w:shd w:val="clear" w:color="auto" w:fill="auto"/>
          </w:tcPr>
          <w:p w14:paraId="333D94A8" w14:textId="6CA329CB" w:rsidR="005B6562" w:rsidRPr="007064A3" w:rsidRDefault="005B6562" w:rsidP="005B6562">
            <w:pPr>
              <w:autoSpaceDE w:val="0"/>
              <w:autoSpaceDN w:val="0"/>
              <w:adjustRightInd w:val="0"/>
              <w:spacing w:after="0"/>
              <w:rPr>
                <w:rFonts w:cstheme="minorHAnsi"/>
                <w:color w:val="000000"/>
                <w:sz w:val="14"/>
                <w:szCs w:val="14"/>
              </w:rPr>
            </w:pPr>
            <w:r w:rsidRPr="007064A3">
              <w:rPr>
                <w:rFonts w:cstheme="minorHAnsi"/>
                <w:color w:val="000000"/>
                <w:sz w:val="14"/>
                <w:szCs w:val="14"/>
              </w:rPr>
              <w:t>0.87 (0.51-1.49)</w:t>
            </w:r>
            <w:r w:rsidR="00737680" w:rsidRPr="007064A3">
              <w:rPr>
                <w:rFonts w:cstheme="minorHAnsi"/>
                <w:color w:val="000000"/>
                <w:sz w:val="14"/>
                <w:szCs w:val="14"/>
                <w:vertAlign w:val="superscript"/>
              </w:rPr>
              <w:t>$</w:t>
            </w:r>
          </w:p>
        </w:tc>
      </w:tr>
      <w:tr w:rsidR="005B6562" w:rsidRPr="00662577" w14:paraId="66739DDB" w14:textId="77777777" w:rsidTr="008E2B78">
        <w:trPr>
          <w:trHeight w:val="25"/>
        </w:trPr>
        <w:tc>
          <w:tcPr>
            <w:tcW w:w="228" w:type="pct"/>
            <w:vMerge/>
            <w:tcBorders>
              <w:left w:val="single" w:sz="18" w:space="0" w:color="auto"/>
              <w:right w:val="single" w:sz="12" w:space="0" w:color="auto"/>
            </w:tcBorders>
            <w:textDirection w:val="btLr"/>
            <w:vAlign w:val="center"/>
          </w:tcPr>
          <w:p w14:paraId="3A5480A0" w14:textId="77777777" w:rsidR="005B6562" w:rsidRPr="00662577" w:rsidRDefault="005B6562" w:rsidP="005B6562">
            <w:pPr>
              <w:autoSpaceDE w:val="0"/>
              <w:autoSpaceDN w:val="0"/>
              <w:adjustRightInd w:val="0"/>
              <w:spacing w:after="0"/>
              <w:ind w:left="113" w:right="113"/>
              <w:jc w:val="center"/>
              <w:rPr>
                <w:rFonts w:cstheme="minorHAnsi"/>
                <w:color w:val="000000"/>
                <w:sz w:val="14"/>
                <w:szCs w:val="14"/>
              </w:rPr>
            </w:pPr>
          </w:p>
        </w:tc>
        <w:tc>
          <w:tcPr>
            <w:tcW w:w="558" w:type="pct"/>
            <w:tcBorders>
              <w:top w:val="single" w:sz="4" w:space="0" w:color="auto"/>
              <w:left w:val="single" w:sz="12" w:space="0" w:color="auto"/>
              <w:bottom w:val="single" w:sz="4" w:space="0" w:color="auto"/>
              <w:right w:val="single" w:sz="18" w:space="0" w:color="auto"/>
            </w:tcBorders>
            <w:shd w:val="clear" w:color="auto" w:fill="auto"/>
          </w:tcPr>
          <w:p w14:paraId="56D7449A" w14:textId="77777777" w:rsidR="005B6562" w:rsidRPr="00662577" w:rsidRDefault="005B6562" w:rsidP="005B6562">
            <w:pPr>
              <w:autoSpaceDE w:val="0"/>
              <w:autoSpaceDN w:val="0"/>
              <w:adjustRightInd w:val="0"/>
              <w:spacing w:after="0"/>
              <w:rPr>
                <w:rFonts w:cstheme="minorHAnsi"/>
                <w:color w:val="000000"/>
                <w:sz w:val="14"/>
                <w:szCs w:val="14"/>
              </w:rPr>
            </w:pPr>
            <w:r w:rsidRPr="00662577">
              <w:rPr>
                <w:rFonts w:cstheme="minorHAnsi"/>
                <w:color w:val="000000"/>
                <w:sz w:val="14"/>
                <w:szCs w:val="14"/>
              </w:rPr>
              <w:t xml:space="preserve">SHBG </w:t>
            </w:r>
          </w:p>
        </w:tc>
        <w:tc>
          <w:tcPr>
            <w:tcW w:w="975" w:type="pct"/>
            <w:tcBorders>
              <w:top w:val="single" w:sz="4" w:space="0" w:color="auto"/>
              <w:left w:val="single" w:sz="18" w:space="0" w:color="auto"/>
              <w:bottom w:val="single" w:sz="4" w:space="0" w:color="auto"/>
              <w:right w:val="single" w:sz="12" w:space="0" w:color="auto"/>
            </w:tcBorders>
            <w:shd w:val="clear" w:color="auto" w:fill="auto"/>
          </w:tcPr>
          <w:p w14:paraId="1B6FB6EB" w14:textId="7C443FF4" w:rsidR="005B6562" w:rsidRPr="00662577" w:rsidRDefault="005B6562" w:rsidP="005B6562">
            <w:pPr>
              <w:autoSpaceDE w:val="0"/>
              <w:autoSpaceDN w:val="0"/>
              <w:adjustRightInd w:val="0"/>
              <w:spacing w:after="0"/>
              <w:rPr>
                <w:rFonts w:cstheme="minorHAnsi"/>
                <w:b/>
                <w:bCs/>
                <w:color w:val="000000"/>
                <w:sz w:val="14"/>
                <w:szCs w:val="14"/>
              </w:rPr>
            </w:pPr>
            <w:r w:rsidRPr="00662577">
              <w:rPr>
                <w:rFonts w:cstheme="minorHAnsi"/>
                <w:b/>
                <w:bCs/>
                <w:color w:val="000000"/>
                <w:sz w:val="14"/>
                <w:szCs w:val="14"/>
              </w:rPr>
              <w:t xml:space="preserve">Meta-analysis PRR: 0.64 (0.57-0.72) </w:t>
            </w:r>
            <w:sdt>
              <w:sdtPr>
                <w:rPr>
                  <w:rFonts w:cstheme="minorHAnsi"/>
                  <w:bCs/>
                  <w:color w:val="000000"/>
                  <w:sz w:val="14"/>
                  <w:szCs w:val="14"/>
                </w:rPr>
                <w:tag w:val="MENDELEY_CITATION_v3_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"/>
                <w:id w:val="1830708446"/>
                <w:placeholder>
                  <w:docPart w:val="DefaultPlaceholder_-1854013440"/>
                </w:placeholder>
              </w:sdtPr>
              <w:sdtEndPr/>
              <w:sdtContent>
                <w:r w:rsidR="008F665C" w:rsidRPr="008F665C">
                  <w:rPr>
                    <w:rFonts w:cstheme="minorHAnsi"/>
                    <w:bCs/>
                    <w:color w:val="000000"/>
                    <w:sz w:val="14"/>
                    <w:szCs w:val="14"/>
                  </w:rPr>
                  <w:t>[6]</w:t>
                </w:r>
              </w:sdtContent>
            </w:sdt>
          </w:p>
        </w:tc>
        <w:tc>
          <w:tcPr>
            <w:tcW w:w="859" w:type="pct"/>
            <w:tcBorders>
              <w:top w:val="single" w:sz="4" w:space="0" w:color="auto"/>
              <w:left w:val="single" w:sz="12" w:space="0" w:color="auto"/>
              <w:bottom w:val="single" w:sz="4" w:space="0" w:color="auto"/>
              <w:right w:val="single" w:sz="18" w:space="0" w:color="auto"/>
            </w:tcBorders>
          </w:tcPr>
          <w:p w14:paraId="05E3DED7" w14:textId="724CFC30" w:rsidR="005B6562" w:rsidRPr="00662577" w:rsidRDefault="005B6562" w:rsidP="005B6562">
            <w:pPr>
              <w:autoSpaceDE w:val="0"/>
              <w:autoSpaceDN w:val="0"/>
              <w:adjustRightInd w:val="0"/>
              <w:spacing w:after="0"/>
              <w:rPr>
                <w:rFonts w:cstheme="minorHAnsi"/>
                <w:b/>
                <w:bCs/>
                <w:color w:val="000000"/>
                <w:sz w:val="14"/>
                <w:szCs w:val="14"/>
              </w:rPr>
            </w:pPr>
            <w:r w:rsidRPr="00491334">
              <w:rPr>
                <w:rFonts w:ascii="Calibri" w:hAnsi="Calibri" w:cs="Calibri"/>
                <w:color w:val="000000"/>
                <w:sz w:val="14"/>
                <w:szCs w:val="14"/>
              </w:rPr>
              <w:t>OR: 0.9</w:t>
            </w:r>
            <w:r w:rsidR="0013006E">
              <w:rPr>
                <w:rFonts w:ascii="Calibri" w:hAnsi="Calibri" w:cs="Calibri"/>
                <w:color w:val="000000"/>
                <w:sz w:val="14"/>
                <w:szCs w:val="14"/>
              </w:rPr>
              <w:t>6</w:t>
            </w:r>
            <w:r w:rsidRPr="00491334">
              <w:rPr>
                <w:rFonts w:ascii="Calibri" w:hAnsi="Calibri" w:cs="Calibri"/>
                <w:color w:val="000000"/>
                <w:sz w:val="14"/>
                <w:szCs w:val="14"/>
              </w:rPr>
              <w:t xml:space="preserve"> (0.9</w:t>
            </w:r>
            <w:r w:rsidR="0013006E">
              <w:rPr>
                <w:rFonts w:ascii="Calibri" w:hAnsi="Calibri" w:cs="Calibri"/>
                <w:color w:val="000000"/>
                <w:sz w:val="14"/>
                <w:szCs w:val="14"/>
              </w:rPr>
              <w:t>2</w:t>
            </w:r>
            <w:r w:rsidRPr="00491334">
              <w:rPr>
                <w:rFonts w:ascii="Calibri" w:hAnsi="Calibri" w:cs="Calibri"/>
                <w:color w:val="000000"/>
                <w:sz w:val="14"/>
                <w:szCs w:val="14"/>
              </w:rPr>
              <w:t>-</w:t>
            </w:r>
            <w:r w:rsidR="0013006E">
              <w:rPr>
                <w:rFonts w:ascii="Calibri" w:hAnsi="Calibri" w:cs="Calibri"/>
                <w:color w:val="000000"/>
                <w:sz w:val="14"/>
                <w:szCs w:val="14"/>
              </w:rPr>
              <w:t>1.00</w:t>
            </w:r>
            <w:r w:rsidRPr="00491334">
              <w:rPr>
                <w:rFonts w:ascii="Calibri" w:hAnsi="Calibri" w:cs="Calibri"/>
                <w:color w:val="000000"/>
                <w:sz w:val="14"/>
                <w:szCs w:val="14"/>
              </w:rPr>
              <w:t>)</w:t>
            </w:r>
            <w:r w:rsidRPr="00662577">
              <w:rPr>
                <w:rFonts w:ascii="Calibri" w:hAnsi="Calibri" w:cs="Calibri"/>
                <w:b/>
                <w:bCs/>
                <w:color w:val="000000"/>
                <w:sz w:val="14"/>
                <w:szCs w:val="14"/>
              </w:rPr>
              <w:t xml:space="preserve"> </w:t>
            </w:r>
            <w:sdt>
              <w:sdtPr>
                <w:rPr>
                  <w:rFonts w:ascii="Calibri" w:hAnsi="Calibri" w:cs="Calibri"/>
                  <w:bCs/>
                  <w:color w:val="000000"/>
                  <w:sz w:val="14"/>
                  <w:szCs w:val="14"/>
                </w:rPr>
                <w:tag w:val="MENDELEY_CITATION_v3_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"/>
                <w:id w:val="27853461"/>
                <w:placeholder>
                  <w:docPart w:val="DefaultPlaceholder_-1854013440"/>
                </w:placeholder>
              </w:sdtPr>
              <w:sdtEndPr/>
              <w:sdtContent>
                <w:r w:rsidR="008F665C" w:rsidRPr="008F665C">
                  <w:rPr>
                    <w:rFonts w:ascii="Calibri" w:hAnsi="Calibri" w:cs="Calibri"/>
                    <w:bCs/>
                    <w:color w:val="000000"/>
                    <w:sz w:val="14"/>
                    <w:szCs w:val="14"/>
                  </w:rPr>
                  <w:t>[7]</w:t>
                </w:r>
              </w:sdtContent>
            </w:sdt>
          </w:p>
        </w:tc>
        <w:tc>
          <w:tcPr>
            <w:tcW w:w="793" w:type="pct"/>
            <w:tcBorders>
              <w:top w:val="single" w:sz="4" w:space="0" w:color="auto"/>
              <w:left w:val="single" w:sz="18" w:space="0" w:color="auto"/>
              <w:bottom w:val="single" w:sz="4" w:space="0" w:color="auto"/>
              <w:right w:val="single" w:sz="12" w:space="0" w:color="auto"/>
            </w:tcBorders>
          </w:tcPr>
          <w:p w14:paraId="11E891F6" w14:textId="70F9DE6F" w:rsidR="005B6562" w:rsidRPr="003926B0" w:rsidRDefault="005B6562" w:rsidP="005B6562">
            <w:pPr>
              <w:autoSpaceDE w:val="0"/>
              <w:autoSpaceDN w:val="0"/>
              <w:adjustRightInd w:val="0"/>
              <w:spacing w:after="0"/>
              <w:rPr>
                <w:rFonts w:cstheme="minorHAnsi"/>
                <w:b/>
                <w:bCs/>
                <w:color w:val="000000"/>
                <w:sz w:val="14"/>
                <w:szCs w:val="14"/>
              </w:rPr>
            </w:pPr>
            <w:r w:rsidRPr="003926B0">
              <w:rPr>
                <w:rFonts w:cstheme="minorHAnsi"/>
                <w:color w:val="000000"/>
                <w:sz w:val="14"/>
                <w:szCs w:val="14"/>
              </w:rPr>
              <w:t>0.98 (0.92-1.05)</w:t>
            </w:r>
          </w:p>
        </w:tc>
        <w:tc>
          <w:tcPr>
            <w:tcW w:w="793" w:type="pct"/>
            <w:tcBorders>
              <w:top w:val="single" w:sz="4" w:space="0" w:color="auto"/>
              <w:left w:val="single" w:sz="12" w:space="0" w:color="auto"/>
              <w:bottom w:val="single" w:sz="4" w:space="0" w:color="auto"/>
              <w:right w:val="single" w:sz="12" w:space="0" w:color="auto"/>
            </w:tcBorders>
          </w:tcPr>
          <w:p w14:paraId="22343228" w14:textId="1E0D8542" w:rsidR="005B6562" w:rsidRPr="003926B0" w:rsidRDefault="005B6562" w:rsidP="005B6562">
            <w:pPr>
              <w:autoSpaceDE w:val="0"/>
              <w:autoSpaceDN w:val="0"/>
              <w:adjustRightInd w:val="0"/>
              <w:spacing w:after="0"/>
              <w:rPr>
                <w:rFonts w:cstheme="minorHAnsi"/>
                <w:b/>
                <w:bCs/>
                <w:color w:val="000000"/>
                <w:sz w:val="14"/>
                <w:szCs w:val="14"/>
              </w:rPr>
            </w:pPr>
            <w:r w:rsidRPr="003926B0">
              <w:rPr>
                <w:rFonts w:cstheme="minorHAnsi"/>
                <w:color w:val="000000"/>
                <w:sz w:val="14"/>
                <w:szCs w:val="14"/>
              </w:rPr>
              <w:t>0.95 (0.88-1.03)</w:t>
            </w:r>
          </w:p>
        </w:tc>
        <w:tc>
          <w:tcPr>
            <w:tcW w:w="794" w:type="pct"/>
            <w:tcBorders>
              <w:top w:val="single" w:sz="4" w:space="0" w:color="auto"/>
              <w:left w:val="single" w:sz="12" w:space="0" w:color="auto"/>
              <w:bottom w:val="single" w:sz="4" w:space="0" w:color="auto"/>
              <w:right w:val="single" w:sz="18" w:space="0" w:color="auto"/>
            </w:tcBorders>
            <w:shd w:val="clear" w:color="auto" w:fill="auto"/>
          </w:tcPr>
          <w:p w14:paraId="27C90939" w14:textId="66206F73" w:rsidR="005B6562" w:rsidRPr="003926B0" w:rsidRDefault="005B6562" w:rsidP="005B6562">
            <w:pPr>
              <w:autoSpaceDE w:val="0"/>
              <w:autoSpaceDN w:val="0"/>
              <w:adjustRightInd w:val="0"/>
              <w:spacing w:after="0"/>
              <w:rPr>
                <w:rFonts w:cstheme="minorHAnsi"/>
                <w:b/>
                <w:bCs/>
                <w:color w:val="000000"/>
                <w:sz w:val="14"/>
                <w:szCs w:val="14"/>
              </w:rPr>
            </w:pPr>
            <w:r w:rsidRPr="003926B0">
              <w:rPr>
                <w:rFonts w:cstheme="minorHAnsi"/>
                <w:color w:val="000000"/>
                <w:sz w:val="14"/>
                <w:szCs w:val="14"/>
              </w:rPr>
              <w:t>1.07 (0.99-1.16)</w:t>
            </w:r>
          </w:p>
        </w:tc>
      </w:tr>
      <w:tr w:rsidR="005B6562" w:rsidRPr="00662577" w14:paraId="4010601A" w14:textId="77777777" w:rsidTr="008E2B78">
        <w:trPr>
          <w:trHeight w:val="25"/>
        </w:trPr>
        <w:tc>
          <w:tcPr>
            <w:tcW w:w="228" w:type="pct"/>
            <w:vMerge/>
            <w:tcBorders>
              <w:left w:val="single" w:sz="18" w:space="0" w:color="auto"/>
              <w:bottom w:val="single" w:sz="12" w:space="0" w:color="auto"/>
              <w:right w:val="single" w:sz="12" w:space="0" w:color="auto"/>
            </w:tcBorders>
            <w:textDirection w:val="btLr"/>
            <w:vAlign w:val="center"/>
          </w:tcPr>
          <w:p w14:paraId="7C7BC5B4" w14:textId="77777777" w:rsidR="005B6562" w:rsidRPr="00662577" w:rsidRDefault="005B6562" w:rsidP="005B6562">
            <w:pPr>
              <w:autoSpaceDE w:val="0"/>
              <w:autoSpaceDN w:val="0"/>
              <w:adjustRightInd w:val="0"/>
              <w:spacing w:after="0"/>
              <w:ind w:left="113" w:right="113"/>
              <w:jc w:val="center"/>
              <w:rPr>
                <w:rFonts w:cstheme="minorHAnsi"/>
                <w:color w:val="000000"/>
                <w:sz w:val="14"/>
                <w:szCs w:val="14"/>
              </w:rPr>
            </w:pPr>
          </w:p>
        </w:tc>
        <w:tc>
          <w:tcPr>
            <w:tcW w:w="558" w:type="pct"/>
            <w:tcBorders>
              <w:top w:val="single" w:sz="4" w:space="0" w:color="auto"/>
              <w:left w:val="single" w:sz="12" w:space="0" w:color="auto"/>
              <w:bottom w:val="single" w:sz="12" w:space="0" w:color="auto"/>
              <w:right w:val="single" w:sz="18" w:space="0" w:color="auto"/>
            </w:tcBorders>
            <w:shd w:val="clear" w:color="auto" w:fill="auto"/>
          </w:tcPr>
          <w:p w14:paraId="335C80DA" w14:textId="77777777" w:rsidR="005B6562" w:rsidRPr="00662577" w:rsidRDefault="005B6562" w:rsidP="005B6562">
            <w:pPr>
              <w:autoSpaceDE w:val="0"/>
              <w:autoSpaceDN w:val="0"/>
              <w:adjustRightInd w:val="0"/>
              <w:spacing w:after="0"/>
              <w:rPr>
                <w:rFonts w:cstheme="minorHAnsi"/>
                <w:color w:val="000000"/>
                <w:sz w:val="14"/>
                <w:szCs w:val="14"/>
              </w:rPr>
            </w:pPr>
            <w:r w:rsidRPr="00662577">
              <w:rPr>
                <w:rFonts w:cstheme="minorHAnsi"/>
                <w:color w:val="000000"/>
                <w:sz w:val="14"/>
                <w:szCs w:val="14"/>
              </w:rPr>
              <w:t xml:space="preserve">Testosterone </w:t>
            </w:r>
          </w:p>
        </w:tc>
        <w:tc>
          <w:tcPr>
            <w:tcW w:w="975" w:type="pct"/>
            <w:tcBorders>
              <w:top w:val="single" w:sz="4" w:space="0" w:color="auto"/>
              <w:left w:val="single" w:sz="18" w:space="0" w:color="auto"/>
              <w:bottom w:val="single" w:sz="12" w:space="0" w:color="auto"/>
              <w:right w:val="single" w:sz="12" w:space="0" w:color="auto"/>
            </w:tcBorders>
            <w:shd w:val="clear" w:color="auto" w:fill="auto"/>
          </w:tcPr>
          <w:p w14:paraId="7EC80BC6" w14:textId="292C6B7F" w:rsidR="005B6562" w:rsidRPr="00662577" w:rsidRDefault="005B6562" w:rsidP="005B6562">
            <w:pPr>
              <w:autoSpaceDE w:val="0"/>
              <w:autoSpaceDN w:val="0"/>
              <w:adjustRightInd w:val="0"/>
              <w:spacing w:after="0"/>
              <w:rPr>
                <w:rFonts w:cstheme="minorHAnsi"/>
                <w:b/>
                <w:bCs/>
                <w:color w:val="000000"/>
                <w:sz w:val="14"/>
                <w:szCs w:val="14"/>
              </w:rPr>
            </w:pPr>
            <w:r w:rsidRPr="00662577">
              <w:rPr>
                <w:rFonts w:cstheme="minorHAnsi"/>
                <w:b/>
                <w:bCs/>
                <w:color w:val="000000"/>
                <w:sz w:val="14"/>
                <w:szCs w:val="14"/>
              </w:rPr>
              <w:t xml:space="preserve">Meta-analysis OR: 2.04 (1.76-2.37) </w:t>
            </w:r>
            <w:sdt>
              <w:sdtPr>
                <w:rPr>
                  <w:rFonts w:cstheme="minorHAnsi"/>
                  <w:bCs/>
                  <w:color w:val="000000"/>
                  <w:sz w:val="14"/>
                  <w:szCs w:val="14"/>
                </w:rPr>
                <w:tag w:val="MENDELEY_CITATION_v3_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"/>
                <w:id w:val="1669124607"/>
                <w:placeholder>
                  <w:docPart w:val="DefaultPlaceholder_-1854013440"/>
                </w:placeholder>
              </w:sdtPr>
              <w:sdtEndPr/>
              <w:sdtContent>
                <w:r w:rsidR="008F665C" w:rsidRPr="008F665C">
                  <w:rPr>
                    <w:rFonts w:cstheme="minorHAnsi"/>
                    <w:bCs/>
                    <w:color w:val="000000"/>
                    <w:sz w:val="14"/>
                    <w:szCs w:val="14"/>
                  </w:rPr>
                  <w:t>[5]</w:t>
                </w:r>
              </w:sdtContent>
            </w:sdt>
          </w:p>
        </w:tc>
        <w:tc>
          <w:tcPr>
            <w:tcW w:w="859" w:type="pct"/>
            <w:tcBorders>
              <w:top w:val="single" w:sz="4" w:space="0" w:color="auto"/>
              <w:left w:val="single" w:sz="12" w:space="0" w:color="auto"/>
              <w:bottom w:val="single" w:sz="12" w:space="0" w:color="auto"/>
              <w:right w:val="single" w:sz="18" w:space="0" w:color="auto"/>
            </w:tcBorders>
          </w:tcPr>
          <w:p w14:paraId="6ED9767A" w14:textId="01F23343" w:rsidR="005B6562" w:rsidRPr="00662577" w:rsidRDefault="005B6562" w:rsidP="005B6562">
            <w:pPr>
              <w:autoSpaceDE w:val="0"/>
              <w:autoSpaceDN w:val="0"/>
              <w:adjustRightInd w:val="0"/>
              <w:spacing w:after="0"/>
              <w:rPr>
                <w:rFonts w:cstheme="minorHAnsi"/>
                <w:b/>
                <w:bCs/>
                <w:color w:val="000000"/>
                <w:sz w:val="14"/>
                <w:szCs w:val="14"/>
              </w:rPr>
            </w:pPr>
            <w:r w:rsidRPr="00662577">
              <w:rPr>
                <w:rFonts w:ascii="Calibri" w:hAnsi="Calibri" w:cs="Calibri"/>
                <w:b/>
                <w:bCs/>
                <w:color w:val="000000"/>
                <w:sz w:val="14"/>
                <w:szCs w:val="14"/>
              </w:rPr>
              <w:t xml:space="preserve">OR: 1.14 (1.08-1.20) </w:t>
            </w:r>
            <w:sdt>
              <w:sdtPr>
                <w:rPr>
                  <w:rFonts w:ascii="Calibri" w:hAnsi="Calibri" w:cs="Calibri"/>
                  <w:bCs/>
                  <w:color w:val="000000"/>
                  <w:sz w:val="14"/>
                  <w:szCs w:val="14"/>
                </w:rPr>
                <w:tag w:val="MENDELEY_CITATION_v3_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"/>
                <w:id w:val="820852777"/>
                <w:placeholder>
                  <w:docPart w:val="DefaultPlaceholder_-1854013440"/>
                </w:placeholder>
              </w:sdtPr>
              <w:sdtEndPr/>
              <w:sdtContent>
                <w:r w:rsidR="008F665C" w:rsidRPr="008F665C">
                  <w:rPr>
                    <w:rFonts w:ascii="Calibri" w:hAnsi="Calibri" w:cs="Calibri"/>
                    <w:bCs/>
                    <w:color w:val="000000"/>
                    <w:sz w:val="14"/>
                    <w:szCs w:val="14"/>
                  </w:rPr>
                  <w:t>[8]</w:t>
                </w:r>
              </w:sdtContent>
            </w:sdt>
          </w:p>
        </w:tc>
        <w:tc>
          <w:tcPr>
            <w:tcW w:w="793" w:type="pct"/>
            <w:tcBorders>
              <w:top w:val="single" w:sz="4" w:space="0" w:color="auto"/>
              <w:left w:val="single" w:sz="18" w:space="0" w:color="auto"/>
              <w:bottom w:val="single" w:sz="12" w:space="0" w:color="auto"/>
              <w:right w:val="single" w:sz="12" w:space="0" w:color="auto"/>
            </w:tcBorders>
          </w:tcPr>
          <w:p w14:paraId="27A31092" w14:textId="290EFFEA" w:rsidR="005B6562" w:rsidRPr="00662577" w:rsidRDefault="005B6562" w:rsidP="005B6562">
            <w:pPr>
              <w:autoSpaceDE w:val="0"/>
              <w:autoSpaceDN w:val="0"/>
              <w:adjustRightInd w:val="0"/>
              <w:spacing w:after="0"/>
              <w:rPr>
                <w:rFonts w:cstheme="minorHAnsi"/>
                <w:b/>
                <w:bCs/>
                <w:color w:val="000000"/>
                <w:sz w:val="14"/>
                <w:szCs w:val="14"/>
              </w:rPr>
            </w:pPr>
            <w:r w:rsidRPr="00662577">
              <w:rPr>
                <w:rFonts w:cstheme="minorHAnsi"/>
                <w:b/>
                <w:bCs/>
                <w:color w:val="000000"/>
                <w:sz w:val="14"/>
                <w:szCs w:val="14"/>
              </w:rPr>
              <w:t>1.12 (1.04-1.21)</w:t>
            </w:r>
          </w:p>
        </w:tc>
        <w:tc>
          <w:tcPr>
            <w:tcW w:w="793" w:type="pct"/>
            <w:tcBorders>
              <w:top w:val="single" w:sz="4" w:space="0" w:color="auto"/>
              <w:left w:val="single" w:sz="12" w:space="0" w:color="auto"/>
              <w:bottom w:val="single" w:sz="12" w:space="0" w:color="auto"/>
              <w:right w:val="single" w:sz="12" w:space="0" w:color="auto"/>
            </w:tcBorders>
          </w:tcPr>
          <w:p w14:paraId="35BF7A65" w14:textId="1CDEAC8E" w:rsidR="005B6562" w:rsidRPr="00662577" w:rsidRDefault="005B6562" w:rsidP="005B6562">
            <w:pPr>
              <w:autoSpaceDE w:val="0"/>
              <w:autoSpaceDN w:val="0"/>
              <w:adjustRightInd w:val="0"/>
              <w:spacing w:after="0"/>
              <w:rPr>
                <w:rFonts w:cstheme="minorHAnsi"/>
                <w:b/>
                <w:bCs/>
                <w:color w:val="000000"/>
                <w:sz w:val="14"/>
                <w:szCs w:val="14"/>
              </w:rPr>
            </w:pPr>
            <w:r w:rsidRPr="00662577">
              <w:rPr>
                <w:rFonts w:cstheme="minorHAnsi"/>
                <w:b/>
                <w:bCs/>
                <w:color w:val="000000"/>
                <w:sz w:val="14"/>
                <w:szCs w:val="14"/>
              </w:rPr>
              <w:t>1.19 (1.09-1.30)</w:t>
            </w:r>
          </w:p>
        </w:tc>
        <w:tc>
          <w:tcPr>
            <w:tcW w:w="794" w:type="pct"/>
            <w:tcBorders>
              <w:top w:val="single" w:sz="4" w:space="0" w:color="auto"/>
              <w:left w:val="single" w:sz="12" w:space="0" w:color="auto"/>
              <w:bottom w:val="single" w:sz="12" w:space="0" w:color="auto"/>
              <w:right w:val="single" w:sz="18" w:space="0" w:color="auto"/>
            </w:tcBorders>
            <w:shd w:val="clear" w:color="auto" w:fill="auto"/>
          </w:tcPr>
          <w:p w14:paraId="5B78B04D" w14:textId="60FBABA7" w:rsidR="005B6562" w:rsidRPr="00662577" w:rsidRDefault="005B6562" w:rsidP="005B6562">
            <w:pPr>
              <w:autoSpaceDE w:val="0"/>
              <w:autoSpaceDN w:val="0"/>
              <w:adjustRightInd w:val="0"/>
              <w:spacing w:after="0"/>
              <w:rPr>
                <w:rFonts w:cstheme="minorHAnsi"/>
                <w:b/>
                <w:bCs/>
                <w:color w:val="000000"/>
                <w:sz w:val="14"/>
                <w:szCs w:val="14"/>
              </w:rPr>
            </w:pPr>
            <w:r w:rsidRPr="00662577">
              <w:rPr>
                <w:rFonts w:cstheme="minorHAnsi"/>
                <w:color w:val="000000"/>
                <w:sz w:val="14"/>
                <w:szCs w:val="14"/>
              </w:rPr>
              <w:t>0.96 (0.86-1.06)</w:t>
            </w:r>
          </w:p>
        </w:tc>
      </w:tr>
      <w:tr w:rsidR="00BD09E5" w:rsidRPr="00662577" w14:paraId="52E92939" w14:textId="77777777" w:rsidTr="008E2B78">
        <w:trPr>
          <w:trHeight w:val="75"/>
        </w:trPr>
        <w:tc>
          <w:tcPr>
            <w:tcW w:w="228" w:type="pct"/>
            <w:vMerge w:val="restart"/>
            <w:tcBorders>
              <w:top w:val="dashed" w:sz="4" w:space="0" w:color="auto"/>
              <w:left w:val="single" w:sz="18" w:space="0" w:color="auto"/>
              <w:right w:val="single" w:sz="12" w:space="0" w:color="auto"/>
            </w:tcBorders>
            <w:textDirection w:val="btLr"/>
            <w:vAlign w:val="center"/>
          </w:tcPr>
          <w:p w14:paraId="4F438F06" w14:textId="77777777" w:rsidR="00BD09E5" w:rsidRPr="00662577" w:rsidRDefault="00BD09E5" w:rsidP="00BD09E5">
            <w:pPr>
              <w:autoSpaceDE w:val="0"/>
              <w:autoSpaceDN w:val="0"/>
              <w:adjustRightInd w:val="0"/>
              <w:spacing w:after="0"/>
              <w:ind w:left="113" w:right="113"/>
              <w:jc w:val="center"/>
              <w:rPr>
                <w:rFonts w:cstheme="minorHAnsi"/>
                <w:color w:val="000000"/>
                <w:sz w:val="14"/>
                <w:szCs w:val="14"/>
              </w:rPr>
            </w:pPr>
            <w:r w:rsidRPr="00662577">
              <w:rPr>
                <w:rFonts w:cstheme="minorHAnsi"/>
                <w:color w:val="000000"/>
                <w:sz w:val="14"/>
                <w:szCs w:val="14"/>
              </w:rPr>
              <w:t>Cardiovascular</w:t>
            </w:r>
          </w:p>
        </w:tc>
        <w:tc>
          <w:tcPr>
            <w:tcW w:w="558" w:type="pct"/>
            <w:tcBorders>
              <w:top w:val="single" w:sz="12" w:space="0" w:color="auto"/>
              <w:left w:val="single" w:sz="12" w:space="0" w:color="auto"/>
              <w:bottom w:val="single" w:sz="4" w:space="0" w:color="auto"/>
              <w:right w:val="single" w:sz="18" w:space="0" w:color="auto"/>
            </w:tcBorders>
            <w:shd w:val="clear" w:color="auto" w:fill="auto"/>
          </w:tcPr>
          <w:p w14:paraId="6DD2C141" w14:textId="77777777" w:rsidR="00BD09E5" w:rsidRPr="00662577" w:rsidRDefault="00BD09E5" w:rsidP="00BD09E5">
            <w:pPr>
              <w:autoSpaceDE w:val="0"/>
              <w:autoSpaceDN w:val="0"/>
              <w:adjustRightInd w:val="0"/>
              <w:spacing w:after="0"/>
              <w:rPr>
                <w:rFonts w:cstheme="minorHAnsi"/>
                <w:color w:val="000000"/>
                <w:sz w:val="14"/>
                <w:szCs w:val="14"/>
              </w:rPr>
            </w:pPr>
            <w:r w:rsidRPr="00662577">
              <w:rPr>
                <w:rFonts w:cstheme="minorHAnsi"/>
                <w:color w:val="000000"/>
                <w:sz w:val="14"/>
                <w:szCs w:val="14"/>
              </w:rPr>
              <w:t xml:space="preserve">Apolipoprotein A </w:t>
            </w:r>
          </w:p>
        </w:tc>
        <w:tc>
          <w:tcPr>
            <w:tcW w:w="975" w:type="pct"/>
            <w:tcBorders>
              <w:top w:val="single" w:sz="12" w:space="0" w:color="auto"/>
              <w:left w:val="single" w:sz="18" w:space="0" w:color="auto"/>
              <w:bottom w:val="single" w:sz="4" w:space="0" w:color="auto"/>
              <w:right w:val="single" w:sz="12" w:space="0" w:color="auto"/>
            </w:tcBorders>
            <w:shd w:val="clear" w:color="auto" w:fill="auto"/>
          </w:tcPr>
          <w:p w14:paraId="494CBFEB" w14:textId="50B311F2" w:rsidR="00BD09E5" w:rsidRPr="00662577" w:rsidRDefault="00BD09E5" w:rsidP="00BD09E5">
            <w:pPr>
              <w:autoSpaceDE w:val="0"/>
              <w:autoSpaceDN w:val="0"/>
              <w:adjustRightInd w:val="0"/>
              <w:spacing w:after="0"/>
              <w:rPr>
                <w:rFonts w:cstheme="minorHAnsi"/>
                <w:color w:val="000000"/>
                <w:sz w:val="14"/>
                <w:szCs w:val="14"/>
              </w:rPr>
            </w:pPr>
            <w:r w:rsidRPr="00662577">
              <w:rPr>
                <w:rFonts w:cstheme="minorHAnsi"/>
                <w:color w:val="000000"/>
                <w:sz w:val="14"/>
                <w:szCs w:val="14"/>
              </w:rPr>
              <w:t>Prospective cohort HR: 1.06 (0.99-1.14)</w:t>
            </w:r>
            <w:r w:rsidR="00C02672">
              <w:rPr>
                <w:rFonts w:cstheme="minorHAnsi"/>
                <w:color w:val="000000"/>
                <w:sz w:val="14"/>
                <w:szCs w:val="14"/>
              </w:rPr>
              <w:t xml:space="preserve"> </w:t>
            </w:r>
            <w:sdt>
              <w:sdtPr>
                <w:rPr>
                  <w:rFonts w:cstheme="minorHAnsi"/>
                  <w:color w:val="000000"/>
                  <w:sz w:val="14"/>
                  <w:szCs w:val="14"/>
                </w:rPr>
                <w:tag w:val="MENDELEY_CITATION_v3_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"/>
                <w:id w:val="-1975357894"/>
                <w:placeholder>
                  <w:docPart w:val="DefaultPlaceholder_-1854013440"/>
                </w:placeholder>
              </w:sdtPr>
              <w:sdtEndPr/>
              <w:sdtContent>
                <w:r w:rsidR="008F665C" w:rsidRPr="008F665C">
                  <w:rPr>
                    <w:rFonts w:cstheme="minorHAnsi"/>
                    <w:color w:val="000000"/>
                    <w:sz w:val="14"/>
                    <w:szCs w:val="14"/>
                  </w:rPr>
                  <w:t>[9]</w:t>
                </w:r>
              </w:sdtContent>
            </w:sdt>
            <w:r w:rsidRPr="00662577">
              <w:rPr>
                <w:rFonts w:cstheme="minorHAnsi"/>
                <w:color w:val="000000"/>
                <w:sz w:val="14"/>
                <w:szCs w:val="14"/>
              </w:rPr>
              <w:t xml:space="preserve"> </w:t>
            </w:r>
          </w:p>
        </w:tc>
        <w:tc>
          <w:tcPr>
            <w:tcW w:w="859" w:type="pct"/>
            <w:tcBorders>
              <w:top w:val="single" w:sz="12" w:space="0" w:color="auto"/>
              <w:left w:val="single" w:sz="12" w:space="0" w:color="auto"/>
              <w:bottom w:val="single" w:sz="4" w:space="0" w:color="auto"/>
              <w:right w:val="single" w:sz="18" w:space="0" w:color="auto"/>
            </w:tcBorders>
          </w:tcPr>
          <w:p w14:paraId="44FC2236" w14:textId="10DB98A0" w:rsidR="00BD09E5" w:rsidRPr="00662577" w:rsidRDefault="00BD09E5" w:rsidP="00BD09E5">
            <w:pPr>
              <w:autoSpaceDE w:val="0"/>
              <w:autoSpaceDN w:val="0"/>
              <w:adjustRightInd w:val="0"/>
              <w:spacing w:after="0"/>
              <w:rPr>
                <w:rFonts w:cstheme="minorHAnsi"/>
                <w:color w:val="000000"/>
                <w:sz w:val="14"/>
                <w:szCs w:val="14"/>
              </w:rPr>
            </w:pPr>
            <w:r w:rsidRPr="00662577">
              <w:rPr>
                <w:rFonts w:ascii="Calibri" w:hAnsi="Calibri" w:cs="Calibri"/>
                <w:color w:val="000000"/>
                <w:sz w:val="14"/>
                <w:szCs w:val="14"/>
              </w:rPr>
              <w:t>-</w:t>
            </w:r>
          </w:p>
        </w:tc>
        <w:tc>
          <w:tcPr>
            <w:tcW w:w="793" w:type="pct"/>
            <w:tcBorders>
              <w:top w:val="single" w:sz="12" w:space="0" w:color="auto"/>
              <w:left w:val="single" w:sz="18" w:space="0" w:color="auto"/>
              <w:bottom w:val="single" w:sz="4" w:space="0" w:color="auto"/>
              <w:right w:val="single" w:sz="12" w:space="0" w:color="auto"/>
            </w:tcBorders>
          </w:tcPr>
          <w:p w14:paraId="17B943E4" w14:textId="24F396B1" w:rsidR="00BD09E5" w:rsidRPr="00662577" w:rsidRDefault="00BD09E5" w:rsidP="00BD09E5">
            <w:pPr>
              <w:autoSpaceDE w:val="0"/>
              <w:autoSpaceDN w:val="0"/>
              <w:adjustRightInd w:val="0"/>
              <w:spacing w:after="0"/>
              <w:rPr>
                <w:rFonts w:cstheme="minorHAnsi"/>
                <w:color w:val="000000"/>
                <w:sz w:val="14"/>
                <w:szCs w:val="14"/>
              </w:rPr>
            </w:pPr>
            <w:r w:rsidRPr="007064A3">
              <w:rPr>
                <w:rFonts w:cstheme="minorHAnsi"/>
                <w:b/>
                <w:bCs/>
                <w:color w:val="000000"/>
                <w:sz w:val="14"/>
                <w:szCs w:val="14"/>
              </w:rPr>
              <w:t>1.06 (1.02-1.10)</w:t>
            </w:r>
          </w:p>
        </w:tc>
        <w:tc>
          <w:tcPr>
            <w:tcW w:w="793" w:type="pct"/>
            <w:tcBorders>
              <w:top w:val="single" w:sz="12" w:space="0" w:color="auto"/>
              <w:left w:val="single" w:sz="12" w:space="0" w:color="auto"/>
              <w:bottom w:val="single" w:sz="4" w:space="0" w:color="auto"/>
              <w:right w:val="single" w:sz="12" w:space="0" w:color="auto"/>
            </w:tcBorders>
          </w:tcPr>
          <w:p w14:paraId="396E463D" w14:textId="67465DCA" w:rsidR="00BD09E5" w:rsidRPr="00662577" w:rsidRDefault="00BD09E5" w:rsidP="00BD09E5">
            <w:pPr>
              <w:autoSpaceDE w:val="0"/>
              <w:autoSpaceDN w:val="0"/>
              <w:adjustRightInd w:val="0"/>
              <w:spacing w:after="0"/>
              <w:rPr>
                <w:rFonts w:cstheme="minorHAnsi"/>
                <w:color w:val="000000"/>
                <w:sz w:val="14"/>
                <w:szCs w:val="14"/>
              </w:rPr>
            </w:pPr>
            <w:r w:rsidRPr="00662577">
              <w:rPr>
                <w:rFonts w:cstheme="minorHAnsi"/>
                <w:color w:val="000000"/>
                <w:sz w:val="14"/>
                <w:szCs w:val="14"/>
              </w:rPr>
              <w:t>1.05 (1.00-1.10)</w:t>
            </w:r>
          </w:p>
        </w:tc>
        <w:tc>
          <w:tcPr>
            <w:tcW w:w="794" w:type="pct"/>
            <w:tcBorders>
              <w:top w:val="single" w:sz="12" w:space="0" w:color="auto"/>
              <w:left w:val="single" w:sz="12" w:space="0" w:color="auto"/>
              <w:bottom w:val="single" w:sz="4" w:space="0" w:color="auto"/>
              <w:right w:val="single" w:sz="18" w:space="0" w:color="auto"/>
            </w:tcBorders>
            <w:shd w:val="clear" w:color="auto" w:fill="auto"/>
          </w:tcPr>
          <w:p w14:paraId="206B6407" w14:textId="203721AD" w:rsidR="00BD09E5" w:rsidRPr="00662577" w:rsidRDefault="00BD09E5" w:rsidP="00BD09E5">
            <w:pPr>
              <w:autoSpaceDE w:val="0"/>
              <w:autoSpaceDN w:val="0"/>
              <w:adjustRightInd w:val="0"/>
              <w:spacing w:after="0"/>
              <w:rPr>
                <w:rFonts w:cstheme="minorHAnsi"/>
                <w:color w:val="000000"/>
                <w:sz w:val="14"/>
                <w:szCs w:val="14"/>
              </w:rPr>
            </w:pPr>
            <w:r w:rsidRPr="00662577">
              <w:rPr>
                <w:rFonts w:cstheme="minorHAnsi"/>
                <w:color w:val="000000"/>
                <w:sz w:val="14"/>
                <w:szCs w:val="14"/>
              </w:rPr>
              <w:t>1.06 (1.00-1.13)</w:t>
            </w:r>
          </w:p>
        </w:tc>
      </w:tr>
      <w:tr w:rsidR="00BD09E5" w:rsidRPr="00662577" w14:paraId="334C001A" w14:textId="77777777" w:rsidTr="008E2B78">
        <w:trPr>
          <w:trHeight w:val="75"/>
        </w:trPr>
        <w:tc>
          <w:tcPr>
            <w:tcW w:w="228" w:type="pct"/>
            <w:vMerge/>
            <w:tcBorders>
              <w:left w:val="single" w:sz="18" w:space="0" w:color="auto"/>
              <w:right w:val="single" w:sz="12" w:space="0" w:color="auto"/>
            </w:tcBorders>
            <w:textDirection w:val="btLr"/>
            <w:vAlign w:val="center"/>
          </w:tcPr>
          <w:p w14:paraId="55DF50E3" w14:textId="77777777" w:rsidR="00BD09E5" w:rsidRPr="00662577" w:rsidRDefault="00BD09E5" w:rsidP="00BD09E5">
            <w:pPr>
              <w:autoSpaceDE w:val="0"/>
              <w:autoSpaceDN w:val="0"/>
              <w:adjustRightInd w:val="0"/>
              <w:spacing w:after="0"/>
              <w:ind w:left="113" w:right="113"/>
              <w:jc w:val="center"/>
              <w:rPr>
                <w:rFonts w:cstheme="minorHAnsi"/>
                <w:color w:val="000000"/>
                <w:sz w:val="14"/>
                <w:szCs w:val="14"/>
              </w:rPr>
            </w:pPr>
          </w:p>
        </w:tc>
        <w:tc>
          <w:tcPr>
            <w:tcW w:w="558" w:type="pct"/>
            <w:tcBorders>
              <w:top w:val="single" w:sz="4" w:space="0" w:color="auto"/>
              <w:left w:val="single" w:sz="12" w:space="0" w:color="auto"/>
              <w:bottom w:val="single" w:sz="4" w:space="0" w:color="auto"/>
              <w:right w:val="single" w:sz="18" w:space="0" w:color="auto"/>
            </w:tcBorders>
            <w:shd w:val="clear" w:color="auto" w:fill="auto"/>
          </w:tcPr>
          <w:p w14:paraId="732F04DB" w14:textId="77777777" w:rsidR="00BD09E5" w:rsidRPr="00662577" w:rsidRDefault="00BD09E5" w:rsidP="00BD09E5">
            <w:pPr>
              <w:autoSpaceDE w:val="0"/>
              <w:autoSpaceDN w:val="0"/>
              <w:adjustRightInd w:val="0"/>
              <w:spacing w:after="0"/>
              <w:rPr>
                <w:rFonts w:cstheme="minorHAnsi"/>
                <w:color w:val="000000"/>
                <w:sz w:val="14"/>
                <w:szCs w:val="14"/>
              </w:rPr>
            </w:pPr>
            <w:r w:rsidRPr="00662577">
              <w:rPr>
                <w:rFonts w:cstheme="minorHAnsi"/>
                <w:color w:val="000000"/>
                <w:sz w:val="14"/>
                <w:szCs w:val="14"/>
              </w:rPr>
              <w:t xml:space="preserve">Apolipoprotein B </w:t>
            </w:r>
          </w:p>
        </w:tc>
        <w:tc>
          <w:tcPr>
            <w:tcW w:w="975" w:type="pct"/>
            <w:tcBorders>
              <w:top w:val="single" w:sz="4" w:space="0" w:color="auto"/>
              <w:left w:val="single" w:sz="18" w:space="0" w:color="auto"/>
              <w:bottom w:val="single" w:sz="4" w:space="0" w:color="auto"/>
              <w:right w:val="single" w:sz="12" w:space="0" w:color="auto"/>
            </w:tcBorders>
            <w:shd w:val="clear" w:color="auto" w:fill="auto"/>
          </w:tcPr>
          <w:p w14:paraId="6DDA3114" w14:textId="3177B102" w:rsidR="00BD09E5" w:rsidRPr="008849F3" w:rsidRDefault="00BD09E5" w:rsidP="00BD09E5">
            <w:pPr>
              <w:autoSpaceDE w:val="0"/>
              <w:autoSpaceDN w:val="0"/>
              <w:adjustRightInd w:val="0"/>
              <w:spacing w:after="0"/>
              <w:rPr>
                <w:rFonts w:cstheme="minorHAnsi"/>
                <w:color w:val="000000"/>
                <w:sz w:val="14"/>
                <w:szCs w:val="14"/>
              </w:rPr>
            </w:pPr>
            <w:r w:rsidRPr="00662577">
              <w:rPr>
                <w:rFonts w:cstheme="minorHAnsi"/>
                <w:b/>
                <w:bCs/>
                <w:color w:val="000000"/>
                <w:sz w:val="14"/>
                <w:szCs w:val="14"/>
              </w:rPr>
              <w:t>Prospective cohort HR: 0.92 (0.86-0.99)</w:t>
            </w:r>
            <w:r w:rsidR="0081371D">
              <w:rPr>
                <w:rFonts w:cstheme="minorHAnsi"/>
                <w:b/>
                <w:bCs/>
                <w:color w:val="000000"/>
                <w:sz w:val="14"/>
                <w:szCs w:val="14"/>
              </w:rPr>
              <w:t xml:space="preserve"> </w:t>
            </w:r>
            <w:sdt>
              <w:sdtPr>
                <w:rPr>
                  <w:rFonts w:cstheme="minorHAnsi"/>
                  <w:bCs/>
                  <w:color w:val="000000"/>
                  <w:sz w:val="14"/>
                  <w:szCs w:val="14"/>
                </w:rPr>
                <w:tag w:val="MENDELEY_CITATION_v3_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"/>
                <w:id w:val="1425225918"/>
                <w:placeholder>
                  <w:docPart w:val="DefaultPlaceholder_-1854013440"/>
                </w:placeholder>
              </w:sdtPr>
              <w:sdtEndPr/>
              <w:sdtContent>
                <w:r w:rsidR="008F665C" w:rsidRPr="008F665C">
                  <w:rPr>
                    <w:rFonts w:cstheme="minorHAnsi"/>
                    <w:bCs/>
                    <w:color w:val="000000"/>
                    <w:sz w:val="14"/>
                    <w:szCs w:val="14"/>
                  </w:rPr>
                  <w:t>[9]</w:t>
                </w:r>
              </w:sdtContent>
            </w:sdt>
          </w:p>
        </w:tc>
        <w:tc>
          <w:tcPr>
            <w:tcW w:w="859" w:type="pct"/>
            <w:tcBorders>
              <w:top w:val="single" w:sz="4" w:space="0" w:color="auto"/>
              <w:left w:val="single" w:sz="12" w:space="0" w:color="auto"/>
              <w:bottom w:val="single" w:sz="4" w:space="0" w:color="auto"/>
              <w:right w:val="single" w:sz="18" w:space="0" w:color="auto"/>
            </w:tcBorders>
          </w:tcPr>
          <w:p w14:paraId="557E56EB" w14:textId="30A3EA21" w:rsidR="00BD09E5" w:rsidRPr="00662577" w:rsidRDefault="00BD09E5" w:rsidP="00BD09E5">
            <w:pPr>
              <w:autoSpaceDE w:val="0"/>
              <w:autoSpaceDN w:val="0"/>
              <w:adjustRightInd w:val="0"/>
              <w:spacing w:after="0"/>
              <w:rPr>
                <w:rFonts w:cstheme="minorHAnsi"/>
                <w:color w:val="000000"/>
                <w:sz w:val="14"/>
                <w:szCs w:val="14"/>
              </w:rPr>
            </w:pPr>
            <w:r w:rsidRPr="00662577">
              <w:rPr>
                <w:rFonts w:ascii="Calibri" w:hAnsi="Calibri" w:cs="Calibri"/>
                <w:color w:val="000000"/>
                <w:sz w:val="14"/>
                <w:szCs w:val="14"/>
              </w:rPr>
              <w:t>-</w:t>
            </w:r>
          </w:p>
        </w:tc>
        <w:tc>
          <w:tcPr>
            <w:tcW w:w="793" w:type="pct"/>
            <w:tcBorders>
              <w:top w:val="single" w:sz="4" w:space="0" w:color="auto"/>
              <w:left w:val="single" w:sz="18" w:space="0" w:color="auto"/>
              <w:bottom w:val="single" w:sz="4" w:space="0" w:color="auto"/>
              <w:right w:val="single" w:sz="12" w:space="0" w:color="auto"/>
            </w:tcBorders>
          </w:tcPr>
          <w:p w14:paraId="6AD966CF" w14:textId="10F59B67" w:rsidR="00BD09E5" w:rsidRPr="00662577" w:rsidRDefault="00BD09E5" w:rsidP="00BD09E5">
            <w:pPr>
              <w:autoSpaceDE w:val="0"/>
              <w:autoSpaceDN w:val="0"/>
              <w:adjustRightInd w:val="0"/>
              <w:spacing w:after="0"/>
              <w:rPr>
                <w:rFonts w:cstheme="minorHAnsi"/>
                <w:color w:val="000000"/>
                <w:sz w:val="14"/>
                <w:szCs w:val="14"/>
              </w:rPr>
            </w:pPr>
            <w:r w:rsidRPr="00662577">
              <w:rPr>
                <w:rFonts w:cstheme="minorHAnsi"/>
                <w:color w:val="000000"/>
                <w:sz w:val="14"/>
                <w:szCs w:val="14"/>
              </w:rPr>
              <w:t>1.00 (0.96-1.05)</w:t>
            </w:r>
          </w:p>
        </w:tc>
        <w:tc>
          <w:tcPr>
            <w:tcW w:w="793" w:type="pct"/>
            <w:tcBorders>
              <w:top w:val="single" w:sz="4" w:space="0" w:color="auto"/>
              <w:left w:val="single" w:sz="12" w:space="0" w:color="auto"/>
              <w:bottom w:val="single" w:sz="4" w:space="0" w:color="auto"/>
              <w:right w:val="single" w:sz="12" w:space="0" w:color="auto"/>
            </w:tcBorders>
          </w:tcPr>
          <w:p w14:paraId="314A138D" w14:textId="50DC2F5B" w:rsidR="00BD09E5" w:rsidRPr="00662577" w:rsidRDefault="00BD09E5" w:rsidP="00BD09E5">
            <w:pPr>
              <w:autoSpaceDE w:val="0"/>
              <w:autoSpaceDN w:val="0"/>
              <w:adjustRightInd w:val="0"/>
              <w:spacing w:after="0"/>
              <w:rPr>
                <w:rFonts w:cstheme="minorHAnsi"/>
                <w:color w:val="000000"/>
                <w:sz w:val="14"/>
                <w:szCs w:val="14"/>
              </w:rPr>
            </w:pPr>
            <w:r w:rsidRPr="00662577">
              <w:rPr>
                <w:rFonts w:cstheme="minorHAnsi"/>
                <w:color w:val="000000"/>
                <w:sz w:val="14"/>
                <w:szCs w:val="14"/>
              </w:rPr>
              <w:t>1.00 (0.94-1.05)</w:t>
            </w:r>
          </w:p>
        </w:tc>
        <w:tc>
          <w:tcPr>
            <w:tcW w:w="794" w:type="pct"/>
            <w:tcBorders>
              <w:top w:val="single" w:sz="4" w:space="0" w:color="auto"/>
              <w:left w:val="single" w:sz="12" w:space="0" w:color="auto"/>
              <w:bottom w:val="single" w:sz="4" w:space="0" w:color="auto"/>
              <w:right w:val="single" w:sz="18" w:space="0" w:color="auto"/>
            </w:tcBorders>
            <w:shd w:val="clear" w:color="auto" w:fill="auto"/>
          </w:tcPr>
          <w:p w14:paraId="6699BF47" w14:textId="52843F71" w:rsidR="00BD09E5" w:rsidRPr="00662577" w:rsidRDefault="00BD09E5" w:rsidP="00BD09E5">
            <w:pPr>
              <w:autoSpaceDE w:val="0"/>
              <w:autoSpaceDN w:val="0"/>
              <w:adjustRightInd w:val="0"/>
              <w:spacing w:after="0"/>
              <w:rPr>
                <w:rFonts w:cstheme="minorHAnsi"/>
                <w:color w:val="000000"/>
                <w:sz w:val="14"/>
                <w:szCs w:val="14"/>
              </w:rPr>
            </w:pPr>
            <w:r w:rsidRPr="00662577">
              <w:rPr>
                <w:rFonts w:cstheme="minorHAnsi"/>
                <w:color w:val="000000"/>
                <w:sz w:val="14"/>
                <w:szCs w:val="14"/>
              </w:rPr>
              <w:t>0.97 (0.91-1.04)</w:t>
            </w:r>
          </w:p>
        </w:tc>
      </w:tr>
      <w:tr w:rsidR="00BD09E5" w:rsidRPr="00662577" w14:paraId="2B73A7B0" w14:textId="77777777" w:rsidTr="008E2B78">
        <w:trPr>
          <w:trHeight w:val="75"/>
        </w:trPr>
        <w:tc>
          <w:tcPr>
            <w:tcW w:w="228" w:type="pct"/>
            <w:vMerge/>
            <w:tcBorders>
              <w:left w:val="single" w:sz="18" w:space="0" w:color="auto"/>
              <w:right w:val="single" w:sz="12" w:space="0" w:color="auto"/>
            </w:tcBorders>
            <w:textDirection w:val="btLr"/>
            <w:vAlign w:val="center"/>
          </w:tcPr>
          <w:p w14:paraId="05ACC236" w14:textId="77777777" w:rsidR="00BD09E5" w:rsidRPr="00662577" w:rsidRDefault="00BD09E5" w:rsidP="00BD09E5">
            <w:pPr>
              <w:autoSpaceDE w:val="0"/>
              <w:autoSpaceDN w:val="0"/>
              <w:adjustRightInd w:val="0"/>
              <w:spacing w:after="0"/>
              <w:ind w:left="113" w:right="113"/>
              <w:jc w:val="center"/>
              <w:rPr>
                <w:rFonts w:cstheme="minorHAnsi"/>
                <w:color w:val="000000"/>
                <w:sz w:val="14"/>
                <w:szCs w:val="14"/>
              </w:rPr>
            </w:pPr>
          </w:p>
        </w:tc>
        <w:tc>
          <w:tcPr>
            <w:tcW w:w="558" w:type="pct"/>
            <w:tcBorders>
              <w:top w:val="single" w:sz="4" w:space="0" w:color="auto"/>
              <w:left w:val="single" w:sz="12" w:space="0" w:color="auto"/>
              <w:bottom w:val="single" w:sz="4" w:space="0" w:color="auto"/>
              <w:right w:val="single" w:sz="18" w:space="0" w:color="auto"/>
            </w:tcBorders>
            <w:shd w:val="clear" w:color="auto" w:fill="auto"/>
          </w:tcPr>
          <w:p w14:paraId="4FA34026" w14:textId="77777777" w:rsidR="00BD09E5" w:rsidRPr="00662577" w:rsidRDefault="00BD09E5" w:rsidP="00BD09E5">
            <w:pPr>
              <w:autoSpaceDE w:val="0"/>
              <w:autoSpaceDN w:val="0"/>
              <w:adjustRightInd w:val="0"/>
              <w:spacing w:after="0"/>
              <w:rPr>
                <w:rFonts w:cstheme="minorHAnsi"/>
                <w:color w:val="000000"/>
                <w:sz w:val="14"/>
                <w:szCs w:val="14"/>
              </w:rPr>
            </w:pPr>
            <w:r w:rsidRPr="00662577">
              <w:rPr>
                <w:rFonts w:cstheme="minorHAnsi"/>
                <w:color w:val="000000"/>
                <w:sz w:val="14"/>
                <w:szCs w:val="14"/>
              </w:rPr>
              <w:t>C-reactive protein</w:t>
            </w:r>
          </w:p>
        </w:tc>
        <w:tc>
          <w:tcPr>
            <w:tcW w:w="975" w:type="pct"/>
            <w:tcBorders>
              <w:top w:val="single" w:sz="4" w:space="0" w:color="auto"/>
              <w:left w:val="single" w:sz="18" w:space="0" w:color="auto"/>
              <w:bottom w:val="single" w:sz="4" w:space="0" w:color="auto"/>
              <w:right w:val="single" w:sz="12" w:space="0" w:color="auto"/>
            </w:tcBorders>
            <w:shd w:val="clear" w:color="auto" w:fill="auto"/>
          </w:tcPr>
          <w:p w14:paraId="44E0C3ED" w14:textId="26EE0AC1" w:rsidR="00BD09E5" w:rsidRPr="00662577" w:rsidRDefault="00BD09E5" w:rsidP="00BD09E5">
            <w:pPr>
              <w:autoSpaceDE w:val="0"/>
              <w:autoSpaceDN w:val="0"/>
              <w:adjustRightInd w:val="0"/>
              <w:spacing w:after="0"/>
              <w:rPr>
                <w:rFonts w:cstheme="minorHAnsi"/>
                <w:color w:val="000000"/>
                <w:sz w:val="14"/>
                <w:szCs w:val="14"/>
              </w:rPr>
            </w:pPr>
            <w:r w:rsidRPr="00662577">
              <w:rPr>
                <w:rFonts w:cstheme="minorHAnsi"/>
                <w:color w:val="000000"/>
                <w:sz w:val="14"/>
                <w:szCs w:val="14"/>
              </w:rPr>
              <w:t xml:space="preserve">Meta-analysis POR: 1.16 (1.06-1.27) </w:t>
            </w:r>
            <w:sdt>
              <w:sdtPr>
                <w:rPr>
                  <w:rFonts w:cstheme="minorHAnsi"/>
                  <w:color w:val="000000"/>
                  <w:sz w:val="14"/>
                  <w:szCs w:val="14"/>
                </w:rPr>
                <w:tag w:val="MENDELEY_CITATION_v3_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"/>
                <w:id w:val="1557894810"/>
                <w:placeholder>
                  <w:docPart w:val="DefaultPlaceholder_-1854013440"/>
                </w:placeholder>
              </w:sdtPr>
              <w:sdtEndPr/>
              <w:sdtContent>
                <w:r w:rsidR="008F665C" w:rsidRPr="008F665C">
                  <w:rPr>
                    <w:rFonts w:cstheme="minorHAnsi"/>
                    <w:color w:val="000000"/>
                    <w:sz w:val="14"/>
                    <w:szCs w:val="14"/>
                  </w:rPr>
                  <w:t>[10]</w:t>
                </w:r>
              </w:sdtContent>
            </w:sdt>
          </w:p>
        </w:tc>
        <w:tc>
          <w:tcPr>
            <w:tcW w:w="859" w:type="pct"/>
            <w:tcBorders>
              <w:top w:val="single" w:sz="4" w:space="0" w:color="auto"/>
              <w:left w:val="single" w:sz="12" w:space="0" w:color="auto"/>
              <w:bottom w:val="single" w:sz="4" w:space="0" w:color="auto"/>
              <w:right w:val="single" w:sz="18" w:space="0" w:color="auto"/>
            </w:tcBorders>
          </w:tcPr>
          <w:p w14:paraId="048AACBC" w14:textId="4ABDADAA" w:rsidR="00BD09E5" w:rsidRPr="00662577" w:rsidRDefault="00BD09E5" w:rsidP="00BD09E5">
            <w:pPr>
              <w:autoSpaceDE w:val="0"/>
              <w:autoSpaceDN w:val="0"/>
              <w:adjustRightInd w:val="0"/>
              <w:spacing w:after="0"/>
              <w:rPr>
                <w:rFonts w:cstheme="minorHAnsi"/>
                <w:color w:val="000000"/>
                <w:sz w:val="14"/>
                <w:szCs w:val="14"/>
              </w:rPr>
            </w:pPr>
            <w:r w:rsidRPr="00662577">
              <w:rPr>
                <w:rFonts w:ascii="Calibri" w:hAnsi="Calibri" w:cs="Calibri"/>
                <w:color w:val="000000"/>
                <w:sz w:val="14"/>
                <w:szCs w:val="14"/>
              </w:rPr>
              <w:t xml:space="preserve">OR: 1.03 (0.94-1.13) </w:t>
            </w:r>
            <w:sdt>
              <w:sdtPr>
                <w:rPr>
                  <w:rFonts w:ascii="Calibri" w:hAnsi="Calibri" w:cs="Calibri"/>
                  <w:color w:val="000000"/>
                  <w:sz w:val="14"/>
                  <w:szCs w:val="14"/>
                </w:rPr>
                <w:tag w:val="MENDELEY_CITATION_v3_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"/>
                <w:id w:val="-1342850608"/>
                <w:placeholder>
                  <w:docPart w:val="DefaultPlaceholder_-1854013440"/>
                </w:placeholder>
              </w:sdtPr>
              <w:sdtEndPr/>
              <w:sdtContent>
                <w:r w:rsidR="008F665C" w:rsidRPr="008F665C">
                  <w:rPr>
                    <w:rFonts w:ascii="Calibri" w:hAnsi="Calibri" w:cs="Calibri"/>
                    <w:color w:val="000000"/>
                    <w:sz w:val="14"/>
                    <w:szCs w:val="14"/>
                  </w:rPr>
                  <w:t>[11]</w:t>
                </w:r>
              </w:sdtContent>
            </w:sdt>
          </w:p>
        </w:tc>
        <w:tc>
          <w:tcPr>
            <w:tcW w:w="793" w:type="pct"/>
            <w:tcBorders>
              <w:top w:val="single" w:sz="4" w:space="0" w:color="auto"/>
              <w:left w:val="single" w:sz="18" w:space="0" w:color="auto"/>
              <w:bottom w:val="single" w:sz="4" w:space="0" w:color="auto"/>
              <w:right w:val="single" w:sz="12" w:space="0" w:color="auto"/>
            </w:tcBorders>
          </w:tcPr>
          <w:p w14:paraId="571164EA" w14:textId="6D4B723F" w:rsidR="00BD09E5" w:rsidRPr="00662577" w:rsidRDefault="00BD09E5" w:rsidP="00BD09E5">
            <w:pPr>
              <w:autoSpaceDE w:val="0"/>
              <w:autoSpaceDN w:val="0"/>
              <w:adjustRightInd w:val="0"/>
              <w:spacing w:after="0"/>
              <w:rPr>
                <w:rFonts w:cstheme="minorHAnsi"/>
                <w:color w:val="000000"/>
                <w:sz w:val="14"/>
                <w:szCs w:val="14"/>
              </w:rPr>
            </w:pPr>
            <w:r w:rsidRPr="00662577">
              <w:rPr>
                <w:rFonts w:cstheme="minorHAnsi"/>
                <w:color w:val="000000"/>
                <w:sz w:val="14"/>
                <w:szCs w:val="14"/>
              </w:rPr>
              <w:t>1.05 (0.99-1.12)</w:t>
            </w:r>
          </w:p>
        </w:tc>
        <w:tc>
          <w:tcPr>
            <w:tcW w:w="793" w:type="pct"/>
            <w:tcBorders>
              <w:top w:val="single" w:sz="4" w:space="0" w:color="auto"/>
              <w:left w:val="single" w:sz="12" w:space="0" w:color="auto"/>
              <w:bottom w:val="single" w:sz="4" w:space="0" w:color="auto"/>
              <w:right w:val="single" w:sz="12" w:space="0" w:color="auto"/>
            </w:tcBorders>
          </w:tcPr>
          <w:p w14:paraId="51593CD3" w14:textId="7E79BFD8" w:rsidR="00BD09E5" w:rsidRPr="00662577" w:rsidRDefault="00BD09E5" w:rsidP="00BD09E5">
            <w:pPr>
              <w:autoSpaceDE w:val="0"/>
              <w:autoSpaceDN w:val="0"/>
              <w:adjustRightInd w:val="0"/>
              <w:spacing w:after="0"/>
              <w:rPr>
                <w:rFonts w:cstheme="minorHAnsi"/>
                <w:color w:val="000000"/>
                <w:sz w:val="14"/>
                <w:szCs w:val="14"/>
              </w:rPr>
            </w:pPr>
            <w:r w:rsidRPr="00662577">
              <w:rPr>
                <w:rFonts w:cstheme="minorHAnsi"/>
                <w:color w:val="000000"/>
                <w:sz w:val="14"/>
                <w:szCs w:val="14"/>
              </w:rPr>
              <w:t>1.07 (0.99-1.14)</w:t>
            </w:r>
          </w:p>
        </w:tc>
        <w:tc>
          <w:tcPr>
            <w:tcW w:w="794" w:type="pct"/>
            <w:tcBorders>
              <w:top w:val="single" w:sz="4" w:space="0" w:color="auto"/>
              <w:left w:val="single" w:sz="12" w:space="0" w:color="auto"/>
              <w:bottom w:val="single" w:sz="4" w:space="0" w:color="auto"/>
              <w:right w:val="single" w:sz="18" w:space="0" w:color="auto"/>
            </w:tcBorders>
            <w:shd w:val="clear" w:color="auto" w:fill="auto"/>
          </w:tcPr>
          <w:p w14:paraId="7DC937EE" w14:textId="512277CE" w:rsidR="00BD09E5" w:rsidRPr="00662577" w:rsidRDefault="00BD09E5" w:rsidP="00BD09E5">
            <w:pPr>
              <w:autoSpaceDE w:val="0"/>
              <w:autoSpaceDN w:val="0"/>
              <w:adjustRightInd w:val="0"/>
              <w:spacing w:after="0"/>
              <w:rPr>
                <w:rFonts w:cstheme="minorHAnsi"/>
                <w:color w:val="000000"/>
                <w:sz w:val="14"/>
                <w:szCs w:val="14"/>
              </w:rPr>
            </w:pPr>
            <w:r w:rsidRPr="00662577">
              <w:rPr>
                <w:rFonts w:cstheme="minorHAnsi"/>
                <w:color w:val="000000"/>
                <w:sz w:val="14"/>
                <w:szCs w:val="14"/>
              </w:rPr>
              <w:t>1.04 (0.96-1.12)</w:t>
            </w:r>
          </w:p>
        </w:tc>
      </w:tr>
      <w:tr w:rsidR="00BD09E5" w:rsidRPr="00662577" w14:paraId="78ABE899" w14:textId="77777777" w:rsidTr="008E2B78">
        <w:trPr>
          <w:trHeight w:val="75"/>
        </w:trPr>
        <w:tc>
          <w:tcPr>
            <w:tcW w:w="228" w:type="pct"/>
            <w:vMerge/>
            <w:tcBorders>
              <w:left w:val="single" w:sz="18" w:space="0" w:color="auto"/>
              <w:right w:val="single" w:sz="12" w:space="0" w:color="auto"/>
            </w:tcBorders>
            <w:textDirection w:val="btLr"/>
            <w:vAlign w:val="center"/>
          </w:tcPr>
          <w:p w14:paraId="0EF4D917" w14:textId="77777777" w:rsidR="00BD09E5" w:rsidRPr="00662577" w:rsidRDefault="00BD09E5" w:rsidP="00BD09E5">
            <w:pPr>
              <w:autoSpaceDE w:val="0"/>
              <w:autoSpaceDN w:val="0"/>
              <w:adjustRightInd w:val="0"/>
              <w:spacing w:after="0"/>
              <w:ind w:left="113" w:right="113"/>
              <w:jc w:val="center"/>
              <w:rPr>
                <w:rFonts w:cstheme="minorHAnsi"/>
                <w:color w:val="000000"/>
                <w:sz w:val="14"/>
                <w:szCs w:val="14"/>
              </w:rPr>
            </w:pPr>
          </w:p>
        </w:tc>
        <w:tc>
          <w:tcPr>
            <w:tcW w:w="558" w:type="pct"/>
            <w:tcBorders>
              <w:top w:val="single" w:sz="4" w:space="0" w:color="auto"/>
              <w:left w:val="single" w:sz="12" w:space="0" w:color="auto"/>
              <w:bottom w:val="single" w:sz="4" w:space="0" w:color="auto"/>
              <w:right w:val="single" w:sz="18" w:space="0" w:color="auto"/>
            </w:tcBorders>
            <w:shd w:val="clear" w:color="auto" w:fill="auto"/>
          </w:tcPr>
          <w:p w14:paraId="62390C23" w14:textId="77777777" w:rsidR="00BD09E5" w:rsidRPr="00662577" w:rsidRDefault="00BD09E5" w:rsidP="00BD09E5">
            <w:pPr>
              <w:autoSpaceDE w:val="0"/>
              <w:autoSpaceDN w:val="0"/>
              <w:adjustRightInd w:val="0"/>
              <w:spacing w:after="0"/>
              <w:rPr>
                <w:rFonts w:cstheme="minorHAnsi"/>
                <w:color w:val="000000"/>
                <w:sz w:val="14"/>
                <w:szCs w:val="14"/>
              </w:rPr>
            </w:pPr>
            <w:r w:rsidRPr="00662577">
              <w:rPr>
                <w:rFonts w:cstheme="minorHAnsi"/>
                <w:color w:val="000000"/>
                <w:sz w:val="14"/>
                <w:szCs w:val="14"/>
              </w:rPr>
              <w:t>Cholesterol</w:t>
            </w:r>
          </w:p>
        </w:tc>
        <w:tc>
          <w:tcPr>
            <w:tcW w:w="975" w:type="pct"/>
            <w:tcBorders>
              <w:top w:val="single" w:sz="4" w:space="0" w:color="auto"/>
              <w:left w:val="single" w:sz="18" w:space="0" w:color="auto"/>
              <w:bottom w:val="single" w:sz="4" w:space="0" w:color="auto"/>
              <w:right w:val="single" w:sz="12" w:space="0" w:color="auto"/>
            </w:tcBorders>
            <w:shd w:val="clear" w:color="auto" w:fill="auto"/>
          </w:tcPr>
          <w:p w14:paraId="4193912D" w14:textId="166C8403" w:rsidR="00BD09E5" w:rsidRPr="00662577" w:rsidRDefault="00BD09E5" w:rsidP="00BD09E5">
            <w:pPr>
              <w:autoSpaceDE w:val="0"/>
              <w:autoSpaceDN w:val="0"/>
              <w:adjustRightInd w:val="0"/>
              <w:spacing w:after="0"/>
              <w:rPr>
                <w:rFonts w:cstheme="minorHAnsi"/>
                <w:color w:val="000000"/>
                <w:sz w:val="14"/>
                <w:szCs w:val="14"/>
              </w:rPr>
            </w:pPr>
            <w:r w:rsidRPr="00662577">
              <w:rPr>
                <w:rFonts w:cstheme="minorHAnsi"/>
                <w:color w:val="000000"/>
                <w:sz w:val="14"/>
                <w:szCs w:val="14"/>
              </w:rPr>
              <w:t xml:space="preserve">Meta-analysis PRR: 0.96 (0.86-1.07) </w:t>
            </w:r>
            <w:sdt>
              <w:sdtPr>
                <w:rPr>
                  <w:rFonts w:cstheme="minorHAnsi"/>
                  <w:color w:val="000000"/>
                  <w:sz w:val="14"/>
                  <w:szCs w:val="14"/>
                </w:rPr>
                <w:tag w:val="MENDELEY_CITATION_v3_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"/>
                <w:id w:val="2127888491"/>
                <w:placeholder>
                  <w:docPart w:val="DefaultPlaceholder_-1854013440"/>
                </w:placeholder>
              </w:sdtPr>
              <w:sdtEndPr/>
              <w:sdtContent>
                <w:r w:rsidR="008F665C" w:rsidRPr="008F665C">
                  <w:rPr>
                    <w:rFonts w:cstheme="minorHAnsi"/>
                    <w:color w:val="000000"/>
                    <w:sz w:val="14"/>
                    <w:szCs w:val="14"/>
                  </w:rPr>
                  <w:t>[12]</w:t>
                </w:r>
              </w:sdtContent>
            </w:sdt>
          </w:p>
        </w:tc>
        <w:tc>
          <w:tcPr>
            <w:tcW w:w="859" w:type="pct"/>
            <w:tcBorders>
              <w:top w:val="single" w:sz="4" w:space="0" w:color="auto"/>
              <w:left w:val="single" w:sz="12" w:space="0" w:color="auto"/>
              <w:bottom w:val="single" w:sz="4" w:space="0" w:color="auto"/>
              <w:right w:val="single" w:sz="18" w:space="0" w:color="auto"/>
            </w:tcBorders>
          </w:tcPr>
          <w:p w14:paraId="5F2335E5" w14:textId="046AA1AD" w:rsidR="00BD09E5" w:rsidRPr="00662577" w:rsidRDefault="00BD09E5" w:rsidP="00BD09E5">
            <w:pPr>
              <w:autoSpaceDE w:val="0"/>
              <w:autoSpaceDN w:val="0"/>
              <w:adjustRightInd w:val="0"/>
              <w:spacing w:after="0"/>
              <w:rPr>
                <w:rFonts w:cstheme="minorHAnsi"/>
                <w:color w:val="000000"/>
                <w:sz w:val="14"/>
                <w:szCs w:val="14"/>
              </w:rPr>
            </w:pPr>
            <w:r w:rsidRPr="00662577">
              <w:rPr>
                <w:rFonts w:ascii="Calibri" w:hAnsi="Calibri" w:cs="Calibri"/>
                <w:color w:val="000000"/>
                <w:sz w:val="14"/>
                <w:szCs w:val="14"/>
              </w:rPr>
              <w:t xml:space="preserve">OR: 1.05 (0.99-1.11) </w:t>
            </w:r>
            <w:sdt>
              <w:sdtPr>
                <w:rPr>
                  <w:rFonts w:ascii="Calibri" w:hAnsi="Calibri" w:cs="Calibri"/>
                  <w:color w:val="000000"/>
                  <w:sz w:val="14"/>
                  <w:szCs w:val="14"/>
                </w:rPr>
                <w:tag w:val="MENDELEY_CITATION_v3_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"/>
                <w:id w:val="-2030558426"/>
                <w:placeholder>
                  <w:docPart w:val="DefaultPlaceholder_-1854013440"/>
                </w:placeholder>
              </w:sdtPr>
              <w:sdtEndPr/>
              <w:sdtContent>
                <w:r w:rsidR="008F665C" w:rsidRPr="008F665C">
                  <w:rPr>
                    <w:rFonts w:ascii="Calibri" w:hAnsi="Calibri" w:cs="Calibri"/>
                    <w:color w:val="000000"/>
                    <w:sz w:val="14"/>
                    <w:szCs w:val="14"/>
                  </w:rPr>
                  <w:t>[13]</w:t>
                </w:r>
              </w:sdtContent>
            </w:sdt>
          </w:p>
        </w:tc>
        <w:tc>
          <w:tcPr>
            <w:tcW w:w="793" w:type="pct"/>
            <w:tcBorders>
              <w:top w:val="single" w:sz="4" w:space="0" w:color="auto"/>
              <w:left w:val="single" w:sz="18" w:space="0" w:color="auto"/>
              <w:bottom w:val="single" w:sz="4" w:space="0" w:color="auto"/>
              <w:right w:val="single" w:sz="12" w:space="0" w:color="auto"/>
            </w:tcBorders>
          </w:tcPr>
          <w:p w14:paraId="64D7716C" w14:textId="54E01BA8" w:rsidR="00BD09E5" w:rsidRPr="00662577" w:rsidRDefault="00BD09E5" w:rsidP="00BD09E5">
            <w:pPr>
              <w:autoSpaceDE w:val="0"/>
              <w:autoSpaceDN w:val="0"/>
              <w:adjustRightInd w:val="0"/>
              <w:spacing w:after="0"/>
              <w:rPr>
                <w:rFonts w:cstheme="minorHAnsi"/>
                <w:color w:val="000000"/>
                <w:sz w:val="14"/>
                <w:szCs w:val="14"/>
              </w:rPr>
            </w:pPr>
            <w:r w:rsidRPr="00662577">
              <w:rPr>
                <w:rFonts w:cstheme="minorHAnsi"/>
                <w:color w:val="000000"/>
                <w:sz w:val="14"/>
                <w:szCs w:val="14"/>
              </w:rPr>
              <w:t>1.04 (0.99-1.09)</w:t>
            </w:r>
          </w:p>
        </w:tc>
        <w:tc>
          <w:tcPr>
            <w:tcW w:w="793" w:type="pct"/>
            <w:tcBorders>
              <w:top w:val="single" w:sz="4" w:space="0" w:color="auto"/>
              <w:left w:val="single" w:sz="12" w:space="0" w:color="auto"/>
              <w:bottom w:val="single" w:sz="4" w:space="0" w:color="auto"/>
              <w:right w:val="single" w:sz="12" w:space="0" w:color="auto"/>
            </w:tcBorders>
          </w:tcPr>
          <w:p w14:paraId="38273744" w14:textId="6729F57D" w:rsidR="00BD09E5" w:rsidRPr="00662577" w:rsidRDefault="00BD09E5" w:rsidP="00BD09E5">
            <w:pPr>
              <w:autoSpaceDE w:val="0"/>
              <w:autoSpaceDN w:val="0"/>
              <w:adjustRightInd w:val="0"/>
              <w:spacing w:after="0"/>
              <w:rPr>
                <w:rFonts w:cstheme="minorHAnsi"/>
                <w:color w:val="000000"/>
                <w:sz w:val="14"/>
                <w:szCs w:val="14"/>
              </w:rPr>
            </w:pPr>
            <w:r w:rsidRPr="00662577">
              <w:rPr>
                <w:rFonts w:cstheme="minorHAnsi"/>
                <w:color w:val="000000"/>
                <w:sz w:val="14"/>
                <w:szCs w:val="14"/>
              </w:rPr>
              <w:t>1.03 (0.98-1.09)</w:t>
            </w:r>
          </w:p>
        </w:tc>
        <w:tc>
          <w:tcPr>
            <w:tcW w:w="794" w:type="pct"/>
            <w:tcBorders>
              <w:top w:val="single" w:sz="4" w:space="0" w:color="auto"/>
              <w:left w:val="single" w:sz="12" w:space="0" w:color="auto"/>
              <w:bottom w:val="single" w:sz="4" w:space="0" w:color="auto"/>
              <w:right w:val="single" w:sz="18" w:space="0" w:color="auto"/>
            </w:tcBorders>
            <w:shd w:val="clear" w:color="auto" w:fill="auto"/>
          </w:tcPr>
          <w:p w14:paraId="55354BDB" w14:textId="68372F04" w:rsidR="00BD09E5" w:rsidRPr="00662577" w:rsidRDefault="00BD09E5" w:rsidP="00BD09E5">
            <w:pPr>
              <w:autoSpaceDE w:val="0"/>
              <w:autoSpaceDN w:val="0"/>
              <w:adjustRightInd w:val="0"/>
              <w:spacing w:after="0"/>
              <w:rPr>
                <w:rFonts w:cstheme="minorHAnsi"/>
                <w:color w:val="000000"/>
                <w:sz w:val="14"/>
                <w:szCs w:val="14"/>
              </w:rPr>
            </w:pPr>
            <w:r w:rsidRPr="00662577">
              <w:rPr>
                <w:rFonts w:cstheme="minorHAnsi"/>
                <w:color w:val="000000"/>
                <w:sz w:val="14"/>
                <w:szCs w:val="14"/>
              </w:rPr>
              <w:t>1.01 (0.94-1.09)</w:t>
            </w:r>
          </w:p>
        </w:tc>
      </w:tr>
      <w:tr w:rsidR="00BD09E5" w:rsidRPr="00662577" w14:paraId="3743A1FA" w14:textId="77777777" w:rsidTr="008E2B78">
        <w:trPr>
          <w:trHeight w:val="75"/>
        </w:trPr>
        <w:tc>
          <w:tcPr>
            <w:tcW w:w="228" w:type="pct"/>
            <w:vMerge/>
            <w:tcBorders>
              <w:left w:val="single" w:sz="18" w:space="0" w:color="auto"/>
              <w:right w:val="single" w:sz="12" w:space="0" w:color="auto"/>
            </w:tcBorders>
            <w:textDirection w:val="btLr"/>
            <w:vAlign w:val="center"/>
          </w:tcPr>
          <w:p w14:paraId="76071FD4" w14:textId="77777777" w:rsidR="00BD09E5" w:rsidRPr="00662577" w:rsidRDefault="00BD09E5" w:rsidP="00BD09E5">
            <w:pPr>
              <w:autoSpaceDE w:val="0"/>
              <w:autoSpaceDN w:val="0"/>
              <w:adjustRightInd w:val="0"/>
              <w:spacing w:after="0"/>
              <w:ind w:left="113" w:right="113"/>
              <w:jc w:val="center"/>
              <w:rPr>
                <w:rFonts w:cstheme="minorHAnsi"/>
                <w:color w:val="000000"/>
                <w:sz w:val="14"/>
                <w:szCs w:val="14"/>
              </w:rPr>
            </w:pPr>
          </w:p>
        </w:tc>
        <w:tc>
          <w:tcPr>
            <w:tcW w:w="558" w:type="pct"/>
            <w:tcBorders>
              <w:top w:val="single" w:sz="4" w:space="0" w:color="auto"/>
              <w:left w:val="single" w:sz="12" w:space="0" w:color="auto"/>
              <w:bottom w:val="single" w:sz="4" w:space="0" w:color="auto"/>
              <w:right w:val="single" w:sz="18" w:space="0" w:color="auto"/>
            </w:tcBorders>
            <w:shd w:val="clear" w:color="auto" w:fill="auto"/>
          </w:tcPr>
          <w:p w14:paraId="0A5CF7BD" w14:textId="77777777" w:rsidR="00BD09E5" w:rsidRPr="00662577" w:rsidRDefault="00BD09E5" w:rsidP="00BD09E5">
            <w:pPr>
              <w:autoSpaceDE w:val="0"/>
              <w:autoSpaceDN w:val="0"/>
              <w:adjustRightInd w:val="0"/>
              <w:spacing w:after="0"/>
              <w:rPr>
                <w:rFonts w:cstheme="minorHAnsi"/>
                <w:color w:val="000000"/>
                <w:sz w:val="14"/>
                <w:szCs w:val="14"/>
              </w:rPr>
            </w:pPr>
            <w:r w:rsidRPr="00662577">
              <w:rPr>
                <w:rFonts w:cstheme="minorHAnsi"/>
                <w:color w:val="000000"/>
                <w:sz w:val="14"/>
                <w:szCs w:val="14"/>
              </w:rPr>
              <w:t xml:space="preserve">HDL cholesterol </w:t>
            </w:r>
          </w:p>
        </w:tc>
        <w:tc>
          <w:tcPr>
            <w:tcW w:w="975" w:type="pct"/>
            <w:tcBorders>
              <w:top w:val="single" w:sz="4" w:space="0" w:color="auto"/>
              <w:left w:val="single" w:sz="18" w:space="0" w:color="auto"/>
              <w:bottom w:val="single" w:sz="4" w:space="0" w:color="auto"/>
              <w:right w:val="single" w:sz="12" w:space="0" w:color="auto"/>
            </w:tcBorders>
            <w:shd w:val="clear" w:color="auto" w:fill="auto"/>
          </w:tcPr>
          <w:p w14:paraId="2B98BA8B" w14:textId="36BF0EE7" w:rsidR="00BD09E5" w:rsidRPr="00662577" w:rsidRDefault="00BD09E5" w:rsidP="00BD09E5">
            <w:pPr>
              <w:autoSpaceDE w:val="0"/>
              <w:autoSpaceDN w:val="0"/>
              <w:adjustRightInd w:val="0"/>
              <w:spacing w:after="0"/>
              <w:rPr>
                <w:rFonts w:cstheme="minorHAnsi"/>
                <w:color w:val="000000"/>
                <w:sz w:val="14"/>
                <w:szCs w:val="14"/>
              </w:rPr>
            </w:pPr>
            <w:r w:rsidRPr="00662577">
              <w:rPr>
                <w:rFonts w:cstheme="minorHAnsi"/>
                <w:color w:val="000000"/>
                <w:sz w:val="14"/>
                <w:szCs w:val="14"/>
              </w:rPr>
              <w:t xml:space="preserve">Meta-analysis PRR: 0.92 (0.73-1.16) </w:t>
            </w:r>
            <w:sdt>
              <w:sdtPr>
                <w:rPr>
                  <w:rFonts w:cstheme="minorHAnsi"/>
                  <w:color w:val="000000"/>
                  <w:sz w:val="14"/>
                  <w:szCs w:val="14"/>
                </w:rPr>
                <w:tag w:val="MENDELEY_CITATION_v3_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"/>
                <w:id w:val="-1704943063"/>
                <w:placeholder>
                  <w:docPart w:val="DefaultPlaceholder_-1854013440"/>
                </w:placeholder>
              </w:sdtPr>
              <w:sdtEndPr/>
              <w:sdtContent>
                <w:r w:rsidR="008F665C" w:rsidRPr="008F665C">
                  <w:rPr>
                    <w:rFonts w:cstheme="minorHAnsi"/>
                    <w:color w:val="000000"/>
                    <w:sz w:val="14"/>
                    <w:szCs w:val="14"/>
                  </w:rPr>
                  <w:t>[12]</w:t>
                </w:r>
              </w:sdtContent>
            </w:sdt>
          </w:p>
        </w:tc>
        <w:tc>
          <w:tcPr>
            <w:tcW w:w="859" w:type="pct"/>
            <w:tcBorders>
              <w:top w:val="single" w:sz="4" w:space="0" w:color="auto"/>
              <w:left w:val="single" w:sz="12" w:space="0" w:color="auto"/>
              <w:bottom w:val="single" w:sz="4" w:space="0" w:color="auto"/>
              <w:right w:val="single" w:sz="18" w:space="0" w:color="auto"/>
            </w:tcBorders>
          </w:tcPr>
          <w:p w14:paraId="3E53A9C0" w14:textId="4AAEDFEB" w:rsidR="00BD09E5" w:rsidRPr="00662577" w:rsidRDefault="00BD09E5" w:rsidP="00BD09E5">
            <w:pPr>
              <w:autoSpaceDE w:val="0"/>
              <w:autoSpaceDN w:val="0"/>
              <w:adjustRightInd w:val="0"/>
              <w:spacing w:after="0"/>
              <w:rPr>
                <w:rFonts w:cstheme="minorHAnsi"/>
                <w:b/>
                <w:bCs/>
                <w:color w:val="000000"/>
                <w:sz w:val="14"/>
                <w:szCs w:val="14"/>
              </w:rPr>
            </w:pPr>
            <w:r w:rsidRPr="00662577">
              <w:rPr>
                <w:rFonts w:ascii="Calibri" w:hAnsi="Calibri" w:cs="Calibri"/>
                <w:b/>
                <w:bCs/>
                <w:color w:val="000000"/>
                <w:sz w:val="14"/>
                <w:szCs w:val="14"/>
              </w:rPr>
              <w:t>OR: 1.12 (1.08-1.16</w:t>
            </w:r>
            <w:r w:rsidRPr="00976CE7">
              <w:rPr>
                <w:rFonts w:ascii="Calibri" w:hAnsi="Calibri" w:cs="Calibri"/>
                <w:b/>
                <w:bCs/>
                <w:color w:val="000000"/>
                <w:sz w:val="14"/>
                <w:szCs w:val="14"/>
              </w:rPr>
              <w:t xml:space="preserve">) </w:t>
            </w:r>
            <w:sdt>
              <w:sdtPr>
                <w:rPr>
                  <w:rFonts w:ascii="Calibri" w:hAnsi="Calibri" w:cs="Calibri"/>
                  <w:bCs/>
                  <w:color w:val="000000"/>
                  <w:sz w:val="14"/>
                  <w:szCs w:val="14"/>
                </w:rPr>
                <w:tag w:val="MENDELEY_CITATION_v3_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"/>
                <w:id w:val="-997424385"/>
                <w:placeholder>
                  <w:docPart w:val="DefaultPlaceholder_-1854013440"/>
                </w:placeholder>
              </w:sdtPr>
              <w:sdtEndPr/>
              <w:sdtContent>
                <w:r w:rsidR="008F665C" w:rsidRPr="008F665C">
                  <w:rPr>
                    <w:rFonts w:ascii="Calibri" w:hAnsi="Calibri" w:cs="Calibri"/>
                    <w:bCs/>
                    <w:color w:val="000000"/>
                    <w:sz w:val="14"/>
                    <w:szCs w:val="14"/>
                  </w:rPr>
                  <w:t>[13]</w:t>
                </w:r>
              </w:sdtContent>
            </w:sdt>
          </w:p>
        </w:tc>
        <w:tc>
          <w:tcPr>
            <w:tcW w:w="793" w:type="pct"/>
            <w:tcBorders>
              <w:top w:val="single" w:sz="4" w:space="0" w:color="auto"/>
              <w:left w:val="single" w:sz="18" w:space="0" w:color="auto"/>
              <w:bottom w:val="single" w:sz="4" w:space="0" w:color="auto"/>
              <w:right w:val="single" w:sz="12" w:space="0" w:color="auto"/>
            </w:tcBorders>
          </w:tcPr>
          <w:p w14:paraId="2AA40005" w14:textId="59A1565E" w:rsidR="00BD09E5" w:rsidRPr="00662577" w:rsidRDefault="00BD09E5" w:rsidP="00BD09E5">
            <w:pPr>
              <w:autoSpaceDE w:val="0"/>
              <w:autoSpaceDN w:val="0"/>
              <w:adjustRightInd w:val="0"/>
              <w:spacing w:after="0"/>
              <w:rPr>
                <w:rFonts w:cstheme="minorHAnsi"/>
                <w:b/>
                <w:bCs/>
                <w:color w:val="000000"/>
                <w:sz w:val="14"/>
                <w:szCs w:val="14"/>
              </w:rPr>
            </w:pPr>
            <w:r w:rsidRPr="00662577">
              <w:rPr>
                <w:rFonts w:cstheme="minorHAnsi"/>
                <w:b/>
                <w:bCs/>
                <w:color w:val="000000"/>
                <w:sz w:val="14"/>
                <w:szCs w:val="14"/>
              </w:rPr>
              <w:t>1.08 (1.04-1.13)</w:t>
            </w:r>
          </w:p>
        </w:tc>
        <w:tc>
          <w:tcPr>
            <w:tcW w:w="793" w:type="pct"/>
            <w:tcBorders>
              <w:top w:val="single" w:sz="4" w:space="0" w:color="auto"/>
              <w:left w:val="single" w:sz="12" w:space="0" w:color="auto"/>
              <w:bottom w:val="single" w:sz="4" w:space="0" w:color="auto"/>
              <w:right w:val="single" w:sz="12" w:space="0" w:color="auto"/>
            </w:tcBorders>
          </w:tcPr>
          <w:p w14:paraId="70A18E6A" w14:textId="6CB62D71" w:rsidR="00BD09E5" w:rsidRPr="00662577" w:rsidRDefault="00BD09E5" w:rsidP="00BD09E5">
            <w:pPr>
              <w:autoSpaceDE w:val="0"/>
              <w:autoSpaceDN w:val="0"/>
              <w:adjustRightInd w:val="0"/>
              <w:spacing w:after="0"/>
              <w:rPr>
                <w:rFonts w:cstheme="minorHAnsi"/>
                <w:b/>
                <w:bCs/>
                <w:color w:val="000000"/>
                <w:sz w:val="14"/>
                <w:szCs w:val="14"/>
              </w:rPr>
            </w:pPr>
            <w:r w:rsidRPr="00662577">
              <w:rPr>
                <w:rFonts w:cstheme="minorHAnsi"/>
                <w:b/>
                <w:bCs/>
                <w:color w:val="000000"/>
                <w:sz w:val="14"/>
                <w:szCs w:val="14"/>
              </w:rPr>
              <w:t>1.08 (1.03-1.13)</w:t>
            </w:r>
          </w:p>
        </w:tc>
        <w:tc>
          <w:tcPr>
            <w:tcW w:w="794" w:type="pct"/>
            <w:tcBorders>
              <w:top w:val="single" w:sz="4" w:space="0" w:color="auto"/>
              <w:left w:val="single" w:sz="12" w:space="0" w:color="auto"/>
              <w:bottom w:val="single" w:sz="4" w:space="0" w:color="auto"/>
              <w:right w:val="single" w:sz="18" w:space="0" w:color="auto"/>
            </w:tcBorders>
            <w:shd w:val="clear" w:color="auto" w:fill="auto"/>
          </w:tcPr>
          <w:p w14:paraId="1D3938C5" w14:textId="11C8A943" w:rsidR="00BD09E5" w:rsidRPr="00662577" w:rsidRDefault="00BD09E5" w:rsidP="00BD09E5">
            <w:pPr>
              <w:autoSpaceDE w:val="0"/>
              <w:autoSpaceDN w:val="0"/>
              <w:adjustRightInd w:val="0"/>
              <w:spacing w:after="0"/>
              <w:rPr>
                <w:rFonts w:cstheme="minorHAnsi"/>
                <w:b/>
                <w:bCs/>
                <w:color w:val="000000"/>
                <w:sz w:val="14"/>
                <w:szCs w:val="14"/>
              </w:rPr>
            </w:pPr>
            <w:r w:rsidRPr="00662577">
              <w:rPr>
                <w:rFonts w:cstheme="minorHAnsi"/>
                <w:b/>
                <w:bCs/>
                <w:color w:val="000000"/>
                <w:sz w:val="14"/>
                <w:szCs w:val="14"/>
              </w:rPr>
              <w:t>1.08 (1.02-1.15)</w:t>
            </w:r>
          </w:p>
        </w:tc>
      </w:tr>
      <w:tr w:rsidR="00BD09E5" w:rsidRPr="00662577" w14:paraId="702E610B" w14:textId="77777777" w:rsidTr="008E2B78">
        <w:trPr>
          <w:trHeight w:val="75"/>
        </w:trPr>
        <w:tc>
          <w:tcPr>
            <w:tcW w:w="228" w:type="pct"/>
            <w:vMerge/>
            <w:tcBorders>
              <w:left w:val="single" w:sz="18" w:space="0" w:color="auto"/>
              <w:right w:val="single" w:sz="12" w:space="0" w:color="auto"/>
            </w:tcBorders>
            <w:textDirection w:val="btLr"/>
            <w:vAlign w:val="center"/>
          </w:tcPr>
          <w:p w14:paraId="38A9C771" w14:textId="77777777" w:rsidR="00BD09E5" w:rsidRPr="00662577" w:rsidRDefault="00BD09E5" w:rsidP="00BD09E5">
            <w:pPr>
              <w:autoSpaceDE w:val="0"/>
              <w:autoSpaceDN w:val="0"/>
              <w:adjustRightInd w:val="0"/>
              <w:spacing w:after="0"/>
              <w:ind w:left="113" w:right="113"/>
              <w:jc w:val="center"/>
              <w:rPr>
                <w:rFonts w:cstheme="minorHAnsi"/>
                <w:color w:val="000000"/>
                <w:sz w:val="14"/>
                <w:szCs w:val="14"/>
              </w:rPr>
            </w:pPr>
          </w:p>
        </w:tc>
        <w:tc>
          <w:tcPr>
            <w:tcW w:w="558" w:type="pct"/>
            <w:tcBorders>
              <w:top w:val="single" w:sz="4" w:space="0" w:color="auto"/>
              <w:left w:val="single" w:sz="12" w:space="0" w:color="auto"/>
              <w:bottom w:val="single" w:sz="4" w:space="0" w:color="auto"/>
              <w:right w:val="single" w:sz="18" w:space="0" w:color="auto"/>
            </w:tcBorders>
            <w:shd w:val="clear" w:color="auto" w:fill="auto"/>
          </w:tcPr>
          <w:p w14:paraId="645508CC" w14:textId="4DBA24D4" w:rsidR="00BD09E5" w:rsidRPr="00662577" w:rsidRDefault="00BD09E5" w:rsidP="00BD09E5">
            <w:pPr>
              <w:autoSpaceDE w:val="0"/>
              <w:autoSpaceDN w:val="0"/>
              <w:adjustRightInd w:val="0"/>
              <w:spacing w:after="0"/>
              <w:rPr>
                <w:rFonts w:cstheme="minorHAnsi"/>
                <w:color w:val="000000"/>
                <w:sz w:val="14"/>
                <w:szCs w:val="14"/>
              </w:rPr>
            </w:pPr>
            <w:r w:rsidRPr="00662577">
              <w:rPr>
                <w:rFonts w:cstheme="minorHAnsi"/>
                <w:color w:val="000000"/>
                <w:sz w:val="14"/>
                <w:szCs w:val="14"/>
              </w:rPr>
              <w:t xml:space="preserve">LDL </w:t>
            </w:r>
            <w:r w:rsidR="00973CFA">
              <w:rPr>
                <w:rFonts w:cstheme="minorHAnsi"/>
                <w:color w:val="000000"/>
                <w:sz w:val="14"/>
                <w:szCs w:val="14"/>
              </w:rPr>
              <w:t>cholesterol</w:t>
            </w:r>
          </w:p>
        </w:tc>
        <w:tc>
          <w:tcPr>
            <w:tcW w:w="975" w:type="pct"/>
            <w:tcBorders>
              <w:top w:val="single" w:sz="4" w:space="0" w:color="auto"/>
              <w:left w:val="single" w:sz="18" w:space="0" w:color="auto"/>
              <w:bottom w:val="single" w:sz="4" w:space="0" w:color="auto"/>
              <w:right w:val="single" w:sz="12" w:space="0" w:color="auto"/>
            </w:tcBorders>
            <w:shd w:val="clear" w:color="auto" w:fill="auto"/>
          </w:tcPr>
          <w:p w14:paraId="2D3F76A4" w14:textId="5B0DDD7C" w:rsidR="00BD09E5" w:rsidRPr="00662577" w:rsidRDefault="00BD09E5" w:rsidP="00BD09E5">
            <w:pPr>
              <w:autoSpaceDE w:val="0"/>
              <w:autoSpaceDN w:val="0"/>
              <w:adjustRightInd w:val="0"/>
              <w:spacing w:after="0"/>
              <w:rPr>
                <w:rFonts w:cstheme="minorHAnsi"/>
                <w:color w:val="000000"/>
                <w:sz w:val="14"/>
                <w:szCs w:val="14"/>
              </w:rPr>
            </w:pPr>
            <w:r w:rsidRPr="00662577">
              <w:rPr>
                <w:rFonts w:cstheme="minorHAnsi"/>
                <w:color w:val="000000"/>
                <w:sz w:val="14"/>
                <w:szCs w:val="14"/>
              </w:rPr>
              <w:t xml:space="preserve">Meta-analysis PRR: 0.90 (0.77-1.06) </w:t>
            </w:r>
            <w:sdt>
              <w:sdtPr>
                <w:rPr>
                  <w:rFonts w:cstheme="minorHAnsi"/>
                  <w:color w:val="000000"/>
                  <w:sz w:val="14"/>
                  <w:szCs w:val="14"/>
                </w:rPr>
                <w:tag w:val="MENDELEY_CITATION_v3_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"/>
                <w:id w:val="728420572"/>
                <w:placeholder>
                  <w:docPart w:val="DefaultPlaceholder_-1854013440"/>
                </w:placeholder>
              </w:sdtPr>
              <w:sdtEndPr/>
              <w:sdtContent>
                <w:r w:rsidR="008F665C" w:rsidRPr="008F665C">
                  <w:rPr>
                    <w:rFonts w:cstheme="minorHAnsi"/>
                    <w:color w:val="000000"/>
                    <w:sz w:val="14"/>
                    <w:szCs w:val="14"/>
                  </w:rPr>
                  <w:t>[12]</w:t>
                </w:r>
              </w:sdtContent>
            </w:sdt>
          </w:p>
        </w:tc>
        <w:tc>
          <w:tcPr>
            <w:tcW w:w="859" w:type="pct"/>
            <w:tcBorders>
              <w:top w:val="single" w:sz="4" w:space="0" w:color="auto"/>
              <w:left w:val="single" w:sz="12" w:space="0" w:color="auto"/>
              <w:bottom w:val="single" w:sz="4" w:space="0" w:color="auto"/>
              <w:right w:val="single" w:sz="18" w:space="0" w:color="auto"/>
            </w:tcBorders>
          </w:tcPr>
          <w:p w14:paraId="7FD732F7" w14:textId="00002281" w:rsidR="00BD09E5" w:rsidRPr="00662577" w:rsidRDefault="00BD09E5" w:rsidP="00BD09E5">
            <w:pPr>
              <w:autoSpaceDE w:val="0"/>
              <w:autoSpaceDN w:val="0"/>
              <w:adjustRightInd w:val="0"/>
              <w:spacing w:after="0"/>
              <w:rPr>
                <w:rFonts w:cstheme="minorHAnsi"/>
                <w:color w:val="000000"/>
                <w:sz w:val="14"/>
                <w:szCs w:val="14"/>
              </w:rPr>
            </w:pPr>
            <w:r w:rsidRPr="00662577">
              <w:rPr>
                <w:rFonts w:ascii="Calibri" w:hAnsi="Calibri" w:cs="Calibri"/>
                <w:color w:val="000000"/>
                <w:sz w:val="14"/>
                <w:szCs w:val="14"/>
              </w:rPr>
              <w:t xml:space="preserve">OR: 1.00 (0.96-1.04) </w:t>
            </w:r>
            <w:sdt>
              <w:sdtPr>
                <w:rPr>
                  <w:rFonts w:ascii="Calibri" w:hAnsi="Calibri" w:cs="Calibri"/>
                  <w:color w:val="000000"/>
                  <w:sz w:val="14"/>
                  <w:szCs w:val="14"/>
                </w:rPr>
                <w:tag w:val="MENDELEY_CITATION_v3_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"/>
                <w:id w:val="225037611"/>
                <w:placeholder>
                  <w:docPart w:val="DefaultPlaceholder_-1854013440"/>
                </w:placeholder>
              </w:sdtPr>
              <w:sdtEndPr/>
              <w:sdtContent>
                <w:r w:rsidR="008F665C" w:rsidRPr="008F665C">
                  <w:rPr>
                    <w:rFonts w:ascii="Calibri" w:hAnsi="Calibri" w:cs="Calibri"/>
                    <w:color w:val="000000"/>
                    <w:sz w:val="14"/>
                    <w:szCs w:val="14"/>
                  </w:rPr>
                  <w:t>[13]</w:t>
                </w:r>
              </w:sdtContent>
            </w:sdt>
          </w:p>
        </w:tc>
        <w:tc>
          <w:tcPr>
            <w:tcW w:w="793" w:type="pct"/>
            <w:tcBorders>
              <w:top w:val="single" w:sz="4" w:space="0" w:color="auto"/>
              <w:left w:val="single" w:sz="18" w:space="0" w:color="auto"/>
              <w:bottom w:val="single" w:sz="4" w:space="0" w:color="auto"/>
              <w:right w:val="single" w:sz="12" w:space="0" w:color="auto"/>
            </w:tcBorders>
          </w:tcPr>
          <w:p w14:paraId="7DCB2DC8" w14:textId="1A7A8AC1" w:rsidR="00BD09E5" w:rsidRPr="00662577" w:rsidRDefault="00BD09E5" w:rsidP="00BD09E5">
            <w:pPr>
              <w:autoSpaceDE w:val="0"/>
              <w:autoSpaceDN w:val="0"/>
              <w:adjustRightInd w:val="0"/>
              <w:spacing w:after="0"/>
              <w:rPr>
                <w:rFonts w:cstheme="minorHAnsi"/>
                <w:color w:val="000000"/>
                <w:sz w:val="14"/>
                <w:szCs w:val="14"/>
              </w:rPr>
            </w:pPr>
            <w:r w:rsidRPr="00662577">
              <w:rPr>
                <w:rFonts w:cstheme="minorHAnsi"/>
                <w:color w:val="000000"/>
                <w:sz w:val="14"/>
                <w:szCs w:val="14"/>
              </w:rPr>
              <w:t>1.03 (0.98-1.08)</w:t>
            </w:r>
          </w:p>
        </w:tc>
        <w:tc>
          <w:tcPr>
            <w:tcW w:w="793" w:type="pct"/>
            <w:tcBorders>
              <w:top w:val="single" w:sz="4" w:space="0" w:color="auto"/>
              <w:left w:val="single" w:sz="12" w:space="0" w:color="auto"/>
              <w:bottom w:val="single" w:sz="4" w:space="0" w:color="auto"/>
              <w:right w:val="single" w:sz="12" w:space="0" w:color="auto"/>
            </w:tcBorders>
          </w:tcPr>
          <w:p w14:paraId="76A83BD4" w14:textId="52B2E2F2" w:rsidR="00BD09E5" w:rsidRPr="00662577" w:rsidRDefault="00BD09E5" w:rsidP="00BD09E5">
            <w:pPr>
              <w:autoSpaceDE w:val="0"/>
              <w:autoSpaceDN w:val="0"/>
              <w:adjustRightInd w:val="0"/>
              <w:spacing w:after="0"/>
              <w:rPr>
                <w:rFonts w:cstheme="minorHAnsi"/>
                <w:color w:val="000000"/>
                <w:sz w:val="14"/>
                <w:szCs w:val="14"/>
              </w:rPr>
            </w:pPr>
            <w:r w:rsidRPr="00662577">
              <w:rPr>
                <w:rFonts w:cstheme="minorHAnsi"/>
                <w:color w:val="000000"/>
                <w:sz w:val="14"/>
                <w:szCs w:val="14"/>
              </w:rPr>
              <w:t>1.02 (0.96-1.07)</w:t>
            </w:r>
          </w:p>
        </w:tc>
        <w:tc>
          <w:tcPr>
            <w:tcW w:w="794" w:type="pct"/>
            <w:tcBorders>
              <w:top w:val="single" w:sz="4" w:space="0" w:color="auto"/>
              <w:left w:val="single" w:sz="12" w:space="0" w:color="auto"/>
              <w:bottom w:val="single" w:sz="4" w:space="0" w:color="auto"/>
              <w:right w:val="single" w:sz="18" w:space="0" w:color="auto"/>
            </w:tcBorders>
            <w:shd w:val="clear" w:color="auto" w:fill="auto"/>
          </w:tcPr>
          <w:p w14:paraId="76B74711" w14:textId="089A11E4" w:rsidR="00BD09E5" w:rsidRPr="00662577" w:rsidRDefault="00BD09E5" w:rsidP="00BD09E5">
            <w:pPr>
              <w:autoSpaceDE w:val="0"/>
              <w:autoSpaceDN w:val="0"/>
              <w:adjustRightInd w:val="0"/>
              <w:spacing w:after="0"/>
              <w:rPr>
                <w:rFonts w:cstheme="minorHAnsi"/>
                <w:color w:val="000000"/>
                <w:sz w:val="14"/>
                <w:szCs w:val="14"/>
              </w:rPr>
            </w:pPr>
            <w:r w:rsidRPr="00662577">
              <w:rPr>
                <w:rFonts w:cstheme="minorHAnsi"/>
                <w:color w:val="000000"/>
                <w:sz w:val="14"/>
                <w:szCs w:val="14"/>
              </w:rPr>
              <w:t>1.00 (0.93-1.07)</w:t>
            </w:r>
          </w:p>
        </w:tc>
      </w:tr>
      <w:tr w:rsidR="00BD09E5" w:rsidRPr="00662577" w14:paraId="44301D04" w14:textId="77777777" w:rsidTr="008E2B78">
        <w:trPr>
          <w:trHeight w:val="75"/>
        </w:trPr>
        <w:tc>
          <w:tcPr>
            <w:tcW w:w="228" w:type="pct"/>
            <w:vMerge/>
            <w:tcBorders>
              <w:left w:val="single" w:sz="18" w:space="0" w:color="auto"/>
              <w:right w:val="single" w:sz="12" w:space="0" w:color="auto"/>
            </w:tcBorders>
            <w:textDirection w:val="btLr"/>
            <w:vAlign w:val="center"/>
          </w:tcPr>
          <w:p w14:paraId="3E4DC53A" w14:textId="77777777" w:rsidR="00BD09E5" w:rsidRPr="00662577" w:rsidRDefault="00BD09E5" w:rsidP="00BD09E5">
            <w:pPr>
              <w:autoSpaceDE w:val="0"/>
              <w:autoSpaceDN w:val="0"/>
              <w:adjustRightInd w:val="0"/>
              <w:spacing w:after="0"/>
              <w:ind w:left="113" w:right="113"/>
              <w:jc w:val="center"/>
              <w:rPr>
                <w:rFonts w:cstheme="minorHAnsi"/>
                <w:color w:val="000000"/>
                <w:sz w:val="14"/>
                <w:szCs w:val="14"/>
              </w:rPr>
            </w:pPr>
          </w:p>
        </w:tc>
        <w:tc>
          <w:tcPr>
            <w:tcW w:w="558" w:type="pct"/>
            <w:tcBorders>
              <w:top w:val="single" w:sz="4" w:space="0" w:color="auto"/>
              <w:left w:val="single" w:sz="12" w:space="0" w:color="auto"/>
              <w:bottom w:val="single" w:sz="4" w:space="0" w:color="auto"/>
              <w:right w:val="single" w:sz="18" w:space="0" w:color="auto"/>
            </w:tcBorders>
            <w:shd w:val="clear" w:color="auto" w:fill="auto"/>
          </w:tcPr>
          <w:p w14:paraId="48942101" w14:textId="77777777" w:rsidR="00BD09E5" w:rsidRPr="00662577" w:rsidRDefault="00BD09E5" w:rsidP="00BD09E5">
            <w:pPr>
              <w:autoSpaceDE w:val="0"/>
              <w:autoSpaceDN w:val="0"/>
              <w:adjustRightInd w:val="0"/>
              <w:spacing w:after="0"/>
              <w:rPr>
                <w:rFonts w:cstheme="minorHAnsi"/>
                <w:color w:val="000000"/>
                <w:sz w:val="14"/>
                <w:szCs w:val="14"/>
              </w:rPr>
            </w:pPr>
            <w:r w:rsidRPr="00662577">
              <w:rPr>
                <w:rFonts w:cstheme="minorHAnsi"/>
                <w:color w:val="000000"/>
                <w:sz w:val="14"/>
                <w:szCs w:val="14"/>
              </w:rPr>
              <w:t>Lipoprotein A</w:t>
            </w:r>
          </w:p>
        </w:tc>
        <w:tc>
          <w:tcPr>
            <w:tcW w:w="975" w:type="pct"/>
            <w:tcBorders>
              <w:top w:val="single" w:sz="4" w:space="0" w:color="auto"/>
              <w:left w:val="single" w:sz="18" w:space="0" w:color="auto"/>
              <w:bottom w:val="single" w:sz="4" w:space="0" w:color="auto"/>
              <w:right w:val="single" w:sz="12" w:space="0" w:color="auto"/>
            </w:tcBorders>
            <w:shd w:val="clear" w:color="auto" w:fill="auto"/>
          </w:tcPr>
          <w:p w14:paraId="75C30285" w14:textId="77777777" w:rsidR="00BD09E5" w:rsidRPr="00662577" w:rsidRDefault="00BD09E5" w:rsidP="00BD09E5">
            <w:pPr>
              <w:autoSpaceDE w:val="0"/>
              <w:autoSpaceDN w:val="0"/>
              <w:adjustRightInd w:val="0"/>
              <w:spacing w:after="0"/>
              <w:rPr>
                <w:rFonts w:cstheme="minorHAnsi"/>
                <w:color w:val="000000"/>
                <w:sz w:val="14"/>
                <w:szCs w:val="14"/>
              </w:rPr>
            </w:pPr>
            <w:r w:rsidRPr="00662577">
              <w:rPr>
                <w:rFonts w:cstheme="minorHAnsi"/>
                <w:color w:val="000000"/>
                <w:sz w:val="14"/>
                <w:szCs w:val="14"/>
              </w:rPr>
              <w:t>-</w:t>
            </w:r>
          </w:p>
        </w:tc>
        <w:tc>
          <w:tcPr>
            <w:tcW w:w="859" w:type="pct"/>
            <w:tcBorders>
              <w:top w:val="single" w:sz="4" w:space="0" w:color="auto"/>
              <w:left w:val="single" w:sz="12" w:space="0" w:color="auto"/>
              <w:bottom w:val="single" w:sz="4" w:space="0" w:color="auto"/>
              <w:right w:val="single" w:sz="18" w:space="0" w:color="auto"/>
            </w:tcBorders>
          </w:tcPr>
          <w:p w14:paraId="570A0AEA" w14:textId="3A047FCA" w:rsidR="00BD09E5" w:rsidRPr="00662577" w:rsidRDefault="00BD09E5" w:rsidP="00BD09E5">
            <w:pPr>
              <w:autoSpaceDE w:val="0"/>
              <w:autoSpaceDN w:val="0"/>
              <w:adjustRightInd w:val="0"/>
              <w:spacing w:after="0"/>
              <w:rPr>
                <w:rFonts w:cstheme="minorHAnsi"/>
                <w:color w:val="000000"/>
                <w:sz w:val="14"/>
                <w:szCs w:val="14"/>
              </w:rPr>
            </w:pPr>
            <w:r w:rsidRPr="00662577">
              <w:rPr>
                <w:rFonts w:ascii="Calibri" w:hAnsi="Calibri" w:cs="Calibri"/>
                <w:color w:val="000000"/>
                <w:sz w:val="14"/>
                <w:szCs w:val="14"/>
              </w:rPr>
              <w:t>-</w:t>
            </w:r>
          </w:p>
        </w:tc>
        <w:tc>
          <w:tcPr>
            <w:tcW w:w="793" w:type="pct"/>
            <w:tcBorders>
              <w:top w:val="single" w:sz="4" w:space="0" w:color="auto"/>
              <w:left w:val="single" w:sz="18" w:space="0" w:color="auto"/>
              <w:bottom w:val="single" w:sz="4" w:space="0" w:color="auto"/>
              <w:right w:val="single" w:sz="12" w:space="0" w:color="auto"/>
            </w:tcBorders>
          </w:tcPr>
          <w:p w14:paraId="37519EC1" w14:textId="63B198F3" w:rsidR="00BD09E5" w:rsidRPr="00662577" w:rsidRDefault="00BD09E5" w:rsidP="00BD09E5">
            <w:pPr>
              <w:autoSpaceDE w:val="0"/>
              <w:autoSpaceDN w:val="0"/>
              <w:adjustRightInd w:val="0"/>
              <w:spacing w:after="0"/>
              <w:rPr>
                <w:rFonts w:cstheme="minorHAnsi"/>
                <w:color w:val="000000"/>
                <w:sz w:val="14"/>
                <w:szCs w:val="14"/>
              </w:rPr>
            </w:pPr>
            <w:r w:rsidRPr="00662577">
              <w:rPr>
                <w:rFonts w:cstheme="minorHAnsi"/>
                <w:color w:val="000000"/>
                <w:sz w:val="14"/>
                <w:szCs w:val="14"/>
              </w:rPr>
              <w:t>1.01 (0.97-1.05)</w:t>
            </w:r>
          </w:p>
        </w:tc>
        <w:tc>
          <w:tcPr>
            <w:tcW w:w="793" w:type="pct"/>
            <w:tcBorders>
              <w:top w:val="single" w:sz="4" w:space="0" w:color="auto"/>
              <w:left w:val="single" w:sz="12" w:space="0" w:color="auto"/>
              <w:bottom w:val="single" w:sz="4" w:space="0" w:color="auto"/>
              <w:right w:val="single" w:sz="12" w:space="0" w:color="auto"/>
            </w:tcBorders>
          </w:tcPr>
          <w:p w14:paraId="51443398" w14:textId="631B5E9A" w:rsidR="00BD09E5" w:rsidRPr="00662577" w:rsidRDefault="00BD09E5" w:rsidP="00BD09E5">
            <w:pPr>
              <w:autoSpaceDE w:val="0"/>
              <w:autoSpaceDN w:val="0"/>
              <w:adjustRightInd w:val="0"/>
              <w:spacing w:after="0"/>
              <w:rPr>
                <w:rFonts w:cstheme="minorHAnsi"/>
                <w:color w:val="000000"/>
                <w:sz w:val="14"/>
                <w:szCs w:val="14"/>
              </w:rPr>
            </w:pPr>
            <w:r w:rsidRPr="00662577">
              <w:rPr>
                <w:rFonts w:cstheme="minorHAnsi"/>
                <w:color w:val="000000"/>
                <w:sz w:val="14"/>
                <w:szCs w:val="14"/>
              </w:rPr>
              <w:t>1.01 (0.97-1.05)</w:t>
            </w:r>
          </w:p>
        </w:tc>
        <w:tc>
          <w:tcPr>
            <w:tcW w:w="794" w:type="pct"/>
            <w:tcBorders>
              <w:top w:val="single" w:sz="4" w:space="0" w:color="auto"/>
              <w:left w:val="single" w:sz="12" w:space="0" w:color="auto"/>
              <w:bottom w:val="single" w:sz="4" w:space="0" w:color="auto"/>
              <w:right w:val="single" w:sz="18" w:space="0" w:color="auto"/>
            </w:tcBorders>
            <w:shd w:val="clear" w:color="auto" w:fill="auto"/>
          </w:tcPr>
          <w:p w14:paraId="55449C61" w14:textId="1CC01638" w:rsidR="00BD09E5" w:rsidRPr="00662577" w:rsidRDefault="00BD09E5" w:rsidP="00BD09E5">
            <w:pPr>
              <w:autoSpaceDE w:val="0"/>
              <w:autoSpaceDN w:val="0"/>
              <w:adjustRightInd w:val="0"/>
              <w:spacing w:after="0"/>
              <w:rPr>
                <w:rFonts w:cstheme="minorHAnsi"/>
                <w:color w:val="000000"/>
                <w:sz w:val="14"/>
                <w:szCs w:val="14"/>
              </w:rPr>
            </w:pPr>
            <w:r w:rsidRPr="00662577">
              <w:rPr>
                <w:rFonts w:cstheme="minorHAnsi"/>
                <w:color w:val="000000"/>
                <w:sz w:val="14"/>
                <w:szCs w:val="14"/>
              </w:rPr>
              <w:t>1.03 (0.96-1.11)</w:t>
            </w:r>
          </w:p>
        </w:tc>
      </w:tr>
      <w:tr w:rsidR="00BD09E5" w:rsidRPr="00662577" w14:paraId="36D13732" w14:textId="77777777" w:rsidTr="008E2B78">
        <w:trPr>
          <w:trHeight w:val="12"/>
        </w:trPr>
        <w:tc>
          <w:tcPr>
            <w:tcW w:w="228" w:type="pct"/>
            <w:vMerge/>
            <w:tcBorders>
              <w:left w:val="single" w:sz="18" w:space="0" w:color="auto"/>
              <w:bottom w:val="single" w:sz="12" w:space="0" w:color="auto"/>
              <w:right w:val="single" w:sz="12" w:space="0" w:color="auto"/>
            </w:tcBorders>
            <w:textDirection w:val="btLr"/>
            <w:vAlign w:val="center"/>
          </w:tcPr>
          <w:p w14:paraId="04D5EBE3" w14:textId="77777777" w:rsidR="00BD09E5" w:rsidRPr="00662577" w:rsidRDefault="00BD09E5" w:rsidP="00BD09E5">
            <w:pPr>
              <w:autoSpaceDE w:val="0"/>
              <w:autoSpaceDN w:val="0"/>
              <w:adjustRightInd w:val="0"/>
              <w:spacing w:after="0"/>
              <w:ind w:left="113" w:right="113"/>
              <w:jc w:val="center"/>
              <w:rPr>
                <w:rFonts w:cstheme="minorHAnsi"/>
                <w:color w:val="000000"/>
                <w:sz w:val="14"/>
                <w:szCs w:val="14"/>
              </w:rPr>
            </w:pPr>
          </w:p>
        </w:tc>
        <w:tc>
          <w:tcPr>
            <w:tcW w:w="558" w:type="pct"/>
            <w:tcBorders>
              <w:top w:val="single" w:sz="4" w:space="0" w:color="auto"/>
              <w:left w:val="single" w:sz="12" w:space="0" w:color="auto"/>
              <w:bottom w:val="single" w:sz="12" w:space="0" w:color="auto"/>
              <w:right w:val="single" w:sz="18" w:space="0" w:color="auto"/>
            </w:tcBorders>
            <w:shd w:val="clear" w:color="auto" w:fill="auto"/>
          </w:tcPr>
          <w:p w14:paraId="1DC7173E" w14:textId="77777777" w:rsidR="00BD09E5" w:rsidRPr="00662577" w:rsidRDefault="00BD09E5" w:rsidP="00BD09E5">
            <w:pPr>
              <w:autoSpaceDE w:val="0"/>
              <w:autoSpaceDN w:val="0"/>
              <w:adjustRightInd w:val="0"/>
              <w:spacing w:after="0"/>
              <w:rPr>
                <w:rFonts w:cstheme="minorHAnsi"/>
                <w:color w:val="000000"/>
                <w:sz w:val="14"/>
                <w:szCs w:val="14"/>
              </w:rPr>
            </w:pPr>
            <w:r w:rsidRPr="00662577">
              <w:rPr>
                <w:rFonts w:cstheme="minorHAnsi"/>
                <w:color w:val="000000"/>
                <w:sz w:val="14"/>
                <w:szCs w:val="14"/>
              </w:rPr>
              <w:t>Triglyceride</w:t>
            </w:r>
          </w:p>
        </w:tc>
        <w:tc>
          <w:tcPr>
            <w:tcW w:w="975" w:type="pct"/>
            <w:tcBorders>
              <w:top w:val="single" w:sz="4" w:space="0" w:color="auto"/>
              <w:left w:val="single" w:sz="18" w:space="0" w:color="auto"/>
              <w:bottom w:val="single" w:sz="12" w:space="0" w:color="auto"/>
              <w:right w:val="single" w:sz="12" w:space="0" w:color="auto"/>
            </w:tcBorders>
            <w:shd w:val="clear" w:color="auto" w:fill="auto"/>
          </w:tcPr>
          <w:p w14:paraId="79D36CB4" w14:textId="55DC6EC8" w:rsidR="00BD09E5" w:rsidRPr="00662577" w:rsidRDefault="00BD09E5" w:rsidP="00BD09E5">
            <w:pPr>
              <w:autoSpaceDE w:val="0"/>
              <w:autoSpaceDN w:val="0"/>
              <w:adjustRightInd w:val="0"/>
              <w:spacing w:after="0"/>
              <w:rPr>
                <w:rFonts w:cstheme="minorHAnsi"/>
                <w:color w:val="000000"/>
                <w:sz w:val="14"/>
                <w:szCs w:val="14"/>
              </w:rPr>
            </w:pPr>
            <w:r w:rsidRPr="00662577">
              <w:rPr>
                <w:rFonts w:cstheme="minorHAnsi"/>
                <w:color w:val="000000"/>
                <w:sz w:val="14"/>
                <w:szCs w:val="14"/>
              </w:rPr>
              <w:t xml:space="preserve">Meta-analysis PRR: 0.93 (0.86-1.00) </w:t>
            </w:r>
            <w:sdt>
              <w:sdtPr>
                <w:rPr>
                  <w:rFonts w:cstheme="minorHAnsi"/>
                  <w:color w:val="000000"/>
                  <w:sz w:val="14"/>
                  <w:szCs w:val="14"/>
                </w:rPr>
                <w:tag w:val="MENDELEY_CITATION_v3_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"/>
                <w:id w:val="-567336547"/>
                <w:placeholder>
                  <w:docPart w:val="DefaultPlaceholder_-1854013440"/>
                </w:placeholder>
              </w:sdtPr>
              <w:sdtEndPr/>
              <w:sdtContent>
                <w:r w:rsidR="008F665C" w:rsidRPr="008F665C">
                  <w:rPr>
                    <w:rFonts w:cstheme="minorHAnsi"/>
                    <w:color w:val="000000"/>
                    <w:sz w:val="14"/>
                    <w:szCs w:val="14"/>
                  </w:rPr>
                  <w:t>[12]</w:t>
                </w:r>
              </w:sdtContent>
            </w:sdt>
          </w:p>
        </w:tc>
        <w:tc>
          <w:tcPr>
            <w:tcW w:w="859" w:type="pct"/>
            <w:tcBorders>
              <w:top w:val="single" w:sz="4" w:space="0" w:color="auto"/>
              <w:left w:val="single" w:sz="12" w:space="0" w:color="auto"/>
              <w:bottom w:val="single" w:sz="12" w:space="0" w:color="auto"/>
              <w:right w:val="single" w:sz="18" w:space="0" w:color="auto"/>
            </w:tcBorders>
          </w:tcPr>
          <w:p w14:paraId="63412CB0" w14:textId="14BE8304" w:rsidR="00BD09E5" w:rsidRPr="00662577" w:rsidRDefault="00BD09E5" w:rsidP="00BD09E5">
            <w:pPr>
              <w:autoSpaceDE w:val="0"/>
              <w:autoSpaceDN w:val="0"/>
              <w:adjustRightInd w:val="0"/>
              <w:spacing w:after="0"/>
              <w:rPr>
                <w:rFonts w:cstheme="minorHAnsi"/>
                <w:color w:val="000000"/>
                <w:sz w:val="14"/>
                <w:szCs w:val="14"/>
              </w:rPr>
            </w:pPr>
            <w:r w:rsidRPr="00662577">
              <w:rPr>
                <w:rFonts w:ascii="Calibri" w:hAnsi="Calibri" w:cs="Calibri"/>
                <w:color w:val="000000"/>
                <w:sz w:val="14"/>
                <w:szCs w:val="14"/>
              </w:rPr>
              <w:t xml:space="preserve">OR: 0.93 (0.85-1.01) </w:t>
            </w:r>
            <w:sdt>
              <w:sdtPr>
                <w:rPr>
                  <w:rFonts w:ascii="Calibri" w:hAnsi="Calibri" w:cs="Calibri"/>
                  <w:color w:val="000000"/>
                  <w:sz w:val="14"/>
                  <w:szCs w:val="14"/>
                </w:rPr>
                <w:tag w:val="MENDELEY_CITATION_v3_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"/>
                <w:id w:val="903960262"/>
                <w:placeholder>
                  <w:docPart w:val="DefaultPlaceholder_-1854013440"/>
                </w:placeholder>
              </w:sdtPr>
              <w:sdtEndPr/>
              <w:sdtContent>
                <w:r w:rsidR="008F665C" w:rsidRPr="008F665C">
                  <w:rPr>
                    <w:rFonts w:ascii="Calibri" w:hAnsi="Calibri" w:cs="Calibri"/>
                    <w:color w:val="000000"/>
                    <w:sz w:val="14"/>
                    <w:szCs w:val="14"/>
                  </w:rPr>
                  <w:t>[13]</w:t>
                </w:r>
              </w:sdtContent>
            </w:sdt>
          </w:p>
        </w:tc>
        <w:tc>
          <w:tcPr>
            <w:tcW w:w="793" w:type="pct"/>
            <w:tcBorders>
              <w:top w:val="single" w:sz="4" w:space="0" w:color="auto"/>
              <w:left w:val="single" w:sz="18" w:space="0" w:color="auto"/>
              <w:bottom w:val="single" w:sz="12" w:space="0" w:color="auto"/>
              <w:right w:val="single" w:sz="12" w:space="0" w:color="auto"/>
            </w:tcBorders>
          </w:tcPr>
          <w:p w14:paraId="565C3E18" w14:textId="1B7D311F" w:rsidR="00BD09E5" w:rsidRPr="00D2327D" w:rsidRDefault="00BD09E5" w:rsidP="00BD09E5">
            <w:pPr>
              <w:autoSpaceDE w:val="0"/>
              <w:autoSpaceDN w:val="0"/>
              <w:adjustRightInd w:val="0"/>
              <w:spacing w:after="0"/>
              <w:rPr>
                <w:rFonts w:cstheme="minorHAnsi"/>
                <w:color w:val="000000"/>
                <w:sz w:val="14"/>
                <w:szCs w:val="14"/>
              </w:rPr>
            </w:pPr>
            <w:r w:rsidRPr="00D2327D">
              <w:rPr>
                <w:rFonts w:cstheme="minorHAnsi"/>
                <w:b/>
                <w:bCs/>
                <w:color w:val="000000"/>
                <w:sz w:val="14"/>
                <w:szCs w:val="14"/>
              </w:rPr>
              <w:t>0.93 (0.88-0.98)</w:t>
            </w:r>
          </w:p>
        </w:tc>
        <w:tc>
          <w:tcPr>
            <w:tcW w:w="793" w:type="pct"/>
            <w:tcBorders>
              <w:top w:val="single" w:sz="4" w:space="0" w:color="auto"/>
              <w:left w:val="single" w:sz="12" w:space="0" w:color="auto"/>
              <w:bottom w:val="single" w:sz="12" w:space="0" w:color="auto"/>
              <w:right w:val="single" w:sz="12" w:space="0" w:color="auto"/>
            </w:tcBorders>
          </w:tcPr>
          <w:p w14:paraId="2BC6F69C" w14:textId="7803013E" w:rsidR="00BD09E5" w:rsidRPr="00D2327D" w:rsidRDefault="00BD09E5" w:rsidP="00BD09E5">
            <w:pPr>
              <w:autoSpaceDE w:val="0"/>
              <w:autoSpaceDN w:val="0"/>
              <w:adjustRightInd w:val="0"/>
              <w:spacing w:after="0"/>
              <w:rPr>
                <w:rFonts w:cstheme="minorHAnsi"/>
                <w:color w:val="000000"/>
                <w:sz w:val="14"/>
                <w:szCs w:val="14"/>
              </w:rPr>
            </w:pPr>
            <w:r w:rsidRPr="00D2327D">
              <w:rPr>
                <w:rFonts w:cstheme="minorHAnsi"/>
                <w:b/>
                <w:bCs/>
                <w:color w:val="000000"/>
                <w:sz w:val="14"/>
                <w:szCs w:val="14"/>
              </w:rPr>
              <w:t>0.93 (0.88-0.99)</w:t>
            </w:r>
          </w:p>
        </w:tc>
        <w:tc>
          <w:tcPr>
            <w:tcW w:w="794" w:type="pct"/>
            <w:tcBorders>
              <w:top w:val="single" w:sz="4" w:space="0" w:color="auto"/>
              <w:left w:val="single" w:sz="12" w:space="0" w:color="auto"/>
              <w:bottom w:val="single" w:sz="12" w:space="0" w:color="auto"/>
              <w:right w:val="single" w:sz="18" w:space="0" w:color="auto"/>
            </w:tcBorders>
            <w:shd w:val="clear" w:color="auto" w:fill="auto"/>
          </w:tcPr>
          <w:p w14:paraId="3EFE24A9" w14:textId="63CA02DE" w:rsidR="00BD09E5" w:rsidRPr="00D2327D" w:rsidRDefault="00BD09E5" w:rsidP="00BD09E5">
            <w:pPr>
              <w:autoSpaceDE w:val="0"/>
              <w:autoSpaceDN w:val="0"/>
              <w:adjustRightInd w:val="0"/>
              <w:spacing w:after="0"/>
              <w:rPr>
                <w:rFonts w:cstheme="minorHAnsi"/>
                <w:color w:val="000000"/>
                <w:sz w:val="14"/>
                <w:szCs w:val="14"/>
              </w:rPr>
            </w:pPr>
            <w:r w:rsidRPr="00D2327D">
              <w:rPr>
                <w:rFonts w:cstheme="minorHAnsi"/>
                <w:b/>
                <w:bCs/>
                <w:color w:val="000000"/>
                <w:sz w:val="14"/>
                <w:szCs w:val="14"/>
              </w:rPr>
              <w:t>0.92 (0.86-0.99)</w:t>
            </w:r>
          </w:p>
        </w:tc>
      </w:tr>
      <w:tr w:rsidR="00A03AB0" w:rsidRPr="00662577" w14:paraId="764423D4" w14:textId="77777777" w:rsidTr="009C3EE0">
        <w:trPr>
          <w:trHeight w:val="360"/>
        </w:trPr>
        <w:tc>
          <w:tcPr>
            <w:tcW w:w="228" w:type="pct"/>
            <w:vMerge w:val="restart"/>
            <w:tcBorders>
              <w:top w:val="dashed" w:sz="4" w:space="0" w:color="auto"/>
              <w:left w:val="single" w:sz="18" w:space="0" w:color="auto"/>
              <w:right w:val="single" w:sz="12" w:space="0" w:color="auto"/>
            </w:tcBorders>
            <w:textDirection w:val="btLr"/>
            <w:vAlign w:val="center"/>
          </w:tcPr>
          <w:p w14:paraId="133F3DCD" w14:textId="77777777" w:rsidR="00A03AB0" w:rsidRPr="00662577" w:rsidRDefault="00A03AB0" w:rsidP="00A03AB0">
            <w:pPr>
              <w:autoSpaceDE w:val="0"/>
              <w:autoSpaceDN w:val="0"/>
              <w:adjustRightInd w:val="0"/>
              <w:spacing w:after="0"/>
              <w:ind w:left="113" w:right="113"/>
              <w:jc w:val="center"/>
              <w:rPr>
                <w:rFonts w:cstheme="minorHAnsi"/>
                <w:color w:val="000000"/>
                <w:sz w:val="14"/>
                <w:szCs w:val="14"/>
              </w:rPr>
            </w:pPr>
            <w:r w:rsidRPr="00662577">
              <w:rPr>
                <w:rFonts w:cstheme="minorHAnsi"/>
                <w:color w:val="000000"/>
                <w:sz w:val="14"/>
                <w:szCs w:val="14"/>
              </w:rPr>
              <w:t>Diabetes</w:t>
            </w:r>
          </w:p>
        </w:tc>
        <w:tc>
          <w:tcPr>
            <w:tcW w:w="558" w:type="pct"/>
            <w:tcBorders>
              <w:top w:val="single" w:sz="12" w:space="0" w:color="auto"/>
              <w:left w:val="single" w:sz="12" w:space="0" w:color="auto"/>
              <w:bottom w:val="single" w:sz="4" w:space="0" w:color="auto"/>
              <w:right w:val="single" w:sz="18" w:space="0" w:color="auto"/>
            </w:tcBorders>
            <w:shd w:val="clear" w:color="auto" w:fill="auto"/>
            <w:vAlign w:val="center"/>
          </w:tcPr>
          <w:p w14:paraId="7C32A3A2" w14:textId="77777777" w:rsidR="00A03AB0" w:rsidRPr="00662577" w:rsidRDefault="00A03AB0" w:rsidP="00A03AB0">
            <w:pPr>
              <w:autoSpaceDE w:val="0"/>
              <w:autoSpaceDN w:val="0"/>
              <w:adjustRightInd w:val="0"/>
              <w:spacing w:after="0"/>
              <w:rPr>
                <w:rFonts w:cstheme="minorHAnsi"/>
                <w:color w:val="000000"/>
                <w:sz w:val="14"/>
                <w:szCs w:val="14"/>
              </w:rPr>
            </w:pPr>
            <w:r w:rsidRPr="00662577">
              <w:rPr>
                <w:rFonts w:cstheme="minorHAnsi"/>
                <w:color w:val="000000"/>
                <w:sz w:val="14"/>
                <w:szCs w:val="14"/>
              </w:rPr>
              <w:t xml:space="preserve">Glucose </w:t>
            </w:r>
          </w:p>
        </w:tc>
        <w:tc>
          <w:tcPr>
            <w:tcW w:w="975" w:type="pct"/>
            <w:tcBorders>
              <w:top w:val="single" w:sz="12" w:space="0" w:color="auto"/>
              <w:left w:val="single" w:sz="18" w:space="0" w:color="auto"/>
              <w:bottom w:val="single" w:sz="4" w:space="0" w:color="auto"/>
              <w:right w:val="single" w:sz="12" w:space="0" w:color="auto"/>
            </w:tcBorders>
            <w:shd w:val="clear" w:color="auto" w:fill="auto"/>
            <w:vAlign w:val="center"/>
          </w:tcPr>
          <w:p w14:paraId="3DBC669A" w14:textId="195802F9" w:rsidR="00A03AB0" w:rsidRPr="00662577" w:rsidRDefault="00A03AB0" w:rsidP="00A03AB0">
            <w:pPr>
              <w:autoSpaceDE w:val="0"/>
              <w:autoSpaceDN w:val="0"/>
              <w:adjustRightInd w:val="0"/>
              <w:spacing w:after="0"/>
              <w:rPr>
                <w:rFonts w:cstheme="minorHAnsi"/>
                <w:color w:val="000000"/>
                <w:sz w:val="14"/>
                <w:szCs w:val="14"/>
              </w:rPr>
            </w:pPr>
            <w:r w:rsidRPr="00662577">
              <w:rPr>
                <w:rFonts w:cstheme="minorHAnsi"/>
                <w:color w:val="000000"/>
                <w:sz w:val="14"/>
                <w:szCs w:val="14"/>
              </w:rPr>
              <w:t xml:space="preserve">Meta-analysis SRR: 1.11 (1.00-1.23) </w:t>
            </w:r>
            <w:sdt>
              <w:sdtPr>
                <w:rPr>
                  <w:rFonts w:cstheme="minorHAnsi"/>
                  <w:color w:val="000000"/>
                  <w:sz w:val="14"/>
                  <w:szCs w:val="14"/>
                </w:rPr>
                <w:tag w:val="MENDELEY_CITATION_v3_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"/>
                <w:id w:val="-185290138"/>
                <w:placeholder>
                  <w:docPart w:val="DefaultPlaceholder_-1854013440"/>
                </w:placeholder>
              </w:sdtPr>
              <w:sdtEndPr/>
              <w:sdtContent>
                <w:r w:rsidR="008F665C" w:rsidRPr="008F665C">
                  <w:rPr>
                    <w:rFonts w:cstheme="minorHAnsi"/>
                    <w:color w:val="000000"/>
                    <w:sz w:val="14"/>
                    <w:szCs w:val="14"/>
                  </w:rPr>
                  <w:t>[14]</w:t>
                </w:r>
              </w:sdtContent>
            </w:sdt>
          </w:p>
        </w:tc>
        <w:tc>
          <w:tcPr>
            <w:tcW w:w="859" w:type="pct"/>
            <w:tcBorders>
              <w:top w:val="single" w:sz="12" w:space="0" w:color="auto"/>
              <w:left w:val="single" w:sz="12" w:space="0" w:color="auto"/>
              <w:bottom w:val="single" w:sz="4" w:space="0" w:color="auto"/>
              <w:right w:val="single" w:sz="18" w:space="0" w:color="auto"/>
            </w:tcBorders>
          </w:tcPr>
          <w:p w14:paraId="00D0E4DB" w14:textId="3614255B" w:rsidR="00A03AB0" w:rsidRPr="00662577" w:rsidRDefault="00A03AB0" w:rsidP="00A03AB0">
            <w:pPr>
              <w:autoSpaceDE w:val="0"/>
              <w:autoSpaceDN w:val="0"/>
              <w:adjustRightInd w:val="0"/>
              <w:spacing w:after="0"/>
              <w:rPr>
                <w:rFonts w:cstheme="minorHAnsi"/>
                <w:b/>
                <w:bCs/>
                <w:color w:val="000000"/>
                <w:sz w:val="14"/>
                <w:szCs w:val="14"/>
              </w:rPr>
            </w:pPr>
            <w:r w:rsidRPr="00662577">
              <w:rPr>
                <w:rFonts w:ascii="Calibri" w:hAnsi="Calibri" w:cs="Calibri"/>
                <w:b/>
                <w:bCs/>
                <w:color w:val="000000"/>
                <w:sz w:val="14"/>
                <w:szCs w:val="14"/>
              </w:rPr>
              <w:t>OR: 1.80 (1.30-2.49)</w:t>
            </w:r>
            <w:r w:rsidRPr="007F207F">
              <w:rPr>
                <w:rFonts w:ascii="Calibri" w:hAnsi="Calibri" w:cs="Calibri"/>
                <w:b/>
                <w:color w:val="000000"/>
                <w:sz w:val="14"/>
                <w:szCs w:val="14"/>
              </w:rPr>
              <w:t xml:space="preserve"> </w:t>
            </w:r>
            <w:sdt>
              <w:sdtPr>
                <w:rPr>
                  <w:rFonts w:ascii="Calibri" w:hAnsi="Calibri" w:cs="Calibri"/>
                  <w:color w:val="000000"/>
                  <w:sz w:val="14"/>
                  <w:szCs w:val="14"/>
                </w:rPr>
                <w:tag w:val="MENDELEY_CITATION_v3_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"/>
                <w:id w:val="-402836620"/>
                <w:placeholder>
                  <w:docPart w:val="DefaultPlaceholder_-1854013440"/>
                </w:placeholder>
              </w:sdtPr>
              <w:sdtEndPr/>
              <w:sdtContent>
                <w:r w:rsidR="008F665C" w:rsidRPr="008F665C">
                  <w:rPr>
                    <w:rFonts w:ascii="Calibri" w:hAnsi="Calibri" w:cs="Calibri"/>
                    <w:color w:val="000000"/>
                    <w:sz w:val="14"/>
                    <w:szCs w:val="14"/>
                  </w:rPr>
                  <w:t>[15]</w:t>
                </w:r>
              </w:sdtContent>
            </w:sdt>
          </w:p>
        </w:tc>
        <w:tc>
          <w:tcPr>
            <w:tcW w:w="793" w:type="pct"/>
            <w:tcBorders>
              <w:top w:val="single" w:sz="12" w:space="0" w:color="auto"/>
              <w:left w:val="single" w:sz="18" w:space="0" w:color="auto"/>
              <w:bottom w:val="single" w:sz="4" w:space="0" w:color="auto"/>
              <w:right w:val="single" w:sz="12" w:space="0" w:color="auto"/>
            </w:tcBorders>
            <w:vAlign w:val="center"/>
          </w:tcPr>
          <w:p w14:paraId="68E849D2" w14:textId="14635C52" w:rsidR="00A03AB0" w:rsidRPr="00662577" w:rsidRDefault="00A03AB0" w:rsidP="00A03AB0">
            <w:pPr>
              <w:autoSpaceDE w:val="0"/>
              <w:autoSpaceDN w:val="0"/>
              <w:adjustRightInd w:val="0"/>
              <w:spacing w:after="0"/>
              <w:rPr>
                <w:rFonts w:cstheme="minorHAnsi"/>
                <w:b/>
                <w:bCs/>
                <w:color w:val="000000"/>
                <w:sz w:val="14"/>
                <w:szCs w:val="14"/>
              </w:rPr>
            </w:pPr>
            <w:r w:rsidRPr="00662577">
              <w:rPr>
                <w:rFonts w:cstheme="minorHAnsi"/>
                <w:color w:val="000000"/>
                <w:sz w:val="14"/>
                <w:szCs w:val="14"/>
              </w:rPr>
              <w:t>1.01 (0.92-1.11)</w:t>
            </w:r>
          </w:p>
        </w:tc>
        <w:tc>
          <w:tcPr>
            <w:tcW w:w="793" w:type="pct"/>
            <w:tcBorders>
              <w:top w:val="single" w:sz="12" w:space="0" w:color="auto"/>
              <w:left w:val="single" w:sz="12" w:space="0" w:color="auto"/>
              <w:bottom w:val="single" w:sz="4" w:space="0" w:color="auto"/>
              <w:right w:val="single" w:sz="12" w:space="0" w:color="auto"/>
            </w:tcBorders>
            <w:vAlign w:val="center"/>
          </w:tcPr>
          <w:p w14:paraId="3264FA32" w14:textId="70FA8C0A" w:rsidR="00A03AB0" w:rsidRPr="00662577" w:rsidRDefault="00A03AB0" w:rsidP="00A03AB0">
            <w:pPr>
              <w:autoSpaceDE w:val="0"/>
              <w:autoSpaceDN w:val="0"/>
              <w:adjustRightInd w:val="0"/>
              <w:spacing w:after="0"/>
              <w:rPr>
                <w:rFonts w:cstheme="minorHAnsi"/>
                <w:b/>
                <w:bCs/>
                <w:color w:val="000000"/>
                <w:sz w:val="14"/>
                <w:szCs w:val="14"/>
              </w:rPr>
            </w:pPr>
            <w:r w:rsidRPr="00662577">
              <w:rPr>
                <w:rFonts w:cstheme="minorHAnsi"/>
                <w:color w:val="000000"/>
                <w:sz w:val="14"/>
                <w:szCs w:val="14"/>
              </w:rPr>
              <w:t>1.01 (0.91-1.12)</w:t>
            </w:r>
          </w:p>
        </w:tc>
        <w:tc>
          <w:tcPr>
            <w:tcW w:w="794" w:type="pct"/>
            <w:tcBorders>
              <w:top w:val="single" w:sz="12" w:space="0" w:color="auto"/>
              <w:left w:val="single" w:sz="12" w:space="0" w:color="auto"/>
              <w:bottom w:val="single" w:sz="4" w:space="0" w:color="auto"/>
              <w:right w:val="single" w:sz="18" w:space="0" w:color="auto"/>
            </w:tcBorders>
            <w:shd w:val="clear" w:color="auto" w:fill="auto"/>
            <w:vAlign w:val="center"/>
          </w:tcPr>
          <w:p w14:paraId="7FB8F962" w14:textId="525DD78F" w:rsidR="00A03AB0" w:rsidRPr="00662577" w:rsidRDefault="00A03AB0" w:rsidP="00A03AB0">
            <w:pPr>
              <w:autoSpaceDE w:val="0"/>
              <w:autoSpaceDN w:val="0"/>
              <w:adjustRightInd w:val="0"/>
              <w:spacing w:after="0"/>
              <w:rPr>
                <w:rFonts w:cstheme="minorHAnsi"/>
                <w:b/>
                <w:bCs/>
                <w:color w:val="000000"/>
                <w:sz w:val="14"/>
                <w:szCs w:val="14"/>
              </w:rPr>
            </w:pPr>
            <w:r w:rsidRPr="00662577">
              <w:rPr>
                <w:rFonts w:cstheme="minorHAnsi"/>
                <w:color w:val="000000"/>
                <w:sz w:val="14"/>
                <w:szCs w:val="14"/>
              </w:rPr>
              <w:t>1.06 (0.93-1.19)</w:t>
            </w:r>
          </w:p>
        </w:tc>
      </w:tr>
      <w:tr w:rsidR="00A03AB0" w:rsidRPr="00662577" w14:paraId="1AD9E8E0" w14:textId="77777777" w:rsidTr="009C3EE0">
        <w:trPr>
          <w:trHeight w:val="360"/>
        </w:trPr>
        <w:tc>
          <w:tcPr>
            <w:tcW w:w="228" w:type="pct"/>
            <w:vMerge/>
            <w:tcBorders>
              <w:left w:val="single" w:sz="18" w:space="0" w:color="auto"/>
              <w:bottom w:val="single" w:sz="12" w:space="0" w:color="auto"/>
              <w:right w:val="single" w:sz="12" w:space="0" w:color="auto"/>
            </w:tcBorders>
            <w:textDirection w:val="btLr"/>
            <w:vAlign w:val="center"/>
          </w:tcPr>
          <w:p w14:paraId="2F1F6657" w14:textId="77777777" w:rsidR="00A03AB0" w:rsidRPr="00662577" w:rsidRDefault="00A03AB0" w:rsidP="00A03AB0">
            <w:pPr>
              <w:autoSpaceDE w:val="0"/>
              <w:autoSpaceDN w:val="0"/>
              <w:adjustRightInd w:val="0"/>
              <w:spacing w:after="0"/>
              <w:ind w:left="113" w:right="113"/>
              <w:jc w:val="center"/>
              <w:rPr>
                <w:rFonts w:cstheme="minorHAnsi"/>
                <w:color w:val="000000"/>
                <w:sz w:val="14"/>
                <w:szCs w:val="14"/>
              </w:rPr>
            </w:pPr>
          </w:p>
        </w:tc>
        <w:tc>
          <w:tcPr>
            <w:tcW w:w="558" w:type="pct"/>
            <w:tcBorders>
              <w:top w:val="single" w:sz="4" w:space="0" w:color="auto"/>
              <w:left w:val="single" w:sz="12" w:space="0" w:color="auto"/>
              <w:bottom w:val="single" w:sz="12" w:space="0" w:color="auto"/>
              <w:right w:val="single" w:sz="18" w:space="0" w:color="auto"/>
            </w:tcBorders>
            <w:shd w:val="clear" w:color="auto" w:fill="auto"/>
            <w:vAlign w:val="center"/>
          </w:tcPr>
          <w:p w14:paraId="62A5E7DA" w14:textId="77777777" w:rsidR="00A03AB0" w:rsidRPr="00662577" w:rsidRDefault="00A03AB0" w:rsidP="00A03AB0">
            <w:pPr>
              <w:autoSpaceDE w:val="0"/>
              <w:autoSpaceDN w:val="0"/>
              <w:adjustRightInd w:val="0"/>
              <w:spacing w:after="0"/>
              <w:rPr>
                <w:rFonts w:cstheme="minorHAnsi"/>
                <w:color w:val="000000"/>
                <w:sz w:val="14"/>
                <w:szCs w:val="14"/>
              </w:rPr>
            </w:pPr>
            <w:r w:rsidRPr="00662577">
              <w:rPr>
                <w:rFonts w:cstheme="minorHAnsi"/>
                <w:color w:val="000000"/>
                <w:sz w:val="14"/>
                <w:szCs w:val="14"/>
              </w:rPr>
              <w:t>Glycated haemoglobin</w:t>
            </w:r>
          </w:p>
        </w:tc>
        <w:tc>
          <w:tcPr>
            <w:tcW w:w="975" w:type="pct"/>
            <w:tcBorders>
              <w:top w:val="single" w:sz="4" w:space="0" w:color="auto"/>
              <w:left w:val="single" w:sz="18" w:space="0" w:color="auto"/>
              <w:bottom w:val="single" w:sz="12" w:space="0" w:color="auto"/>
              <w:right w:val="single" w:sz="12" w:space="0" w:color="auto"/>
            </w:tcBorders>
            <w:shd w:val="clear" w:color="auto" w:fill="auto"/>
            <w:vAlign w:val="center"/>
          </w:tcPr>
          <w:p w14:paraId="11BC84A5" w14:textId="77777777" w:rsidR="00A03AB0" w:rsidRPr="00662577" w:rsidRDefault="00A03AB0" w:rsidP="00A03AB0">
            <w:pPr>
              <w:autoSpaceDE w:val="0"/>
              <w:autoSpaceDN w:val="0"/>
              <w:adjustRightInd w:val="0"/>
              <w:spacing w:after="0"/>
              <w:rPr>
                <w:rFonts w:cstheme="minorHAnsi"/>
                <w:color w:val="000000"/>
                <w:sz w:val="14"/>
                <w:szCs w:val="14"/>
              </w:rPr>
            </w:pPr>
            <w:r w:rsidRPr="00662577">
              <w:rPr>
                <w:rFonts w:cstheme="minorHAnsi"/>
                <w:color w:val="000000"/>
                <w:sz w:val="14"/>
                <w:szCs w:val="14"/>
              </w:rPr>
              <w:t>-</w:t>
            </w:r>
          </w:p>
        </w:tc>
        <w:tc>
          <w:tcPr>
            <w:tcW w:w="859" w:type="pct"/>
            <w:tcBorders>
              <w:top w:val="single" w:sz="4" w:space="0" w:color="auto"/>
              <w:left w:val="single" w:sz="12" w:space="0" w:color="auto"/>
              <w:bottom w:val="single" w:sz="12" w:space="0" w:color="auto"/>
              <w:right w:val="single" w:sz="18" w:space="0" w:color="auto"/>
            </w:tcBorders>
          </w:tcPr>
          <w:p w14:paraId="7A7BDF59" w14:textId="7E8804F2" w:rsidR="00A03AB0" w:rsidRPr="00662577" w:rsidRDefault="00A03AB0" w:rsidP="00A03AB0">
            <w:pPr>
              <w:autoSpaceDE w:val="0"/>
              <w:autoSpaceDN w:val="0"/>
              <w:adjustRightInd w:val="0"/>
              <w:spacing w:after="0"/>
              <w:rPr>
                <w:rFonts w:cstheme="minorHAnsi"/>
                <w:color w:val="000000"/>
                <w:sz w:val="14"/>
                <w:szCs w:val="14"/>
              </w:rPr>
            </w:pPr>
            <w:r w:rsidRPr="00662577">
              <w:rPr>
                <w:rFonts w:ascii="Calibri" w:hAnsi="Calibri" w:cs="Calibri"/>
                <w:color w:val="000000"/>
                <w:sz w:val="14"/>
                <w:szCs w:val="14"/>
              </w:rPr>
              <w:t>-</w:t>
            </w:r>
          </w:p>
        </w:tc>
        <w:tc>
          <w:tcPr>
            <w:tcW w:w="793" w:type="pct"/>
            <w:tcBorders>
              <w:top w:val="single" w:sz="4" w:space="0" w:color="auto"/>
              <w:left w:val="single" w:sz="18" w:space="0" w:color="auto"/>
              <w:bottom w:val="single" w:sz="12" w:space="0" w:color="auto"/>
              <w:right w:val="single" w:sz="12" w:space="0" w:color="auto"/>
            </w:tcBorders>
            <w:vAlign w:val="center"/>
          </w:tcPr>
          <w:p w14:paraId="7D346239" w14:textId="2871B558" w:rsidR="00A03AB0" w:rsidRPr="00662577" w:rsidRDefault="00A03AB0" w:rsidP="00A03AB0">
            <w:pPr>
              <w:autoSpaceDE w:val="0"/>
              <w:autoSpaceDN w:val="0"/>
              <w:adjustRightInd w:val="0"/>
              <w:spacing w:after="0"/>
              <w:rPr>
                <w:rFonts w:cstheme="minorHAnsi"/>
                <w:color w:val="000000"/>
                <w:sz w:val="14"/>
                <w:szCs w:val="14"/>
              </w:rPr>
            </w:pPr>
            <w:r w:rsidRPr="00662577">
              <w:rPr>
                <w:rFonts w:cstheme="minorHAnsi"/>
                <w:color w:val="000000"/>
                <w:sz w:val="14"/>
                <w:szCs w:val="14"/>
              </w:rPr>
              <w:t>1.00 (0.95-1.05)</w:t>
            </w:r>
          </w:p>
        </w:tc>
        <w:tc>
          <w:tcPr>
            <w:tcW w:w="793" w:type="pct"/>
            <w:tcBorders>
              <w:top w:val="single" w:sz="4" w:space="0" w:color="auto"/>
              <w:left w:val="single" w:sz="12" w:space="0" w:color="auto"/>
              <w:bottom w:val="single" w:sz="12" w:space="0" w:color="auto"/>
              <w:right w:val="single" w:sz="12" w:space="0" w:color="auto"/>
            </w:tcBorders>
            <w:vAlign w:val="center"/>
          </w:tcPr>
          <w:p w14:paraId="5DA91F83" w14:textId="34A1BDA1" w:rsidR="00A03AB0" w:rsidRPr="00662577" w:rsidRDefault="00A03AB0" w:rsidP="00A03AB0">
            <w:pPr>
              <w:autoSpaceDE w:val="0"/>
              <w:autoSpaceDN w:val="0"/>
              <w:adjustRightInd w:val="0"/>
              <w:spacing w:after="0"/>
              <w:rPr>
                <w:rFonts w:cstheme="minorHAnsi"/>
                <w:color w:val="000000"/>
                <w:sz w:val="14"/>
                <w:szCs w:val="14"/>
              </w:rPr>
            </w:pPr>
            <w:r w:rsidRPr="00662577">
              <w:rPr>
                <w:rFonts w:cstheme="minorHAnsi"/>
                <w:color w:val="000000"/>
                <w:sz w:val="14"/>
                <w:szCs w:val="14"/>
              </w:rPr>
              <w:t>1.01 (0.95-1.07)</w:t>
            </w:r>
          </w:p>
        </w:tc>
        <w:tc>
          <w:tcPr>
            <w:tcW w:w="794" w:type="pct"/>
            <w:tcBorders>
              <w:top w:val="single" w:sz="4" w:space="0" w:color="auto"/>
              <w:left w:val="single" w:sz="12" w:space="0" w:color="auto"/>
              <w:bottom w:val="single" w:sz="12" w:space="0" w:color="auto"/>
              <w:right w:val="single" w:sz="18" w:space="0" w:color="auto"/>
            </w:tcBorders>
            <w:shd w:val="clear" w:color="auto" w:fill="auto"/>
            <w:vAlign w:val="center"/>
          </w:tcPr>
          <w:p w14:paraId="08395761" w14:textId="6A94656A" w:rsidR="00A03AB0" w:rsidRPr="00662577" w:rsidRDefault="00A03AB0" w:rsidP="00A03AB0">
            <w:pPr>
              <w:autoSpaceDE w:val="0"/>
              <w:autoSpaceDN w:val="0"/>
              <w:adjustRightInd w:val="0"/>
              <w:spacing w:after="0"/>
              <w:rPr>
                <w:rFonts w:cstheme="minorHAnsi"/>
                <w:color w:val="000000"/>
                <w:sz w:val="14"/>
                <w:szCs w:val="14"/>
              </w:rPr>
            </w:pPr>
            <w:r w:rsidRPr="00662577">
              <w:rPr>
                <w:rFonts w:cstheme="minorHAnsi"/>
                <w:color w:val="000000"/>
                <w:sz w:val="14"/>
                <w:szCs w:val="14"/>
              </w:rPr>
              <w:t>1.02 (0.95-1.09)</w:t>
            </w:r>
          </w:p>
        </w:tc>
      </w:tr>
      <w:tr w:rsidR="00DC11F7" w:rsidRPr="00662577" w14:paraId="0C4EE700" w14:textId="77777777" w:rsidTr="008E2B78">
        <w:trPr>
          <w:trHeight w:val="25"/>
        </w:trPr>
        <w:tc>
          <w:tcPr>
            <w:tcW w:w="228" w:type="pct"/>
            <w:vMerge w:val="restart"/>
            <w:tcBorders>
              <w:top w:val="dashed" w:sz="4" w:space="0" w:color="auto"/>
              <w:left w:val="single" w:sz="18" w:space="0" w:color="auto"/>
              <w:right w:val="single" w:sz="12" w:space="0" w:color="auto"/>
            </w:tcBorders>
            <w:textDirection w:val="btLr"/>
            <w:vAlign w:val="center"/>
          </w:tcPr>
          <w:p w14:paraId="34C79B8A" w14:textId="77777777" w:rsidR="00DC11F7" w:rsidRPr="00662577" w:rsidRDefault="00DC11F7" w:rsidP="00DC11F7">
            <w:pPr>
              <w:autoSpaceDE w:val="0"/>
              <w:autoSpaceDN w:val="0"/>
              <w:adjustRightInd w:val="0"/>
              <w:spacing w:after="0"/>
              <w:ind w:left="113" w:right="113"/>
              <w:jc w:val="center"/>
              <w:rPr>
                <w:rFonts w:cstheme="minorHAnsi"/>
                <w:color w:val="000000"/>
                <w:sz w:val="14"/>
                <w:szCs w:val="14"/>
              </w:rPr>
            </w:pPr>
            <w:r w:rsidRPr="00662577">
              <w:rPr>
                <w:rFonts w:cstheme="minorHAnsi"/>
                <w:color w:val="000000"/>
                <w:sz w:val="14"/>
                <w:szCs w:val="14"/>
              </w:rPr>
              <w:t>Liver</w:t>
            </w:r>
          </w:p>
        </w:tc>
        <w:tc>
          <w:tcPr>
            <w:tcW w:w="558" w:type="pct"/>
            <w:tcBorders>
              <w:top w:val="single" w:sz="12" w:space="0" w:color="auto"/>
              <w:left w:val="single" w:sz="12" w:space="0" w:color="auto"/>
              <w:bottom w:val="single" w:sz="4" w:space="0" w:color="auto"/>
              <w:right w:val="single" w:sz="18" w:space="0" w:color="auto"/>
            </w:tcBorders>
            <w:shd w:val="clear" w:color="auto" w:fill="auto"/>
          </w:tcPr>
          <w:p w14:paraId="68A6BF84" w14:textId="77777777" w:rsidR="00DC11F7" w:rsidRPr="00662577" w:rsidRDefault="00DC11F7" w:rsidP="00DC11F7">
            <w:pPr>
              <w:autoSpaceDE w:val="0"/>
              <w:autoSpaceDN w:val="0"/>
              <w:adjustRightInd w:val="0"/>
              <w:spacing w:after="0"/>
              <w:rPr>
                <w:rFonts w:cstheme="minorHAnsi"/>
                <w:color w:val="000000"/>
                <w:sz w:val="14"/>
                <w:szCs w:val="14"/>
              </w:rPr>
            </w:pPr>
            <w:r w:rsidRPr="00662577">
              <w:rPr>
                <w:rFonts w:cstheme="minorHAnsi"/>
                <w:color w:val="000000"/>
                <w:sz w:val="14"/>
                <w:szCs w:val="14"/>
              </w:rPr>
              <w:t>Alanine aminotransferase</w:t>
            </w:r>
          </w:p>
        </w:tc>
        <w:tc>
          <w:tcPr>
            <w:tcW w:w="975" w:type="pct"/>
            <w:tcBorders>
              <w:top w:val="single" w:sz="12" w:space="0" w:color="auto"/>
              <w:left w:val="single" w:sz="18" w:space="0" w:color="auto"/>
              <w:bottom w:val="single" w:sz="4" w:space="0" w:color="auto"/>
              <w:right w:val="single" w:sz="12" w:space="0" w:color="auto"/>
            </w:tcBorders>
            <w:shd w:val="clear" w:color="auto" w:fill="auto"/>
          </w:tcPr>
          <w:p w14:paraId="600E289B" w14:textId="77777777" w:rsidR="00DC11F7" w:rsidRPr="00662577" w:rsidRDefault="00DC11F7" w:rsidP="00DC11F7">
            <w:pPr>
              <w:autoSpaceDE w:val="0"/>
              <w:autoSpaceDN w:val="0"/>
              <w:adjustRightInd w:val="0"/>
              <w:spacing w:after="0"/>
              <w:rPr>
                <w:rFonts w:cstheme="minorHAnsi"/>
                <w:color w:val="000000"/>
                <w:sz w:val="14"/>
                <w:szCs w:val="14"/>
              </w:rPr>
            </w:pPr>
            <w:r w:rsidRPr="00662577">
              <w:rPr>
                <w:rFonts w:cstheme="minorHAnsi"/>
                <w:color w:val="000000"/>
                <w:sz w:val="14"/>
                <w:szCs w:val="14"/>
              </w:rPr>
              <w:t>-</w:t>
            </w:r>
          </w:p>
        </w:tc>
        <w:tc>
          <w:tcPr>
            <w:tcW w:w="859" w:type="pct"/>
            <w:tcBorders>
              <w:top w:val="single" w:sz="12" w:space="0" w:color="auto"/>
              <w:left w:val="single" w:sz="12" w:space="0" w:color="auto"/>
              <w:bottom w:val="single" w:sz="4" w:space="0" w:color="auto"/>
              <w:right w:val="single" w:sz="18" w:space="0" w:color="auto"/>
            </w:tcBorders>
          </w:tcPr>
          <w:p w14:paraId="34F4ED8E" w14:textId="4B4B4FBB" w:rsidR="00DC11F7" w:rsidRPr="00662577" w:rsidRDefault="00DC11F7" w:rsidP="00DC11F7">
            <w:pPr>
              <w:autoSpaceDE w:val="0"/>
              <w:autoSpaceDN w:val="0"/>
              <w:adjustRightInd w:val="0"/>
              <w:spacing w:after="0"/>
              <w:rPr>
                <w:rFonts w:cstheme="minorHAnsi"/>
                <w:color w:val="000000"/>
                <w:sz w:val="14"/>
                <w:szCs w:val="14"/>
              </w:rPr>
            </w:pPr>
            <w:r w:rsidRPr="00662577">
              <w:rPr>
                <w:rFonts w:ascii="Calibri" w:hAnsi="Calibri" w:cs="Calibri"/>
                <w:color w:val="000000"/>
                <w:sz w:val="14"/>
                <w:szCs w:val="14"/>
              </w:rPr>
              <w:t>-</w:t>
            </w:r>
          </w:p>
        </w:tc>
        <w:tc>
          <w:tcPr>
            <w:tcW w:w="793" w:type="pct"/>
            <w:tcBorders>
              <w:top w:val="single" w:sz="12" w:space="0" w:color="auto"/>
              <w:left w:val="single" w:sz="18" w:space="0" w:color="auto"/>
              <w:bottom w:val="single" w:sz="4" w:space="0" w:color="auto"/>
              <w:right w:val="single" w:sz="12" w:space="0" w:color="auto"/>
            </w:tcBorders>
          </w:tcPr>
          <w:p w14:paraId="334A42D1" w14:textId="0D839408" w:rsidR="00DC11F7" w:rsidRPr="00662577" w:rsidRDefault="00DC11F7" w:rsidP="00DC11F7">
            <w:pPr>
              <w:autoSpaceDE w:val="0"/>
              <w:autoSpaceDN w:val="0"/>
              <w:adjustRightInd w:val="0"/>
              <w:spacing w:after="0"/>
              <w:rPr>
                <w:rFonts w:cstheme="minorHAnsi"/>
                <w:color w:val="000000"/>
                <w:sz w:val="14"/>
                <w:szCs w:val="14"/>
              </w:rPr>
            </w:pPr>
            <w:r w:rsidRPr="00662577">
              <w:rPr>
                <w:rFonts w:cstheme="minorHAnsi"/>
                <w:color w:val="000000"/>
                <w:sz w:val="14"/>
                <w:szCs w:val="14"/>
              </w:rPr>
              <w:t>0.98 (0.89-1.08)</w:t>
            </w:r>
          </w:p>
        </w:tc>
        <w:tc>
          <w:tcPr>
            <w:tcW w:w="793" w:type="pct"/>
            <w:tcBorders>
              <w:top w:val="single" w:sz="12" w:space="0" w:color="auto"/>
              <w:left w:val="single" w:sz="12" w:space="0" w:color="auto"/>
              <w:bottom w:val="single" w:sz="4" w:space="0" w:color="auto"/>
              <w:right w:val="single" w:sz="12" w:space="0" w:color="auto"/>
            </w:tcBorders>
          </w:tcPr>
          <w:p w14:paraId="42F22AC9" w14:textId="33DFB70A" w:rsidR="00DC11F7" w:rsidRPr="00662577" w:rsidRDefault="00DC11F7" w:rsidP="00DC11F7">
            <w:pPr>
              <w:autoSpaceDE w:val="0"/>
              <w:autoSpaceDN w:val="0"/>
              <w:adjustRightInd w:val="0"/>
              <w:spacing w:after="0"/>
              <w:rPr>
                <w:rFonts w:cstheme="minorHAnsi"/>
                <w:color w:val="000000"/>
                <w:sz w:val="14"/>
                <w:szCs w:val="14"/>
              </w:rPr>
            </w:pPr>
            <w:r w:rsidRPr="00662577">
              <w:rPr>
                <w:rFonts w:cstheme="minorHAnsi"/>
                <w:color w:val="000000"/>
                <w:sz w:val="14"/>
                <w:szCs w:val="14"/>
              </w:rPr>
              <w:t>0.99 (0.88-1.10)</w:t>
            </w:r>
          </w:p>
        </w:tc>
        <w:tc>
          <w:tcPr>
            <w:tcW w:w="794" w:type="pct"/>
            <w:tcBorders>
              <w:top w:val="single" w:sz="12" w:space="0" w:color="auto"/>
              <w:left w:val="single" w:sz="12" w:space="0" w:color="auto"/>
              <w:bottom w:val="single" w:sz="4" w:space="0" w:color="auto"/>
              <w:right w:val="single" w:sz="18" w:space="0" w:color="auto"/>
            </w:tcBorders>
            <w:shd w:val="clear" w:color="auto" w:fill="auto"/>
          </w:tcPr>
          <w:p w14:paraId="1A38B39A" w14:textId="525E2BCB" w:rsidR="00DC11F7" w:rsidRPr="00662577" w:rsidRDefault="00DC11F7" w:rsidP="00DC11F7">
            <w:pPr>
              <w:autoSpaceDE w:val="0"/>
              <w:autoSpaceDN w:val="0"/>
              <w:adjustRightInd w:val="0"/>
              <w:spacing w:after="0"/>
              <w:rPr>
                <w:rFonts w:cstheme="minorHAnsi"/>
                <w:color w:val="000000"/>
                <w:sz w:val="14"/>
                <w:szCs w:val="14"/>
              </w:rPr>
            </w:pPr>
            <w:r w:rsidRPr="00662577">
              <w:rPr>
                <w:rFonts w:cstheme="minorHAnsi"/>
                <w:color w:val="000000"/>
                <w:sz w:val="14"/>
                <w:szCs w:val="14"/>
              </w:rPr>
              <w:t>0.96 (0.85-1.08)</w:t>
            </w:r>
          </w:p>
        </w:tc>
      </w:tr>
      <w:tr w:rsidR="00DC11F7" w:rsidRPr="00662577" w14:paraId="1E56184E" w14:textId="77777777" w:rsidTr="008E2B78">
        <w:trPr>
          <w:trHeight w:val="25"/>
        </w:trPr>
        <w:tc>
          <w:tcPr>
            <w:tcW w:w="228" w:type="pct"/>
            <w:vMerge/>
            <w:tcBorders>
              <w:left w:val="single" w:sz="18" w:space="0" w:color="auto"/>
              <w:right w:val="single" w:sz="12" w:space="0" w:color="auto"/>
            </w:tcBorders>
            <w:textDirection w:val="btLr"/>
            <w:vAlign w:val="center"/>
          </w:tcPr>
          <w:p w14:paraId="4A00AC7D" w14:textId="77777777" w:rsidR="00DC11F7" w:rsidRPr="00662577" w:rsidRDefault="00DC11F7" w:rsidP="00DC11F7">
            <w:pPr>
              <w:autoSpaceDE w:val="0"/>
              <w:autoSpaceDN w:val="0"/>
              <w:adjustRightInd w:val="0"/>
              <w:spacing w:after="0"/>
              <w:ind w:left="113" w:right="113"/>
              <w:jc w:val="center"/>
              <w:rPr>
                <w:rFonts w:cstheme="minorHAnsi"/>
                <w:color w:val="000000"/>
                <w:sz w:val="14"/>
                <w:szCs w:val="14"/>
              </w:rPr>
            </w:pPr>
          </w:p>
        </w:tc>
        <w:tc>
          <w:tcPr>
            <w:tcW w:w="558" w:type="pct"/>
            <w:tcBorders>
              <w:top w:val="single" w:sz="4" w:space="0" w:color="auto"/>
              <w:left w:val="single" w:sz="12" w:space="0" w:color="auto"/>
              <w:bottom w:val="single" w:sz="4" w:space="0" w:color="auto"/>
              <w:right w:val="single" w:sz="18" w:space="0" w:color="auto"/>
            </w:tcBorders>
            <w:shd w:val="clear" w:color="auto" w:fill="auto"/>
          </w:tcPr>
          <w:p w14:paraId="16E607D0" w14:textId="77777777" w:rsidR="00DC11F7" w:rsidRPr="00662577" w:rsidRDefault="00DC11F7" w:rsidP="00DC11F7">
            <w:pPr>
              <w:autoSpaceDE w:val="0"/>
              <w:autoSpaceDN w:val="0"/>
              <w:adjustRightInd w:val="0"/>
              <w:spacing w:after="0"/>
              <w:rPr>
                <w:rFonts w:cstheme="minorHAnsi"/>
                <w:color w:val="000000"/>
                <w:sz w:val="14"/>
                <w:szCs w:val="14"/>
              </w:rPr>
            </w:pPr>
            <w:r w:rsidRPr="00662577">
              <w:rPr>
                <w:rFonts w:cstheme="minorHAnsi"/>
                <w:color w:val="000000"/>
                <w:sz w:val="14"/>
                <w:szCs w:val="14"/>
              </w:rPr>
              <w:t xml:space="preserve">Albumin </w:t>
            </w:r>
          </w:p>
        </w:tc>
        <w:tc>
          <w:tcPr>
            <w:tcW w:w="975" w:type="pct"/>
            <w:tcBorders>
              <w:top w:val="single" w:sz="4" w:space="0" w:color="auto"/>
              <w:left w:val="single" w:sz="18" w:space="0" w:color="auto"/>
              <w:bottom w:val="single" w:sz="4" w:space="0" w:color="auto"/>
              <w:right w:val="single" w:sz="12" w:space="0" w:color="auto"/>
            </w:tcBorders>
            <w:shd w:val="clear" w:color="auto" w:fill="auto"/>
          </w:tcPr>
          <w:p w14:paraId="11C66638" w14:textId="2DACBA36" w:rsidR="00DC11F7" w:rsidRPr="000718F2" w:rsidRDefault="00DC11F7" w:rsidP="00DC11F7">
            <w:pPr>
              <w:autoSpaceDE w:val="0"/>
              <w:autoSpaceDN w:val="0"/>
              <w:adjustRightInd w:val="0"/>
              <w:spacing w:after="0"/>
              <w:rPr>
                <w:rFonts w:cstheme="minorHAnsi"/>
                <w:b/>
                <w:bCs/>
                <w:color w:val="000000"/>
                <w:sz w:val="14"/>
                <w:szCs w:val="14"/>
              </w:rPr>
            </w:pPr>
            <w:r w:rsidRPr="000718F2">
              <w:rPr>
                <w:rFonts w:cstheme="minorHAnsi"/>
                <w:b/>
                <w:bCs/>
                <w:color w:val="000000"/>
                <w:sz w:val="14"/>
                <w:szCs w:val="14"/>
              </w:rPr>
              <w:t xml:space="preserve">Case-cohort HR: 0.71 (0.51-0.99) </w:t>
            </w:r>
            <w:sdt>
              <w:sdtPr>
                <w:rPr>
                  <w:rFonts w:cstheme="minorHAnsi"/>
                  <w:bCs/>
                  <w:color w:val="000000"/>
                  <w:sz w:val="14"/>
                  <w:szCs w:val="14"/>
                </w:rPr>
                <w:tag w:val="MENDELEY_CITATION_v3_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"/>
                <w:id w:val="767893839"/>
                <w:placeholder>
                  <w:docPart w:val="DefaultPlaceholder_-1854013440"/>
                </w:placeholder>
              </w:sdtPr>
              <w:sdtEndPr/>
              <w:sdtContent>
                <w:r w:rsidR="008F665C" w:rsidRPr="008F665C">
                  <w:rPr>
                    <w:rFonts w:cstheme="minorHAnsi"/>
                    <w:bCs/>
                    <w:color w:val="000000"/>
                    <w:sz w:val="14"/>
                    <w:szCs w:val="14"/>
                  </w:rPr>
                  <w:t>[16]</w:t>
                </w:r>
              </w:sdtContent>
            </w:sdt>
          </w:p>
        </w:tc>
        <w:tc>
          <w:tcPr>
            <w:tcW w:w="859" w:type="pct"/>
            <w:tcBorders>
              <w:top w:val="single" w:sz="4" w:space="0" w:color="auto"/>
              <w:left w:val="single" w:sz="12" w:space="0" w:color="auto"/>
              <w:bottom w:val="single" w:sz="4" w:space="0" w:color="auto"/>
              <w:right w:val="single" w:sz="18" w:space="0" w:color="auto"/>
            </w:tcBorders>
          </w:tcPr>
          <w:p w14:paraId="6BCF5D6F" w14:textId="3138971F" w:rsidR="00DC11F7" w:rsidRPr="00662577" w:rsidRDefault="00DC11F7" w:rsidP="00DC11F7">
            <w:pPr>
              <w:autoSpaceDE w:val="0"/>
              <w:autoSpaceDN w:val="0"/>
              <w:adjustRightInd w:val="0"/>
              <w:spacing w:after="0"/>
              <w:rPr>
                <w:rFonts w:cstheme="minorHAnsi"/>
                <w:color w:val="000000"/>
                <w:sz w:val="14"/>
                <w:szCs w:val="14"/>
              </w:rPr>
            </w:pPr>
            <w:r w:rsidRPr="00662577">
              <w:rPr>
                <w:rFonts w:ascii="Calibri" w:hAnsi="Calibri" w:cs="Calibri"/>
                <w:color w:val="000000"/>
                <w:sz w:val="14"/>
                <w:szCs w:val="14"/>
              </w:rPr>
              <w:t>-</w:t>
            </w:r>
          </w:p>
        </w:tc>
        <w:tc>
          <w:tcPr>
            <w:tcW w:w="793" w:type="pct"/>
            <w:tcBorders>
              <w:top w:val="single" w:sz="4" w:space="0" w:color="auto"/>
              <w:left w:val="single" w:sz="18" w:space="0" w:color="auto"/>
              <w:bottom w:val="single" w:sz="4" w:space="0" w:color="auto"/>
              <w:right w:val="single" w:sz="12" w:space="0" w:color="auto"/>
            </w:tcBorders>
          </w:tcPr>
          <w:p w14:paraId="0D405E58" w14:textId="2F041F10" w:rsidR="00DC11F7" w:rsidRPr="00662577" w:rsidRDefault="00DC11F7" w:rsidP="00DC11F7">
            <w:pPr>
              <w:autoSpaceDE w:val="0"/>
              <w:autoSpaceDN w:val="0"/>
              <w:adjustRightInd w:val="0"/>
              <w:spacing w:after="0"/>
              <w:rPr>
                <w:rFonts w:cstheme="minorHAnsi"/>
                <w:color w:val="000000"/>
                <w:sz w:val="14"/>
                <w:szCs w:val="14"/>
              </w:rPr>
            </w:pPr>
            <w:r w:rsidRPr="00662577">
              <w:rPr>
                <w:rFonts w:cstheme="minorHAnsi"/>
                <w:color w:val="000000"/>
                <w:sz w:val="14"/>
                <w:szCs w:val="14"/>
              </w:rPr>
              <w:t>0.98 (0.89-1.08)</w:t>
            </w:r>
          </w:p>
        </w:tc>
        <w:tc>
          <w:tcPr>
            <w:tcW w:w="793" w:type="pct"/>
            <w:tcBorders>
              <w:top w:val="single" w:sz="4" w:space="0" w:color="auto"/>
              <w:left w:val="single" w:sz="12" w:space="0" w:color="auto"/>
              <w:bottom w:val="single" w:sz="4" w:space="0" w:color="auto"/>
              <w:right w:val="single" w:sz="12" w:space="0" w:color="auto"/>
            </w:tcBorders>
          </w:tcPr>
          <w:p w14:paraId="7970028C" w14:textId="7F91C903" w:rsidR="00DC11F7" w:rsidRPr="00662577" w:rsidRDefault="00DC11F7" w:rsidP="00DC11F7">
            <w:pPr>
              <w:autoSpaceDE w:val="0"/>
              <w:autoSpaceDN w:val="0"/>
              <w:adjustRightInd w:val="0"/>
              <w:spacing w:after="0"/>
              <w:rPr>
                <w:rFonts w:cstheme="minorHAnsi"/>
                <w:color w:val="000000"/>
                <w:sz w:val="14"/>
                <w:szCs w:val="14"/>
              </w:rPr>
            </w:pPr>
            <w:r w:rsidRPr="00662577">
              <w:rPr>
                <w:rFonts w:cstheme="minorHAnsi"/>
                <w:color w:val="000000"/>
                <w:sz w:val="14"/>
                <w:szCs w:val="14"/>
              </w:rPr>
              <w:t>0.96 (0.86-1.07)</w:t>
            </w:r>
          </w:p>
        </w:tc>
        <w:tc>
          <w:tcPr>
            <w:tcW w:w="794" w:type="pct"/>
            <w:tcBorders>
              <w:top w:val="single" w:sz="4" w:space="0" w:color="auto"/>
              <w:left w:val="single" w:sz="12" w:space="0" w:color="auto"/>
              <w:bottom w:val="single" w:sz="4" w:space="0" w:color="auto"/>
              <w:right w:val="single" w:sz="18" w:space="0" w:color="auto"/>
            </w:tcBorders>
            <w:shd w:val="clear" w:color="auto" w:fill="auto"/>
          </w:tcPr>
          <w:p w14:paraId="034C39E8" w14:textId="2EEA4798" w:rsidR="00DC11F7" w:rsidRPr="00662577" w:rsidRDefault="00DC11F7" w:rsidP="00DC11F7">
            <w:pPr>
              <w:autoSpaceDE w:val="0"/>
              <w:autoSpaceDN w:val="0"/>
              <w:adjustRightInd w:val="0"/>
              <w:spacing w:after="0"/>
              <w:rPr>
                <w:rFonts w:cstheme="minorHAnsi"/>
                <w:color w:val="000000"/>
                <w:sz w:val="14"/>
                <w:szCs w:val="14"/>
              </w:rPr>
            </w:pPr>
            <w:r w:rsidRPr="00662577">
              <w:rPr>
                <w:rFonts w:cstheme="minorHAnsi"/>
                <w:color w:val="000000"/>
                <w:sz w:val="14"/>
                <w:szCs w:val="14"/>
              </w:rPr>
              <w:t>1.03 (0.92-1.16)</w:t>
            </w:r>
          </w:p>
        </w:tc>
      </w:tr>
      <w:tr w:rsidR="00DC11F7" w:rsidRPr="00662577" w14:paraId="2954B166" w14:textId="77777777" w:rsidTr="008E2B78">
        <w:trPr>
          <w:trHeight w:val="25"/>
        </w:trPr>
        <w:tc>
          <w:tcPr>
            <w:tcW w:w="228" w:type="pct"/>
            <w:vMerge/>
            <w:tcBorders>
              <w:left w:val="single" w:sz="18" w:space="0" w:color="auto"/>
              <w:right w:val="single" w:sz="12" w:space="0" w:color="auto"/>
            </w:tcBorders>
            <w:textDirection w:val="btLr"/>
            <w:vAlign w:val="center"/>
          </w:tcPr>
          <w:p w14:paraId="67EF2374" w14:textId="77777777" w:rsidR="00DC11F7" w:rsidRPr="00662577" w:rsidRDefault="00DC11F7" w:rsidP="00DC11F7">
            <w:pPr>
              <w:autoSpaceDE w:val="0"/>
              <w:autoSpaceDN w:val="0"/>
              <w:adjustRightInd w:val="0"/>
              <w:spacing w:after="0"/>
              <w:ind w:left="113" w:right="113"/>
              <w:jc w:val="center"/>
              <w:rPr>
                <w:rFonts w:cstheme="minorHAnsi"/>
                <w:color w:val="000000"/>
                <w:sz w:val="14"/>
                <w:szCs w:val="14"/>
              </w:rPr>
            </w:pPr>
          </w:p>
        </w:tc>
        <w:tc>
          <w:tcPr>
            <w:tcW w:w="558" w:type="pct"/>
            <w:tcBorders>
              <w:top w:val="single" w:sz="4" w:space="0" w:color="auto"/>
              <w:left w:val="single" w:sz="12" w:space="0" w:color="auto"/>
              <w:bottom w:val="single" w:sz="4" w:space="0" w:color="auto"/>
              <w:right w:val="single" w:sz="18" w:space="0" w:color="auto"/>
            </w:tcBorders>
            <w:shd w:val="clear" w:color="auto" w:fill="auto"/>
          </w:tcPr>
          <w:p w14:paraId="5C30160B" w14:textId="77777777" w:rsidR="00DC11F7" w:rsidRPr="00662577" w:rsidRDefault="00DC11F7" w:rsidP="00DC11F7">
            <w:pPr>
              <w:autoSpaceDE w:val="0"/>
              <w:autoSpaceDN w:val="0"/>
              <w:adjustRightInd w:val="0"/>
              <w:spacing w:after="0"/>
              <w:rPr>
                <w:rFonts w:cstheme="minorHAnsi"/>
                <w:color w:val="000000"/>
                <w:sz w:val="14"/>
                <w:szCs w:val="14"/>
              </w:rPr>
            </w:pPr>
            <w:r w:rsidRPr="00662577">
              <w:rPr>
                <w:rFonts w:cstheme="minorHAnsi"/>
                <w:color w:val="000000"/>
                <w:sz w:val="14"/>
                <w:szCs w:val="14"/>
              </w:rPr>
              <w:t>Aspartate aminotransferase</w:t>
            </w:r>
          </w:p>
        </w:tc>
        <w:tc>
          <w:tcPr>
            <w:tcW w:w="975" w:type="pct"/>
            <w:tcBorders>
              <w:top w:val="single" w:sz="4" w:space="0" w:color="auto"/>
              <w:left w:val="single" w:sz="18" w:space="0" w:color="auto"/>
              <w:bottom w:val="single" w:sz="4" w:space="0" w:color="auto"/>
              <w:right w:val="single" w:sz="12" w:space="0" w:color="auto"/>
            </w:tcBorders>
            <w:shd w:val="clear" w:color="auto" w:fill="auto"/>
          </w:tcPr>
          <w:p w14:paraId="3BCA9C55" w14:textId="77777777" w:rsidR="00DC11F7" w:rsidRPr="00662577" w:rsidRDefault="00DC11F7" w:rsidP="00DC11F7">
            <w:pPr>
              <w:autoSpaceDE w:val="0"/>
              <w:autoSpaceDN w:val="0"/>
              <w:adjustRightInd w:val="0"/>
              <w:spacing w:after="0"/>
              <w:rPr>
                <w:rFonts w:cstheme="minorHAnsi"/>
                <w:color w:val="000000"/>
                <w:sz w:val="14"/>
                <w:szCs w:val="14"/>
              </w:rPr>
            </w:pPr>
            <w:r w:rsidRPr="00662577">
              <w:rPr>
                <w:rFonts w:cstheme="minorHAnsi"/>
                <w:color w:val="000000"/>
                <w:sz w:val="14"/>
                <w:szCs w:val="14"/>
              </w:rPr>
              <w:t>-</w:t>
            </w:r>
          </w:p>
        </w:tc>
        <w:tc>
          <w:tcPr>
            <w:tcW w:w="859" w:type="pct"/>
            <w:tcBorders>
              <w:top w:val="single" w:sz="4" w:space="0" w:color="auto"/>
              <w:left w:val="single" w:sz="12" w:space="0" w:color="auto"/>
              <w:bottom w:val="single" w:sz="4" w:space="0" w:color="auto"/>
              <w:right w:val="single" w:sz="18" w:space="0" w:color="auto"/>
            </w:tcBorders>
          </w:tcPr>
          <w:p w14:paraId="6A985099" w14:textId="1E7D3123" w:rsidR="00DC11F7" w:rsidRPr="00662577" w:rsidRDefault="00DC11F7" w:rsidP="00DC11F7">
            <w:pPr>
              <w:autoSpaceDE w:val="0"/>
              <w:autoSpaceDN w:val="0"/>
              <w:adjustRightInd w:val="0"/>
              <w:spacing w:after="0"/>
              <w:rPr>
                <w:rFonts w:cstheme="minorHAnsi"/>
                <w:color w:val="000000"/>
                <w:sz w:val="14"/>
                <w:szCs w:val="14"/>
              </w:rPr>
            </w:pPr>
            <w:r w:rsidRPr="00662577">
              <w:rPr>
                <w:rFonts w:ascii="Calibri" w:hAnsi="Calibri" w:cs="Calibri"/>
                <w:color w:val="000000"/>
                <w:sz w:val="14"/>
                <w:szCs w:val="14"/>
              </w:rPr>
              <w:t>-</w:t>
            </w:r>
          </w:p>
        </w:tc>
        <w:tc>
          <w:tcPr>
            <w:tcW w:w="793" w:type="pct"/>
            <w:tcBorders>
              <w:top w:val="single" w:sz="4" w:space="0" w:color="auto"/>
              <w:left w:val="single" w:sz="18" w:space="0" w:color="auto"/>
              <w:bottom w:val="single" w:sz="4" w:space="0" w:color="auto"/>
              <w:right w:val="single" w:sz="12" w:space="0" w:color="auto"/>
            </w:tcBorders>
          </w:tcPr>
          <w:p w14:paraId="7059008E" w14:textId="48A4D84A" w:rsidR="00DC11F7" w:rsidRPr="00662577" w:rsidRDefault="00DC11F7" w:rsidP="00DC11F7">
            <w:pPr>
              <w:autoSpaceDE w:val="0"/>
              <w:autoSpaceDN w:val="0"/>
              <w:adjustRightInd w:val="0"/>
              <w:spacing w:after="0"/>
              <w:rPr>
                <w:rFonts w:cstheme="minorHAnsi"/>
                <w:color w:val="000000"/>
                <w:sz w:val="14"/>
                <w:szCs w:val="14"/>
              </w:rPr>
            </w:pPr>
            <w:r w:rsidRPr="00662577">
              <w:rPr>
                <w:rFonts w:cstheme="minorHAnsi"/>
                <w:b/>
                <w:bCs/>
                <w:color w:val="000000"/>
                <w:sz w:val="14"/>
                <w:szCs w:val="14"/>
              </w:rPr>
              <w:t>0.93 (0.88-0.99)</w:t>
            </w:r>
          </w:p>
        </w:tc>
        <w:tc>
          <w:tcPr>
            <w:tcW w:w="793" w:type="pct"/>
            <w:tcBorders>
              <w:top w:val="single" w:sz="4" w:space="0" w:color="auto"/>
              <w:left w:val="single" w:sz="12" w:space="0" w:color="auto"/>
              <w:bottom w:val="single" w:sz="4" w:space="0" w:color="auto"/>
              <w:right w:val="single" w:sz="12" w:space="0" w:color="auto"/>
            </w:tcBorders>
          </w:tcPr>
          <w:p w14:paraId="217734E9" w14:textId="2F0B5107" w:rsidR="00DC11F7" w:rsidRPr="00662577" w:rsidRDefault="00DC11F7" w:rsidP="00DC11F7">
            <w:pPr>
              <w:autoSpaceDE w:val="0"/>
              <w:autoSpaceDN w:val="0"/>
              <w:adjustRightInd w:val="0"/>
              <w:spacing w:after="0"/>
              <w:rPr>
                <w:rFonts w:cstheme="minorHAnsi"/>
                <w:color w:val="000000"/>
                <w:sz w:val="14"/>
                <w:szCs w:val="14"/>
              </w:rPr>
            </w:pPr>
            <w:r w:rsidRPr="00662577">
              <w:rPr>
                <w:rFonts w:cstheme="minorHAnsi"/>
                <w:b/>
                <w:bCs/>
                <w:color w:val="000000"/>
                <w:sz w:val="14"/>
                <w:szCs w:val="14"/>
              </w:rPr>
              <w:t>0.93 (0.86-1.00)</w:t>
            </w:r>
          </w:p>
        </w:tc>
        <w:tc>
          <w:tcPr>
            <w:tcW w:w="794" w:type="pct"/>
            <w:tcBorders>
              <w:top w:val="single" w:sz="4" w:space="0" w:color="auto"/>
              <w:left w:val="single" w:sz="12" w:space="0" w:color="auto"/>
              <w:bottom w:val="single" w:sz="4" w:space="0" w:color="auto"/>
              <w:right w:val="single" w:sz="18" w:space="0" w:color="auto"/>
            </w:tcBorders>
            <w:shd w:val="clear" w:color="auto" w:fill="auto"/>
          </w:tcPr>
          <w:p w14:paraId="66DC37C7" w14:textId="03D68010" w:rsidR="00DC11F7" w:rsidRPr="00662577" w:rsidRDefault="00DC11F7" w:rsidP="00DC11F7">
            <w:pPr>
              <w:autoSpaceDE w:val="0"/>
              <w:autoSpaceDN w:val="0"/>
              <w:adjustRightInd w:val="0"/>
              <w:spacing w:after="0"/>
              <w:rPr>
                <w:rFonts w:cstheme="minorHAnsi"/>
                <w:color w:val="000000"/>
                <w:sz w:val="14"/>
                <w:szCs w:val="14"/>
              </w:rPr>
            </w:pPr>
            <w:r w:rsidRPr="00662577">
              <w:rPr>
                <w:rFonts w:cstheme="minorHAnsi"/>
                <w:color w:val="000000"/>
                <w:sz w:val="14"/>
                <w:szCs w:val="14"/>
              </w:rPr>
              <w:t>0.94 (0.86-1.02)</w:t>
            </w:r>
          </w:p>
        </w:tc>
      </w:tr>
      <w:tr w:rsidR="00DC11F7" w:rsidRPr="00662577" w14:paraId="454D75AA" w14:textId="77777777" w:rsidTr="008E2B78">
        <w:trPr>
          <w:trHeight w:val="25"/>
        </w:trPr>
        <w:tc>
          <w:tcPr>
            <w:tcW w:w="228" w:type="pct"/>
            <w:vMerge/>
            <w:tcBorders>
              <w:left w:val="single" w:sz="18" w:space="0" w:color="auto"/>
              <w:right w:val="single" w:sz="12" w:space="0" w:color="auto"/>
            </w:tcBorders>
            <w:textDirection w:val="btLr"/>
            <w:vAlign w:val="center"/>
          </w:tcPr>
          <w:p w14:paraId="3126634F" w14:textId="77777777" w:rsidR="00DC11F7" w:rsidRPr="00662577" w:rsidRDefault="00DC11F7" w:rsidP="00DC11F7">
            <w:pPr>
              <w:autoSpaceDE w:val="0"/>
              <w:autoSpaceDN w:val="0"/>
              <w:adjustRightInd w:val="0"/>
              <w:spacing w:after="0"/>
              <w:ind w:left="113" w:right="113"/>
              <w:jc w:val="center"/>
              <w:rPr>
                <w:rFonts w:cstheme="minorHAnsi"/>
                <w:color w:val="000000"/>
                <w:sz w:val="14"/>
                <w:szCs w:val="14"/>
              </w:rPr>
            </w:pPr>
          </w:p>
        </w:tc>
        <w:tc>
          <w:tcPr>
            <w:tcW w:w="558" w:type="pct"/>
            <w:tcBorders>
              <w:top w:val="single" w:sz="4" w:space="0" w:color="auto"/>
              <w:left w:val="single" w:sz="12" w:space="0" w:color="auto"/>
              <w:bottom w:val="single" w:sz="4" w:space="0" w:color="auto"/>
              <w:right w:val="single" w:sz="18" w:space="0" w:color="auto"/>
            </w:tcBorders>
            <w:shd w:val="clear" w:color="auto" w:fill="auto"/>
          </w:tcPr>
          <w:p w14:paraId="28BC8B97" w14:textId="77777777" w:rsidR="00DC11F7" w:rsidRPr="00662577" w:rsidRDefault="00DC11F7" w:rsidP="00DC11F7">
            <w:pPr>
              <w:autoSpaceDE w:val="0"/>
              <w:autoSpaceDN w:val="0"/>
              <w:adjustRightInd w:val="0"/>
              <w:spacing w:after="0"/>
              <w:rPr>
                <w:rFonts w:cstheme="minorHAnsi"/>
                <w:color w:val="000000"/>
                <w:sz w:val="14"/>
                <w:szCs w:val="14"/>
              </w:rPr>
            </w:pPr>
            <w:r w:rsidRPr="00662577">
              <w:rPr>
                <w:rFonts w:cstheme="minorHAnsi"/>
                <w:color w:val="000000"/>
                <w:sz w:val="14"/>
                <w:szCs w:val="14"/>
              </w:rPr>
              <w:t xml:space="preserve">Direct bilirubin </w:t>
            </w:r>
          </w:p>
        </w:tc>
        <w:tc>
          <w:tcPr>
            <w:tcW w:w="975" w:type="pct"/>
            <w:tcBorders>
              <w:top w:val="single" w:sz="4" w:space="0" w:color="auto"/>
              <w:left w:val="single" w:sz="18" w:space="0" w:color="auto"/>
              <w:bottom w:val="single" w:sz="4" w:space="0" w:color="auto"/>
              <w:right w:val="single" w:sz="12" w:space="0" w:color="auto"/>
            </w:tcBorders>
            <w:shd w:val="clear" w:color="auto" w:fill="auto"/>
          </w:tcPr>
          <w:p w14:paraId="6443FB0B" w14:textId="77777777" w:rsidR="00DC11F7" w:rsidRPr="00662577" w:rsidRDefault="00DC11F7" w:rsidP="00DC11F7">
            <w:pPr>
              <w:autoSpaceDE w:val="0"/>
              <w:autoSpaceDN w:val="0"/>
              <w:adjustRightInd w:val="0"/>
              <w:spacing w:after="0"/>
              <w:rPr>
                <w:rFonts w:cstheme="minorHAnsi"/>
                <w:color w:val="000000"/>
                <w:sz w:val="14"/>
                <w:szCs w:val="14"/>
              </w:rPr>
            </w:pPr>
            <w:r w:rsidRPr="00662577">
              <w:rPr>
                <w:rFonts w:cstheme="minorHAnsi"/>
                <w:color w:val="000000"/>
                <w:sz w:val="14"/>
                <w:szCs w:val="14"/>
              </w:rPr>
              <w:t>-</w:t>
            </w:r>
          </w:p>
        </w:tc>
        <w:tc>
          <w:tcPr>
            <w:tcW w:w="859" w:type="pct"/>
            <w:tcBorders>
              <w:top w:val="single" w:sz="4" w:space="0" w:color="auto"/>
              <w:left w:val="single" w:sz="12" w:space="0" w:color="auto"/>
              <w:bottom w:val="single" w:sz="4" w:space="0" w:color="auto"/>
              <w:right w:val="single" w:sz="18" w:space="0" w:color="auto"/>
            </w:tcBorders>
          </w:tcPr>
          <w:p w14:paraId="3BD63F92" w14:textId="0AB7E18A" w:rsidR="00DC11F7" w:rsidRPr="00662577" w:rsidRDefault="00DC11F7" w:rsidP="00DC11F7">
            <w:pPr>
              <w:autoSpaceDE w:val="0"/>
              <w:autoSpaceDN w:val="0"/>
              <w:adjustRightInd w:val="0"/>
              <w:spacing w:after="0"/>
              <w:rPr>
                <w:rFonts w:cstheme="minorHAnsi"/>
                <w:color w:val="000000"/>
                <w:sz w:val="14"/>
                <w:szCs w:val="14"/>
              </w:rPr>
            </w:pPr>
            <w:r w:rsidRPr="00662577">
              <w:rPr>
                <w:rFonts w:ascii="Calibri" w:hAnsi="Calibri" w:cs="Calibri"/>
                <w:color w:val="000000"/>
                <w:sz w:val="14"/>
                <w:szCs w:val="14"/>
              </w:rPr>
              <w:t>-</w:t>
            </w:r>
          </w:p>
        </w:tc>
        <w:tc>
          <w:tcPr>
            <w:tcW w:w="793" w:type="pct"/>
            <w:tcBorders>
              <w:top w:val="single" w:sz="4" w:space="0" w:color="auto"/>
              <w:left w:val="single" w:sz="18" w:space="0" w:color="auto"/>
              <w:bottom w:val="single" w:sz="4" w:space="0" w:color="auto"/>
              <w:right w:val="single" w:sz="12" w:space="0" w:color="auto"/>
            </w:tcBorders>
          </w:tcPr>
          <w:p w14:paraId="255191BE" w14:textId="64F8D788" w:rsidR="00DC11F7" w:rsidRPr="00662577" w:rsidRDefault="00DC11F7" w:rsidP="00DC11F7">
            <w:pPr>
              <w:autoSpaceDE w:val="0"/>
              <w:autoSpaceDN w:val="0"/>
              <w:adjustRightInd w:val="0"/>
              <w:spacing w:after="0"/>
              <w:rPr>
                <w:rFonts w:cstheme="minorHAnsi"/>
                <w:color w:val="000000"/>
                <w:sz w:val="14"/>
                <w:szCs w:val="14"/>
              </w:rPr>
            </w:pPr>
            <w:r w:rsidRPr="00662577">
              <w:rPr>
                <w:rFonts w:cstheme="minorHAnsi"/>
                <w:color w:val="000000"/>
                <w:sz w:val="14"/>
                <w:szCs w:val="14"/>
              </w:rPr>
              <w:t>1.01 (0.94-1.07)</w:t>
            </w:r>
          </w:p>
        </w:tc>
        <w:tc>
          <w:tcPr>
            <w:tcW w:w="793" w:type="pct"/>
            <w:tcBorders>
              <w:top w:val="single" w:sz="4" w:space="0" w:color="auto"/>
              <w:left w:val="single" w:sz="12" w:space="0" w:color="auto"/>
              <w:bottom w:val="single" w:sz="4" w:space="0" w:color="auto"/>
              <w:right w:val="single" w:sz="12" w:space="0" w:color="auto"/>
            </w:tcBorders>
          </w:tcPr>
          <w:p w14:paraId="4550F5BF" w14:textId="36D0E13C" w:rsidR="00DC11F7" w:rsidRPr="00662577" w:rsidRDefault="00DC11F7" w:rsidP="00DC11F7">
            <w:pPr>
              <w:autoSpaceDE w:val="0"/>
              <w:autoSpaceDN w:val="0"/>
              <w:adjustRightInd w:val="0"/>
              <w:spacing w:after="0"/>
              <w:rPr>
                <w:rFonts w:cstheme="minorHAnsi"/>
                <w:color w:val="000000"/>
                <w:sz w:val="14"/>
                <w:szCs w:val="14"/>
              </w:rPr>
            </w:pPr>
            <w:r w:rsidRPr="00662577">
              <w:rPr>
                <w:rFonts w:cstheme="minorHAnsi"/>
                <w:color w:val="000000"/>
                <w:sz w:val="14"/>
                <w:szCs w:val="14"/>
              </w:rPr>
              <w:t>1.02 (0.95-1.09)</w:t>
            </w:r>
          </w:p>
        </w:tc>
        <w:tc>
          <w:tcPr>
            <w:tcW w:w="794" w:type="pct"/>
            <w:tcBorders>
              <w:top w:val="single" w:sz="4" w:space="0" w:color="auto"/>
              <w:left w:val="single" w:sz="12" w:space="0" w:color="auto"/>
              <w:bottom w:val="single" w:sz="4" w:space="0" w:color="auto"/>
              <w:right w:val="single" w:sz="18" w:space="0" w:color="auto"/>
            </w:tcBorders>
            <w:shd w:val="clear" w:color="auto" w:fill="auto"/>
          </w:tcPr>
          <w:p w14:paraId="1F02B103" w14:textId="0CF54067" w:rsidR="00DC11F7" w:rsidRPr="00662577" w:rsidRDefault="00DC11F7" w:rsidP="00DC11F7">
            <w:pPr>
              <w:autoSpaceDE w:val="0"/>
              <w:autoSpaceDN w:val="0"/>
              <w:adjustRightInd w:val="0"/>
              <w:spacing w:after="0"/>
              <w:rPr>
                <w:rFonts w:cstheme="minorHAnsi"/>
                <w:color w:val="000000"/>
                <w:sz w:val="14"/>
                <w:szCs w:val="14"/>
              </w:rPr>
            </w:pPr>
            <w:r w:rsidRPr="00662577">
              <w:rPr>
                <w:rFonts w:cstheme="minorHAnsi"/>
                <w:color w:val="000000"/>
                <w:sz w:val="14"/>
                <w:szCs w:val="14"/>
              </w:rPr>
              <w:t>0.99 (0.91-1.07)</w:t>
            </w:r>
          </w:p>
        </w:tc>
      </w:tr>
      <w:tr w:rsidR="00DC11F7" w:rsidRPr="00662577" w14:paraId="2FABBFA0" w14:textId="77777777" w:rsidTr="008E2B78">
        <w:trPr>
          <w:trHeight w:val="25"/>
        </w:trPr>
        <w:tc>
          <w:tcPr>
            <w:tcW w:w="228" w:type="pct"/>
            <w:vMerge/>
            <w:tcBorders>
              <w:left w:val="single" w:sz="18" w:space="0" w:color="auto"/>
              <w:right w:val="single" w:sz="12" w:space="0" w:color="auto"/>
            </w:tcBorders>
            <w:textDirection w:val="btLr"/>
            <w:vAlign w:val="center"/>
          </w:tcPr>
          <w:p w14:paraId="47A7CFBA" w14:textId="77777777" w:rsidR="00DC11F7" w:rsidRPr="00662577" w:rsidRDefault="00DC11F7" w:rsidP="00DC11F7">
            <w:pPr>
              <w:autoSpaceDE w:val="0"/>
              <w:autoSpaceDN w:val="0"/>
              <w:adjustRightInd w:val="0"/>
              <w:spacing w:after="0"/>
              <w:ind w:left="113" w:right="113"/>
              <w:jc w:val="center"/>
              <w:rPr>
                <w:rFonts w:cstheme="minorHAnsi"/>
                <w:color w:val="000000"/>
                <w:sz w:val="14"/>
                <w:szCs w:val="14"/>
              </w:rPr>
            </w:pPr>
          </w:p>
        </w:tc>
        <w:tc>
          <w:tcPr>
            <w:tcW w:w="558" w:type="pct"/>
            <w:tcBorders>
              <w:top w:val="single" w:sz="4" w:space="0" w:color="auto"/>
              <w:left w:val="single" w:sz="12" w:space="0" w:color="auto"/>
              <w:bottom w:val="single" w:sz="4" w:space="0" w:color="auto"/>
              <w:right w:val="single" w:sz="18" w:space="0" w:color="auto"/>
            </w:tcBorders>
            <w:shd w:val="clear" w:color="auto" w:fill="auto"/>
          </w:tcPr>
          <w:p w14:paraId="0BD8EBAA" w14:textId="77777777" w:rsidR="00DC11F7" w:rsidRPr="00662577" w:rsidRDefault="00DC11F7" w:rsidP="00DC11F7">
            <w:pPr>
              <w:autoSpaceDE w:val="0"/>
              <w:autoSpaceDN w:val="0"/>
              <w:adjustRightInd w:val="0"/>
              <w:spacing w:after="0"/>
              <w:rPr>
                <w:rFonts w:cstheme="minorHAnsi"/>
                <w:color w:val="000000"/>
                <w:sz w:val="14"/>
                <w:szCs w:val="14"/>
              </w:rPr>
            </w:pPr>
            <w:r w:rsidRPr="00662577">
              <w:rPr>
                <w:rFonts w:cstheme="minorHAnsi"/>
                <w:color w:val="000000"/>
                <w:sz w:val="14"/>
                <w:szCs w:val="14"/>
              </w:rPr>
              <w:t>Gamma glutamyltransferase</w:t>
            </w:r>
          </w:p>
        </w:tc>
        <w:tc>
          <w:tcPr>
            <w:tcW w:w="975" w:type="pct"/>
            <w:tcBorders>
              <w:top w:val="single" w:sz="4" w:space="0" w:color="auto"/>
              <w:left w:val="single" w:sz="18" w:space="0" w:color="auto"/>
              <w:bottom w:val="single" w:sz="4" w:space="0" w:color="auto"/>
              <w:right w:val="single" w:sz="12" w:space="0" w:color="auto"/>
            </w:tcBorders>
            <w:shd w:val="clear" w:color="auto" w:fill="auto"/>
          </w:tcPr>
          <w:p w14:paraId="1BD58B1D" w14:textId="011FDA44" w:rsidR="00DC11F7" w:rsidRPr="00225611" w:rsidRDefault="00DC11F7" w:rsidP="00DC11F7">
            <w:pPr>
              <w:autoSpaceDE w:val="0"/>
              <w:autoSpaceDN w:val="0"/>
              <w:adjustRightInd w:val="0"/>
              <w:spacing w:after="0"/>
              <w:rPr>
                <w:rFonts w:cstheme="minorHAnsi"/>
                <w:b/>
                <w:bCs/>
                <w:color w:val="000000"/>
                <w:sz w:val="14"/>
                <w:szCs w:val="14"/>
              </w:rPr>
            </w:pPr>
            <w:r w:rsidRPr="00225611">
              <w:rPr>
                <w:rFonts w:cstheme="minorHAnsi"/>
                <w:b/>
                <w:bCs/>
                <w:color w:val="000000"/>
                <w:sz w:val="14"/>
                <w:szCs w:val="14"/>
              </w:rPr>
              <w:t xml:space="preserve">Meta-analysis PRR: 1.67 (1.12-2.48) </w:t>
            </w:r>
            <w:sdt>
              <w:sdtPr>
                <w:rPr>
                  <w:rFonts w:cstheme="minorHAnsi"/>
                  <w:bCs/>
                  <w:color w:val="000000"/>
                  <w:sz w:val="14"/>
                  <w:szCs w:val="14"/>
                </w:rPr>
                <w:tag w:val="MENDELEY_CITATION_v3_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"/>
                <w:id w:val="-459647107"/>
                <w:placeholder>
                  <w:docPart w:val="DefaultPlaceholder_-1854013440"/>
                </w:placeholder>
              </w:sdtPr>
              <w:sdtEndPr/>
              <w:sdtContent>
                <w:r w:rsidR="008F665C" w:rsidRPr="008F665C">
                  <w:rPr>
                    <w:rFonts w:cstheme="minorHAnsi"/>
                    <w:bCs/>
                    <w:color w:val="000000"/>
                    <w:sz w:val="14"/>
                    <w:szCs w:val="14"/>
                  </w:rPr>
                  <w:t>[17]</w:t>
                </w:r>
              </w:sdtContent>
            </w:sdt>
          </w:p>
        </w:tc>
        <w:tc>
          <w:tcPr>
            <w:tcW w:w="859" w:type="pct"/>
            <w:tcBorders>
              <w:top w:val="single" w:sz="4" w:space="0" w:color="auto"/>
              <w:left w:val="single" w:sz="12" w:space="0" w:color="auto"/>
              <w:bottom w:val="single" w:sz="4" w:space="0" w:color="auto"/>
              <w:right w:val="single" w:sz="18" w:space="0" w:color="auto"/>
            </w:tcBorders>
          </w:tcPr>
          <w:p w14:paraId="71B58A4E" w14:textId="770442DF" w:rsidR="00DC11F7" w:rsidRPr="00662577" w:rsidRDefault="00DC11F7" w:rsidP="00DC11F7">
            <w:pPr>
              <w:autoSpaceDE w:val="0"/>
              <w:autoSpaceDN w:val="0"/>
              <w:adjustRightInd w:val="0"/>
              <w:spacing w:after="0"/>
              <w:rPr>
                <w:rFonts w:cstheme="minorHAnsi"/>
                <w:color w:val="000000"/>
                <w:sz w:val="14"/>
                <w:szCs w:val="14"/>
              </w:rPr>
            </w:pPr>
            <w:r w:rsidRPr="00662577">
              <w:rPr>
                <w:rFonts w:ascii="Calibri" w:hAnsi="Calibri" w:cs="Calibri"/>
                <w:color w:val="000000"/>
                <w:sz w:val="14"/>
                <w:szCs w:val="14"/>
              </w:rPr>
              <w:t>-</w:t>
            </w:r>
          </w:p>
        </w:tc>
        <w:tc>
          <w:tcPr>
            <w:tcW w:w="793" w:type="pct"/>
            <w:tcBorders>
              <w:top w:val="single" w:sz="4" w:space="0" w:color="auto"/>
              <w:left w:val="single" w:sz="18" w:space="0" w:color="auto"/>
              <w:bottom w:val="single" w:sz="4" w:space="0" w:color="auto"/>
              <w:right w:val="single" w:sz="12" w:space="0" w:color="auto"/>
            </w:tcBorders>
          </w:tcPr>
          <w:p w14:paraId="5C87D83B" w14:textId="50F747A8" w:rsidR="00DC11F7" w:rsidRPr="00662577" w:rsidRDefault="00DC11F7" w:rsidP="00DC11F7">
            <w:pPr>
              <w:autoSpaceDE w:val="0"/>
              <w:autoSpaceDN w:val="0"/>
              <w:adjustRightInd w:val="0"/>
              <w:spacing w:after="0"/>
              <w:rPr>
                <w:rFonts w:cstheme="minorHAnsi"/>
                <w:color w:val="000000"/>
                <w:sz w:val="14"/>
                <w:szCs w:val="14"/>
              </w:rPr>
            </w:pPr>
            <w:r w:rsidRPr="00662577">
              <w:rPr>
                <w:rFonts w:cstheme="minorHAnsi"/>
                <w:color w:val="000000"/>
                <w:sz w:val="14"/>
                <w:szCs w:val="14"/>
              </w:rPr>
              <w:t>1.05 (1.00-1.10)</w:t>
            </w:r>
          </w:p>
        </w:tc>
        <w:tc>
          <w:tcPr>
            <w:tcW w:w="793" w:type="pct"/>
            <w:tcBorders>
              <w:top w:val="single" w:sz="4" w:space="0" w:color="auto"/>
              <w:left w:val="single" w:sz="12" w:space="0" w:color="auto"/>
              <w:bottom w:val="single" w:sz="4" w:space="0" w:color="auto"/>
              <w:right w:val="single" w:sz="12" w:space="0" w:color="auto"/>
            </w:tcBorders>
          </w:tcPr>
          <w:p w14:paraId="627F400D" w14:textId="4D80F561" w:rsidR="00DC11F7" w:rsidRPr="00662577" w:rsidRDefault="00DC11F7" w:rsidP="00DC11F7">
            <w:pPr>
              <w:autoSpaceDE w:val="0"/>
              <w:autoSpaceDN w:val="0"/>
              <w:adjustRightInd w:val="0"/>
              <w:spacing w:after="0"/>
              <w:rPr>
                <w:rFonts w:cstheme="minorHAnsi"/>
                <w:color w:val="000000"/>
                <w:sz w:val="14"/>
                <w:szCs w:val="14"/>
              </w:rPr>
            </w:pPr>
            <w:r w:rsidRPr="00662577">
              <w:rPr>
                <w:rFonts w:cstheme="minorHAnsi"/>
                <w:color w:val="000000"/>
                <w:sz w:val="14"/>
                <w:szCs w:val="14"/>
              </w:rPr>
              <w:t>1.06 (1.00-1.07)</w:t>
            </w:r>
          </w:p>
        </w:tc>
        <w:tc>
          <w:tcPr>
            <w:tcW w:w="794" w:type="pct"/>
            <w:tcBorders>
              <w:top w:val="single" w:sz="4" w:space="0" w:color="auto"/>
              <w:left w:val="single" w:sz="12" w:space="0" w:color="auto"/>
              <w:bottom w:val="single" w:sz="4" w:space="0" w:color="auto"/>
              <w:right w:val="single" w:sz="18" w:space="0" w:color="auto"/>
            </w:tcBorders>
            <w:shd w:val="clear" w:color="auto" w:fill="auto"/>
          </w:tcPr>
          <w:p w14:paraId="6A468D68" w14:textId="20482596" w:rsidR="00DC11F7" w:rsidRPr="00662577" w:rsidRDefault="00DC11F7" w:rsidP="00DC11F7">
            <w:pPr>
              <w:autoSpaceDE w:val="0"/>
              <w:autoSpaceDN w:val="0"/>
              <w:adjustRightInd w:val="0"/>
              <w:spacing w:after="0"/>
              <w:rPr>
                <w:rFonts w:cstheme="minorHAnsi"/>
                <w:color w:val="000000"/>
                <w:sz w:val="14"/>
                <w:szCs w:val="14"/>
              </w:rPr>
            </w:pPr>
            <w:r w:rsidRPr="00662577">
              <w:rPr>
                <w:rFonts w:cstheme="minorHAnsi"/>
                <w:color w:val="000000"/>
                <w:sz w:val="14"/>
                <w:szCs w:val="14"/>
              </w:rPr>
              <w:t>1.02 (0.96-1.09)</w:t>
            </w:r>
          </w:p>
        </w:tc>
      </w:tr>
      <w:tr w:rsidR="00DC11F7" w:rsidRPr="00662577" w14:paraId="5CD0107B" w14:textId="77777777" w:rsidTr="008E2B78">
        <w:trPr>
          <w:trHeight w:val="25"/>
        </w:trPr>
        <w:tc>
          <w:tcPr>
            <w:tcW w:w="228" w:type="pct"/>
            <w:vMerge/>
            <w:tcBorders>
              <w:left w:val="single" w:sz="18" w:space="0" w:color="auto"/>
              <w:bottom w:val="single" w:sz="12" w:space="0" w:color="auto"/>
              <w:right w:val="single" w:sz="12" w:space="0" w:color="auto"/>
            </w:tcBorders>
            <w:textDirection w:val="btLr"/>
            <w:vAlign w:val="center"/>
          </w:tcPr>
          <w:p w14:paraId="6AE325BA" w14:textId="77777777" w:rsidR="00DC11F7" w:rsidRPr="00662577" w:rsidRDefault="00DC11F7" w:rsidP="00DC11F7">
            <w:pPr>
              <w:autoSpaceDE w:val="0"/>
              <w:autoSpaceDN w:val="0"/>
              <w:adjustRightInd w:val="0"/>
              <w:spacing w:after="0"/>
              <w:ind w:left="113" w:right="113"/>
              <w:jc w:val="center"/>
              <w:rPr>
                <w:rFonts w:cstheme="minorHAnsi"/>
                <w:color w:val="000000"/>
                <w:sz w:val="14"/>
                <w:szCs w:val="14"/>
              </w:rPr>
            </w:pPr>
          </w:p>
        </w:tc>
        <w:tc>
          <w:tcPr>
            <w:tcW w:w="558" w:type="pct"/>
            <w:tcBorders>
              <w:top w:val="single" w:sz="4" w:space="0" w:color="auto"/>
              <w:left w:val="single" w:sz="12" w:space="0" w:color="auto"/>
              <w:bottom w:val="single" w:sz="12" w:space="0" w:color="auto"/>
              <w:right w:val="single" w:sz="18" w:space="0" w:color="auto"/>
            </w:tcBorders>
            <w:shd w:val="clear" w:color="auto" w:fill="auto"/>
          </w:tcPr>
          <w:p w14:paraId="272B5126" w14:textId="77777777" w:rsidR="00DC11F7" w:rsidRPr="00662577" w:rsidRDefault="00DC11F7" w:rsidP="00DC11F7">
            <w:pPr>
              <w:autoSpaceDE w:val="0"/>
              <w:autoSpaceDN w:val="0"/>
              <w:adjustRightInd w:val="0"/>
              <w:spacing w:after="0"/>
              <w:rPr>
                <w:rFonts w:cstheme="minorHAnsi"/>
                <w:color w:val="000000"/>
                <w:sz w:val="14"/>
                <w:szCs w:val="14"/>
              </w:rPr>
            </w:pPr>
            <w:r w:rsidRPr="00662577">
              <w:rPr>
                <w:rFonts w:cstheme="minorHAnsi"/>
                <w:color w:val="000000"/>
                <w:sz w:val="14"/>
                <w:szCs w:val="14"/>
              </w:rPr>
              <w:t xml:space="preserve">Total bilirubin </w:t>
            </w:r>
          </w:p>
        </w:tc>
        <w:tc>
          <w:tcPr>
            <w:tcW w:w="975" w:type="pct"/>
            <w:tcBorders>
              <w:top w:val="single" w:sz="4" w:space="0" w:color="auto"/>
              <w:left w:val="single" w:sz="18" w:space="0" w:color="auto"/>
              <w:bottom w:val="single" w:sz="12" w:space="0" w:color="auto"/>
              <w:right w:val="single" w:sz="12" w:space="0" w:color="auto"/>
            </w:tcBorders>
            <w:shd w:val="clear" w:color="auto" w:fill="auto"/>
          </w:tcPr>
          <w:p w14:paraId="43D4ECF4" w14:textId="6B4F2D31" w:rsidR="00DC11F7" w:rsidRPr="00662577" w:rsidRDefault="00DC11F7" w:rsidP="00DC11F7">
            <w:pPr>
              <w:autoSpaceDE w:val="0"/>
              <w:autoSpaceDN w:val="0"/>
              <w:adjustRightInd w:val="0"/>
              <w:spacing w:after="0"/>
              <w:rPr>
                <w:rFonts w:cstheme="minorHAnsi"/>
                <w:color w:val="000000"/>
                <w:sz w:val="14"/>
                <w:szCs w:val="14"/>
              </w:rPr>
            </w:pPr>
            <w:r w:rsidRPr="00662577">
              <w:rPr>
                <w:rFonts w:cstheme="minorHAnsi"/>
                <w:color w:val="000000"/>
                <w:sz w:val="14"/>
                <w:szCs w:val="14"/>
              </w:rPr>
              <w:t xml:space="preserve">Case-cohort HR: 0.56 (0.31-1.02) </w:t>
            </w:r>
            <w:sdt>
              <w:sdtPr>
                <w:rPr>
                  <w:rFonts w:cstheme="minorHAnsi"/>
                  <w:color w:val="000000"/>
                  <w:sz w:val="14"/>
                  <w:szCs w:val="14"/>
                </w:rPr>
                <w:tag w:val="MENDELEY_CITATION_v3_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"/>
                <w:id w:val="-1097788404"/>
                <w:placeholder>
                  <w:docPart w:val="DefaultPlaceholder_-1854013440"/>
                </w:placeholder>
              </w:sdtPr>
              <w:sdtEndPr/>
              <w:sdtContent>
                <w:r w:rsidR="008F665C" w:rsidRPr="008F665C">
                  <w:rPr>
                    <w:rFonts w:cstheme="minorHAnsi"/>
                    <w:color w:val="000000"/>
                    <w:sz w:val="14"/>
                    <w:szCs w:val="14"/>
                  </w:rPr>
                  <w:t>[16]</w:t>
                </w:r>
              </w:sdtContent>
            </w:sdt>
          </w:p>
        </w:tc>
        <w:tc>
          <w:tcPr>
            <w:tcW w:w="859" w:type="pct"/>
            <w:tcBorders>
              <w:top w:val="single" w:sz="4" w:space="0" w:color="auto"/>
              <w:left w:val="single" w:sz="12" w:space="0" w:color="auto"/>
              <w:bottom w:val="single" w:sz="12" w:space="0" w:color="auto"/>
              <w:right w:val="single" w:sz="18" w:space="0" w:color="auto"/>
            </w:tcBorders>
          </w:tcPr>
          <w:p w14:paraId="6E7FEB05" w14:textId="34CBB662" w:rsidR="00DC11F7" w:rsidRPr="00662577" w:rsidRDefault="00DC11F7" w:rsidP="00DC11F7">
            <w:pPr>
              <w:autoSpaceDE w:val="0"/>
              <w:autoSpaceDN w:val="0"/>
              <w:adjustRightInd w:val="0"/>
              <w:spacing w:after="0"/>
              <w:rPr>
                <w:rFonts w:cstheme="minorHAnsi"/>
                <w:color w:val="000000"/>
                <w:sz w:val="14"/>
                <w:szCs w:val="14"/>
              </w:rPr>
            </w:pPr>
            <w:r w:rsidRPr="00662577">
              <w:rPr>
                <w:rFonts w:ascii="Calibri" w:hAnsi="Calibri" w:cs="Calibri"/>
                <w:color w:val="000000"/>
                <w:sz w:val="14"/>
                <w:szCs w:val="14"/>
              </w:rPr>
              <w:t>-</w:t>
            </w:r>
          </w:p>
        </w:tc>
        <w:tc>
          <w:tcPr>
            <w:tcW w:w="793" w:type="pct"/>
            <w:tcBorders>
              <w:top w:val="single" w:sz="4" w:space="0" w:color="auto"/>
              <w:left w:val="single" w:sz="18" w:space="0" w:color="auto"/>
              <w:bottom w:val="single" w:sz="12" w:space="0" w:color="auto"/>
              <w:right w:val="single" w:sz="12" w:space="0" w:color="auto"/>
            </w:tcBorders>
          </w:tcPr>
          <w:p w14:paraId="3C68065E" w14:textId="35DBFC0C" w:rsidR="00DC11F7" w:rsidRPr="00662577" w:rsidRDefault="00DC11F7" w:rsidP="00DC11F7">
            <w:pPr>
              <w:autoSpaceDE w:val="0"/>
              <w:autoSpaceDN w:val="0"/>
              <w:adjustRightInd w:val="0"/>
              <w:spacing w:after="0"/>
              <w:rPr>
                <w:rFonts w:cstheme="minorHAnsi"/>
                <w:color w:val="000000"/>
                <w:sz w:val="14"/>
                <w:szCs w:val="14"/>
              </w:rPr>
            </w:pPr>
            <w:r w:rsidRPr="00662577">
              <w:rPr>
                <w:rFonts w:cstheme="minorHAnsi"/>
                <w:color w:val="000000"/>
                <w:sz w:val="14"/>
                <w:szCs w:val="14"/>
              </w:rPr>
              <w:t>1.01 (0.97-1.06)</w:t>
            </w:r>
          </w:p>
        </w:tc>
        <w:tc>
          <w:tcPr>
            <w:tcW w:w="793" w:type="pct"/>
            <w:tcBorders>
              <w:top w:val="single" w:sz="4" w:space="0" w:color="auto"/>
              <w:left w:val="single" w:sz="12" w:space="0" w:color="auto"/>
              <w:bottom w:val="single" w:sz="12" w:space="0" w:color="auto"/>
              <w:right w:val="single" w:sz="12" w:space="0" w:color="auto"/>
            </w:tcBorders>
          </w:tcPr>
          <w:p w14:paraId="7DC91F2F" w14:textId="60D8ADC9" w:rsidR="00DC11F7" w:rsidRPr="00662577" w:rsidRDefault="00DC11F7" w:rsidP="00DC11F7">
            <w:pPr>
              <w:autoSpaceDE w:val="0"/>
              <w:autoSpaceDN w:val="0"/>
              <w:adjustRightInd w:val="0"/>
              <w:spacing w:after="0"/>
              <w:rPr>
                <w:rFonts w:cstheme="minorHAnsi"/>
                <w:color w:val="000000"/>
                <w:sz w:val="14"/>
                <w:szCs w:val="14"/>
              </w:rPr>
            </w:pPr>
            <w:r w:rsidRPr="00662577">
              <w:rPr>
                <w:rFonts w:cstheme="minorHAnsi"/>
                <w:color w:val="000000"/>
                <w:sz w:val="14"/>
                <w:szCs w:val="14"/>
              </w:rPr>
              <w:t>1.02 (0.97-1.07)</w:t>
            </w:r>
          </w:p>
        </w:tc>
        <w:tc>
          <w:tcPr>
            <w:tcW w:w="794" w:type="pct"/>
            <w:tcBorders>
              <w:top w:val="single" w:sz="4" w:space="0" w:color="auto"/>
              <w:left w:val="single" w:sz="12" w:space="0" w:color="auto"/>
              <w:bottom w:val="single" w:sz="12" w:space="0" w:color="auto"/>
              <w:right w:val="single" w:sz="18" w:space="0" w:color="auto"/>
            </w:tcBorders>
            <w:shd w:val="clear" w:color="auto" w:fill="auto"/>
          </w:tcPr>
          <w:p w14:paraId="5A9337C9" w14:textId="6A5D7692" w:rsidR="00DC11F7" w:rsidRPr="00662577" w:rsidRDefault="00DC11F7" w:rsidP="00DC11F7">
            <w:pPr>
              <w:autoSpaceDE w:val="0"/>
              <w:autoSpaceDN w:val="0"/>
              <w:adjustRightInd w:val="0"/>
              <w:spacing w:after="0"/>
              <w:rPr>
                <w:rFonts w:cstheme="minorHAnsi"/>
                <w:color w:val="000000"/>
                <w:sz w:val="14"/>
                <w:szCs w:val="14"/>
              </w:rPr>
            </w:pPr>
            <w:r w:rsidRPr="00662577">
              <w:rPr>
                <w:rFonts w:cstheme="minorHAnsi"/>
                <w:color w:val="000000"/>
                <w:sz w:val="14"/>
                <w:szCs w:val="14"/>
              </w:rPr>
              <w:t>1.01 (0.94-1.07)</w:t>
            </w:r>
          </w:p>
        </w:tc>
      </w:tr>
      <w:tr w:rsidR="00662577" w:rsidRPr="00662577" w14:paraId="25161DF0" w14:textId="77777777" w:rsidTr="008E2B78">
        <w:trPr>
          <w:trHeight w:val="25"/>
        </w:trPr>
        <w:tc>
          <w:tcPr>
            <w:tcW w:w="228" w:type="pct"/>
            <w:vMerge w:val="restart"/>
            <w:tcBorders>
              <w:top w:val="dashed" w:sz="4" w:space="0" w:color="auto"/>
              <w:left w:val="single" w:sz="18" w:space="0" w:color="auto"/>
              <w:right w:val="single" w:sz="12" w:space="0" w:color="auto"/>
            </w:tcBorders>
            <w:textDirection w:val="btLr"/>
            <w:vAlign w:val="center"/>
          </w:tcPr>
          <w:p w14:paraId="35151F31" w14:textId="77777777" w:rsidR="00662577" w:rsidRPr="00662577" w:rsidRDefault="00662577" w:rsidP="00662577">
            <w:pPr>
              <w:autoSpaceDE w:val="0"/>
              <w:autoSpaceDN w:val="0"/>
              <w:adjustRightInd w:val="0"/>
              <w:spacing w:after="0"/>
              <w:ind w:left="113" w:right="113"/>
              <w:jc w:val="center"/>
              <w:rPr>
                <w:rFonts w:cstheme="minorHAnsi"/>
                <w:color w:val="000000"/>
                <w:sz w:val="14"/>
                <w:szCs w:val="14"/>
              </w:rPr>
            </w:pPr>
            <w:r w:rsidRPr="00662577">
              <w:rPr>
                <w:rFonts w:cstheme="minorHAnsi"/>
                <w:color w:val="000000"/>
                <w:sz w:val="14"/>
                <w:szCs w:val="14"/>
              </w:rPr>
              <w:t>Renal</w:t>
            </w:r>
          </w:p>
        </w:tc>
        <w:tc>
          <w:tcPr>
            <w:tcW w:w="558" w:type="pct"/>
            <w:tcBorders>
              <w:top w:val="single" w:sz="12" w:space="0" w:color="auto"/>
              <w:left w:val="single" w:sz="12" w:space="0" w:color="auto"/>
              <w:bottom w:val="single" w:sz="4" w:space="0" w:color="auto"/>
              <w:right w:val="single" w:sz="18" w:space="0" w:color="auto"/>
            </w:tcBorders>
            <w:shd w:val="clear" w:color="auto" w:fill="auto"/>
          </w:tcPr>
          <w:p w14:paraId="065A72D8" w14:textId="77777777" w:rsidR="00662577" w:rsidRPr="00662577" w:rsidRDefault="00662577" w:rsidP="00662577">
            <w:pPr>
              <w:autoSpaceDE w:val="0"/>
              <w:autoSpaceDN w:val="0"/>
              <w:adjustRightInd w:val="0"/>
              <w:spacing w:after="0"/>
              <w:rPr>
                <w:rFonts w:cstheme="minorHAnsi"/>
                <w:color w:val="000000"/>
                <w:sz w:val="14"/>
                <w:szCs w:val="14"/>
              </w:rPr>
            </w:pPr>
            <w:r w:rsidRPr="00662577">
              <w:rPr>
                <w:rFonts w:cstheme="minorHAnsi"/>
                <w:color w:val="000000"/>
                <w:sz w:val="14"/>
                <w:szCs w:val="14"/>
              </w:rPr>
              <w:t>Creatinine</w:t>
            </w:r>
          </w:p>
        </w:tc>
        <w:tc>
          <w:tcPr>
            <w:tcW w:w="975" w:type="pct"/>
            <w:tcBorders>
              <w:top w:val="single" w:sz="12" w:space="0" w:color="auto"/>
              <w:left w:val="single" w:sz="18" w:space="0" w:color="auto"/>
              <w:bottom w:val="single" w:sz="4" w:space="0" w:color="auto"/>
              <w:right w:val="single" w:sz="12" w:space="0" w:color="auto"/>
            </w:tcBorders>
            <w:shd w:val="clear" w:color="auto" w:fill="auto"/>
          </w:tcPr>
          <w:p w14:paraId="56F48C5A" w14:textId="77777777" w:rsidR="00662577" w:rsidRPr="00662577" w:rsidRDefault="00662577" w:rsidP="00662577">
            <w:pPr>
              <w:autoSpaceDE w:val="0"/>
              <w:autoSpaceDN w:val="0"/>
              <w:adjustRightInd w:val="0"/>
              <w:spacing w:after="0"/>
              <w:rPr>
                <w:rFonts w:cstheme="minorHAnsi"/>
                <w:color w:val="000000"/>
                <w:sz w:val="14"/>
                <w:szCs w:val="14"/>
              </w:rPr>
            </w:pPr>
            <w:r w:rsidRPr="00662577">
              <w:rPr>
                <w:rFonts w:cstheme="minorHAnsi"/>
                <w:color w:val="000000"/>
                <w:sz w:val="14"/>
                <w:szCs w:val="14"/>
              </w:rPr>
              <w:t>-</w:t>
            </w:r>
          </w:p>
        </w:tc>
        <w:tc>
          <w:tcPr>
            <w:tcW w:w="859" w:type="pct"/>
            <w:tcBorders>
              <w:top w:val="single" w:sz="12" w:space="0" w:color="auto"/>
              <w:left w:val="single" w:sz="12" w:space="0" w:color="auto"/>
              <w:bottom w:val="single" w:sz="4" w:space="0" w:color="auto"/>
              <w:right w:val="single" w:sz="18" w:space="0" w:color="auto"/>
            </w:tcBorders>
          </w:tcPr>
          <w:p w14:paraId="7950DEEE" w14:textId="7C433C5D" w:rsidR="00662577" w:rsidRPr="00662577" w:rsidRDefault="00662577" w:rsidP="00662577">
            <w:pPr>
              <w:autoSpaceDE w:val="0"/>
              <w:autoSpaceDN w:val="0"/>
              <w:adjustRightInd w:val="0"/>
              <w:spacing w:after="0"/>
              <w:rPr>
                <w:rFonts w:cstheme="minorHAnsi"/>
                <w:color w:val="000000"/>
                <w:sz w:val="14"/>
                <w:szCs w:val="14"/>
              </w:rPr>
            </w:pPr>
            <w:r w:rsidRPr="00662577">
              <w:rPr>
                <w:rFonts w:ascii="Calibri" w:hAnsi="Calibri" w:cs="Calibri"/>
                <w:color w:val="000000"/>
                <w:sz w:val="14"/>
                <w:szCs w:val="14"/>
              </w:rPr>
              <w:t>-</w:t>
            </w:r>
          </w:p>
        </w:tc>
        <w:tc>
          <w:tcPr>
            <w:tcW w:w="793" w:type="pct"/>
            <w:tcBorders>
              <w:top w:val="single" w:sz="12" w:space="0" w:color="auto"/>
              <w:left w:val="single" w:sz="18" w:space="0" w:color="auto"/>
              <w:bottom w:val="single" w:sz="4" w:space="0" w:color="auto"/>
              <w:right w:val="single" w:sz="12" w:space="0" w:color="auto"/>
            </w:tcBorders>
          </w:tcPr>
          <w:p w14:paraId="2E855323" w14:textId="54341029" w:rsidR="00662577" w:rsidRPr="00662577" w:rsidRDefault="00662577" w:rsidP="00662577">
            <w:pPr>
              <w:autoSpaceDE w:val="0"/>
              <w:autoSpaceDN w:val="0"/>
              <w:adjustRightInd w:val="0"/>
              <w:spacing w:after="0"/>
              <w:rPr>
                <w:rFonts w:cstheme="minorHAnsi"/>
                <w:color w:val="000000"/>
                <w:sz w:val="14"/>
                <w:szCs w:val="14"/>
              </w:rPr>
            </w:pPr>
            <w:r w:rsidRPr="00662577">
              <w:rPr>
                <w:rFonts w:cstheme="minorHAnsi"/>
                <w:color w:val="000000"/>
                <w:sz w:val="14"/>
                <w:szCs w:val="14"/>
              </w:rPr>
              <w:t>0.98 (0.93-1.04)</w:t>
            </w:r>
          </w:p>
        </w:tc>
        <w:tc>
          <w:tcPr>
            <w:tcW w:w="793" w:type="pct"/>
            <w:tcBorders>
              <w:top w:val="single" w:sz="12" w:space="0" w:color="auto"/>
              <w:left w:val="single" w:sz="12" w:space="0" w:color="auto"/>
              <w:bottom w:val="single" w:sz="4" w:space="0" w:color="auto"/>
              <w:right w:val="single" w:sz="12" w:space="0" w:color="auto"/>
            </w:tcBorders>
          </w:tcPr>
          <w:p w14:paraId="4BD33729" w14:textId="73D0E448" w:rsidR="00662577" w:rsidRPr="00662577" w:rsidRDefault="00662577" w:rsidP="00662577">
            <w:pPr>
              <w:autoSpaceDE w:val="0"/>
              <w:autoSpaceDN w:val="0"/>
              <w:adjustRightInd w:val="0"/>
              <w:spacing w:after="0"/>
              <w:rPr>
                <w:rFonts w:cstheme="minorHAnsi"/>
                <w:color w:val="000000"/>
                <w:sz w:val="14"/>
                <w:szCs w:val="14"/>
              </w:rPr>
            </w:pPr>
            <w:r w:rsidRPr="00662577">
              <w:rPr>
                <w:rFonts w:cstheme="minorHAnsi"/>
                <w:color w:val="000000"/>
                <w:sz w:val="14"/>
                <w:szCs w:val="14"/>
              </w:rPr>
              <w:t>0.98 (0.93-1.04)</w:t>
            </w:r>
          </w:p>
        </w:tc>
        <w:tc>
          <w:tcPr>
            <w:tcW w:w="794" w:type="pct"/>
            <w:tcBorders>
              <w:top w:val="single" w:sz="12" w:space="0" w:color="auto"/>
              <w:left w:val="single" w:sz="12" w:space="0" w:color="auto"/>
              <w:bottom w:val="single" w:sz="4" w:space="0" w:color="auto"/>
              <w:right w:val="single" w:sz="18" w:space="0" w:color="auto"/>
            </w:tcBorders>
            <w:shd w:val="clear" w:color="auto" w:fill="auto"/>
          </w:tcPr>
          <w:p w14:paraId="7EB94843" w14:textId="2C88BA2B" w:rsidR="00662577" w:rsidRPr="00662577" w:rsidRDefault="00662577" w:rsidP="00662577">
            <w:pPr>
              <w:autoSpaceDE w:val="0"/>
              <w:autoSpaceDN w:val="0"/>
              <w:adjustRightInd w:val="0"/>
              <w:spacing w:after="0"/>
              <w:rPr>
                <w:rFonts w:cstheme="minorHAnsi"/>
                <w:color w:val="000000"/>
                <w:sz w:val="14"/>
                <w:szCs w:val="14"/>
              </w:rPr>
            </w:pPr>
            <w:r w:rsidRPr="00662577">
              <w:rPr>
                <w:rFonts w:cstheme="minorHAnsi"/>
                <w:color w:val="000000"/>
                <w:sz w:val="14"/>
                <w:szCs w:val="14"/>
              </w:rPr>
              <w:t>1.01 (0.95-1.09)</w:t>
            </w:r>
          </w:p>
        </w:tc>
      </w:tr>
      <w:tr w:rsidR="00662577" w:rsidRPr="00662577" w14:paraId="5FA6F46A" w14:textId="77777777" w:rsidTr="008E2B78">
        <w:trPr>
          <w:trHeight w:val="25"/>
        </w:trPr>
        <w:tc>
          <w:tcPr>
            <w:tcW w:w="228" w:type="pct"/>
            <w:vMerge/>
            <w:tcBorders>
              <w:left w:val="single" w:sz="18" w:space="0" w:color="auto"/>
              <w:right w:val="single" w:sz="12" w:space="0" w:color="auto"/>
            </w:tcBorders>
          </w:tcPr>
          <w:p w14:paraId="5C8753BB" w14:textId="77777777" w:rsidR="00662577" w:rsidRPr="00662577" w:rsidRDefault="00662577" w:rsidP="00662577">
            <w:pPr>
              <w:autoSpaceDE w:val="0"/>
              <w:autoSpaceDN w:val="0"/>
              <w:adjustRightInd w:val="0"/>
              <w:spacing w:after="0"/>
              <w:rPr>
                <w:rFonts w:cstheme="minorHAnsi"/>
                <w:color w:val="000000"/>
                <w:sz w:val="14"/>
                <w:szCs w:val="14"/>
              </w:rPr>
            </w:pPr>
          </w:p>
        </w:tc>
        <w:tc>
          <w:tcPr>
            <w:tcW w:w="558" w:type="pct"/>
            <w:tcBorders>
              <w:top w:val="single" w:sz="4" w:space="0" w:color="auto"/>
              <w:left w:val="single" w:sz="12" w:space="0" w:color="auto"/>
              <w:bottom w:val="single" w:sz="4" w:space="0" w:color="auto"/>
              <w:right w:val="single" w:sz="18" w:space="0" w:color="auto"/>
            </w:tcBorders>
            <w:shd w:val="clear" w:color="auto" w:fill="auto"/>
          </w:tcPr>
          <w:p w14:paraId="4EA41B14" w14:textId="77777777" w:rsidR="00662577" w:rsidRPr="00662577" w:rsidRDefault="00662577" w:rsidP="00662577">
            <w:pPr>
              <w:autoSpaceDE w:val="0"/>
              <w:autoSpaceDN w:val="0"/>
              <w:adjustRightInd w:val="0"/>
              <w:spacing w:after="0"/>
              <w:rPr>
                <w:rFonts w:cstheme="minorHAnsi"/>
                <w:color w:val="000000"/>
                <w:sz w:val="14"/>
                <w:szCs w:val="14"/>
              </w:rPr>
            </w:pPr>
            <w:r w:rsidRPr="00662577">
              <w:rPr>
                <w:rFonts w:cstheme="minorHAnsi"/>
                <w:color w:val="000000"/>
                <w:sz w:val="14"/>
                <w:szCs w:val="14"/>
              </w:rPr>
              <w:t>Creatinine (enzymatic)</w:t>
            </w:r>
          </w:p>
        </w:tc>
        <w:tc>
          <w:tcPr>
            <w:tcW w:w="975" w:type="pct"/>
            <w:tcBorders>
              <w:top w:val="single" w:sz="4" w:space="0" w:color="auto"/>
              <w:left w:val="single" w:sz="18" w:space="0" w:color="auto"/>
              <w:bottom w:val="single" w:sz="4" w:space="0" w:color="auto"/>
              <w:right w:val="single" w:sz="12" w:space="0" w:color="auto"/>
            </w:tcBorders>
            <w:shd w:val="clear" w:color="auto" w:fill="auto"/>
          </w:tcPr>
          <w:p w14:paraId="08AFA88F" w14:textId="77777777" w:rsidR="00662577" w:rsidRPr="00662577" w:rsidRDefault="00662577" w:rsidP="00662577">
            <w:pPr>
              <w:autoSpaceDE w:val="0"/>
              <w:autoSpaceDN w:val="0"/>
              <w:adjustRightInd w:val="0"/>
              <w:spacing w:after="0"/>
              <w:rPr>
                <w:rFonts w:cstheme="minorHAnsi"/>
                <w:color w:val="000000"/>
                <w:sz w:val="14"/>
                <w:szCs w:val="14"/>
              </w:rPr>
            </w:pPr>
            <w:r w:rsidRPr="00662577">
              <w:rPr>
                <w:rFonts w:cstheme="minorHAnsi"/>
                <w:color w:val="000000"/>
                <w:sz w:val="14"/>
                <w:szCs w:val="14"/>
              </w:rPr>
              <w:t>-</w:t>
            </w:r>
          </w:p>
        </w:tc>
        <w:tc>
          <w:tcPr>
            <w:tcW w:w="859" w:type="pct"/>
            <w:tcBorders>
              <w:top w:val="single" w:sz="4" w:space="0" w:color="auto"/>
              <w:left w:val="single" w:sz="12" w:space="0" w:color="auto"/>
              <w:bottom w:val="single" w:sz="4" w:space="0" w:color="auto"/>
              <w:right w:val="single" w:sz="18" w:space="0" w:color="auto"/>
            </w:tcBorders>
          </w:tcPr>
          <w:p w14:paraId="28BF25C4" w14:textId="6D506653" w:rsidR="00662577" w:rsidRPr="00662577" w:rsidRDefault="00662577" w:rsidP="00662577">
            <w:pPr>
              <w:autoSpaceDE w:val="0"/>
              <w:autoSpaceDN w:val="0"/>
              <w:adjustRightInd w:val="0"/>
              <w:spacing w:after="0"/>
              <w:rPr>
                <w:rFonts w:cstheme="minorHAnsi"/>
                <w:color w:val="000000"/>
                <w:sz w:val="14"/>
                <w:szCs w:val="14"/>
              </w:rPr>
            </w:pPr>
            <w:r w:rsidRPr="00662577">
              <w:rPr>
                <w:rFonts w:ascii="Calibri" w:hAnsi="Calibri" w:cs="Calibri"/>
                <w:color w:val="000000"/>
                <w:sz w:val="14"/>
                <w:szCs w:val="14"/>
              </w:rPr>
              <w:t>-</w:t>
            </w:r>
          </w:p>
        </w:tc>
        <w:tc>
          <w:tcPr>
            <w:tcW w:w="793" w:type="pct"/>
            <w:tcBorders>
              <w:top w:val="single" w:sz="4" w:space="0" w:color="auto"/>
              <w:left w:val="single" w:sz="18" w:space="0" w:color="auto"/>
              <w:bottom w:val="single" w:sz="4" w:space="0" w:color="auto"/>
              <w:right w:val="single" w:sz="12" w:space="0" w:color="auto"/>
            </w:tcBorders>
          </w:tcPr>
          <w:p w14:paraId="48189A28" w14:textId="434AE7BD" w:rsidR="00662577" w:rsidRPr="00662577" w:rsidRDefault="00662577" w:rsidP="00662577">
            <w:pPr>
              <w:autoSpaceDE w:val="0"/>
              <w:autoSpaceDN w:val="0"/>
              <w:adjustRightInd w:val="0"/>
              <w:spacing w:after="0"/>
              <w:rPr>
                <w:rFonts w:cstheme="minorHAnsi"/>
                <w:color w:val="000000"/>
                <w:sz w:val="14"/>
                <w:szCs w:val="14"/>
              </w:rPr>
            </w:pPr>
            <w:r w:rsidRPr="00662577">
              <w:rPr>
                <w:rFonts w:cstheme="minorHAnsi"/>
                <w:color w:val="000000"/>
                <w:sz w:val="14"/>
                <w:szCs w:val="14"/>
              </w:rPr>
              <w:t>0.99 (0.74-1.34)</w:t>
            </w:r>
          </w:p>
        </w:tc>
        <w:tc>
          <w:tcPr>
            <w:tcW w:w="793" w:type="pct"/>
            <w:tcBorders>
              <w:top w:val="single" w:sz="4" w:space="0" w:color="auto"/>
              <w:left w:val="single" w:sz="12" w:space="0" w:color="auto"/>
              <w:bottom w:val="single" w:sz="4" w:space="0" w:color="auto"/>
              <w:right w:val="single" w:sz="12" w:space="0" w:color="auto"/>
            </w:tcBorders>
          </w:tcPr>
          <w:p w14:paraId="72DED515" w14:textId="3F3CF3B8" w:rsidR="00662577" w:rsidRPr="00662577" w:rsidRDefault="00662577" w:rsidP="00662577">
            <w:pPr>
              <w:autoSpaceDE w:val="0"/>
              <w:autoSpaceDN w:val="0"/>
              <w:adjustRightInd w:val="0"/>
              <w:spacing w:after="0"/>
              <w:rPr>
                <w:rFonts w:cstheme="minorHAnsi"/>
                <w:color w:val="000000"/>
                <w:sz w:val="14"/>
                <w:szCs w:val="14"/>
              </w:rPr>
            </w:pPr>
            <w:r w:rsidRPr="00662577">
              <w:rPr>
                <w:rFonts w:cstheme="minorHAnsi"/>
                <w:color w:val="000000"/>
                <w:sz w:val="14"/>
                <w:szCs w:val="14"/>
              </w:rPr>
              <w:t>0.92 (0.70-1.20)</w:t>
            </w:r>
          </w:p>
        </w:tc>
        <w:tc>
          <w:tcPr>
            <w:tcW w:w="794" w:type="pct"/>
            <w:tcBorders>
              <w:top w:val="single" w:sz="4" w:space="0" w:color="auto"/>
              <w:left w:val="single" w:sz="12" w:space="0" w:color="auto"/>
              <w:bottom w:val="single" w:sz="4" w:space="0" w:color="auto"/>
              <w:right w:val="single" w:sz="18" w:space="0" w:color="auto"/>
            </w:tcBorders>
            <w:shd w:val="clear" w:color="auto" w:fill="auto"/>
          </w:tcPr>
          <w:p w14:paraId="55E224B4" w14:textId="7CC68B59" w:rsidR="00662577" w:rsidRPr="00662577" w:rsidRDefault="00662577" w:rsidP="00662577">
            <w:pPr>
              <w:autoSpaceDE w:val="0"/>
              <w:autoSpaceDN w:val="0"/>
              <w:adjustRightInd w:val="0"/>
              <w:spacing w:after="0"/>
              <w:rPr>
                <w:rFonts w:cstheme="minorHAnsi"/>
                <w:color w:val="000000"/>
                <w:sz w:val="14"/>
                <w:szCs w:val="14"/>
              </w:rPr>
            </w:pPr>
            <w:r w:rsidRPr="00662577">
              <w:rPr>
                <w:rFonts w:cstheme="minorHAnsi"/>
                <w:color w:val="000000"/>
                <w:sz w:val="14"/>
                <w:szCs w:val="14"/>
              </w:rPr>
              <w:t>1.22 (0.55-2.74)</w:t>
            </w:r>
          </w:p>
        </w:tc>
      </w:tr>
      <w:tr w:rsidR="00662577" w:rsidRPr="00662577" w14:paraId="68175A28" w14:textId="77777777" w:rsidTr="008E2B78">
        <w:trPr>
          <w:trHeight w:val="25"/>
        </w:trPr>
        <w:tc>
          <w:tcPr>
            <w:tcW w:w="228" w:type="pct"/>
            <w:vMerge/>
            <w:tcBorders>
              <w:left w:val="single" w:sz="18" w:space="0" w:color="auto"/>
              <w:right w:val="single" w:sz="12" w:space="0" w:color="auto"/>
            </w:tcBorders>
          </w:tcPr>
          <w:p w14:paraId="22FB7D59" w14:textId="77777777" w:rsidR="00662577" w:rsidRPr="00662577" w:rsidRDefault="00662577" w:rsidP="00662577">
            <w:pPr>
              <w:autoSpaceDE w:val="0"/>
              <w:autoSpaceDN w:val="0"/>
              <w:adjustRightInd w:val="0"/>
              <w:spacing w:after="0"/>
              <w:rPr>
                <w:rFonts w:cstheme="minorHAnsi"/>
                <w:color w:val="000000"/>
                <w:sz w:val="14"/>
                <w:szCs w:val="14"/>
              </w:rPr>
            </w:pPr>
          </w:p>
        </w:tc>
        <w:tc>
          <w:tcPr>
            <w:tcW w:w="558" w:type="pct"/>
            <w:tcBorders>
              <w:top w:val="single" w:sz="4" w:space="0" w:color="auto"/>
              <w:left w:val="single" w:sz="12" w:space="0" w:color="auto"/>
              <w:bottom w:val="single" w:sz="4" w:space="0" w:color="auto"/>
              <w:right w:val="single" w:sz="18" w:space="0" w:color="auto"/>
            </w:tcBorders>
            <w:shd w:val="clear" w:color="auto" w:fill="auto"/>
          </w:tcPr>
          <w:p w14:paraId="250475F5" w14:textId="77777777" w:rsidR="00662577" w:rsidRPr="00662577" w:rsidRDefault="00662577" w:rsidP="00662577">
            <w:pPr>
              <w:autoSpaceDE w:val="0"/>
              <w:autoSpaceDN w:val="0"/>
              <w:adjustRightInd w:val="0"/>
              <w:spacing w:after="0"/>
              <w:rPr>
                <w:rFonts w:cstheme="minorHAnsi"/>
                <w:color w:val="000000"/>
                <w:sz w:val="14"/>
                <w:szCs w:val="14"/>
              </w:rPr>
            </w:pPr>
            <w:r w:rsidRPr="00662577">
              <w:rPr>
                <w:rFonts w:cstheme="minorHAnsi"/>
                <w:color w:val="000000"/>
                <w:sz w:val="14"/>
                <w:szCs w:val="14"/>
              </w:rPr>
              <w:t>Cystatin C</w:t>
            </w:r>
          </w:p>
        </w:tc>
        <w:tc>
          <w:tcPr>
            <w:tcW w:w="975" w:type="pct"/>
            <w:tcBorders>
              <w:top w:val="single" w:sz="4" w:space="0" w:color="auto"/>
              <w:left w:val="single" w:sz="18" w:space="0" w:color="auto"/>
              <w:bottom w:val="single" w:sz="4" w:space="0" w:color="auto"/>
              <w:right w:val="single" w:sz="12" w:space="0" w:color="auto"/>
            </w:tcBorders>
            <w:shd w:val="clear" w:color="auto" w:fill="auto"/>
          </w:tcPr>
          <w:p w14:paraId="372DFB71" w14:textId="77777777" w:rsidR="00662577" w:rsidRPr="00662577" w:rsidRDefault="00662577" w:rsidP="00662577">
            <w:pPr>
              <w:autoSpaceDE w:val="0"/>
              <w:autoSpaceDN w:val="0"/>
              <w:adjustRightInd w:val="0"/>
              <w:spacing w:after="0"/>
              <w:rPr>
                <w:rFonts w:cstheme="minorHAnsi"/>
                <w:color w:val="000000"/>
                <w:sz w:val="14"/>
                <w:szCs w:val="14"/>
              </w:rPr>
            </w:pPr>
            <w:r w:rsidRPr="00662577">
              <w:rPr>
                <w:rFonts w:cstheme="minorHAnsi"/>
                <w:color w:val="000000"/>
                <w:sz w:val="14"/>
                <w:szCs w:val="14"/>
              </w:rPr>
              <w:t>-</w:t>
            </w:r>
          </w:p>
        </w:tc>
        <w:tc>
          <w:tcPr>
            <w:tcW w:w="859" w:type="pct"/>
            <w:tcBorders>
              <w:top w:val="single" w:sz="4" w:space="0" w:color="auto"/>
              <w:left w:val="single" w:sz="12" w:space="0" w:color="auto"/>
              <w:bottom w:val="single" w:sz="4" w:space="0" w:color="auto"/>
              <w:right w:val="single" w:sz="18" w:space="0" w:color="auto"/>
            </w:tcBorders>
          </w:tcPr>
          <w:p w14:paraId="112276EB" w14:textId="7F9D8676" w:rsidR="00662577" w:rsidRPr="00662577" w:rsidRDefault="00662577" w:rsidP="00662577">
            <w:pPr>
              <w:autoSpaceDE w:val="0"/>
              <w:autoSpaceDN w:val="0"/>
              <w:adjustRightInd w:val="0"/>
              <w:spacing w:after="0"/>
              <w:rPr>
                <w:rFonts w:cstheme="minorHAnsi"/>
                <w:color w:val="000000"/>
                <w:sz w:val="14"/>
                <w:szCs w:val="14"/>
              </w:rPr>
            </w:pPr>
            <w:r w:rsidRPr="00662577">
              <w:rPr>
                <w:rFonts w:ascii="Calibri" w:hAnsi="Calibri" w:cs="Calibri"/>
                <w:color w:val="000000"/>
                <w:sz w:val="14"/>
                <w:szCs w:val="14"/>
              </w:rPr>
              <w:t>-</w:t>
            </w:r>
          </w:p>
        </w:tc>
        <w:tc>
          <w:tcPr>
            <w:tcW w:w="793" w:type="pct"/>
            <w:tcBorders>
              <w:top w:val="single" w:sz="4" w:space="0" w:color="auto"/>
              <w:left w:val="single" w:sz="18" w:space="0" w:color="auto"/>
              <w:bottom w:val="single" w:sz="4" w:space="0" w:color="auto"/>
              <w:right w:val="single" w:sz="12" w:space="0" w:color="auto"/>
            </w:tcBorders>
          </w:tcPr>
          <w:p w14:paraId="7238C2C6" w14:textId="12674A9F" w:rsidR="00662577" w:rsidRPr="00662577" w:rsidRDefault="00662577" w:rsidP="00662577">
            <w:pPr>
              <w:autoSpaceDE w:val="0"/>
              <w:autoSpaceDN w:val="0"/>
              <w:adjustRightInd w:val="0"/>
              <w:spacing w:after="0"/>
              <w:rPr>
                <w:rFonts w:cstheme="minorHAnsi"/>
                <w:color w:val="000000"/>
                <w:sz w:val="14"/>
                <w:szCs w:val="14"/>
              </w:rPr>
            </w:pPr>
            <w:r w:rsidRPr="00662577">
              <w:rPr>
                <w:rFonts w:cstheme="minorHAnsi"/>
                <w:color w:val="000000"/>
                <w:sz w:val="14"/>
                <w:szCs w:val="14"/>
              </w:rPr>
              <w:t>0.97 (0.91-1.03)</w:t>
            </w:r>
          </w:p>
        </w:tc>
        <w:tc>
          <w:tcPr>
            <w:tcW w:w="793" w:type="pct"/>
            <w:tcBorders>
              <w:top w:val="single" w:sz="4" w:space="0" w:color="auto"/>
              <w:left w:val="single" w:sz="12" w:space="0" w:color="auto"/>
              <w:bottom w:val="single" w:sz="4" w:space="0" w:color="auto"/>
              <w:right w:val="single" w:sz="12" w:space="0" w:color="auto"/>
            </w:tcBorders>
          </w:tcPr>
          <w:p w14:paraId="069528FC" w14:textId="6C1D325F" w:rsidR="00662577" w:rsidRPr="00662577" w:rsidRDefault="00662577" w:rsidP="00662577">
            <w:pPr>
              <w:autoSpaceDE w:val="0"/>
              <w:autoSpaceDN w:val="0"/>
              <w:adjustRightInd w:val="0"/>
              <w:spacing w:after="0"/>
              <w:rPr>
                <w:rFonts w:cstheme="minorHAnsi"/>
                <w:color w:val="000000"/>
                <w:sz w:val="14"/>
                <w:szCs w:val="14"/>
              </w:rPr>
            </w:pPr>
            <w:r w:rsidRPr="00662577">
              <w:rPr>
                <w:rFonts w:cstheme="minorHAnsi"/>
                <w:color w:val="000000"/>
                <w:sz w:val="14"/>
                <w:szCs w:val="14"/>
              </w:rPr>
              <w:t>0.97 (0.91-1.03)</w:t>
            </w:r>
          </w:p>
        </w:tc>
        <w:tc>
          <w:tcPr>
            <w:tcW w:w="794" w:type="pct"/>
            <w:tcBorders>
              <w:top w:val="single" w:sz="4" w:space="0" w:color="auto"/>
              <w:left w:val="single" w:sz="12" w:space="0" w:color="auto"/>
              <w:bottom w:val="single" w:sz="4" w:space="0" w:color="auto"/>
              <w:right w:val="single" w:sz="18" w:space="0" w:color="auto"/>
            </w:tcBorders>
            <w:shd w:val="clear" w:color="auto" w:fill="auto"/>
          </w:tcPr>
          <w:p w14:paraId="7A13E3CE" w14:textId="1B0D5C25" w:rsidR="00662577" w:rsidRPr="00662577" w:rsidRDefault="00662577" w:rsidP="00662577">
            <w:pPr>
              <w:autoSpaceDE w:val="0"/>
              <w:autoSpaceDN w:val="0"/>
              <w:adjustRightInd w:val="0"/>
              <w:spacing w:after="0"/>
              <w:rPr>
                <w:rFonts w:cstheme="minorHAnsi"/>
                <w:color w:val="000000"/>
                <w:sz w:val="14"/>
                <w:szCs w:val="14"/>
              </w:rPr>
            </w:pPr>
            <w:r w:rsidRPr="00662577">
              <w:rPr>
                <w:rFonts w:cstheme="minorHAnsi"/>
                <w:color w:val="000000"/>
                <w:sz w:val="14"/>
                <w:szCs w:val="14"/>
              </w:rPr>
              <w:t>0.95 (0.87-1.03)</w:t>
            </w:r>
          </w:p>
        </w:tc>
      </w:tr>
      <w:tr w:rsidR="00662577" w:rsidRPr="00662577" w14:paraId="7E2C02DA" w14:textId="77777777" w:rsidTr="008E2B78">
        <w:trPr>
          <w:trHeight w:val="25"/>
        </w:trPr>
        <w:tc>
          <w:tcPr>
            <w:tcW w:w="228" w:type="pct"/>
            <w:vMerge/>
            <w:tcBorders>
              <w:left w:val="single" w:sz="18" w:space="0" w:color="auto"/>
              <w:right w:val="single" w:sz="12" w:space="0" w:color="auto"/>
            </w:tcBorders>
          </w:tcPr>
          <w:p w14:paraId="62EAA857" w14:textId="77777777" w:rsidR="00662577" w:rsidRPr="00662577" w:rsidRDefault="00662577" w:rsidP="00662577">
            <w:pPr>
              <w:autoSpaceDE w:val="0"/>
              <w:autoSpaceDN w:val="0"/>
              <w:adjustRightInd w:val="0"/>
              <w:spacing w:after="0"/>
              <w:rPr>
                <w:rFonts w:cstheme="minorHAnsi"/>
                <w:color w:val="000000"/>
                <w:sz w:val="14"/>
                <w:szCs w:val="14"/>
              </w:rPr>
            </w:pPr>
          </w:p>
        </w:tc>
        <w:tc>
          <w:tcPr>
            <w:tcW w:w="558" w:type="pct"/>
            <w:tcBorders>
              <w:top w:val="single" w:sz="4" w:space="0" w:color="auto"/>
              <w:left w:val="single" w:sz="12" w:space="0" w:color="auto"/>
              <w:bottom w:val="single" w:sz="4" w:space="0" w:color="auto"/>
              <w:right w:val="single" w:sz="18" w:space="0" w:color="auto"/>
            </w:tcBorders>
            <w:shd w:val="clear" w:color="auto" w:fill="auto"/>
          </w:tcPr>
          <w:p w14:paraId="5F48FC74" w14:textId="77777777" w:rsidR="00662577" w:rsidRPr="00662577" w:rsidRDefault="00662577" w:rsidP="00662577">
            <w:pPr>
              <w:autoSpaceDE w:val="0"/>
              <w:autoSpaceDN w:val="0"/>
              <w:adjustRightInd w:val="0"/>
              <w:spacing w:after="0"/>
              <w:rPr>
                <w:rFonts w:cstheme="minorHAnsi"/>
                <w:color w:val="000000"/>
                <w:sz w:val="14"/>
                <w:szCs w:val="14"/>
              </w:rPr>
            </w:pPr>
            <w:r w:rsidRPr="00662577">
              <w:rPr>
                <w:rFonts w:cstheme="minorHAnsi"/>
                <w:color w:val="000000"/>
                <w:sz w:val="14"/>
                <w:szCs w:val="14"/>
              </w:rPr>
              <w:t xml:space="preserve">Microalbumin </w:t>
            </w:r>
          </w:p>
        </w:tc>
        <w:tc>
          <w:tcPr>
            <w:tcW w:w="975" w:type="pct"/>
            <w:tcBorders>
              <w:top w:val="single" w:sz="4" w:space="0" w:color="auto"/>
              <w:left w:val="single" w:sz="18" w:space="0" w:color="auto"/>
              <w:bottom w:val="single" w:sz="4" w:space="0" w:color="auto"/>
              <w:right w:val="single" w:sz="12" w:space="0" w:color="auto"/>
            </w:tcBorders>
            <w:shd w:val="clear" w:color="auto" w:fill="auto"/>
          </w:tcPr>
          <w:p w14:paraId="0E09C8BB" w14:textId="77777777" w:rsidR="00662577" w:rsidRPr="00662577" w:rsidRDefault="00662577" w:rsidP="00662577">
            <w:pPr>
              <w:autoSpaceDE w:val="0"/>
              <w:autoSpaceDN w:val="0"/>
              <w:adjustRightInd w:val="0"/>
              <w:spacing w:after="0"/>
              <w:rPr>
                <w:rFonts w:cstheme="minorHAnsi"/>
                <w:color w:val="000000"/>
                <w:sz w:val="14"/>
                <w:szCs w:val="14"/>
              </w:rPr>
            </w:pPr>
            <w:r w:rsidRPr="00662577">
              <w:rPr>
                <w:rFonts w:cstheme="minorHAnsi"/>
                <w:color w:val="000000"/>
                <w:sz w:val="14"/>
                <w:szCs w:val="14"/>
              </w:rPr>
              <w:t>-</w:t>
            </w:r>
          </w:p>
        </w:tc>
        <w:tc>
          <w:tcPr>
            <w:tcW w:w="859" w:type="pct"/>
            <w:tcBorders>
              <w:top w:val="single" w:sz="4" w:space="0" w:color="auto"/>
              <w:left w:val="single" w:sz="12" w:space="0" w:color="auto"/>
              <w:bottom w:val="single" w:sz="4" w:space="0" w:color="auto"/>
              <w:right w:val="single" w:sz="18" w:space="0" w:color="auto"/>
            </w:tcBorders>
          </w:tcPr>
          <w:p w14:paraId="06DC66AF" w14:textId="79390AF9" w:rsidR="00662577" w:rsidRPr="00662577" w:rsidRDefault="00662577" w:rsidP="00662577">
            <w:pPr>
              <w:autoSpaceDE w:val="0"/>
              <w:autoSpaceDN w:val="0"/>
              <w:adjustRightInd w:val="0"/>
              <w:spacing w:after="0"/>
              <w:rPr>
                <w:rFonts w:cstheme="minorHAnsi"/>
                <w:color w:val="000000"/>
                <w:sz w:val="14"/>
                <w:szCs w:val="14"/>
              </w:rPr>
            </w:pPr>
            <w:r w:rsidRPr="00662577">
              <w:rPr>
                <w:rFonts w:ascii="Calibri" w:hAnsi="Calibri" w:cs="Calibri"/>
                <w:color w:val="000000"/>
                <w:sz w:val="14"/>
                <w:szCs w:val="14"/>
              </w:rPr>
              <w:t>-</w:t>
            </w:r>
          </w:p>
        </w:tc>
        <w:tc>
          <w:tcPr>
            <w:tcW w:w="793" w:type="pct"/>
            <w:tcBorders>
              <w:top w:val="single" w:sz="4" w:space="0" w:color="auto"/>
              <w:left w:val="single" w:sz="18" w:space="0" w:color="auto"/>
              <w:bottom w:val="single" w:sz="4" w:space="0" w:color="auto"/>
              <w:right w:val="single" w:sz="12" w:space="0" w:color="auto"/>
            </w:tcBorders>
          </w:tcPr>
          <w:p w14:paraId="505C0072" w14:textId="62197C2F" w:rsidR="00662577" w:rsidRPr="00662577" w:rsidRDefault="00662577" w:rsidP="00662577">
            <w:pPr>
              <w:autoSpaceDE w:val="0"/>
              <w:autoSpaceDN w:val="0"/>
              <w:adjustRightInd w:val="0"/>
              <w:spacing w:after="0"/>
              <w:rPr>
                <w:rFonts w:cstheme="minorHAnsi"/>
                <w:color w:val="000000"/>
                <w:sz w:val="14"/>
                <w:szCs w:val="14"/>
              </w:rPr>
            </w:pPr>
            <w:r w:rsidRPr="00662577">
              <w:rPr>
                <w:rFonts w:cstheme="minorHAnsi"/>
                <w:color w:val="000000"/>
                <w:sz w:val="14"/>
                <w:szCs w:val="14"/>
              </w:rPr>
              <w:t>1.10 (0.79-1.55)</w:t>
            </w:r>
            <w:r w:rsidR="00BC7E10" w:rsidRPr="007064A3">
              <w:rPr>
                <w:rFonts w:cstheme="minorHAnsi"/>
                <w:color w:val="000000"/>
                <w:sz w:val="14"/>
                <w:szCs w:val="14"/>
                <w:vertAlign w:val="superscript"/>
              </w:rPr>
              <w:t>$</w:t>
            </w:r>
          </w:p>
        </w:tc>
        <w:tc>
          <w:tcPr>
            <w:tcW w:w="793" w:type="pct"/>
            <w:tcBorders>
              <w:top w:val="single" w:sz="4" w:space="0" w:color="auto"/>
              <w:left w:val="single" w:sz="12" w:space="0" w:color="auto"/>
              <w:bottom w:val="single" w:sz="4" w:space="0" w:color="auto"/>
              <w:right w:val="single" w:sz="12" w:space="0" w:color="auto"/>
            </w:tcBorders>
          </w:tcPr>
          <w:p w14:paraId="7489EA15" w14:textId="4E568DFF" w:rsidR="00662577" w:rsidRPr="00662577" w:rsidRDefault="00662577" w:rsidP="00662577">
            <w:pPr>
              <w:autoSpaceDE w:val="0"/>
              <w:autoSpaceDN w:val="0"/>
              <w:adjustRightInd w:val="0"/>
              <w:spacing w:after="0"/>
              <w:rPr>
                <w:rFonts w:cstheme="minorHAnsi"/>
                <w:color w:val="000000"/>
                <w:sz w:val="14"/>
                <w:szCs w:val="14"/>
              </w:rPr>
            </w:pPr>
            <w:r w:rsidRPr="00662577">
              <w:rPr>
                <w:rFonts w:cstheme="minorHAnsi"/>
                <w:color w:val="000000"/>
                <w:sz w:val="14"/>
                <w:szCs w:val="14"/>
              </w:rPr>
              <w:t>1.06 (0.70-1.20)</w:t>
            </w:r>
            <w:r w:rsidR="00BC7E10" w:rsidRPr="007064A3">
              <w:rPr>
                <w:rFonts w:cstheme="minorHAnsi"/>
                <w:color w:val="000000"/>
                <w:sz w:val="14"/>
                <w:szCs w:val="14"/>
                <w:vertAlign w:val="superscript"/>
              </w:rPr>
              <w:t>$</w:t>
            </w:r>
          </w:p>
        </w:tc>
        <w:tc>
          <w:tcPr>
            <w:tcW w:w="794" w:type="pct"/>
            <w:tcBorders>
              <w:top w:val="single" w:sz="4" w:space="0" w:color="auto"/>
              <w:left w:val="single" w:sz="12" w:space="0" w:color="auto"/>
              <w:bottom w:val="single" w:sz="4" w:space="0" w:color="auto"/>
              <w:right w:val="single" w:sz="18" w:space="0" w:color="auto"/>
            </w:tcBorders>
            <w:shd w:val="clear" w:color="auto" w:fill="auto"/>
          </w:tcPr>
          <w:p w14:paraId="28667890" w14:textId="0B862A1F" w:rsidR="00662577" w:rsidRPr="00662577" w:rsidRDefault="00662577" w:rsidP="00662577">
            <w:pPr>
              <w:autoSpaceDE w:val="0"/>
              <w:autoSpaceDN w:val="0"/>
              <w:adjustRightInd w:val="0"/>
              <w:spacing w:after="0"/>
              <w:rPr>
                <w:rFonts w:cstheme="minorHAnsi"/>
                <w:color w:val="000000"/>
                <w:sz w:val="14"/>
                <w:szCs w:val="14"/>
              </w:rPr>
            </w:pPr>
            <w:r w:rsidRPr="00662577">
              <w:rPr>
                <w:rFonts w:cstheme="minorHAnsi"/>
                <w:color w:val="000000"/>
                <w:sz w:val="14"/>
                <w:szCs w:val="14"/>
              </w:rPr>
              <w:t>0.86 (0.48-1.60)</w:t>
            </w:r>
            <w:r w:rsidR="00BC7E10" w:rsidRPr="007064A3">
              <w:rPr>
                <w:rFonts w:cstheme="minorHAnsi"/>
                <w:color w:val="000000"/>
                <w:sz w:val="14"/>
                <w:szCs w:val="14"/>
                <w:vertAlign w:val="superscript"/>
              </w:rPr>
              <w:t>$</w:t>
            </w:r>
          </w:p>
        </w:tc>
      </w:tr>
      <w:tr w:rsidR="00662577" w:rsidRPr="00662577" w14:paraId="196FD587" w14:textId="77777777" w:rsidTr="008E2B78">
        <w:trPr>
          <w:trHeight w:val="25"/>
        </w:trPr>
        <w:tc>
          <w:tcPr>
            <w:tcW w:w="228" w:type="pct"/>
            <w:vMerge/>
            <w:tcBorders>
              <w:left w:val="single" w:sz="18" w:space="0" w:color="auto"/>
              <w:right w:val="single" w:sz="12" w:space="0" w:color="auto"/>
            </w:tcBorders>
          </w:tcPr>
          <w:p w14:paraId="79765D87" w14:textId="77777777" w:rsidR="00662577" w:rsidRPr="00662577" w:rsidRDefault="00662577" w:rsidP="00662577">
            <w:pPr>
              <w:autoSpaceDE w:val="0"/>
              <w:autoSpaceDN w:val="0"/>
              <w:adjustRightInd w:val="0"/>
              <w:spacing w:after="0"/>
              <w:rPr>
                <w:rFonts w:cstheme="minorHAnsi"/>
                <w:color w:val="000000"/>
                <w:sz w:val="14"/>
                <w:szCs w:val="14"/>
              </w:rPr>
            </w:pPr>
          </w:p>
        </w:tc>
        <w:tc>
          <w:tcPr>
            <w:tcW w:w="558" w:type="pct"/>
            <w:tcBorders>
              <w:top w:val="single" w:sz="4" w:space="0" w:color="auto"/>
              <w:left w:val="single" w:sz="12" w:space="0" w:color="auto"/>
              <w:bottom w:val="single" w:sz="4" w:space="0" w:color="auto"/>
              <w:right w:val="single" w:sz="18" w:space="0" w:color="auto"/>
            </w:tcBorders>
            <w:shd w:val="clear" w:color="auto" w:fill="auto"/>
          </w:tcPr>
          <w:p w14:paraId="4CEEF975" w14:textId="77777777" w:rsidR="00662577" w:rsidRPr="00662577" w:rsidRDefault="00662577" w:rsidP="00662577">
            <w:pPr>
              <w:autoSpaceDE w:val="0"/>
              <w:autoSpaceDN w:val="0"/>
              <w:adjustRightInd w:val="0"/>
              <w:spacing w:after="0"/>
              <w:rPr>
                <w:rFonts w:cstheme="minorHAnsi"/>
                <w:color w:val="000000"/>
                <w:sz w:val="14"/>
                <w:szCs w:val="14"/>
              </w:rPr>
            </w:pPr>
            <w:r w:rsidRPr="00662577">
              <w:rPr>
                <w:rFonts w:cstheme="minorHAnsi"/>
                <w:color w:val="000000"/>
                <w:sz w:val="14"/>
                <w:szCs w:val="14"/>
              </w:rPr>
              <w:t xml:space="preserve">Phosphate </w:t>
            </w:r>
          </w:p>
        </w:tc>
        <w:tc>
          <w:tcPr>
            <w:tcW w:w="975" w:type="pct"/>
            <w:tcBorders>
              <w:top w:val="single" w:sz="4" w:space="0" w:color="auto"/>
              <w:left w:val="single" w:sz="18" w:space="0" w:color="auto"/>
              <w:bottom w:val="single" w:sz="4" w:space="0" w:color="auto"/>
              <w:right w:val="single" w:sz="12" w:space="0" w:color="auto"/>
            </w:tcBorders>
            <w:shd w:val="clear" w:color="auto" w:fill="auto"/>
          </w:tcPr>
          <w:p w14:paraId="06E4C943" w14:textId="77777777" w:rsidR="00662577" w:rsidRPr="00662577" w:rsidRDefault="00662577" w:rsidP="00662577">
            <w:pPr>
              <w:autoSpaceDE w:val="0"/>
              <w:autoSpaceDN w:val="0"/>
              <w:adjustRightInd w:val="0"/>
              <w:spacing w:after="0"/>
              <w:rPr>
                <w:rFonts w:cstheme="minorHAnsi"/>
                <w:color w:val="000000"/>
                <w:sz w:val="14"/>
                <w:szCs w:val="14"/>
              </w:rPr>
            </w:pPr>
            <w:r w:rsidRPr="00662577">
              <w:rPr>
                <w:rFonts w:cstheme="minorHAnsi"/>
                <w:color w:val="000000"/>
                <w:sz w:val="14"/>
                <w:szCs w:val="14"/>
              </w:rPr>
              <w:t>-</w:t>
            </w:r>
          </w:p>
        </w:tc>
        <w:tc>
          <w:tcPr>
            <w:tcW w:w="859" w:type="pct"/>
            <w:tcBorders>
              <w:top w:val="single" w:sz="4" w:space="0" w:color="auto"/>
              <w:left w:val="single" w:sz="12" w:space="0" w:color="auto"/>
              <w:bottom w:val="single" w:sz="4" w:space="0" w:color="auto"/>
              <w:right w:val="single" w:sz="18" w:space="0" w:color="auto"/>
            </w:tcBorders>
          </w:tcPr>
          <w:p w14:paraId="09C02733" w14:textId="34303273" w:rsidR="00662577" w:rsidRPr="00662577" w:rsidRDefault="00662577" w:rsidP="00662577">
            <w:pPr>
              <w:autoSpaceDE w:val="0"/>
              <w:autoSpaceDN w:val="0"/>
              <w:adjustRightInd w:val="0"/>
              <w:spacing w:after="0"/>
              <w:rPr>
                <w:rFonts w:cstheme="minorHAnsi"/>
                <w:color w:val="000000"/>
                <w:sz w:val="14"/>
                <w:szCs w:val="14"/>
              </w:rPr>
            </w:pPr>
            <w:r w:rsidRPr="00662577">
              <w:rPr>
                <w:rFonts w:ascii="Calibri" w:hAnsi="Calibri" w:cs="Calibri"/>
                <w:color w:val="000000"/>
                <w:sz w:val="14"/>
                <w:szCs w:val="14"/>
              </w:rPr>
              <w:t>-</w:t>
            </w:r>
          </w:p>
        </w:tc>
        <w:tc>
          <w:tcPr>
            <w:tcW w:w="793" w:type="pct"/>
            <w:tcBorders>
              <w:top w:val="single" w:sz="4" w:space="0" w:color="auto"/>
              <w:left w:val="single" w:sz="18" w:space="0" w:color="auto"/>
              <w:bottom w:val="single" w:sz="4" w:space="0" w:color="auto"/>
              <w:right w:val="single" w:sz="12" w:space="0" w:color="auto"/>
            </w:tcBorders>
          </w:tcPr>
          <w:p w14:paraId="2BAC77D7" w14:textId="224A2A88" w:rsidR="00662577" w:rsidRPr="00662577" w:rsidRDefault="00662577" w:rsidP="00662577">
            <w:pPr>
              <w:autoSpaceDE w:val="0"/>
              <w:autoSpaceDN w:val="0"/>
              <w:adjustRightInd w:val="0"/>
              <w:spacing w:after="0"/>
              <w:rPr>
                <w:rFonts w:cstheme="minorHAnsi"/>
                <w:color w:val="000000"/>
                <w:sz w:val="14"/>
                <w:szCs w:val="14"/>
              </w:rPr>
            </w:pPr>
            <w:r w:rsidRPr="00662577">
              <w:rPr>
                <w:rFonts w:cstheme="minorHAnsi"/>
                <w:color w:val="000000"/>
                <w:sz w:val="14"/>
                <w:szCs w:val="14"/>
              </w:rPr>
              <w:t>1.06 (0.94-1.20)</w:t>
            </w:r>
          </w:p>
        </w:tc>
        <w:tc>
          <w:tcPr>
            <w:tcW w:w="793" w:type="pct"/>
            <w:tcBorders>
              <w:top w:val="single" w:sz="4" w:space="0" w:color="auto"/>
              <w:left w:val="single" w:sz="12" w:space="0" w:color="auto"/>
              <w:bottom w:val="single" w:sz="4" w:space="0" w:color="auto"/>
              <w:right w:val="single" w:sz="12" w:space="0" w:color="auto"/>
            </w:tcBorders>
          </w:tcPr>
          <w:p w14:paraId="127E424F" w14:textId="28888F1D" w:rsidR="00662577" w:rsidRPr="00662577" w:rsidRDefault="00662577" w:rsidP="00662577">
            <w:pPr>
              <w:autoSpaceDE w:val="0"/>
              <w:autoSpaceDN w:val="0"/>
              <w:adjustRightInd w:val="0"/>
              <w:spacing w:after="0"/>
              <w:rPr>
                <w:rFonts w:cstheme="minorHAnsi"/>
                <w:color w:val="000000"/>
                <w:sz w:val="14"/>
                <w:szCs w:val="14"/>
              </w:rPr>
            </w:pPr>
            <w:r w:rsidRPr="00662577">
              <w:rPr>
                <w:rFonts w:cstheme="minorHAnsi"/>
                <w:color w:val="000000"/>
                <w:sz w:val="14"/>
                <w:szCs w:val="14"/>
              </w:rPr>
              <w:t>1.06 (0.94-1.04)</w:t>
            </w:r>
          </w:p>
        </w:tc>
        <w:tc>
          <w:tcPr>
            <w:tcW w:w="794" w:type="pct"/>
            <w:tcBorders>
              <w:top w:val="single" w:sz="4" w:space="0" w:color="auto"/>
              <w:left w:val="single" w:sz="12" w:space="0" w:color="auto"/>
              <w:bottom w:val="single" w:sz="4" w:space="0" w:color="auto"/>
              <w:right w:val="single" w:sz="18" w:space="0" w:color="auto"/>
            </w:tcBorders>
            <w:shd w:val="clear" w:color="auto" w:fill="auto"/>
          </w:tcPr>
          <w:p w14:paraId="1209B4F5" w14:textId="1C812489" w:rsidR="00662577" w:rsidRPr="00662577" w:rsidRDefault="00662577" w:rsidP="00662577">
            <w:pPr>
              <w:autoSpaceDE w:val="0"/>
              <w:autoSpaceDN w:val="0"/>
              <w:adjustRightInd w:val="0"/>
              <w:spacing w:after="0"/>
              <w:rPr>
                <w:rFonts w:cstheme="minorHAnsi"/>
                <w:color w:val="000000"/>
                <w:sz w:val="14"/>
                <w:szCs w:val="14"/>
              </w:rPr>
            </w:pPr>
            <w:r w:rsidRPr="00662577">
              <w:rPr>
                <w:rFonts w:cstheme="minorHAnsi"/>
                <w:color w:val="000000"/>
                <w:sz w:val="14"/>
                <w:szCs w:val="14"/>
              </w:rPr>
              <w:t>1.05 (0.90-1.22)</w:t>
            </w:r>
          </w:p>
        </w:tc>
      </w:tr>
      <w:tr w:rsidR="00662577" w:rsidRPr="00662577" w14:paraId="1BED6BF9" w14:textId="77777777" w:rsidTr="008E2B78">
        <w:trPr>
          <w:trHeight w:val="25"/>
        </w:trPr>
        <w:tc>
          <w:tcPr>
            <w:tcW w:w="228" w:type="pct"/>
            <w:vMerge/>
            <w:tcBorders>
              <w:left w:val="single" w:sz="18" w:space="0" w:color="auto"/>
              <w:right w:val="single" w:sz="12" w:space="0" w:color="auto"/>
            </w:tcBorders>
          </w:tcPr>
          <w:p w14:paraId="725F4A32" w14:textId="77777777" w:rsidR="00662577" w:rsidRPr="00662577" w:rsidRDefault="00662577" w:rsidP="00662577">
            <w:pPr>
              <w:autoSpaceDE w:val="0"/>
              <w:autoSpaceDN w:val="0"/>
              <w:adjustRightInd w:val="0"/>
              <w:spacing w:after="0"/>
              <w:rPr>
                <w:rFonts w:cstheme="minorHAnsi"/>
                <w:color w:val="000000"/>
                <w:sz w:val="14"/>
                <w:szCs w:val="14"/>
              </w:rPr>
            </w:pPr>
          </w:p>
        </w:tc>
        <w:tc>
          <w:tcPr>
            <w:tcW w:w="558" w:type="pct"/>
            <w:tcBorders>
              <w:top w:val="single" w:sz="4" w:space="0" w:color="auto"/>
              <w:left w:val="single" w:sz="12" w:space="0" w:color="auto"/>
              <w:bottom w:val="single" w:sz="4" w:space="0" w:color="auto"/>
              <w:right w:val="single" w:sz="18" w:space="0" w:color="auto"/>
            </w:tcBorders>
            <w:shd w:val="clear" w:color="auto" w:fill="auto"/>
          </w:tcPr>
          <w:p w14:paraId="4CAE5C2C" w14:textId="77777777" w:rsidR="00662577" w:rsidRPr="00662577" w:rsidRDefault="00662577" w:rsidP="00662577">
            <w:pPr>
              <w:autoSpaceDE w:val="0"/>
              <w:autoSpaceDN w:val="0"/>
              <w:adjustRightInd w:val="0"/>
              <w:spacing w:after="0"/>
              <w:rPr>
                <w:rFonts w:cstheme="minorHAnsi"/>
                <w:color w:val="000000"/>
                <w:sz w:val="14"/>
                <w:szCs w:val="14"/>
              </w:rPr>
            </w:pPr>
            <w:r w:rsidRPr="00662577">
              <w:rPr>
                <w:rFonts w:cstheme="minorHAnsi"/>
                <w:color w:val="000000"/>
                <w:sz w:val="14"/>
                <w:szCs w:val="14"/>
              </w:rPr>
              <w:t xml:space="preserve">Potassium </w:t>
            </w:r>
          </w:p>
        </w:tc>
        <w:tc>
          <w:tcPr>
            <w:tcW w:w="975" w:type="pct"/>
            <w:tcBorders>
              <w:top w:val="single" w:sz="4" w:space="0" w:color="auto"/>
              <w:left w:val="single" w:sz="18" w:space="0" w:color="auto"/>
              <w:bottom w:val="single" w:sz="4" w:space="0" w:color="auto"/>
              <w:right w:val="single" w:sz="12" w:space="0" w:color="auto"/>
            </w:tcBorders>
            <w:shd w:val="clear" w:color="auto" w:fill="auto"/>
          </w:tcPr>
          <w:p w14:paraId="5812CF23" w14:textId="77777777" w:rsidR="00662577" w:rsidRPr="00662577" w:rsidRDefault="00662577" w:rsidP="00662577">
            <w:pPr>
              <w:autoSpaceDE w:val="0"/>
              <w:autoSpaceDN w:val="0"/>
              <w:adjustRightInd w:val="0"/>
              <w:spacing w:after="0"/>
              <w:rPr>
                <w:rFonts w:cstheme="minorHAnsi"/>
                <w:color w:val="000000"/>
                <w:sz w:val="14"/>
                <w:szCs w:val="14"/>
              </w:rPr>
            </w:pPr>
            <w:r w:rsidRPr="00662577">
              <w:rPr>
                <w:rFonts w:cstheme="minorHAnsi"/>
                <w:color w:val="000000"/>
                <w:sz w:val="14"/>
                <w:szCs w:val="14"/>
              </w:rPr>
              <w:t>-</w:t>
            </w:r>
          </w:p>
        </w:tc>
        <w:tc>
          <w:tcPr>
            <w:tcW w:w="859" w:type="pct"/>
            <w:tcBorders>
              <w:top w:val="single" w:sz="4" w:space="0" w:color="auto"/>
              <w:left w:val="single" w:sz="12" w:space="0" w:color="auto"/>
              <w:bottom w:val="single" w:sz="4" w:space="0" w:color="auto"/>
              <w:right w:val="single" w:sz="18" w:space="0" w:color="auto"/>
            </w:tcBorders>
          </w:tcPr>
          <w:p w14:paraId="246F07DF" w14:textId="4927FF9D" w:rsidR="00662577" w:rsidRPr="00662577" w:rsidRDefault="00662577" w:rsidP="00662577">
            <w:pPr>
              <w:autoSpaceDE w:val="0"/>
              <w:autoSpaceDN w:val="0"/>
              <w:adjustRightInd w:val="0"/>
              <w:spacing w:after="0"/>
              <w:rPr>
                <w:rFonts w:cstheme="minorHAnsi"/>
                <w:color w:val="000000"/>
                <w:sz w:val="14"/>
                <w:szCs w:val="14"/>
              </w:rPr>
            </w:pPr>
            <w:r w:rsidRPr="00662577">
              <w:rPr>
                <w:rFonts w:ascii="Calibri" w:hAnsi="Calibri" w:cs="Calibri"/>
                <w:color w:val="000000"/>
                <w:sz w:val="14"/>
                <w:szCs w:val="14"/>
              </w:rPr>
              <w:t>-</w:t>
            </w:r>
          </w:p>
        </w:tc>
        <w:tc>
          <w:tcPr>
            <w:tcW w:w="793" w:type="pct"/>
            <w:tcBorders>
              <w:top w:val="single" w:sz="4" w:space="0" w:color="auto"/>
              <w:left w:val="single" w:sz="18" w:space="0" w:color="auto"/>
              <w:bottom w:val="single" w:sz="4" w:space="0" w:color="auto"/>
              <w:right w:val="single" w:sz="12" w:space="0" w:color="auto"/>
            </w:tcBorders>
          </w:tcPr>
          <w:p w14:paraId="528DCC54" w14:textId="4259B574" w:rsidR="00662577" w:rsidRPr="00662577" w:rsidRDefault="00662577" w:rsidP="00662577">
            <w:pPr>
              <w:autoSpaceDE w:val="0"/>
              <w:autoSpaceDN w:val="0"/>
              <w:adjustRightInd w:val="0"/>
              <w:spacing w:after="0"/>
              <w:rPr>
                <w:rFonts w:cstheme="minorHAnsi"/>
                <w:color w:val="000000"/>
                <w:sz w:val="14"/>
                <w:szCs w:val="14"/>
              </w:rPr>
            </w:pPr>
            <w:r w:rsidRPr="00662577">
              <w:rPr>
                <w:rFonts w:cstheme="minorHAnsi"/>
                <w:color w:val="000000"/>
                <w:sz w:val="14"/>
                <w:szCs w:val="14"/>
              </w:rPr>
              <w:t>0.85 (0.44-1.65)</w:t>
            </w:r>
            <w:r w:rsidR="00BC7E10" w:rsidRPr="007064A3">
              <w:rPr>
                <w:rFonts w:cstheme="minorHAnsi"/>
                <w:color w:val="000000"/>
                <w:sz w:val="14"/>
                <w:szCs w:val="14"/>
                <w:vertAlign w:val="superscript"/>
              </w:rPr>
              <w:t>$</w:t>
            </w:r>
          </w:p>
        </w:tc>
        <w:tc>
          <w:tcPr>
            <w:tcW w:w="793" w:type="pct"/>
            <w:tcBorders>
              <w:top w:val="single" w:sz="4" w:space="0" w:color="auto"/>
              <w:left w:val="single" w:sz="12" w:space="0" w:color="auto"/>
              <w:bottom w:val="single" w:sz="4" w:space="0" w:color="auto"/>
              <w:right w:val="single" w:sz="12" w:space="0" w:color="auto"/>
            </w:tcBorders>
          </w:tcPr>
          <w:p w14:paraId="24E495F3" w14:textId="2B72E67F" w:rsidR="00662577" w:rsidRPr="00662577" w:rsidRDefault="00662577" w:rsidP="00662577">
            <w:pPr>
              <w:autoSpaceDE w:val="0"/>
              <w:autoSpaceDN w:val="0"/>
              <w:adjustRightInd w:val="0"/>
              <w:spacing w:after="0"/>
              <w:rPr>
                <w:rFonts w:cstheme="minorHAnsi"/>
                <w:color w:val="000000"/>
                <w:sz w:val="14"/>
                <w:szCs w:val="14"/>
              </w:rPr>
            </w:pPr>
            <w:r w:rsidRPr="00662577">
              <w:rPr>
                <w:rFonts w:cstheme="minorHAnsi"/>
                <w:color w:val="000000"/>
                <w:sz w:val="14"/>
                <w:szCs w:val="14"/>
              </w:rPr>
              <w:t>0.53 (0.24-1.15)</w:t>
            </w:r>
            <w:r w:rsidR="00BC7E10" w:rsidRPr="007064A3">
              <w:rPr>
                <w:rFonts w:cstheme="minorHAnsi"/>
                <w:color w:val="000000"/>
                <w:sz w:val="14"/>
                <w:szCs w:val="14"/>
                <w:vertAlign w:val="superscript"/>
              </w:rPr>
              <w:t>$</w:t>
            </w:r>
          </w:p>
        </w:tc>
        <w:tc>
          <w:tcPr>
            <w:tcW w:w="794" w:type="pct"/>
            <w:tcBorders>
              <w:top w:val="single" w:sz="4" w:space="0" w:color="auto"/>
              <w:left w:val="single" w:sz="12" w:space="0" w:color="auto"/>
              <w:bottom w:val="single" w:sz="4" w:space="0" w:color="auto"/>
              <w:right w:val="single" w:sz="18" w:space="0" w:color="auto"/>
            </w:tcBorders>
            <w:shd w:val="clear" w:color="auto" w:fill="auto"/>
          </w:tcPr>
          <w:p w14:paraId="64A152AC" w14:textId="37B3CF39" w:rsidR="00662577" w:rsidRPr="00662577" w:rsidRDefault="00662577" w:rsidP="00662577">
            <w:pPr>
              <w:autoSpaceDE w:val="0"/>
              <w:autoSpaceDN w:val="0"/>
              <w:adjustRightInd w:val="0"/>
              <w:spacing w:after="0"/>
              <w:rPr>
                <w:rFonts w:cstheme="minorHAnsi"/>
                <w:color w:val="000000"/>
                <w:sz w:val="14"/>
                <w:szCs w:val="14"/>
              </w:rPr>
            </w:pPr>
            <w:r w:rsidRPr="00662577">
              <w:rPr>
                <w:rFonts w:cstheme="minorHAnsi"/>
                <w:color w:val="000000"/>
                <w:sz w:val="14"/>
                <w:szCs w:val="14"/>
              </w:rPr>
              <w:t>1.28 (0.90-1.06)</w:t>
            </w:r>
            <w:r w:rsidR="00BC7E10" w:rsidRPr="007064A3">
              <w:rPr>
                <w:rFonts w:cstheme="minorHAnsi"/>
                <w:color w:val="000000"/>
                <w:sz w:val="14"/>
                <w:szCs w:val="14"/>
                <w:vertAlign w:val="superscript"/>
              </w:rPr>
              <w:t>$</w:t>
            </w:r>
          </w:p>
        </w:tc>
      </w:tr>
      <w:tr w:rsidR="00662577" w:rsidRPr="00662577" w14:paraId="10B9618D" w14:textId="77777777" w:rsidTr="008E2B78">
        <w:trPr>
          <w:trHeight w:val="25"/>
        </w:trPr>
        <w:tc>
          <w:tcPr>
            <w:tcW w:w="228" w:type="pct"/>
            <w:vMerge/>
            <w:tcBorders>
              <w:left w:val="single" w:sz="18" w:space="0" w:color="auto"/>
              <w:right w:val="single" w:sz="12" w:space="0" w:color="auto"/>
            </w:tcBorders>
          </w:tcPr>
          <w:p w14:paraId="7E5400FA" w14:textId="77777777" w:rsidR="00662577" w:rsidRPr="00662577" w:rsidRDefault="00662577" w:rsidP="00662577">
            <w:pPr>
              <w:autoSpaceDE w:val="0"/>
              <w:autoSpaceDN w:val="0"/>
              <w:adjustRightInd w:val="0"/>
              <w:spacing w:after="0"/>
              <w:rPr>
                <w:rFonts w:cstheme="minorHAnsi"/>
                <w:color w:val="000000"/>
                <w:sz w:val="14"/>
                <w:szCs w:val="14"/>
              </w:rPr>
            </w:pPr>
          </w:p>
        </w:tc>
        <w:tc>
          <w:tcPr>
            <w:tcW w:w="558" w:type="pct"/>
            <w:tcBorders>
              <w:top w:val="single" w:sz="4" w:space="0" w:color="auto"/>
              <w:left w:val="single" w:sz="12" w:space="0" w:color="auto"/>
              <w:bottom w:val="single" w:sz="4" w:space="0" w:color="auto"/>
              <w:right w:val="single" w:sz="18" w:space="0" w:color="auto"/>
            </w:tcBorders>
            <w:shd w:val="clear" w:color="auto" w:fill="auto"/>
          </w:tcPr>
          <w:p w14:paraId="77B668A2" w14:textId="77777777" w:rsidR="00662577" w:rsidRPr="00662577" w:rsidRDefault="00662577" w:rsidP="00662577">
            <w:pPr>
              <w:autoSpaceDE w:val="0"/>
              <w:autoSpaceDN w:val="0"/>
              <w:adjustRightInd w:val="0"/>
              <w:spacing w:after="0"/>
              <w:rPr>
                <w:rFonts w:cstheme="minorHAnsi"/>
                <w:color w:val="000000"/>
                <w:sz w:val="14"/>
                <w:szCs w:val="14"/>
              </w:rPr>
            </w:pPr>
            <w:r w:rsidRPr="00662577">
              <w:rPr>
                <w:rFonts w:cstheme="minorHAnsi"/>
                <w:color w:val="000000"/>
                <w:sz w:val="14"/>
                <w:szCs w:val="14"/>
              </w:rPr>
              <w:t xml:space="preserve">Sodium </w:t>
            </w:r>
          </w:p>
        </w:tc>
        <w:tc>
          <w:tcPr>
            <w:tcW w:w="975" w:type="pct"/>
            <w:tcBorders>
              <w:top w:val="single" w:sz="4" w:space="0" w:color="auto"/>
              <w:left w:val="single" w:sz="18" w:space="0" w:color="auto"/>
              <w:bottom w:val="single" w:sz="4" w:space="0" w:color="auto"/>
              <w:right w:val="single" w:sz="12" w:space="0" w:color="auto"/>
            </w:tcBorders>
            <w:shd w:val="clear" w:color="auto" w:fill="auto"/>
          </w:tcPr>
          <w:p w14:paraId="2BD90BC2" w14:textId="77777777" w:rsidR="00662577" w:rsidRPr="00662577" w:rsidRDefault="00662577" w:rsidP="00662577">
            <w:pPr>
              <w:autoSpaceDE w:val="0"/>
              <w:autoSpaceDN w:val="0"/>
              <w:adjustRightInd w:val="0"/>
              <w:spacing w:after="0"/>
              <w:rPr>
                <w:rFonts w:cstheme="minorHAnsi"/>
                <w:color w:val="000000"/>
                <w:sz w:val="14"/>
                <w:szCs w:val="14"/>
              </w:rPr>
            </w:pPr>
            <w:r w:rsidRPr="00662577">
              <w:rPr>
                <w:rFonts w:cstheme="minorHAnsi"/>
                <w:color w:val="000000"/>
                <w:sz w:val="14"/>
                <w:szCs w:val="14"/>
              </w:rPr>
              <w:t>-</w:t>
            </w:r>
          </w:p>
        </w:tc>
        <w:tc>
          <w:tcPr>
            <w:tcW w:w="859" w:type="pct"/>
            <w:tcBorders>
              <w:top w:val="single" w:sz="4" w:space="0" w:color="auto"/>
              <w:left w:val="single" w:sz="12" w:space="0" w:color="auto"/>
              <w:bottom w:val="single" w:sz="4" w:space="0" w:color="auto"/>
              <w:right w:val="single" w:sz="18" w:space="0" w:color="auto"/>
            </w:tcBorders>
          </w:tcPr>
          <w:p w14:paraId="44B21118" w14:textId="1601DD8B" w:rsidR="00662577" w:rsidRPr="00662577" w:rsidRDefault="00662577" w:rsidP="00662577">
            <w:pPr>
              <w:autoSpaceDE w:val="0"/>
              <w:autoSpaceDN w:val="0"/>
              <w:adjustRightInd w:val="0"/>
              <w:spacing w:after="0"/>
              <w:rPr>
                <w:rFonts w:cstheme="minorHAnsi"/>
                <w:color w:val="000000"/>
                <w:sz w:val="14"/>
                <w:szCs w:val="14"/>
              </w:rPr>
            </w:pPr>
            <w:r w:rsidRPr="00662577">
              <w:rPr>
                <w:rFonts w:ascii="Calibri" w:hAnsi="Calibri" w:cs="Calibri"/>
                <w:color w:val="000000"/>
                <w:sz w:val="14"/>
                <w:szCs w:val="14"/>
              </w:rPr>
              <w:t>-</w:t>
            </w:r>
          </w:p>
        </w:tc>
        <w:tc>
          <w:tcPr>
            <w:tcW w:w="793" w:type="pct"/>
            <w:tcBorders>
              <w:top w:val="single" w:sz="4" w:space="0" w:color="auto"/>
              <w:left w:val="single" w:sz="18" w:space="0" w:color="auto"/>
              <w:bottom w:val="single" w:sz="4" w:space="0" w:color="auto"/>
              <w:right w:val="single" w:sz="12" w:space="0" w:color="auto"/>
            </w:tcBorders>
          </w:tcPr>
          <w:p w14:paraId="7E46972A" w14:textId="76090B06" w:rsidR="00662577" w:rsidRPr="00662577" w:rsidRDefault="00662577" w:rsidP="00662577">
            <w:pPr>
              <w:autoSpaceDE w:val="0"/>
              <w:autoSpaceDN w:val="0"/>
              <w:adjustRightInd w:val="0"/>
              <w:spacing w:after="0"/>
              <w:rPr>
                <w:rFonts w:cstheme="minorHAnsi"/>
                <w:color w:val="000000"/>
                <w:sz w:val="14"/>
                <w:szCs w:val="14"/>
              </w:rPr>
            </w:pPr>
            <w:r w:rsidRPr="00662577">
              <w:rPr>
                <w:rFonts w:cstheme="minorHAnsi"/>
                <w:color w:val="000000"/>
                <w:sz w:val="14"/>
                <w:szCs w:val="14"/>
              </w:rPr>
              <w:t>1.01 (0.59-1.73)</w:t>
            </w:r>
          </w:p>
        </w:tc>
        <w:tc>
          <w:tcPr>
            <w:tcW w:w="793" w:type="pct"/>
            <w:tcBorders>
              <w:top w:val="single" w:sz="4" w:space="0" w:color="auto"/>
              <w:left w:val="single" w:sz="12" w:space="0" w:color="auto"/>
              <w:bottom w:val="single" w:sz="4" w:space="0" w:color="auto"/>
              <w:right w:val="single" w:sz="12" w:space="0" w:color="auto"/>
            </w:tcBorders>
          </w:tcPr>
          <w:p w14:paraId="7522111A" w14:textId="05F52CA7" w:rsidR="00662577" w:rsidRPr="00662577" w:rsidRDefault="00662577" w:rsidP="00662577">
            <w:pPr>
              <w:autoSpaceDE w:val="0"/>
              <w:autoSpaceDN w:val="0"/>
              <w:adjustRightInd w:val="0"/>
              <w:spacing w:after="0"/>
              <w:rPr>
                <w:rFonts w:cstheme="minorHAnsi"/>
                <w:color w:val="000000"/>
                <w:sz w:val="14"/>
                <w:szCs w:val="14"/>
              </w:rPr>
            </w:pPr>
            <w:r w:rsidRPr="00662577">
              <w:rPr>
                <w:rFonts w:cstheme="minorHAnsi"/>
                <w:color w:val="000000"/>
                <w:sz w:val="14"/>
                <w:szCs w:val="14"/>
              </w:rPr>
              <w:t>1.04 (0.53-2.07)</w:t>
            </w:r>
          </w:p>
        </w:tc>
        <w:tc>
          <w:tcPr>
            <w:tcW w:w="794" w:type="pct"/>
            <w:tcBorders>
              <w:top w:val="single" w:sz="4" w:space="0" w:color="auto"/>
              <w:left w:val="single" w:sz="12" w:space="0" w:color="auto"/>
              <w:bottom w:val="single" w:sz="4" w:space="0" w:color="auto"/>
              <w:right w:val="single" w:sz="18" w:space="0" w:color="auto"/>
            </w:tcBorders>
            <w:shd w:val="clear" w:color="auto" w:fill="auto"/>
          </w:tcPr>
          <w:p w14:paraId="40A4E386" w14:textId="05802AC4" w:rsidR="00662577" w:rsidRPr="00662577" w:rsidRDefault="00662577" w:rsidP="00662577">
            <w:pPr>
              <w:autoSpaceDE w:val="0"/>
              <w:autoSpaceDN w:val="0"/>
              <w:adjustRightInd w:val="0"/>
              <w:spacing w:after="0"/>
              <w:rPr>
                <w:rFonts w:cstheme="minorHAnsi"/>
                <w:color w:val="000000"/>
                <w:sz w:val="14"/>
                <w:szCs w:val="14"/>
              </w:rPr>
            </w:pPr>
            <w:r w:rsidRPr="00662577">
              <w:rPr>
                <w:rFonts w:cstheme="minorHAnsi"/>
                <w:color w:val="000000"/>
                <w:sz w:val="14"/>
                <w:szCs w:val="14"/>
              </w:rPr>
              <w:t>0.85 (0.60-1.19)</w:t>
            </w:r>
          </w:p>
        </w:tc>
      </w:tr>
      <w:tr w:rsidR="00662577" w:rsidRPr="00662577" w14:paraId="47C6C318" w14:textId="77777777" w:rsidTr="008E2B78">
        <w:trPr>
          <w:trHeight w:val="25"/>
        </w:trPr>
        <w:tc>
          <w:tcPr>
            <w:tcW w:w="228" w:type="pct"/>
            <w:vMerge/>
            <w:tcBorders>
              <w:left w:val="single" w:sz="18" w:space="0" w:color="auto"/>
              <w:right w:val="single" w:sz="12" w:space="0" w:color="auto"/>
            </w:tcBorders>
          </w:tcPr>
          <w:p w14:paraId="32E017D8" w14:textId="77777777" w:rsidR="00662577" w:rsidRPr="00662577" w:rsidRDefault="00662577" w:rsidP="00662577">
            <w:pPr>
              <w:autoSpaceDE w:val="0"/>
              <w:autoSpaceDN w:val="0"/>
              <w:adjustRightInd w:val="0"/>
              <w:spacing w:after="0"/>
              <w:rPr>
                <w:rFonts w:cstheme="minorHAnsi"/>
                <w:color w:val="000000"/>
                <w:sz w:val="14"/>
                <w:szCs w:val="14"/>
              </w:rPr>
            </w:pPr>
          </w:p>
        </w:tc>
        <w:tc>
          <w:tcPr>
            <w:tcW w:w="558" w:type="pct"/>
            <w:tcBorders>
              <w:top w:val="single" w:sz="4" w:space="0" w:color="auto"/>
              <w:left w:val="single" w:sz="12" w:space="0" w:color="auto"/>
              <w:bottom w:val="single" w:sz="4" w:space="0" w:color="auto"/>
              <w:right w:val="single" w:sz="18" w:space="0" w:color="auto"/>
            </w:tcBorders>
            <w:shd w:val="clear" w:color="auto" w:fill="auto"/>
          </w:tcPr>
          <w:p w14:paraId="59FF8718" w14:textId="77777777" w:rsidR="00662577" w:rsidRPr="00662577" w:rsidRDefault="00662577" w:rsidP="00662577">
            <w:pPr>
              <w:autoSpaceDE w:val="0"/>
              <w:autoSpaceDN w:val="0"/>
              <w:adjustRightInd w:val="0"/>
              <w:spacing w:after="0"/>
              <w:rPr>
                <w:rFonts w:cstheme="minorHAnsi"/>
                <w:color w:val="000000"/>
                <w:sz w:val="14"/>
                <w:szCs w:val="14"/>
              </w:rPr>
            </w:pPr>
            <w:r w:rsidRPr="00662577">
              <w:rPr>
                <w:rFonts w:cstheme="minorHAnsi"/>
                <w:color w:val="000000"/>
                <w:sz w:val="14"/>
                <w:szCs w:val="14"/>
              </w:rPr>
              <w:t xml:space="preserve">Total protein </w:t>
            </w:r>
          </w:p>
        </w:tc>
        <w:tc>
          <w:tcPr>
            <w:tcW w:w="975" w:type="pct"/>
            <w:tcBorders>
              <w:top w:val="single" w:sz="4" w:space="0" w:color="auto"/>
              <w:left w:val="single" w:sz="18" w:space="0" w:color="auto"/>
              <w:bottom w:val="single" w:sz="4" w:space="0" w:color="auto"/>
              <w:right w:val="single" w:sz="12" w:space="0" w:color="auto"/>
            </w:tcBorders>
            <w:shd w:val="clear" w:color="auto" w:fill="auto"/>
          </w:tcPr>
          <w:p w14:paraId="3AEE8474" w14:textId="77777777" w:rsidR="00662577" w:rsidRPr="00662577" w:rsidRDefault="00662577" w:rsidP="00662577">
            <w:pPr>
              <w:autoSpaceDE w:val="0"/>
              <w:autoSpaceDN w:val="0"/>
              <w:adjustRightInd w:val="0"/>
              <w:spacing w:after="0"/>
              <w:rPr>
                <w:rFonts w:cstheme="minorHAnsi"/>
                <w:color w:val="000000"/>
                <w:sz w:val="14"/>
                <w:szCs w:val="14"/>
              </w:rPr>
            </w:pPr>
            <w:r w:rsidRPr="00662577">
              <w:rPr>
                <w:rFonts w:cstheme="minorHAnsi"/>
                <w:color w:val="000000"/>
                <w:sz w:val="14"/>
                <w:szCs w:val="14"/>
              </w:rPr>
              <w:t>-</w:t>
            </w:r>
          </w:p>
        </w:tc>
        <w:tc>
          <w:tcPr>
            <w:tcW w:w="859" w:type="pct"/>
            <w:tcBorders>
              <w:top w:val="single" w:sz="4" w:space="0" w:color="auto"/>
              <w:left w:val="single" w:sz="12" w:space="0" w:color="auto"/>
              <w:bottom w:val="single" w:sz="4" w:space="0" w:color="auto"/>
              <w:right w:val="single" w:sz="18" w:space="0" w:color="auto"/>
            </w:tcBorders>
          </w:tcPr>
          <w:p w14:paraId="2C3E752B" w14:textId="7A65D97F" w:rsidR="00662577" w:rsidRPr="00662577" w:rsidRDefault="00662577" w:rsidP="00662577">
            <w:pPr>
              <w:autoSpaceDE w:val="0"/>
              <w:autoSpaceDN w:val="0"/>
              <w:adjustRightInd w:val="0"/>
              <w:spacing w:after="0"/>
              <w:rPr>
                <w:rFonts w:cstheme="minorHAnsi"/>
                <w:color w:val="000000"/>
                <w:sz w:val="14"/>
                <w:szCs w:val="14"/>
              </w:rPr>
            </w:pPr>
            <w:r w:rsidRPr="00662577">
              <w:rPr>
                <w:rFonts w:ascii="Calibri" w:hAnsi="Calibri" w:cs="Calibri"/>
                <w:color w:val="000000"/>
                <w:sz w:val="14"/>
                <w:szCs w:val="14"/>
              </w:rPr>
              <w:t>-</w:t>
            </w:r>
          </w:p>
        </w:tc>
        <w:tc>
          <w:tcPr>
            <w:tcW w:w="793" w:type="pct"/>
            <w:tcBorders>
              <w:top w:val="single" w:sz="4" w:space="0" w:color="auto"/>
              <w:left w:val="single" w:sz="18" w:space="0" w:color="auto"/>
              <w:bottom w:val="single" w:sz="4" w:space="0" w:color="auto"/>
              <w:right w:val="single" w:sz="12" w:space="0" w:color="auto"/>
            </w:tcBorders>
          </w:tcPr>
          <w:p w14:paraId="7321BAD9" w14:textId="0FFA618A" w:rsidR="00662577" w:rsidRPr="00662577" w:rsidRDefault="00662577" w:rsidP="00662577">
            <w:pPr>
              <w:autoSpaceDE w:val="0"/>
              <w:autoSpaceDN w:val="0"/>
              <w:adjustRightInd w:val="0"/>
              <w:spacing w:after="0"/>
              <w:rPr>
                <w:rFonts w:cstheme="minorHAnsi"/>
                <w:color w:val="000000"/>
                <w:sz w:val="14"/>
                <w:szCs w:val="14"/>
              </w:rPr>
            </w:pPr>
            <w:r w:rsidRPr="00662577">
              <w:rPr>
                <w:rFonts w:cstheme="minorHAnsi"/>
                <w:color w:val="000000"/>
                <w:sz w:val="14"/>
                <w:szCs w:val="14"/>
              </w:rPr>
              <w:t>0.95 (0.88-1.03)</w:t>
            </w:r>
          </w:p>
        </w:tc>
        <w:tc>
          <w:tcPr>
            <w:tcW w:w="793" w:type="pct"/>
            <w:tcBorders>
              <w:top w:val="single" w:sz="4" w:space="0" w:color="auto"/>
              <w:left w:val="single" w:sz="12" w:space="0" w:color="auto"/>
              <w:bottom w:val="single" w:sz="4" w:space="0" w:color="auto"/>
              <w:right w:val="single" w:sz="12" w:space="0" w:color="auto"/>
            </w:tcBorders>
          </w:tcPr>
          <w:p w14:paraId="700A1AEE" w14:textId="16164754" w:rsidR="00662577" w:rsidRPr="00662577" w:rsidRDefault="00662577" w:rsidP="00662577">
            <w:pPr>
              <w:autoSpaceDE w:val="0"/>
              <w:autoSpaceDN w:val="0"/>
              <w:adjustRightInd w:val="0"/>
              <w:spacing w:after="0"/>
              <w:rPr>
                <w:rFonts w:cstheme="minorHAnsi"/>
                <w:color w:val="000000"/>
                <w:sz w:val="14"/>
                <w:szCs w:val="14"/>
              </w:rPr>
            </w:pPr>
            <w:r w:rsidRPr="00662577">
              <w:rPr>
                <w:rFonts w:cstheme="minorHAnsi"/>
                <w:color w:val="000000"/>
                <w:sz w:val="14"/>
                <w:szCs w:val="14"/>
              </w:rPr>
              <w:t>0.96 (0.89-1.03)</w:t>
            </w:r>
          </w:p>
        </w:tc>
        <w:tc>
          <w:tcPr>
            <w:tcW w:w="794" w:type="pct"/>
            <w:tcBorders>
              <w:top w:val="single" w:sz="4" w:space="0" w:color="auto"/>
              <w:left w:val="single" w:sz="12" w:space="0" w:color="auto"/>
              <w:bottom w:val="single" w:sz="4" w:space="0" w:color="auto"/>
              <w:right w:val="single" w:sz="18" w:space="0" w:color="auto"/>
            </w:tcBorders>
            <w:shd w:val="clear" w:color="auto" w:fill="auto"/>
          </w:tcPr>
          <w:p w14:paraId="6B5C1CB9" w14:textId="7E56ED89" w:rsidR="00662577" w:rsidRPr="00662577" w:rsidRDefault="00662577" w:rsidP="00662577">
            <w:pPr>
              <w:autoSpaceDE w:val="0"/>
              <w:autoSpaceDN w:val="0"/>
              <w:adjustRightInd w:val="0"/>
              <w:spacing w:after="0"/>
              <w:rPr>
                <w:rFonts w:cstheme="minorHAnsi"/>
                <w:color w:val="000000"/>
                <w:sz w:val="14"/>
                <w:szCs w:val="14"/>
              </w:rPr>
            </w:pPr>
            <w:r w:rsidRPr="00662577">
              <w:rPr>
                <w:rFonts w:cstheme="minorHAnsi"/>
                <w:color w:val="000000"/>
                <w:sz w:val="14"/>
                <w:szCs w:val="14"/>
              </w:rPr>
              <w:t>0.91 (0.80-1.03)</w:t>
            </w:r>
          </w:p>
        </w:tc>
      </w:tr>
      <w:tr w:rsidR="00662577" w:rsidRPr="00662577" w14:paraId="7705774C" w14:textId="77777777" w:rsidTr="008E2B78">
        <w:trPr>
          <w:trHeight w:val="25"/>
        </w:trPr>
        <w:tc>
          <w:tcPr>
            <w:tcW w:w="228" w:type="pct"/>
            <w:vMerge/>
            <w:tcBorders>
              <w:left w:val="single" w:sz="18" w:space="0" w:color="auto"/>
              <w:right w:val="single" w:sz="12" w:space="0" w:color="auto"/>
            </w:tcBorders>
          </w:tcPr>
          <w:p w14:paraId="2F373A20" w14:textId="77777777" w:rsidR="00662577" w:rsidRPr="00662577" w:rsidRDefault="00662577" w:rsidP="00662577">
            <w:pPr>
              <w:autoSpaceDE w:val="0"/>
              <w:autoSpaceDN w:val="0"/>
              <w:adjustRightInd w:val="0"/>
              <w:spacing w:after="0"/>
              <w:rPr>
                <w:rFonts w:cstheme="minorHAnsi"/>
                <w:color w:val="000000"/>
                <w:sz w:val="14"/>
                <w:szCs w:val="14"/>
              </w:rPr>
            </w:pPr>
          </w:p>
        </w:tc>
        <w:tc>
          <w:tcPr>
            <w:tcW w:w="558" w:type="pct"/>
            <w:tcBorders>
              <w:top w:val="single" w:sz="4" w:space="0" w:color="auto"/>
              <w:left w:val="single" w:sz="12" w:space="0" w:color="auto"/>
              <w:bottom w:val="single" w:sz="4" w:space="0" w:color="auto"/>
              <w:right w:val="single" w:sz="18" w:space="0" w:color="auto"/>
            </w:tcBorders>
            <w:shd w:val="clear" w:color="auto" w:fill="auto"/>
          </w:tcPr>
          <w:p w14:paraId="74BD9F42" w14:textId="77777777" w:rsidR="00662577" w:rsidRPr="00662577" w:rsidRDefault="00662577" w:rsidP="00662577">
            <w:pPr>
              <w:autoSpaceDE w:val="0"/>
              <w:autoSpaceDN w:val="0"/>
              <w:adjustRightInd w:val="0"/>
              <w:spacing w:after="0"/>
              <w:rPr>
                <w:rFonts w:cstheme="minorHAnsi"/>
                <w:color w:val="000000"/>
                <w:sz w:val="14"/>
                <w:szCs w:val="14"/>
              </w:rPr>
            </w:pPr>
            <w:r w:rsidRPr="00662577">
              <w:rPr>
                <w:rFonts w:cstheme="minorHAnsi"/>
                <w:color w:val="000000"/>
                <w:sz w:val="14"/>
                <w:szCs w:val="14"/>
              </w:rPr>
              <w:t xml:space="preserve">Urate </w:t>
            </w:r>
          </w:p>
        </w:tc>
        <w:tc>
          <w:tcPr>
            <w:tcW w:w="975" w:type="pct"/>
            <w:tcBorders>
              <w:top w:val="single" w:sz="4" w:space="0" w:color="auto"/>
              <w:left w:val="single" w:sz="18" w:space="0" w:color="auto"/>
              <w:bottom w:val="single" w:sz="4" w:space="0" w:color="auto"/>
              <w:right w:val="single" w:sz="12" w:space="0" w:color="auto"/>
            </w:tcBorders>
            <w:shd w:val="clear" w:color="auto" w:fill="auto"/>
          </w:tcPr>
          <w:p w14:paraId="2993ABAD" w14:textId="2FDF29D4" w:rsidR="00662577" w:rsidRPr="00662577" w:rsidRDefault="00662577" w:rsidP="00662577">
            <w:pPr>
              <w:autoSpaceDE w:val="0"/>
              <w:autoSpaceDN w:val="0"/>
              <w:adjustRightInd w:val="0"/>
              <w:spacing w:after="0"/>
              <w:rPr>
                <w:rFonts w:cstheme="minorHAnsi"/>
                <w:b/>
                <w:bCs/>
                <w:color w:val="000000"/>
                <w:sz w:val="14"/>
                <w:szCs w:val="14"/>
              </w:rPr>
            </w:pPr>
            <w:r w:rsidRPr="00662577">
              <w:rPr>
                <w:rFonts w:cstheme="minorHAnsi"/>
                <w:b/>
                <w:bCs/>
                <w:color w:val="000000"/>
                <w:sz w:val="14"/>
                <w:szCs w:val="14"/>
              </w:rPr>
              <w:t xml:space="preserve">Case-control HR: 0.72 (0.53-0.99) (uric acid) </w:t>
            </w:r>
            <w:sdt>
              <w:sdtPr>
                <w:rPr>
                  <w:rFonts w:cstheme="minorHAnsi"/>
                  <w:bCs/>
                  <w:color w:val="000000"/>
                  <w:sz w:val="14"/>
                  <w:szCs w:val="14"/>
                </w:rPr>
                <w:tag w:val="MENDELEY_CITATION_v3_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"/>
                <w:id w:val="-594556745"/>
                <w:placeholder>
                  <w:docPart w:val="DefaultPlaceholder_-1854013440"/>
                </w:placeholder>
              </w:sdtPr>
              <w:sdtEndPr/>
              <w:sdtContent>
                <w:r w:rsidR="008F665C" w:rsidRPr="008F665C">
                  <w:rPr>
                    <w:rFonts w:cstheme="minorHAnsi"/>
                    <w:bCs/>
                    <w:color w:val="000000"/>
                    <w:sz w:val="14"/>
                    <w:szCs w:val="14"/>
                  </w:rPr>
                  <w:t>[16]</w:t>
                </w:r>
              </w:sdtContent>
            </w:sdt>
          </w:p>
        </w:tc>
        <w:tc>
          <w:tcPr>
            <w:tcW w:w="859" w:type="pct"/>
            <w:tcBorders>
              <w:top w:val="single" w:sz="4" w:space="0" w:color="auto"/>
              <w:left w:val="single" w:sz="12" w:space="0" w:color="auto"/>
              <w:bottom w:val="single" w:sz="4" w:space="0" w:color="auto"/>
              <w:right w:val="single" w:sz="18" w:space="0" w:color="auto"/>
            </w:tcBorders>
          </w:tcPr>
          <w:p w14:paraId="2FB43554" w14:textId="69BCFCE7" w:rsidR="00662577" w:rsidRPr="00662577" w:rsidRDefault="00662577" w:rsidP="00662577">
            <w:pPr>
              <w:autoSpaceDE w:val="0"/>
              <w:autoSpaceDN w:val="0"/>
              <w:adjustRightInd w:val="0"/>
              <w:spacing w:after="0"/>
              <w:rPr>
                <w:rFonts w:cstheme="minorHAnsi"/>
                <w:color w:val="000000"/>
                <w:sz w:val="14"/>
                <w:szCs w:val="14"/>
              </w:rPr>
            </w:pPr>
            <w:r w:rsidRPr="00662577">
              <w:rPr>
                <w:rFonts w:ascii="Calibri" w:hAnsi="Calibri" w:cs="Calibri"/>
                <w:color w:val="000000"/>
                <w:sz w:val="14"/>
                <w:szCs w:val="14"/>
              </w:rPr>
              <w:t>-</w:t>
            </w:r>
          </w:p>
        </w:tc>
        <w:tc>
          <w:tcPr>
            <w:tcW w:w="793" w:type="pct"/>
            <w:tcBorders>
              <w:top w:val="single" w:sz="4" w:space="0" w:color="auto"/>
              <w:left w:val="single" w:sz="18" w:space="0" w:color="auto"/>
              <w:bottom w:val="single" w:sz="4" w:space="0" w:color="auto"/>
              <w:right w:val="single" w:sz="12" w:space="0" w:color="auto"/>
            </w:tcBorders>
          </w:tcPr>
          <w:p w14:paraId="2F6EA30B" w14:textId="300B6AC4" w:rsidR="00662577" w:rsidRPr="00662577" w:rsidRDefault="00662577" w:rsidP="00662577">
            <w:pPr>
              <w:autoSpaceDE w:val="0"/>
              <w:autoSpaceDN w:val="0"/>
              <w:adjustRightInd w:val="0"/>
              <w:spacing w:after="0"/>
              <w:rPr>
                <w:rFonts w:cstheme="minorHAnsi"/>
                <w:color w:val="000000"/>
                <w:sz w:val="14"/>
                <w:szCs w:val="14"/>
              </w:rPr>
            </w:pPr>
            <w:r w:rsidRPr="00662577">
              <w:rPr>
                <w:rFonts w:cstheme="minorHAnsi"/>
                <w:color w:val="000000"/>
                <w:sz w:val="14"/>
                <w:szCs w:val="14"/>
              </w:rPr>
              <w:t>0.96 (0.91-1.01)</w:t>
            </w:r>
          </w:p>
        </w:tc>
        <w:tc>
          <w:tcPr>
            <w:tcW w:w="793" w:type="pct"/>
            <w:tcBorders>
              <w:top w:val="single" w:sz="4" w:space="0" w:color="auto"/>
              <w:left w:val="single" w:sz="12" w:space="0" w:color="auto"/>
              <w:bottom w:val="single" w:sz="4" w:space="0" w:color="auto"/>
              <w:right w:val="single" w:sz="12" w:space="0" w:color="auto"/>
            </w:tcBorders>
          </w:tcPr>
          <w:p w14:paraId="4271BA6F" w14:textId="7A4EA158" w:rsidR="00662577" w:rsidRPr="00662577" w:rsidRDefault="00662577" w:rsidP="00662577">
            <w:pPr>
              <w:autoSpaceDE w:val="0"/>
              <w:autoSpaceDN w:val="0"/>
              <w:adjustRightInd w:val="0"/>
              <w:spacing w:after="0"/>
              <w:rPr>
                <w:rFonts w:cstheme="minorHAnsi"/>
                <w:color w:val="000000"/>
                <w:sz w:val="14"/>
                <w:szCs w:val="14"/>
              </w:rPr>
            </w:pPr>
            <w:r w:rsidRPr="00662577">
              <w:rPr>
                <w:rFonts w:cstheme="minorHAnsi"/>
                <w:color w:val="000000"/>
                <w:sz w:val="14"/>
                <w:szCs w:val="14"/>
              </w:rPr>
              <w:t>0.96 (0.91-1.02)</w:t>
            </w:r>
          </w:p>
        </w:tc>
        <w:tc>
          <w:tcPr>
            <w:tcW w:w="794" w:type="pct"/>
            <w:tcBorders>
              <w:top w:val="single" w:sz="4" w:space="0" w:color="auto"/>
              <w:left w:val="single" w:sz="12" w:space="0" w:color="auto"/>
              <w:bottom w:val="single" w:sz="4" w:space="0" w:color="auto"/>
              <w:right w:val="single" w:sz="18" w:space="0" w:color="auto"/>
            </w:tcBorders>
            <w:shd w:val="clear" w:color="auto" w:fill="auto"/>
          </w:tcPr>
          <w:p w14:paraId="212DD9B3" w14:textId="21CE8BC7" w:rsidR="00662577" w:rsidRPr="00662577" w:rsidRDefault="00662577" w:rsidP="00662577">
            <w:pPr>
              <w:autoSpaceDE w:val="0"/>
              <w:autoSpaceDN w:val="0"/>
              <w:adjustRightInd w:val="0"/>
              <w:spacing w:after="0"/>
              <w:rPr>
                <w:rFonts w:cstheme="minorHAnsi"/>
                <w:color w:val="000000"/>
                <w:sz w:val="14"/>
                <w:szCs w:val="14"/>
              </w:rPr>
            </w:pPr>
            <w:r w:rsidRPr="00662577">
              <w:rPr>
                <w:rFonts w:cstheme="minorHAnsi"/>
                <w:color w:val="000000"/>
                <w:sz w:val="14"/>
                <w:szCs w:val="14"/>
              </w:rPr>
              <w:t>0.98 (0.90-1.06)</w:t>
            </w:r>
          </w:p>
        </w:tc>
      </w:tr>
      <w:tr w:rsidR="00662577" w:rsidRPr="00662577" w14:paraId="5EB1ADEC" w14:textId="77777777" w:rsidTr="008E2B78">
        <w:trPr>
          <w:trHeight w:val="25"/>
        </w:trPr>
        <w:tc>
          <w:tcPr>
            <w:tcW w:w="228" w:type="pct"/>
            <w:vMerge/>
            <w:tcBorders>
              <w:left w:val="single" w:sz="18" w:space="0" w:color="auto"/>
              <w:bottom w:val="single" w:sz="18" w:space="0" w:color="auto"/>
              <w:right w:val="single" w:sz="12" w:space="0" w:color="auto"/>
            </w:tcBorders>
          </w:tcPr>
          <w:p w14:paraId="27BEA58F" w14:textId="77777777" w:rsidR="00662577" w:rsidRPr="00662577" w:rsidRDefault="00662577" w:rsidP="00662577">
            <w:pPr>
              <w:autoSpaceDE w:val="0"/>
              <w:autoSpaceDN w:val="0"/>
              <w:adjustRightInd w:val="0"/>
              <w:spacing w:after="0"/>
              <w:rPr>
                <w:rFonts w:cstheme="minorHAnsi"/>
                <w:color w:val="000000"/>
                <w:sz w:val="14"/>
                <w:szCs w:val="14"/>
              </w:rPr>
            </w:pPr>
          </w:p>
        </w:tc>
        <w:tc>
          <w:tcPr>
            <w:tcW w:w="558" w:type="pct"/>
            <w:tcBorders>
              <w:top w:val="single" w:sz="4" w:space="0" w:color="auto"/>
              <w:left w:val="single" w:sz="12" w:space="0" w:color="auto"/>
              <w:bottom w:val="single" w:sz="18" w:space="0" w:color="auto"/>
              <w:right w:val="single" w:sz="18" w:space="0" w:color="auto"/>
            </w:tcBorders>
            <w:shd w:val="clear" w:color="auto" w:fill="auto"/>
          </w:tcPr>
          <w:p w14:paraId="57E217AB" w14:textId="77777777" w:rsidR="00662577" w:rsidRPr="00662577" w:rsidRDefault="00662577" w:rsidP="00662577">
            <w:pPr>
              <w:autoSpaceDE w:val="0"/>
              <w:autoSpaceDN w:val="0"/>
              <w:adjustRightInd w:val="0"/>
              <w:spacing w:after="0"/>
              <w:rPr>
                <w:rFonts w:cstheme="minorHAnsi"/>
                <w:color w:val="000000"/>
                <w:sz w:val="14"/>
                <w:szCs w:val="14"/>
              </w:rPr>
            </w:pPr>
            <w:r w:rsidRPr="00662577">
              <w:rPr>
                <w:rFonts w:cstheme="minorHAnsi"/>
                <w:color w:val="000000"/>
                <w:sz w:val="14"/>
                <w:szCs w:val="14"/>
              </w:rPr>
              <w:t>Urea</w:t>
            </w:r>
          </w:p>
        </w:tc>
        <w:tc>
          <w:tcPr>
            <w:tcW w:w="975" w:type="pct"/>
            <w:tcBorders>
              <w:top w:val="single" w:sz="4" w:space="0" w:color="auto"/>
              <w:left w:val="single" w:sz="18" w:space="0" w:color="auto"/>
              <w:bottom w:val="single" w:sz="18" w:space="0" w:color="auto"/>
              <w:right w:val="single" w:sz="12" w:space="0" w:color="auto"/>
            </w:tcBorders>
            <w:shd w:val="clear" w:color="auto" w:fill="auto"/>
          </w:tcPr>
          <w:p w14:paraId="17B2E838" w14:textId="77777777" w:rsidR="00662577" w:rsidRPr="00662577" w:rsidRDefault="00662577" w:rsidP="00662577">
            <w:pPr>
              <w:autoSpaceDE w:val="0"/>
              <w:autoSpaceDN w:val="0"/>
              <w:adjustRightInd w:val="0"/>
              <w:spacing w:after="0"/>
              <w:rPr>
                <w:rFonts w:cstheme="minorHAnsi"/>
                <w:color w:val="000000"/>
                <w:sz w:val="14"/>
                <w:szCs w:val="14"/>
              </w:rPr>
            </w:pPr>
            <w:r w:rsidRPr="00662577">
              <w:rPr>
                <w:rFonts w:cstheme="minorHAnsi"/>
                <w:color w:val="000000"/>
                <w:sz w:val="14"/>
                <w:szCs w:val="14"/>
              </w:rPr>
              <w:t>-</w:t>
            </w:r>
          </w:p>
        </w:tc>
        <w:tc>
          <w:tcPr>
            <w:tcW w:w="859" w:type="pct"/>
            <w:tcBorders>
              <w:top w:val="single" w:sz="4" w:space="0" w:color="auto"/>
              <w:left w:val="single" w:sz="12" w:space="0" w:color="auto"/>
              <w:bottom w:val="single" w:sz="18" w:space="0" w:color="auto"/>
              <w:right w:val="single" w:sz="18" w:space="0" w:color="auto"/>
            </w:tcBorders>
          </w:tcPr>
          <w:p w14:paraId="33A30F1F" w14:textId="1B7961DC" w:rsidR="00662577" w:rsidRPr="00662577" w:rsidRDefault="00662577" w:rsidP="00662577">
            <w:pPr>
              <w:autoSpaceDE w:val="0"/>
              <w:autoSpaceDN w:val="0"/>
              <w:adjustRightInd w:val="0"/>
              <w:spacing w:after="0"/>
              <w:rPr>
                <w:rFonts w:cstheme="minorHAnsi"/>
                <w:color w:val="000000"/>
                <w:sz w:val="14"/>
                <w:szCs w:val="14"/>
              </w:rPr>
            </w:pPr>
            <w:r w:rsidRPr="00662577">
              <w:rPr>
                <w:rFonts w:ascii="Calibri" w:hAnsi="Calibri" w:cs="Calibri"/>
                <w:color w:val="000000"/>
                <w:sz w:val="14"/>
                <w:szCs w:val="14"/>
              </w:rPr>
              <w:t>-</w:t>
            </w:r>
          </w:p>
        </w:tc>
        <w:tc>
          <w:tcPr>
            <w:tcW w:w="793" w:type="pct"/>
            <w:tcBorders>
              <w:top w:val="single" w:sz="4" w:space="0" w:color="auto"/>
              <w:left w:val="single" w:sz="18" w:space="0" w:color="auto"/>
              <w:bottom w:val="single" w:sz="18" w:space="0" w:color="auto"/>
              <w:right w:val="single" w:sz="12" w:space="0" w:color="auto"/>
            </w:tcBorders>
          </w:tcPr>
          <w:p w14:paraId="1187ECA2" w14:textId="786719EF" w:rsidR="00662577" w:rsidRPr="00662577" w:rsidRDefault="00662577" w:rsidP="00662577">
            <w:pPr>
              <w:autoSpaceDE w:val="0"/>
              <w:autoSpaceDN w:val="0"/>
              <w:adjustRightInd w:val="0"/>
              <w:spacing w:after="0"/>
              <w:rPr>
                <w:rFonts w:cstheme="minorHAnsi"/>
                <w:color w:val="000000"/>
                <w:sz w:val="14"/>
                <w:szCs w:val="14"/>
              </w:rPr>
            </w:pPr>
            <w:r w:rsidRPr="00662577">
              <w:rPr>
                <w:rFonts w:cstheme="minorHAnsi"/>
                <w:color w:val="000000"/>
                <w:sz w:val="14"/>
                <w:szCs w:val="14"/>
              </w:rPr>
              <w:t>0.89 (0.79-1.00)</w:t>
            </w:r>
          </w:p>
        </w:tc>
        <w:tc>
          <w:tcPr>
            <w:tcW w:w="793" w:type="pct"/>
            <w:tcBorders>
              <w:top w:val="single" w:sz="4" w:space="0" w:color="auto"/>
              <w:left w:val="single" w:sz="12" w:space="0" w:color="auto"/>
              <w:bottom w:val="single" w:sz="18" w:space="0" w:color="auto"/>
              <w:right w:val="single" w:sz="12" w:space="0" w:color="auto"/>
            </w:tcBorders>
          </w:tcPr>
          <w:p w14:paraId="268DCA8F" w14:textId="07F49DE5" w:rsidR="00662577" w:rsidRPr="00662577" w:rsidRDefault="00662577" w:rsidP="00662577">
            <w:pPr>
              <w:autoSpaceDE w:val="0"/>
              <w:autoSpaceDN w:val="0"/>
              <w:adjustRightInd w:val="0"/>
              <w:spacing w:after="0"/>
              <w:rPr>
                <w:rFonts w:cstheme="minorHAnsi"/>
                <w:color w:val="000000"/>
                <w:sz w:val="14"/>
                <w:szCs w:val="14"/>
              </w:rPr>
            </w:pPr>
            <w:r w:rsidRPr="00662577">
              <w:rPr>
                <w:rFonts w:cstheme="minorHAnsi"/>
                <w:b/>
                <w:bCs/>
                <w:color w:val="000000"/>
                <w:sz w:val="14"/>
                <w:szCs w:val="14"/>
              </w:rPr>
              <w:t>0.88 (0.78-1.00)</w:t>
            </w:r>
          </w:p>
        </w:tc>
        <w:tc>
          <w:tcPr>
            <w:tcW w:w="794" w:type="pct"/>
            <w:tcBorders>
              <w:top w:val="single" w:sz="4" w:space="0" w:color="auto"/>
              <w:left w:val="single" w:sz="12" w:space="0" w:color="auto"/>
              <w:bottom w:val="single" w:sz="18" w:space="0" w:color="auto"/>
              <w:right w:val="single" w:sz="18" w:space="0" w:color="auto"/>
            </w:tcBorders>
            <w:shd w:val="clear" w:color="auto" w:fill="auto"/>
          </w:tcPr>
          <w:p w14:paraId="458371CD" w14:textId="06D4235A" w:rsidR="00662577" w:rsidRPr="00662577" w:rsidRDefault="00662577" w:rsidP="00662577">
            <w:pPr>
              <w:autoSpaceDE w:val="0"/>
              <w:autoSpaceDN w:val="0"/>
              <w:adjustRightInd w:val="0"/>
              <w:spacing w:after="0"/>
              <w:rPr>
                <w:rFonts w:cstheme="minorHAnsi"/>
                <w:color w:val="000000"/>
                <w:sz w:val="14"/>
                <w:szCs w:val="14"/>
              </w:rPr>
            </w:pPr>
            <w:r w:rsidRPr="00662577">
              <w:rPr>
                <w:rFonts w:cstheme="minorHAnsi"/>
                <w:color w:val="000000"/>
                <w:sz w:val="14"/>
                <w:szCs w:val="14"/>
              </w:rPr>
              <w:t>0.90 (0.79-1.04)</w:t>
            </w:r>
          </w:p>
        </w:tc>
      </w:tr>
    </w:tbl>
    <w:p w14:paraId="7DD03955" w14:textId="13E68CC5" w:rsidR="004033DB" w:rsidRPr="00AF21BD" w:rsidRDefault="004033DB" w:rsidP="004033DB">
      <w:pPr>
        <w:rPr>
          <w:rFonts w:ascii="Times New Roman" w:hAnsi="Times New Roman" w:cs="Times New Roman"/>
        </w:rPr>
      </w:pPr>
      <w:r w:rsidRPr="00AF21BD">
        <w:rPr>
          <w:rFonts w:ascii="Times New Roman" w:hAnsi="Times New Roman" w:cs="Times New Roman"/>
        </w:rPr>
        <w:t xml:space="preserve">A unit is defined differently in each study. Results in bold font are significant. </w:t>
      </w:r>
      <w:r w:rsidR="002239D9">
        <w:rPr>
          <w:rFonts w:ascii="Times New Roman" w:hAnsi="Times New Roman" w:cs="Times New Roman"/>
        </w:rPr>
        <w:t xml:space="preserve">A </w:t>
      </w:r>
      <w:r w:rsidR="00737680">
        <w:rPr>
          <w:rFonts w:ascii="Times New Roman" w:hAnsi="Times New Roman" w:cs="Times New Roman"/>
        </w:rPr>
        <w:t>dollar sign</w:t>
      </w:r>
      <w:r w:rsidR="002239D9">
        <w:rPr>
          <w:rFonts w:ascii="Times New Roman" w:hAnsi="Times New Roman" w:cs="Times New Roman"/>
        </w:rPr>
        <w:t xml:space="preserve"> (</w:t>
      </w:r>
      <w:r w:rsidR="00737680" w:rsidRPr="00737680">
        <w:rPr>
          <w:rFonts w:cstheme="minorHAnsi"/>
          <w:color w:val="000000"/>
          <w:vertAlign w:val="superscript"/>
        </w:rPr>
        <w:t>$</w:t>
      </w:r>
      <w:r w:rsidR="002239D9">
        <w:rPr>
          <w:rFonts w:ascii="Times New Roman" w:hAnsi="Times New Roman" w:cs="Times New Roman"/>
        </w:rPr>
        <w:t xml:space="preserve">) indicates that the ratio method was performed. </w:t>
      </w:r>
      <w:r w:rsidRPr="00AF21BD">
        <w:rPr>
          <w:rFonts w:ascii="Times New Roman" w:hAnsi="Times New Roman" w:cs="Times New Roman"/>
        </w:rPr>
        <w:t>BC, total breast cancer; PHR, pooled hazards ratio; PRR, pooled risk ratio; POR, pooled odds ratio, SRR, summary risk ratio; preM, pre-menopause; postM, post-menopause; IVW MR, inverse-variance weighted Mendelian randomisation.</w:t>
      </w:r>
      <w:r w:rsidR="001F6878">
        <w:rPr>
          <w:rFonts w:ascii="Times New Roman" w:hAnsi="Times New Roman" w:cs="Times New Roman"/>
        </w:rPr>
        <w:t xml:space="preserve"> </w:t>
      </w:r>
    </w:p>
    <w:p w14:paraId="5967CA7E" w14:textId="08E97051" w:rsidR="004033DB" w:rsidRDefault="004033DB" w:rsidP="004033DB">
      <w:pPr>
        <w:tabs>
          <w:tab w:val="left" w:pos="5625"/>
        </w:tabs>
      </w:pPr>
    </w:p>
    <w:p w14:paraId="45437E2E" w14:textId="6E259998" w:rsidR="00C02672" w:rsidRDefault="00C02672" w:rsidP="004033DB">
      <w:pPr>
        <w:tabs>
          <w:tab w:val="left" w:pos="5625"/>
        </w:tabs>
        <w:rPr>
          <w:b/>
          <w:bCs/>
          <w:sz w:val="32"/>
          <w:szCs w:val="32"/>
        </w:rPr>
      </w:pPr>
      <w:r w:rsidRPr="00C02672">
        <w:rPr>
          <w:b/>
          <w:bCs/>
          <w:sz w:val="32"/>
          <w:szCs w:val="32"/>
        </w:rPr>
        <w:lastRenderedPageBreak/>
        <w:t>References</w:t>
      </w:r>
    </w:p>
    <w:sdt>
      <w:sdtPr>
        <w:rPr>
          <w:b/>
          <w:bCs/>
          <w:sz w:val="32"/>
          <w:szCs w:val="32"/>
        </w:rPr>
        <w:tag w:val="MENDELEY_BIBLIOGRAPHY"/>
        <w:id w:val="1552579560"/>
        <w:placeholder>
          <w:docPart w:val="DefaultPlaceholder_-1854013440"/>
        </w:placeholder>
      </w:sdtPr>
      <w:sdtEndPr/>
      <w:sdtContent>
        <w:p w14:paraId="44D6A255" w14:textId="77777777" w:rsidR="008F665C" w:rsidRDefault="008F665C">
          <w:pPr>
            <w:autoSpaceDE w:val="0"/>
            <w:autoSpaceDN w:val="0"/>
            <w:ind w:hanging="640"/>
            <w:divId w:val="525600849"/>
            <w:rPr>
              <w:rFonts w:eastAsia="Times New Roman"/>
              <w:sz w:val="24"/>
              <w:szCs w:val="24"/>
            </w:rPr>
          </w:pPr>
          <w:r>
            <w:rPr>
              <w:rFonts w:eastAsia="Times New Roman"/>
            </w:rPr>
            <w:t xml:space="preserve">1. </w:t>
          </w:r>
          <w:r>
            <w:rPr>
              <w:rFonts w:eastAsia="Times New Roman"/>
            </w:rPr>
            <w:tab/>
            <w:t>Wulaningsih W, Sagoo HK, Hamza M, et al (2016) Serum calcium and the risk of breast cancer: Findings from the Swedish AMORIS study and a meta-analysis of prospective studies. Int J Mol Sci 17:1487</w:t>
          </w:r>
        </w:p>
        <w:p w14:paraId="791E7EE0" w14:textId="77777777" w:rsidR="008F665C" w:rsidRDefault="008F665C">
          <w:pPr>
            <w:autoSpaceDE w:val="0"/>
            <w:autoSpaceDN w:val="0"/>
            <w:ind w:hanging="640"/>
            <w:divId w:val="229074955"/>
            <w:rPr>
              <w:rFonts w:eastAsia="Times New Roman"/>
            </w:rPr>
          </w:pPr>
          <w:r>
            <w:rPr>
              <w:rFonts w:eastAsia="Times New Roman"/>
            </w:rPr>
            <w:t xml:space="preserve">2. </w:t>
          </w:r>
          <w:r>
            <w:rPr>
              <w:rFonts w:eastAsia="Times New Roman"/>
            </w:rPr>
            <w:tab/>
            <w:t>Papadimitriou N, Dimou N, Gill D, Tzoulaki I, Murphy N, Riboli E, Lewis SJ, Martin RM, Gunter MJ, Tsilidis KK (2020) Genetically predicted circulating concentrations of micro‐nutrients and risk of breast cancer: A Mendelian randomization study. Int J Cancer 668186</w:t>
          </w:r>
        </w:p>
        <w:p w14:paraId="21F65C13" w14:textId="77777777" w:rsidR="008F665C" w:rsidRDefault="008F665C">
          <w:pPr>
            <w:autoSpaceDE w:val="0"/>
            <w:autoSpaceDN w:val="0"/>
            <w:ind w:hanging="640"/>
            <w:divId w:val="530538722"/>
            <w:rPr>
              <w:rFonts w:eastAsia="Times New Roman"/>
            </w:rPr>
          </w:pPr>
          <w:r>
            <w:rPr>
              <w:rFonts w:eastAsia="Times New Roman"/>
            </w:rPr>
            <w:t xml:space="preserve">3. </w:t>
          </w:r>
          <w:r>
            <w:rPr>
              <w:rFonts w:eastAsia="Times New Roman"/>
            </w:rPr>
            <w:tab/>
            <w:t>Ye Y, Yang H, Wang Y, Zhao H (2021) A comprehensive genetic and epidemiological association analysis of vitamin D with common diseases/traits in the UK Biobank. Genet Epidemiol 45:24–35</w:t>
          </w:r>
        </w:p>
        <w:p w14:paraId="033712C2" w14:textId="77777777" w:rsidR="008F665C" w:rsidRDefault="008F665C">
          <w:pPr>
            <w:autoSpaceDE w:val="0"/>
            <w:autoSpaceDN w:val="0"/>
            <w:ind w:hanging="640"/>
            <w:divId w:val="1877423616"/>
            <w:rPr>
              <w:rFonts w:eastAsia="Times New Roman"/>
            </w:rPr>
          </w:pPr>
          <w:r>
            <w:rPr>
              <w:rFonts w:eastAsia="Times New Roman"/>
            </w:rPr>
            <w:t xml:space="preserve">4. </w:t>
          </w:r>
          <w:r>
            <w:rPr>
              <w:rFonts w:eastAsia="Times New Roman"/>
            </w:rPr>
            <w:tab/>
            <w:t xml:space="preserve">Murphy N, Knuppel A, Papadimitriou N, et al (2020) Insulin-like growth factor-1, insulin-like growth factor-binding protein-3, and breast cancer risk: observational and Mendelian randomization analyses with </w:t>
          </w:r>
          <w:r>
            <w:rPr>
              <w:rFonts w:ascii="Cambria Math" w:eastAsia="Times New Roman" w:hAnsi="Cambria Math" w:cs="Cambria Math"/>
            </w:rPr>
            <w:t>∼</w:t>
          </w:r>
          <w:r>
            <w:rPr>
              <w:rFonts w:eastAsia="Times New Roman"/>
            </w:rPr>
            <w:t>430 000 women. Annals of Oncology 31:641–649</w:t>
          </w:r>
        </w:p>
        <w:p w14:paraId="72D74562" w14:textId="77777777" w:rsidR="008F665C" w:rsidRDefault="008F665C">
          <w:pPr>
            <w:autoSpaceDE w:val="0"/>
            <w:autoSpaceDN w:val="0"/>
            <w:ind w:hanging="640"/>
            <w:divId w:val="892884605"/>
            <w:rPr>
              <w:rFonts w:eastAsia="Times New Roman"/>
            </w:rPr>
          </w:pPr>
          <w:r>
            <w:rPr>
              <w:rFonts w:eastAsia="Times New Roman"/>
            </w:rPr>
            <w:t xml:space="preserve">5. </w:t>
          </w:r>
          <w:r>
            <w:rPr>
              <w:rFonts w:eastAsia="Times New Roman"/>
            </w:rPr>
            <w:tab/>
            <w:t>Key T (2015) Steroid hormone measurements from different types of assays in relation to body mass index and breast cancer risk in postmenopausal women: Reanalysis of eighteen prospective studies. Steroids 99:49–55</w:t>
          </w:r>
        </w:p>
        <w:p w14:paraId="478DC78D" w14:textId="77777777" w:rsidR="008F665C" w:rsidRDefault="008F665C">
          <w:pPr>
            <w:autoSpaceDE w:val="0"/>
            <w:autoSpaceDN w:val="0"/>
            <w:ind w:hanging="640"/>
            <w:divId w:val="227613426"/>
            <w:rPr>
              <w:rFonts w:eastAsia="Times New Roman"/>
            </w:rPr>
          </w:pPr>
          <w:r>
            <w:rPr>
              <w:rFonts w:eastAsia="Times New Roman"/>
            </w:rPr>
            <w:t xml:space="preserve">6. </w:t>
          </w:r>
          <w:r>
            <w:rPr>
              <w:rFonts w:eastAsia="Times New Roman"/>
            </w:rPr>
            <w:tab/>
            <w:t>He XY, Liao YD, Yu S, Zhang Y, Wang R (2015) Sex hormone binding globulin and risk of breast cancer in postmenopausal women: A meta-analysis of prospective studies. Hormone and Metabolic Research 47:485–490</w:t>
          </w:r>
        </w:p>
        <w:p w14:paraId="252D3BE0" w14:textId="77777777" w:rsidR="008F665C" w:rsidRDefault="008F665C">
          <w:pPr>
            <w:autoSpaceDE w:val="0"/>
            <w:autoSpaceDN w:val="0"/>
            <w:ind w:hanging="640"/>
            <w:divId w:val="1483765775"/>
            <w:rPr>
              <w:rFonts w:eastAsia="Times New Roman"/>
            </w:rPr>
          </w:pPr>
          <w:r>
            <w:rPr>
              <w:rFonts w:eastAsia="Times New Roman"/>
            </w:rPr>
            <w:t xml:space="preserve">7. </w:t>
          </w:r>
          <w:r>
            <w:rPr>
              <w:rFonts w:eastAsia="Times New Roman"/>
            </w:rPr>
            <w:tab/>
            <w:t>Dimou NL, Papadimitriou N, Gill D, et al (2019) Sex hormone binding globulin and risk of breast cancer: A Mendelian randomization study. Int J Epidemiol 48:807–816</w:t>
          </w:r>
        </w:p>
        <w:p w14:paraId="535EB712" w14:textId="77777777" w:rsidR="008F665C" w:rsidRDefault="008F665C">
          <w:pPr>
            <w:autoSpaceDE w:val="0"/>
            <w:autoSpaceDN w:val="0"/>
            <w:ind w:hanging="640"/>
            <w:divId w:val="1927182809"/>
            <w:rPr>
              <w:rFonts w:eastAsia="Times New Roman"/>
            </w:rPr>
          </w:pPr>
          <w:r>
            <w:rPr>
              <w:rFonts w:eastAsia="Times New Roman"/>
            </w:rPr>
            <w:t xml:space="preserve">8. </w:t>
          </w:r>
          <w:r>
            <w:rPr>
              <w:rFonts w:eastAsia="Times New Roman"/>
            </w:rPr>
            <w:tab/>
            <w:t>Ruth KS, Day FR, Tyrrell J, et al (2020) Using human genetics to understand the disease impacts of testosterone in men and women. Nat Med 26:252–258</w:t>
          </w:r>
        </w:p>
        <w:p w14:paraId="73A21E4E" w14:textId="77777777" w:rsidR="008F665C" w:rsidRDefault="008F665C">
          <w:pPr>
            <w:autoSpaceDE w:val="0"/>
            <w:autoSpaceDN w:val="0"/>
            <w:ind w:hanging="640"/>
            <w:divId w:val="642082059"/>
            <w:rPr>
              <w:rFonts w:eastAsia="Times New Roman"/>
            </w:rPr>
          </w:pPr>
          <w:r>
            <w:rPr>
              <w:rFonts w:eastAsia="Times New Roman"/>
            </w:rPr>
            <w:t xml:space="preserve">9. </w:t>
          </w:r>
          <w:r>
            <w:rPr>
              <w:rFonts w:eastAsia="Times New Roman"/>
            </w:rPr>
            <w:tab/>
            <w:t>Borgquist S, Butt T, Almgren P, Shiffman D, Stocks T, Orho-Melander M, Manjer J, Melander O (2016) Apolipoproteins, lipids and risk of cancer. Int J Cancer 138:2648–2656</w:t>
          </w:r>
        </w:p>
        <w:p w14:paraId="2D717E56" w14:textId="77777777" w:rsidR="008F665C" w:rsidRDefault="008F665C">
          <w:pPr>
            <w:autoSpaceDE w:val="0"/>
            <w:autoSpaceDN w:val="0"/>
            <w:ind w:hanging="640"/>
            <w:divId w:val="1782525874"/>
            <w:rPr>
              <w:rFonts w:eastAsia="Times New Roman"/>
            </w:rPr>
          </w:pPr>
          <w:r>
            <w:rPr>
              <w:rFonts w:eastAsia="Times New Roman"/>
            </w:rPr>
            <w:t xml:space="preserve">10. </w:t>
          </w:r>
          <w:r>
            <w:rPr>
              <w:rFonts w:eastAsia="Times New Roman"/>
            </w:rPr>
            <w:tab/>
            <w:t>Guo L, Liu S, Zhang S, Chen Q, Zhang M, Quan P, Lu J, Sun X (2015) C-reactive protein and risk of breast cancer: A systematic review and meta-analysis. Sci Rep 5:1–8</w:t>
          </w:r>
        </w:p>
        <w:p w14:paraId="76088793" w14:textId="77777777" w:rsidR="008F665C" w:rsidRDefault="008F665C">
          <w:pPr>
            <w:autoSpaceDE w:val="0"/>
            <w:autoSpaceDN w:val="0"/>
            <w:ind w:hanging="640"/>
            <w:divId w:val="1703170159"/>
            <w:rPr>
              <w:rFonts w:eastAsia="Times New Roman"/>
            </w:rPr>
          </w:pPr>
          <w:r>
            <w:rPr>
              <w:rFonts w:eastAsia="Times New Roman"/>
            </w:rPr>
            <w:t xml:space="preserve">11. </w:t>
          </w:r>
          <w:r>
            <w:rPr>
              <w:rFonts w:eastAsia="Times New Roman"/>
            </w:rPr>
            <w:tab/>
            <w:t>Robinson T, Martin RM, Yarmolinsky J (2020) Mendelian randomisation analysis of circulating adipokines and C-reactive protein on breast cancer risk. Int J Cancer 147:1597–1603</w:t>
          </w:r>
        </w:p>
        <w:p w14:paraId="4046068B" w14:textId="77777777" w:rsidR="008F665C" w:rsidRDefault="008F665C">
          <w:pPr>
            <w:autoSpaceDE w:val="0"/>
            <w:autoSpaceDN w:val="0"/>
            <w:ind w:hanging="640"/>
            <w:divId w:val="1067730117"/>
            <w:rPr>
              <w:rFonts w:eastAsia="Times New Roman"/>
            </w:rPr>
          </w:pPr>
          <w:r>
            <w:rPr>
              <w:rFonts w:eastAsia="Times New Roman"/>
            </w:rPr>
            <w:t xml:space="preserve">12. </w:t>
          </w:r>
          <w:r>
            <w:rPr>
              <w:rFonts w:eastAsia="Times New Roman"/>
            </w:rPr>
            <w:tab/>
            <w:t>Ni H, Liu H, Gao R (2015) Serum lipids and breast cancer risk: A meta-Analysis of prospective cohort studies. PLoS One 10:e0142669</w:t>
          </w:r>
        </w:p>
        <w:p w14:paraId="5975CAF3" w14:textId="77777777" w:rsidR="008F665C" w:rsidRDefault="008F665C">
          <w:pPr>
            <w:autoSpaceDE w:val="0"/>
            <w:autoSpaceDN w:val="0"/>
            <w:ind w:hanging="640"/>
            <w:divId w:val="1282227360"/>
            <w:rPr>
              <w:rFonts w:eastAsia="Times New Roman"/>
            </w:rPr>
          </w:pPr>
          <w:r>
            <w:rPr>
              <w:rFonts w:eastAsia="Times New Roman"/>
            </w:rPr>
            <w:t xml:space="preserve">13. </w:t>
          </w:r>
          <w:r>
            <w:rPr>
              <w:rFonts w:eastAsia="Times New Roman"/>
            </w:rPr>
            <w:tab/>
            <w:t>Beeghly-Fadiel A, Khankari NK, Delahanty RJ, et al (2019) A Mendelian randomization analysis of circulating lipid traits and breast cancer risk. Int J Epidemiol. https://doi.org/10.1093/ije/dyz242</w:t>
          </w:r>
        </w:p>
        <w:p w14:paraId="16F7BEEC" w14:textId="77777777" w:rsidR="008F665C" w:rsidRDefault="008F665C">
          <w:pPr>
            <w:autoSpaceDE w:val="0"/>
            <w:autoSpaceDN w:val="0"/>
            <w:ind w:hanging="640"/>
            <w:divId w:val="1303081022"/>
            <w:rPr>
              <w:rFonts w:eastAsia="Times New Roman"/>
            </w:rPr>
          </w:pPr>
          <w:r>
            <w:rPr>
              <w:rFonts w:eastAsia="Times New Roman"/>
            </w:rPr>
            <w:t xml:space="preserve">14. </w:t>
          </w:r>
          <w:r>
            <w:rPr>
              <w:rFonts w:eastAsia="Times New Roman"/>
            </w:rPr>
            <w:tab/>
            <w:t>Boyle P, Koechlin A, Pizot C, Boniol M, Robertson C, Mullie P, Bolli G, Rosenstock J, Autier P (2013) Blood glucose concentrations and breast cancer risk in women without diabetes: A meta-analysis. Eur J Nutr 52:1533–1540</w:t>
          </w:r>
        </w:p>
        <w:p w14:paraId="396413C4" w14:textId="77777777" w:rsidR="008F665C" w:rsidRDefault="008F665C">
          <w:pPr>
            <w:autoSpaceDE w:val="0"/>
            <w:autoSpaceDN w:val="0"/>
            <w:ind w:hanging="640"/>
            <w:divId w:val="301353136"/>
            <w:rPr>
              <w:rFonts w:eastAsia="Times New Roman"/>
            </w:rPr>
          </w:pPr>
          <w:r>
            <w:rPr>
              <w:rFonts w:eastAsia="Times New Roman"/>
            </w:rPr>
            <w:t xml:space="preserve">15. </w:t>
          </w:r>
          <w:r>
            <w:rPr>
              <w:rFonts w:eastAsia="Times New Roman"/>
            </w:rPr>
            <w:tab/>
            <w:t>Shu X, Wu L, Khankari NK, et al (2019) Associations of obesity and circulating insulin and glucose with breast cancer risk: A Mendelian randomization analysis. Int J Epidemiol 48:795–806</w:t>
          </w:r>
        </w:p>
        <w:p w14:paraId="4F570A3D" w14:textId="77777777" w:rsidR="008F665C" w:rsidRDefault="008F665C">
          <w:pPr>
            <w:autoSpaceDE w:val="0"/>
            <w:autoSpaceDN w:val="0"/>
            <w:ind w:hanging="640"/>
            <w:divId w:val="392168455"/>
            <w:rPr>
              <w:rFonts w:eastAsia="Times New Roman"/>
            </w:rPr>
          </w:pPr>
          <w:r>
            <w:rPr>
              <w:rFonts w:eastAsia="Times New Roman"/>
            </w:rPr>
            <w:lastRenderedPageBreak/>
            <w:t xml:space="preserve">16. </w:t>
          </w:r>
          <w:r>
            <w:rPr>
              <w:rFonts w:eastAsia="Times New Roman"/>
            </w:rPr>
            <w:tab/>
            <w:t>Kühn T, Sookthai D, Graf ME, Schübel R, Freisling H, Johnson T, Katzke V, Kaaks R (2017) Albumin, bilirubin, uric acid and cancer risk: Results from a prospective population-based study. Br J Cancer 117:1572–1579</w:t>
          </w:r>
        </w:p>
        <w:p w14:paraId="59309D4D" w14:textId="77777777" w:rsidR="008F665C" w:rsidRDefault="008F665C">
          <w:pPr>
            <w:autoSpaceDE w:val="0"/>
            <w:autoSpaceDN w:val="0"/>
            <w:ind w:hanging="640"/>
            <w:divId w:val="258829904"/>
            <w:rPr>
              <w:rFonts w:eastAsia="Times New Roman"/>
            </w:rPr>
          </w:pPr>
          <w:r>
            <w:rPr>
              <w:rFonts w:eastAsia="Times New Roman"/>
            </w:rPr>
            <w:t xml:space="preserve">17. </w:t>
          </w:r>
          <w:r>
            <w:rPr>
              <w:rFonts w:eastAsia="Times New Roman"/>
            </w:rPr>
            <w:tab/>
            <w:t>Kunutsor SK, Apekey TA, van Hemelrijck M, Calori G, Perseghin G (2015) Gamma glutamyltransferase, alanine aminotransferase and risk of cancer: Systematic review and meta-analysis. Int J Cancer 136:1162–1170</w:t>
          </w:r>
        </w:p>
        <w:p w14:paraId="338250D0" w14:textId="390F7654" w:rsidR="00C02672" w:rsidRPr="00C02672" w:rsidRDefault="008F665C" w:rsidP="004033DB">
          <w:pPr>
            <w:tabs>
              <w:tab w:val="left" w:pos="5625"/>
            </w:tabs>
            <w:rPr>
              <w:b/>
              <w:bCs/>
              <w:sz w:val="32"/>
              <w:szCs w:val="32"/>
            </w:rPr>
          </w:pPr>
          <w:r>
            <w:rPr>
              <w:rFonts w:eastAsia="Times New Roman"/>
            </w:rPr>
            <w:t> </w:t>
          </w:r>
        </w:p>
      </w:sdtContent>
    </w:sdt>
    <w:sectPr w:rsidR="00C02672" w:rsidRPr="00C02672" w:rsidSect="004033DB">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E0MrY0NjW2MLcwM7FQ0lEKTi0uzszPAykwrQUAcWGKWCwAAAA="/>
  </w:docVars>
  <w:rsids>
    <w:rsidRoot w:val="004033DB"/>
    <w:rsid w:val="00043123"/>
    <w:rsid w:val="00050E90"/>
    <w:rsid w:val="000718F2"/>
    <w:rsid w:val="000A4BC6"/>
    <w:rsid w:val="000B7A2B"/>
    <w:rsid w:val="000D000E"/>
    <w:rsid w:val="000D1CB5"/>
    <w:rsid w:val="0013006E"/>
    <w:rsid w:val="00160D1D"/>
    <w:rsid w:val="001733FF"/>
    <w:rsid w:val="00180E43"/>
    <w:rsid w:val="001E61C8"/>
    <w:rsid w:val="001E748F"/>
    <w:rsid w:val="001F6878"/>
    <w:rsid w:val="002020DF"/>
    <w:rsid w:val="00222AAD"/>
    <w:rsid w:val="002239D9"/>
    <w:rsid w:val="00225611"/>
    <w:rsid w:val="002676EB"/>
    <w:rsid w:val="00271E8A"/>
    <w:rsid w:val="00282ACE"/>
    <w:rsid w:val="002D16CB"/>
    <w:rsid w:val="002D618E"/>
    <w:rsid w:val="002F3745"/>
    <w:rsid w:val="00310F53"/>
    <w:rsid w:val="003139EA"/>
    <w:rsid w:val="00330903"/>
    <w:rsid w:val="00332873"/>
    <w:rsid w:val="003926B0"/>
    <w:rsid w:val="003976AB"/>
    <w:rsid w:val="004033DB"/>
    <w:rsid w:val="00406389"/>
    <w:rsid w:val="00411E09"/>
    <w:rsid w:val="00491334"/>
    <w:rsid w:val="004E28AA"/>
    <w:rsid w:val="005B6562"/>
    <w:rsid w:val="005E6645"/>
    <w:rsid w:val="006469F4"/>
    <w:rsid w:val="00654A89"/>
    <w:rsid w:val="00662577"/>
    <w:rsid w:val="00667DA9"/>
    <w:rsid w:val="006B1D3A"/>
    <w:rsid w:val="006F7D3D"/>
    <w:rsid w:val="007064A3"/>
    <w:rsid w:val="00727391"/>
    <w:rsid w:val="00737680"/>
    <w:rsid w:val="007B0C6D"/>
    <w:rsid w:val="007B6733"/>
    <w:rsid w:val="007C4173"/>
    <w:rsid w:val="007F207F"/>
    <w:rsid w:val="00801C1A"/>
    <w:rsid w:val="008075C2"/>
    <w:rsid w:val="0081371D"/>
    <w:rsid w:val="008849F3"/>
    <w:rsid w:val="008961B5"/>
    <w:rsid w:val="008A50C0"/>
    <w:rsid w:val="008C2C92"/>
    <w:rsid w:val="008E2B78"/>
    <w:rsid w:val="008F665C"/>
    <w:rsid w:val="00905335"/>
    <w:rsid w:val="009160F0"/>
    <w:rsid w:val="00934CC9"/>
    <w:rsid w:val="00943A33"/>
    <w:rsid w:val="00951216"/>
    <w:rsid w:val="00953CF1"/>
    <w:rsid w:val="009710E4"/>
    <w:rsid w:val="00973CFA"/>
    <w:rsid w:val="00976CE7"/>
    <w:rsid w:val="009A6A13"/>
    <w:rsid w:val="009B33DA"/>
    <w:rsid w:val="009B4F63"/>
    <w:rsid w:val="009F114D"/>
    <w:rsid w:val="00A03AB0"/>
    <w:rsid w:val="00A6433B"/>
    <w:rsid w:val="00A669F5"/>
    <w:rsid w:val="00AB7BE6"/>
    <w:rsid w:val="00AC0CA0"/>
    <w:rsid w:val="00AC3D66"/>
    <w:rsid w:val="00AC6618"/>
    <w:rsid w:val="00AF21BD"/>
    <w:rsid w:val="00B41863"/>
    <w:rsid w:val="00B512AE"/>
    <w:rsid w:val="00B55503"/>
    <w:rsid w:val="00B65A07"/>
    <w:rsid w:val="00B7769D"/>
    <w:rsid w:val="00BB0416"/>
    <w:rsid w:val="00BC7E10"/>
    <w:rsid w:val="00BD09E5"/>
    <w:rsid w:val="00BF2C6A"/>
    <w:rsid w:val="00C02672"/>
    <w:rsid w:val="00C809E8"/>
    <w:rsid w:val="00CB3A52"/>
    <w:rsid w:val="00CD188D"/>
    <w:rsid w:val="00CE03DF"/>
    <w:rsid w:val="00D01B60"/>
    <w:rsid w:val="00D04B67"/>
    <w:rsid w:val="00D1476A"/>
    <w:rsid w:val="00D218B9"/>
    <w:rsid w:val="00D2327D"/>
    <w:rsid w:val="00D37C39"/>
    <w:rsid w:val="00D44C40"/>
    <w:rsid w:val="00D61D9D"/>
    <w:rsid w:val="00DA3C65"/>
    <w:rsid w:val="00DA73FA"/>
    <w:rsid w:val="00DC11F7"/>
    <w:rsid w:val="00DE1AA6"/>
    <w:rsid w:val="00DF61B1"/>
    <w:rsid w:val="00E22765"/>
    <w:rsid w:val="00E31BE9"/>
    <w:rsid w:val="00E92C1E"/>
    <w:rsid w:val="00EA7AF5"/>
    <w:rsid w:val="00EB4839"/>
    <w:rsid w:val="00F32EDF"/>
    <w:rsid w:val="00F414A3"/>
    <w:rsid w:val="00F630A3"/>
    <w:rsid w:val="00FF25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FFF6A"/>
  <w15:chartTrackingRefBased/>
  <w15:docId w15:val="{1797EFF2-6D0F-4AF1-8D81-7D0937DE6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267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74046">
      <w:bodyDiv w:val="1"/>
      <w:marLeft w:val="0"/>
      <w:marRight w:val="0"/>
      <w:marTop w:val="0"/>
      <w:marBottom w:val="0"/>
      <w:divBdr>
        <w:top w:val="none" w:sz="0" w:space="0" w:color="auto"/>
        <w:left w:val="none" w:sz="0" w:space="0" w:color="auto"/>
        <w:bottom w:val="none" w:sz="0" w:space="0" w:color="auto"/>
        <w:right w:val="none" w:sz="0" w:space="0" w:color="auto"/>
      </w:divBdr>
      <w:divsChild>
        <w:div w:id="2075010486">
          <w:marLeft w:val="640"/>
          <w:marRight w:val="0"/>
          <w:marTop w:val="0"/>
          <w:marBottom w:val="0"/>
          <w:divBdr>
            <w:top w:val="none" w:sz="0" w:space="0" w:color="auto"/>
            <w:left w:val="none" w:sz="0" w:space="0" w:color="auto"/>
            <w:bottom w:val="none" w:sz="0" w:space="0" w:color="auto"/>
            <w:right w:val="none" w:sz="0" w:space="0" w:color="auto"/>
          </w:divBdr>
        </w:div>
        <w:div w:id="1566139294">
          <w:marLeft w:val="640"/>
          <w:marRight w:val="0"/>
          <w:marTop w:val="0"/>
          <w:marBottom w:val="0"/>
          <w:divBdr>
            <w:top w:val="none" w:sz="0" w:space="0" w:color="auto"/>
            <w:left w:val="none" w:sz="0" w:space="0" w:color="auto"/>
            <w:bottom w:val="none" w:sz="0" w:space="0" w:color="auto"/>
            <w:right w:val="none" w:sz="0" w:space="0" w:color="auto"/>
          </w:divBdr>
        </w:div>
        <w:div w:id="1359893633">
          <w:marLeft w:val="640"/>
          <w:marRight w:val="0"/>
          <w:marTop w:val="0"/>
          <w:marBottom w:val="0"/>
          <w:divBdr>
            <w:top w:val="none" w:sz="0" w:space="0" w:color="auto"/>
            <w:left w:val="none" w:sz="0" w:space="0" w:color="auto"/>
            <w:bottom w:val="none" w:sz="0" w:space="0" w:color="auto"/>
            <w:right w:val="none" w:sz="0" w:space="0" w:color="auto"/>
          </w:divBdr>
        </w:div>
        <w:div w:id="113139930">
          <w:marLeft w:val="640"/>
          <w:marRight w:val="0"/>
          <w:marTop w:val="0"/>
          <w:marBottom w:val="0"/>
          <w:divBdr>
            <w:top w:val="none" w:sz="0" w:space="0" w:color="auto"/>
            <w:left w:val="none" w:sz="0" w:space="0" w:color="auto"/>
            <w:bottom w:val="none" w:sz="0" w:space="0" w:color="auto"/>
            <w:right w:val="none" w:sz="0" w:space="0" w:color="auto"/>
          </w:divBdr>
        </w:div>
        <w:div w:id="597064735">
          <w:marLeft w:val="640"/>
          <w:marRight w:val="0"/>
          <w:marTop w:val="0"/>
          <w:marBottom w:val="0"/>
          <w:divBdr>
            <w:top w:val="none" w:sz="0" w:space="0" w:color="auto"/>
            <w:left w:val="none" w:sz="0" w:space="0" w:color="auto"/>
            <w:bottom w:val="none" w:sz="0" w:space="0" w:color="auto"/>
            <w:right w:val="none" w:sz="0" w:space="0" w:color="auto"/>
          </w:divBdr>
        </w:div>
        <w:div w:id="1682510058">
          <w:marLeft w:val="640"/>
          <w:marRight w:val="0"/>
          <w:marTop w:val="0"/>
          <w:marBottom w:val="0"/>
          <w:divBdr>
            <w:top w:val="none" w:sz="0" w:space="0" w:color="auto"/>
            <w:left w:val="none" w:sz="0" w:space="0" w:color="auto"/>
            <w:bottom w:val="none" w:sz="0" w:space="0" w:color="auto"/>
            <w:right w:val="none" w:sz="0" w:space="0" w:color="auto"/>
          </w:divBdr>
        </w:div>
        <w:div w:id="1733700935">
          <w:marLeft w:val="640"/>
          <w:marRight w:val="0"/>
          <w:marTop w:val="0"/>
          <w:marBottom w:val="0"/>
          <w:divBdr>
            <w:top w:val="none" w:sz="0" w:space="0" w:color="auto"/>
            <w:left w:val="none" w:sz="0" w:space="0" w:color="auto"/>
            <w:bottom w:val="none" w:sz="0" w:space="0" w:color="auto"/>
            <w:right w:val="none" w:sz="0" w:space="0" w:color="auto"/>
          </w:divBdr>
        </w:div>
        <w:div w:id="132529794">
          <w:marLeft w:val="640"/>
          <w:marRight w:val="0"/>
          <w:marTop w:val="0"/>
          <w:marBottom w:val="0"/>
          <w:divBdr>
            <w:top w:val="none" w:sz="0" w:space="0" w:color="auto"/>
            <w:left w:val="none" w:sz="0" w:space="0" w:color="auto"/>
            <w:bottom w:val="none" w:sz="0" w:space="0" w:color="auto"/>
            <w:right w:val="none" w:sz="0" w:space="0" w:color="auto"/>
          </w:divBdr>
        </w:div>
        <w:div w:id="487525016">
          <w:marLeft w:val="640"/>
          <w:marRight w:val="0"/>
          <w:marTop w:val="0"/>
          <w:marBottom w:val="0"/>
          <w:divBdr>
            <w:top w:val="none" w:sz="0" w:space="0" w:color="auto"/>
            <w:left w:val="none" w:sz="0" w:space="0" w:color="auto"/>
            <w:bottom w:val="none" w:sz="0" w:space="0" w:color="auto"/>
            <w:right w:val="none" w:sz="0" w:space="0" w:color="auto"/>
          </w:divBdr>
        </w:div>
        <w:div w:id="2077434250">
          <w:marLeft w:val="640"/>
          <w:marRight w:val="0"/>
          <w:marTop w:val="0"/>
          <w:marBottom w:val="0"/>
          <w:divBdr>
            <w:top w:val="none" w:sz="0" w:space="0" w:color="auto"/>
            <w:left w:val="none" w:sz="0" w:space="0" w:color="auto"/>
            <w:bottom w:val="none" w:sz="0" w:space="0" w:color="auto"/>
            <w:right w:val="none" w:sz="0" w:space="0" w:color="auto"/>
          </w:divBdr>
        </w:div>
        <w:div w:id="876702267">
          <w:marLeft w:val="640"/>
          <w:marRight w:val="0"/>
          <w:marTop w:val="0"/>
          <w:marBottom w:val="0"/>
          <w:divBdr>
            <w:top w:val="none" w:sz="0" w:space="0" w:color="auto"/>
            <w:left w:val="none" w:sz="0" w:space="0" w:color="auto"/>
            <w:bottom w:val="none" w:sz="0" w:space="0" w:color="auto"/>
            <w:right w:val="none" w:sz="0" w:space="0" w:color="auto"/>
          </w:divBdr>
        </w:div>
        <w:div w:id="52195696">
          <w:marLeft w:val="640"/>
          <w:marRight w:val="0"/>
          <w:marTop w:val="0"/>
          <w:marBottom w:val="0"/>
          <w:divBdr>
            <w:top w:val="none" w:sz="0" w:space="0" w:color="auto"/>
            <w:left w:val="none" w:sz="0" w:space="0" w:color="auto"/>
            <w:bottom w:val="none" w:sz="0" w:space="0" w:color="auto"/>
            <w:right w:val="none" w:sz="0" w:space="0" w:color="auto"/>
          </w:divBdr>
        </w:div>
        <w:div w:id="1982686584">
          <w:marLeft w:val="640"/>
          <w:marRight w:val="0"/>
          <w:marTop w:val="0"/>
          <w:marBottom w:val="0"/>
          <w:divBdr>
            <w:top w:val="none" w:sz="0" w:space="0" w:color="auto"/>
            <w:left w:val="none" w:sz="0" w:space="0" w:color="auto"/>
            <w:bottom w:val="none" w:sz="0" w:space="0" w:color="auto"/>
            <w:right w:val="none" w:sz="0" w:space="0" w:color="auto"/>
          </w:divBdr>
        </w:div>
        <w:div w:id="1230580736">
          <w:marLeft w:val="640"/>
          <w:marRight w:val="0"/>
          <w:marTop w:val="0"/>
          <w:marBottom w:val="0"/>
          <w:divBdr>
            <w:top w:val="none" w:sz="0" w:space="0" w:color="auto"/>
            <w:left w:val="none" w:sz="0" w:space="0" w:color="auto"/>
            <w:bottom w:val="none" w:sz="0" w:space="0" w:color="auto"/>
            <w:right w:val="none" w:sz="0" w:space="0" w:color="auto"/>
          </w:divBdr>
        </w:div>
      </w:divsChild>
    </w:div>
    <w:div w:id="65147755">
      <w:bodyDiv w:val="1"/>
      <w:marLeft w:val="0"/>
      <w:marRight w:val="0"/>
      <w:marTop w:val="0"/>
      <w:marBottom w:val="0"/>
      <w:divBdr>
        <w:top w:val="none" w:sz="0" w:space="0" w:color="auto"/>
        <w:left w:val="none" w:sz="0" w:space="0" w:color="auto"/>
        <w:bottom w:val="none" w:sz="0" w:space="0" w:color="auto"/>
        <w:right w:val="none" w:sz="0" w:space="0" w:color="auto"/>
      </w:divBdr>
      <w:divsChild>
        <w:div w:id="1852837661">
          <w:marLeft w:val="640"/>
          <w:marRight w:val="0"/>
          <w:marTop w:val="0"/>
          <w:marBottom w:val="0"/>
          <w:divBdr>
            <w:top w:val="none" w:sz="0" w:space="0" w:color="auto"/>
            <w:left w:val="none" w:sz="0" w:space="0" w:color="auto"/>
            <w:bottom w:val="none" w:sz="0" w:space="0" w:color="auto"/>
            <w:right w:val="none" w:sz="0" w:space="0" w:color="auto"/>
          </w:divBdr>
        </w:div>
        <w:div w:id="1342122805">
          <w:marLeft w:val="640"/>
          <w:marRight w:val="0"/>
          <w:marTop w:val="0"/>
          <w:marBottom w:val="0"/>
          <w:divBdr>
            <w:top w:val="none" w:sz="0" w:space="0" w:color="auto"/>
            <w:left w:val="none" w:sz="0" w:space="0" w:color="auto"/>
            <w:bottom w:val="none" w:sz="0" w:space="0" w:color="auto"/>
            <w:right w:val="none" w:sz="0" w:space="0" w:color="auto"/>
          </w:divBdr>
        </w:div>
        <w:div w:id="604732506">
          <w:marLeft w:val="640"/>
          <w:marRight w:val="0"/>
          <w:marTop w:val="0"/>
          <w:marBottom w:val="0"/>
          <w:divBdr>
            <w:top w:val="none" w:sz="0" w:space="0" w:color="auto"/>
            <w:left w:val="none" w:sz="0" w:space="0" w:color="auto"/>
            <w:bottom w:val="none" w:sz="0" w:space="0" w:color="auto"/>
            <w:right w:val="none" w:sz="0" w:space="0" w:color="auto"/>
          </w:divBdr>
        </w:div>
        <w:div w:id="1062874082">
          <w:marLeft w:val="640"/>
          <w:marRight w:val="0"/>
          <w:marTop w:val="0"/>
          <w:marBottom w:val="0"/>
          <w:divBdr>
            <w:top w:val="none" w:sz="0" w:space="0" w:color="auto"/>
            <w:left w:val="none" w:sz="0" w:space="0" w:color="auto"/>
            <w:bottom w:val="none" w:sz="0" w:space="0" w:color="auto"/>
            <w:right w:val="none" w:sz="0" w:space="0" w:color="auto"/>
          </w:divBdr>
        </w:div>
        <w:div w:id="272396166">
          <w:marLeft w:val="640"/>
          <w:marRight w:val="0"/>
          <w:marTop w:val="0"/>
          <w:marBottom w:val="0"/>
          <w:divBdr>
            <w:top w:val="none" w:sz="0" w:space="0" w:color="auto"/>
            <w:left w:val="none" w:sz="0" w:space="0" w:color="auto"/>
            <w:bottom w:val="none" w:sz="0" w:space="0" w:color="auto"/>
            <w:right w:val="none" w:sz="0" w:space="0" w:color="auto"/>
          </w:divBdr>
        </w:div>
      </w:divsChild>
    </w:div>
    <w:div w:id="80955362">
      <w:bodyDiv w:val="1"/>
      <w:marLeft w:val="0"/>
      <w:marRight w:val="0"/>
      <w:marTop w:val="0"/>
      <w:marBottom w:val="0"/>
      <w:divBdr>
        <w:top w:val="none" w:sz="0" w:space="0" w:color="auto"/>
        <w:left w:val="none" w:sz="0" w:space="0" w:color="auto"/>
        <w:bottom w:val="none" w:sz="0" w:space="0" w:color="auto"/>
        <w:right w:val="none" w:sz="0" w:space="0" w:color="auto"/>
      </w:divBdr>
      <w:divsChild>
        <w:div w:id="1098866486">
          <w:marLeft w:val="640"/>
          <w:marRight w:val="0"/>
          <w:marTop w:val="0"/>
          <w:marBottom w:val="0"/>
          <w:divBdr>
            <w:top w:val="none" w:sz="0" w:space="0" w:color="auto"/>
            <w:left w:val="none" w:sz="0" w:space="0" w:color="auto"/>
            <w:bottom w:val="none" w:sz="0" w:space="0" w:color="auto"/>
            <w:right w:val="none" w:sz="0" w:space="0" w:color="auto"/>
          </w:divBdr>
        </w:div>
        <w:div w:id="1205865743">
          <w:marLeft w:val="640"/>
          <w:marRight w:val="0"/>
          <w:marTop w:val="0"/>
          <w:marBottom w:val="0"/>
          <w:divBdr>
            <w:top w:val="none" w:sz="0" w:space="0" w:color="auto"/>
            <w:left w:val="none" w:sz="0" w:space="0" w:color="auto"/>
            <w:bottom w:val="none" w:sz="0" w:space="0" w:color="auto"/>
            <w:right w:val="none" w:sz="0" w:space="0" w:color="auto"/>
          </w:divBdr>
        </w:div>
        <w:div w:id="21783821">
          <w:marLeft w:val="640"/>
          <w:marRight w:val="0"/>
          <w:marTop w:val="0"/>
          <w:marBottom w:val="0"/>
          <w:divBdr>
            <w:top w:val="none" w:sz="0" w:space="0" w:color="auto"/>
            <w:left w:val="none" w:sz="0" w:space="0" w:color="auto"/>
            <w:bottom w:val="none" w:sz="0" w:space="0" w:color="auto"/>
            <w:right w:val="none" w:sz="0" w:space="0" w:color="auto"/>
          </w:divBdr>
        </w:div>
        <w:div w:id="942804389">
          <w:marLeft w:val="640"/>
          <w:marRight w:val="0"/>
          <w:marTop w:val="0"/>
          <w:marBottom w:val="0"/>
          <w:divBdr>
            <w:top w:val="none" w:sz="0" w:space="0" w:color="auto"/>
            <w:left w:val="none" w:sz="0" w:space="0" w:color="auto"/>
            <w:bottom w:val="none" w:sz="0" w:space="0" w:color="auto"/>
            <w:right w:val="none" w:sz="0" w:space="0" w:color="auto"/>
          </w:divBdr>
        </w:div>
        <w:div w:id="1870407479">
          <w:marLeft w:val="640"/>
          <w:marRight w:val="0"/>
          <w:marTop w:val="0"/>
          <w:marBottom w:val="0"/>
          <w:divBdr>
            <w:top w:val="none" w:sz="0" w:space="0" w:color="auto"/>
            <w:left w:val="none" w:sz="0" w:space="0" w:color="auto"/>
            <w:bottom w:val="none" w:sz="0" w:space="0" w:color="auto"/>
            <w:right w:val="none" w:sz="0" w:space="0" w:color="auto"/>
          </w:divBdr>
        </w:div>
        <w:div w:id="1820151958">
          <w:marLeft w:val="640"/>
          <w:marRight w:val="0"/>
          <w:marTop w:val="0"/>
          <w:marBottom w:val="0"/>
          <w:divBdr>
            <w:top w:val="none" w:sz="0" w:space="0" w:color="auto"/>
            <w:left w:val="none" w:sz="0" w:space="0" w:color="auto"/>
            <w:bottom w:val="none" w:sz="0" w:space="0" w:color="auto"/>
            <w:right w:val="none" w:sz="0" w:space="0" w:color="auto"/>
          </w:divBdr>
        </w:div>
        <w:div w:id="881795109">
          <w:marLeft w:val="640"/>
          <w:marRight w:val="0"/>
          <w:marTop w:val="0"/>
          <w:marBottom w:val="0"/>
          <w:divBdr>
            <w:top w:val="none" w:sz="0" w:space="0" w:color="auto"/>
            <w:left w:val="none" w:sz="0" w:space="0" w:color="auto"/>
            <w:bottom w:val="none" w:sz="0" w:space="0" w:color="auto"/>
            <w:right w:val="none" w:sz="0" w:space="0" w:color="auto"/>
          </w:divBdr>
        </w:div>
        <w:div w:id="1237861421">
          <w:marLeft w:val="640"/>
          <w:marRight w:val="0"/>
          <w:marTop w:val="0"/>
          <w:marBottom w:val="0"/>
          <w:divBdr>
            <w:top w:val="none" w:sz="0" w:space="0" w:color="auto"/>
            <w:left w:val="none" w:sz="0" w:space="0" w:color="auto"/>
            <w:bottom w:val="none" w:sz="0" w:space="0" w:color="auto"/>
            <w:right w:val="none" w:sz="0" w:space="0" w:color="auto"/>
          </w:divBdr>
        </w:div>
        <w:div w:id="2127114435">
          <w:marLeft w:val="640"/>
          <w:marRight w:val="0"/>
          <w:marTop w:val="0"/>
          <w:marBottom w:val="0"/>
          <w:divBdr>
            <w:top w:val="none" w:sz="0" w:space="0" w:color="auto"/>
            <w:left w:val="none" w:sz="0" w:space="0" w:color="auto"/>
            <w:bottom w:val="none" w:sz="0" w:space="0" w:color="auto"/>
            <w:right w:val="none" w:sz="0" w:space="0" w:color="auto"/>
          </w:divBdr>
        </w:div>
        <w:div w:id="1377507789">
          <w:marLeft w:val="640"/>
          <w:marRight w:val="0"/>
          <w:marTop w:val="0"/>
          <w:marBottom w:val="0"/>
          <w:divBdr>
            <w:top w:val="none" w:sz="0" w:space="0" w:color="auto"/>
            <w:left w:val="none" w:sz="0" w:space="0" w:color="auto"/>
            <w:bottom w:val="none" w:sz="0" w:space="0" w:color="auto"/>
            <w:right w:val="none" w:sz="0" w:space="0" w:color="auto"/>
          </w:divBdr>
        </w:div>
        <w:div w:id="1350713254">
          <w:marLeft w:val="640"/>
          <w:marRight w:val="0"/>
          <w:marTop w:val="0"/>
          <w:marBottom w:val="0"/>
          <w:divBdr>
            <w:top w:val="none" w:sz="0" w:space="0" w:color="auto"/>
            <w:left w:val="none" w:sz="0" w:space="0" w:color="auto"/>
            <w:bottom w:val="none" w:sz="0" w:space="0" w:color="auto"/>
            <w:right w:val="none" w:sz="0" w:space="0" w:color="auto"/>
          </w:divBdr>
        </w:div>
        <w:div w:id="1673483310">
          <w:marLeft w:val="640"/>
          <w:marRight w:val="0"/>
          <w:marTop w:val="0"/>
          <w:marBottom w:val="0"/>
          <w:divBdr>
            <w:top w:val="none" w:sz="0" w:space="0" w:color="auto"/>
            <w:left w:val="none" w:sz="0" w:space="0" w:color="auto"/>
            <w:bottom w:val="none" w:sz="0" w:space="0" w:color="auto"/>
            <w:right w:val="none" w:sz="0" w:space="0" w:color="auto"/>
          </w:divBdr>
        </w:div>
        <w:div w:id="176508697">
          <w:marLeft w:val="640"/>
          <w:marRight w:val="0"/>
          <w:marTop w:val="0"/>
          <w:marBottom w:val="0"/>
          <w:divBdr>
            <w:top w:val="none" w:sz="0" w:space="0" w:color="auto"/>
            <w:left w:val="none" w:sz="0" w:space="0" w:color="auto"/>
            <w:bottom w:val="none" w:sz="0" w:space="0" w:color="auto"/>
            <w:right w:val="none" w:sz="0" w:space="0" w:color="auto"/>
          </w:divBdr>
        </w:div>
      </w:divsChild>
    </w:div>
    <w:div w:id="88962980">
      <w:bodyDiv w:val="1"/>
      <w:marLeft w:val="0"/>
      <w:marRight w:val="0"/>
      <w:marTop w:val="0"/>
      <w:marBottom w:val="0"/>
      <w:divBdr>
        <w:top w:val="none" w:sz="0" w:space="0" w:color="auto"/>
        <w:left w:val="none" w:sz="0" w:space="0" w:color="auto"/>
        <w:bottom w:val="none" w:sz="0" w:space="0" w:color="auto"/>
        <w:right w:val="none" w:sz="0" w:space="0" w:color="auto"/>
      </w:divBdr>
      <w:divsChild>
        <w:div w:id="314455246">
          <w:marLeft w:val="640"/>
          <w:marRight w:val="0"/>
          <w:marTop w:val="0"/>
          <w:marBottom w:val="0"/>
          <w:divBdr>
            <w:top w:val="none" w:sz="0" w:space="0" w:color="auto"/>
            <w:left w:val="none" w:sz="0" w:space="0" w:color="auto"/>
            <w:bottom w:val="none" w:sz="0" w:space="0" w:color="auto"/>
            <w:right w:val="none" w:sz="0" w:space="0" w:color="auto"/>
          </w:divBdr>
        </w:div>
        <w:div w:id="1573813845">
          <w:marLeft w:val="640"/>
          <w:marRight w:val="0"/>
          <w:marTop w:val="0"/>
          <w:marBottom w:val="0"/>
          <w:divBdr>
            <w:top w:val="none" w:sz="0" w:space="0" w:color="auto"/>
            <w:left w:val="none" w:sz="0" w:space="0" w:color="auto"/>
            <w:bottom w:val="none" w:sz="0" w:space="0" w:color="auto"/>
            <w:right w:val="none" w:sz="0" w:space="0" w:color="auto"/>
          </w:divBdr>
        </w:div>
        <w:div w:id="701133024">
          <w:marLeft w:val="640"/>
          <w:marRight w:val="0"/>
          <w:marTop w:val="0"/>
          <w:marBottom w:val="0"/>
          <w:divBdr>
            <w:top w:val="none" w:sz="0" w:space="0" w:color="auto"/>
            <w:left w:val="none" w:sz="0" w:space="0" w:color="auto"/>
            <w:bottom w:val="none" w:sz="0" w:space="0" w:color="auto"/>
            <w:right w:val="none" w:sz="0" w:space="0" w:color="auto"/>
          </w:divBdr>
        </w:div>
        <w:div w:id="1815484723">
          <w:marLeft w:val="640"/>
          <w:marRight w:val="0"/>
          <w:marTop w:val="0"/>
          <w:marBottom w:val="0"/>
          <w:divBdr>
            <w:top w:val="none" w:sz="0" w:space="0" w:color="auto"/>
            <w:left w:val="none" w:sz="0" w:space="0" w:color="auto"/>
            <w:bottom w:val="none" w:sz="0" w:space="0" w:color="auto"/>
            <w:right w:val="none" w:sz="0" w:space="0" w:color="auto"/>
          </w:divBdr>
        </w:div>
        <w:div w:id="1147284702">
          <w:marLeft w:val="640"/>
          <w:marRight w:val="0"/>
          <w:marTop w:val="0"/>
          <w:marBottom w:val="0"/>
          <w:divBdr>
            <w:top w:val="none" w:sz="0" w:space="0" w:color="auto"/>
            <w:left w:val="none" w:sz="0" w:space="0" w:color="auto"/>
            <w:bottom w:val="none" w:sz="0" w:space="0" w:color="auto"/>
            <w:right w:val="none" w:sz="0" w:space="0" w:color="auto"/>
          </w:divBdr>
        </w:div>
        <w:div w:id="1223249314">
          <w:marLeft w:val="640"/>
          <w:marRight w:val="0"/>
          <w:marTop w:val="0"/>
          <w:marBottom w:val="0"/>
          <w:divBdr>
            <w:top w:val="none" w:sz="0" w:space="0" w:color="auto"/>
            <w:left w:val="none" w:sz="0" w:space="0" w:color="auto"/>
            <w:bottom w:val="none" w:sz="0" w:space="0" w:color="auto"/>
            <w:right w:val="none" w:sz="0" w:space="0" w:color="auto"/>
          </w:divBdr>
        </w:div>
        <w:div w:id="1501506193">
          <w:marLeft w:val="640"/>
          <w:marRight w:val="0"/>
          <w:marTop w:val="0"/>
          <w:marBottom w:val="0"/>
          <w:divBdr>
            <w:top w:val="none" w:sz="0" w:space="0" w:color="auto"/>
            <w:left w:val="none" w:sz="0" w:space="0" w:color="auto"/>
            <w:bottom w:val="none" w:sz="0" w:space="0" w:color="auto"/>
            <w:right w:val="none" w:sz="0" w:space="0" w:color="auto"/>
          </w:divBdr>
        </w:div>
        <w:div w:id="529690116">
          <w:marLeft w:val="640"/>
          <w:marRight w:val="0"/>
          <w:marTop w:val="0"/>
          <w:marBottom w:val="0"/>
          <w:divBdr>
            <w:top w:val="none" w:sz="0" w:space="0" w:color="auto"/>
            <w:left w:val="none" w:sz="0" w:space="0" w:color="auto"/>
            <w:bottom w:val="none" w:sz="0" w:space="0" w:color="auto"/>
            <w:right w:val="none" w:sz="0" w:space="0" w:color="auto"/>
          </w:divBdr>
        </w:div>
        <w:div w:id="682828703">
          <w:marLeft w:val="640"/>
          <w:marRight w:val="0"/>
          <w:marTop w:val="0"/>
          <w:marBottom w:val="0"/>
          <w:divBdr>
            <w:top w:val="none" w:sz="0" w:space="0" w:color="auto"/>
            <w:left w:val="none" w:sz="0" w:space="0" w:color="auto"/>
            <w:bottom w:val="none" w:sz="0" w:space="0" w:color="auto"/>
            <w:right w:val="none" w:sz="0" w:space="0" w:color="auto"/>
          </w:divBdr>
        </w:div>
        <w:div w:id="617642105">
          <w:marLeft w:val="640"/>
          <w:marRight w:val="0"/>
          <w:marTop w:val="0"/>
          <w:marBottom w:val="0"/>
          <w:divBdr>
            <w:top w:val="none" w:sz="0" w:space="0" w:color="auto"/>
            <w:left w:val="none" w:sz="0" w:space="0" w:color="auto"/>
            <w:bottom w:val="none" w:sz="0" w:space="0" w:color="auto"/>
            <w:right w:val="none" w:sz="0" w:space="0" w:color="auto"/>
          </w:divBdr>
        </w:div>
        <w:div w:id="1586569010">
          <w:marLeft w:val="640"/>
          <w:marRight w:val="0"/>
          <w:marTop w:val="0"/>
          <w:marBottom w:val="0"/>
          <w:divBdr>
            <w:top w:val="none" w:sz="0" w:space="0" w:color="auto"/>
            <w:left w:val="none" w:sz="0" w:space="0" w:color="auto"/>
            <w:bottom w:val="none" w:sz="0" w:space="0" w:color="auto"/>
            <w:right w:val="none" w:sz="0" w:space="0" w:color="auto"/>
          </w:divBdr>
        </w:div>
        <w:div w:id="1149127034">
          <w:marLeft w:val="640"/>
          <w:marRight w:val="0"/>
          <w:marTop w:val="0"/>
          <w:marBottom w:val="0"/>
          <w:divBdr>
            <w:top w:val="none" w:sz="0" w:space="0" w:color="auto"/>
            <w:left w:val="none" w:sz="0" w:space="0" w:color="auto"/>
            <w:bottom w:val="none" w:sz="0" w:space="0" w:color="auto"/>
            <w:right w:val="none" w:sz="0" w:space="0" w:color="auto"/>
          </w:divBdr>
        </w:div>
        <w:div w:id="1814252771">
          <w:marLeft w:val="640"/>
          <w:marRight w:val="0"/>
          <w:marTop w:val="0"/>
          <w:marBottom w:val="0"/>
          <w:divBdr>
            <w:top w:val="none" w:sz="0" w:space="0" w:color="auto"/>
            <w:left w:val="none" w:sz="0" w:space="0" w:color="auto"/>
            <w:bottom w:val="none" w:sz="0" w:space="0" w:color="auto"/>
            <w:right w:val="none" w:sz="0" w:space="0" w:color="auto"/>
          </w:divBdr>
        </w:div>
        <w:div w:id="772213665">
          <w:marLeft w:val="640"/>
          <w:marRight w:val="0"/>
          <w:marTop w:val="0"/>
          <w:marBottom w:val="0"/>
          <w:divBdr>
            <w:top w:val="none" w:sz="0" w:space="0" w:color="auto"/>
            <w:left w:val="none" w:sz="0" w:space="0" w:color="auto"/>
            <w:bottom w:val="none" w:sz="0" w:space="0" w:color="auto"/>
            <w:right w:val="none" w:sz="0" w:space="0" w:color="auto"/>
          </w:divBdr>
        </w:div>
        <w:div w:id="598291780">
          <w:marLeft w:val="640"/>
          <w:marRight w:val="0"/>
          <w:marTop w:val="0"/>
          <w:marBottom w:val="0"/>
          <w:divBdr>
            <w:top w:val="none" w:sz="0" w:space="0" w:color="auto"/>
            <w:left w:val="none" w:sz="0" w:space="0" w:color="auto"/>
            <w:bottom w:val="none" w:sz="0" w:space="0" w:color="auto"/>
            <w:right w:val="none" w:sz="0" w:space="0" w:color="auto"/>
          </w:divBdr>
        </w:div>
      </w:divsChild>
    </w:div>
    <w:div w:id="97605725">
      <w:bodyDiv w:val="1"/>
      <w:marLeft w:val="0"/>
      <w:marRight w:val="0"/>
      <w:marTop w:val="0"/>
      <w:marBottom w:val="0"/>
      <w:divBdr>
        <w:top w:val="none" w:sz="0" w:space="0" w:color="auto"/>
        <w:left w:val="none" w:sz="0" w:space="0" w:color="auto"/>
        <w:bottom w:val="none" w:sz="0" w:space="0" w:color="auto"/>
        <w:right w:val="none" w:sz="0" w:space="0" w:color="auto"/>
      </w:divBdr>
      <w:divsChild>
        <w:div w:id="1850244742">
          <w:marLeft w:val="640"/>
          <w:marRight w:val="0"/>
          <w:marTop w:val="0"/>
          <w:marBottom w:val="0"/>
          <w:divBdr>
            <w:top w:val="none" w:sz="0" w:space="0" w:color="auto"/>
            <w:left w:val="none" w:sz="0" w:space="0" w:color="auto"/>
            <w:bottom w:val="none" w:sz="0" w:space="0" w:color="auto"/>
            <w:right w:val="none" w:sz="0" w:space="0" w:color="auto"/>
          </w:divBdr>
        </w:div>
        <w:div w:id="305206327">
          <w:marLeft w:val="640"/>
          <w:marRight w:val="0"/>
          <w:marTop w:val="0"/>
          <w:marBottom w:val="0"/>
          <w:divBdr>
            <w:top w:val="none" w:sz="0" w:space="0" w:color="auto"/>
            <w:left w:val="none" w:sz="0" w:space="0" w:color="auto"/>
            <w:bottom w:val="none" w:sz="0" w:space="0" w:color="auto"/>
            <w:right w:val="none" w:sz="0" w:space="0" w:color="auto"/>
          </w:divBdr>
        </w:div>
        <w:div w:id="139657540">
          <w:marLeft w:val="640"/>
          <w:marRight w:val="0"/>
          <w:marTop w:val="0"/>
          <w:marBottom w:val="0"/>
          <w:divBdr>
            <w:top w:val="none" w:sz="0" w:space="0" w:color="auto"/>
            <w:left w:val="none" w:sz="0" w:space="0" w:color="auto"/>
            <w:bottom w:val="none" w:sz="0" w:space="0" w:color="auto"/>
            <w:right w:val="none" w:sz="0" w:space="0" w:color="auto"/>
          </w:divBdr>
        </w:div>
        <w:div w:id="108666296">
          <w:marLeft w:val="640"/>
          <w:marRight w:val="0"/>
          <w:marTop w:val="0"/>
          <w:marBottom w:val="0"/>
          <w:divBdr>
            <w:top w:val="none" w:sz="0" w:space="0" w:color="auto"/>
            <w:left w:val="none" w:sz="0" w:space="0" w:color="auto"/>
            <w:bottom w:val="none" w:sz="0" w:space="0" w:color="auto"/>
            <w:right w:val="none" w:sz="0" w:space="0" w:color="auto"/>
          </w:divBdr>
        </w:div>
        <w:div w:id="947471266">
          <w:marLeft w:val="640"/>
          <w:marRight w:val="0"/>
          <w:marTop w:val="0"/>
          <w:marBottom w:val="0"/>
          <w:divBdr>
            <w:top w:val="none" w:sz="0" w:space="0" w:color="auto"/>
            <w:left w:val="none" w:sz="0" w:space="0" w:color="auto"/>
            <w:bottom w:val="none" w:sz="0" w:space="0" w:color="auto"/>
            <w:right w:val="none" w:sz="0" w:space="0" w:color="auto"/>
          </w:divBdr>
        </w:div>
        <w:div w:id="1257597211">
          <w:marLeft w:val="640"/>
          <w:marRight w:val="0"/>
          <w:marTop w:val="0"/>
          <w:marBottom w:val="0"/>
          <w:divBdr>
            <w:top w:val="none" w:sz="0" w:space="0" w:color="auto"/>
            <w:left w:val="none" w:sz="0" w:space="0" w:color="auto"/>
            <w:bottom w:val="none" w:sz="0" w:space="0" w:color="auto"/>
            <w:right w:val="none" w:sz="0" w:space="0" w:color="auto"/>
          </w:divBdr>
        </w:div>
        <w:div w:id="1627077512">
          <w:marLeft w:val="640"/>
          <w:marRight w:val="0"/>
          <w:marTop w:val="0"/>
          <w:marBottom w:val="0"/>
          <w:divBdr>
            <w:top w:val="none" w:sz="0" w:space="0" w:color="auto"/>
            <w:left w:val="none" w:sz="0" w:space="0" w:color="auto"/>
            <w:bottom w:val="none" w:sz="0" w:space="0" w:color="auto"/>
            <w:right w:val="none" w:sz="0" w:space="0" w:color="auto"/>
          </w:divBdr>
        </w:div>
        <w:div w:id="1927104317">
          <w:marLeft w:val="640"/>
          <w:marRight w:val="0"/>
          <w:marTop w:val="0"/>
          <w:marBottom w:val="0"/>
          <w:divBdr>
            <w:top w:val="none" w:sz="0" w:space="0" w:color="auto"/>
            <w:left w:val="none" w:sz="0" w:space="0" w:color="auto"/>
            <w:bottom w:val="none" w:sz="0" w:space="0" w:color="auto"/>
            <w:right w:val="none" w:sz="0" w:space="0" w:color="auto"/>
          </w:divBdr>
        </w:div>
      </w:divsChild>
    </w:div>
    <w:div w:id="105004150">
      <w:bodyDiv w:val="1"/>
      <w:marLeft w:val="0"/>
      <w:marRight w:val="0"/>
      <w:marTop w:val="0"/>
      <w:marBottom w:val="0"/>
      <w:divBdr>
        <w:top w:val="none" w:sz="0" w:space="0" w:color="auto"/>
        <w:left w:val="none" w:sz="0" w:space="0" w:color="auto"/>
        <w:bottom w:val="none" w:sz="0" w:space="0" w:color="auto"/>
        <w:right w:val="none" w:sz="0" w:space="0" w:color="auto"/>
      </w:divBdr>
      <w:divsChild>
        <w:div w:id="255679662">
          <w:marLeft w:val="640"/>
          <w:marRight w:val="0"/>
          <w:marTop w:val="0"/>
          <w:marBottom w:val="0"/>
          <w:divBdr>
            <w:top w:val="none" w:sz="0" w:space="0" w:color="auto"/>
            <w:left w:val="none" w:sz="0" w:space="0" w:color="auto"/>
            <w:bottom w:val="none" w:sz="0" w:space="0" w:color="auto"/>
            <w:right w:val="none" w:sz="0" w:space="0" w:color="auto"/>
          </w:divBdr>
        </w:div>
        <w:div w:id="660894302">
          <w:marLeft w:val="640"/>
          <w:marRight w:val="0"/>
          <w:marTop w:val="0"/>
          <w:marBottom w:val="0"/>
          <w:divBdr>
            <w:top w:val="none" w:sz="0" w:space="0" w:color="auto"/>
            <w:left w:val="none" w:sz="0" w:space="0" w:color="auto"/>
            <w:bottom w:val="none" w:sz="0" w:space="0" w:color="auto"/>
            <w:right w:val="none" w:sz="0" w:space="0" w:color="auto"/>
          </w:divBdr>
        </w:div>
        <w:div w:id="622728961">
          <w:marLeft w:val="640"/>
          <w:marRight w:val="0"/>
          <w:marTop w:val="0"/>
          <w:marBottom w:val="0"/>
          <w:divBdr>
            <w:top w:val="none" w:sz="0" w:space="0" w:color="auto"/>
            <w:left w:val="none" w:sz="0" w:space="0" w:color="auto"/>
            <w:bottom w:val="none" w:sz="0" w:space="0" w:color="auto"/>
            <w:right w:val="none" w:sz="0" w:space="0" w:color="auto"/>
          </w:divBdr>
        </w:div>
        <w:div w:id="86735346">
          <w:marLeft w:val="640"/>
          <w:marRight w:val="0"/>
          <w:marTop w:val="0"/>
          <w:marBottom w:val="0"/>
          <w:divBdr>
            <w:top w:val="none" w:sz="0" w:space="0" w:color="auto"/>
            <w:left w:val="none" w:sz="0" w:space="0" w:color="auto"/>
            <w:bottom w:val="none" w:sz="0" w:space="0" w:color="auto"/>
            <w:right w:val="none" w:sz="0" w:space="0" w:color="auto"/>
          </w:divBdr>
        </w:div>
        <w:div w:id="1964579123">
          <w:marLeft w:val="640"/>
          <w:marRight w:val="0"/>
          <w:marTop w:val="0"/>
          <w:marBottom w:val="0"/>
          <w:divBdr>
            <w:top w:val="none" w:sz="0" w:space="0" w:color="auto"/>
            <w:left w:val="none" w:sz="0" w:space="0" w:color="auto"/>
            <w:bottom w:val="none" w:sz="0" w:space="0" w:color="auto"/>
            <w:right w:val="none" w:sz="0" w:space="0" w:color="auto"/>
          </w:divBdr>
        </w:div>
        <w:div w:id="1292318750">
          <w:marLeft w:val="640"/>
          <w:marRight w:val="0"/>
          <w:marTop w:val="0"/>
          <w:marBottom w:val="0"/>
          <w:divBdr>
            <w:top w:val="none" w:sz="0" w:space="0" w:color="auto"/>
            <w:left w:val="none" w:sz="0" w:space="0" w:color="auto"/>
            <w:bottom w:val="none" w:sz="0" w:space="0" w:color="auto"/>
            <w:right w:val="none" w:sz="0" w:space="0" w:color="auto"/>
          </w:divBdr>
        </w:div>
        <w:div w:id="23941478">
          <w:marLeft w:val="640"/>
          <w:marRight w:val="0"/>
          <w:marTop w:val="0"/>
          <w:marBottom w:val="0"/>
          <w:divBdr>
            <w:top w:val="none" w:sz="0" w:space="0" w:color="auto"/>
            <w:left w:val="none" w:sz="0" w:space="0" w:color="auto"/>
            <w:bottom w:val="none" w:sz="0" w:space="0" w:color="auto"/>
            <w:right w:val="none" w:sz="0" w:space="0" w:color="auto"/>
          </w:divBdr>
        </w:div>
        <w:div w:id="1554193189">
          <w:marLeft w:val="640"/>
          <w:marRight w:val="0"/>
          <w:marTop w:val="0"/>
          <w:marBottom w:val="0"/>
          <w:divBdr>
            <w:top w:val="none" w:sz="0" w:space="0" w:color="auto"/>
            <w:left w:val="none" w:sz="0" w:space="0" w:color="auto"/>
            <w:bottom w:val="none" w:sz="0" w:space="0" w:color="auto"/>
            <w:right w:val="none" w:sz="0" w:space="0" w:color="auto"/>
          </w:divBdr>
        </w:div>
        <w:div w:id="1823278149">
          <w:marLeft w:val="640"/>
          <w:marRight w:val="0"/>
          <w:marTop w:val="0"/>
          <w:marBottom w:val="0"/>
          <w:divBdr>
            <w:top w:val="none" w:sz="0" w:space="0" w:color="auto"/>
            <w:left w:val="none" w:sz="0" w:space="0" w:color="auto"/>
            <w:bottom w:val="none" w:sz="0" w:space="0" w:color="auto"/>
            <w:right w:val="none" w:sz="0" w:space="0" w:color="auto"/>
          </w:divBdr>
        </w:div>
        <w:div w:id="1335572059">
          <w:marLeft w:val="640"/>
          <w:marRight w:val="0"/>
          <w:marTop w:val="0"/>
          <w:marBottom w:val="0"/>
          <w:divBdr>
            <w:top w:val="none" w:sz="0" w:space="0" w:color="auto"/>
            <w:left w:val="none" w:sz="0" w:space="0" w:color="auto"/>
            <w:bottom w:val="none" w:sz="0" w:space="0" w:color="auto"/>
            <w:right w:val="none" w:sz="0" w:space="0" w:color="auto"/>
          </w:divBdr>
        </w:div>
        <w:div w:id="1676878907">
          <w:marLeft w:val="640"/>
          <w:marRight w:val="0"/>
          <w:marTop w:val="0"/>
          <w:marBottom w:val="0"/>
          <w:divBdr>
            <w:top w:val="none" w:sz="0" w:space="0" w:color="auto"/>
            <w:left w:val="none" w:sz="0" w:space="0" w:color="auto"/>
            <w:bottom w:val="none" w:sz="0" w:space="0" w:color="auto"/>
            <w:right w:val="none" w:sz="0" w:space="0" w:color="auto"/>
          </w:divBdr>
        </w:div>
        <w:div w:id="266499742">
          <w:marLeft w:val="640"/>
          <w:marRight w:val="0"/>
          <w:marTop w:val="0"/>
          <w:marBottom w:val="0"/>
          <w:divBdr>
            <w:top w:val="none" w:sz="0" w:space="0" w:color="auto"/>
            <w:left w:val="none" w:sz="0" w:space="0" w:color="auto"/>
            <w:bottom w:val="none" w:sz="0" w:space="0" w:color="auto"/>
            <w:right w:val="none" w:sz="0" w:space="0" w:color="auto"/>
          </w:divBdr>
        </w:div>
        <w:div w:id="1061565009">
          <w:marLeft w:val="640"/>
          <w:marRight w:val="0"/>
          <w:marTop w:val="0"/>
          <w:marBottom w:val="0"/>
          <w:divBdr>
            <w:top w:val="none" w:sz="0" w:space="0" w:color="auto"/>
            <w:left w:val="none" w:sz="0" w:space="0" w:color="auto"/>
            <w:bottom w:val="none" w:sz="0" w:space="0" w:color="auto"/>
            <w:right w:val="none" w:sz="0" w:space="0" w:color="auto"/>
          </w:divBdr>
        </w:div>
        <w:div w:id="1396128609">
          <w:marLeft w:val="640"/>
          <w:marRight w:val="0"/>
          <w:marTop w:val="0"/>
          <w:marBottom w:val="0"/>
          <w:divBdr>
            <w:top w:val="none" w:sz="0" w:space="0" w:color="auto"/>
            <w:left w:val="none" w:sz="0" w:space="0" w:color="auto"/>
            <w:bottom w:val="none" w:sz="0" w:space="0" w:color="auto"/>
            <w:right w:val="none" w:sz="0" w:space="0" w:color="auto"/>
          </w:divBdr>
        </w:div>
      </w:divsChild>
    </w:div>
    <w:div w:id="105344836">
      <w:bodyDiv w:val="1"/>
      <w:marLeft w:val="0"/>
      <w:marRight w:val="0"/>
      <w:marTop w:val="0"/>
      <w:marBottom w:val="0"/>
      <w:divBdr>
        <w:top w:val="none" w:sz="0" w:space="0" w:color="auto"/>
        <w:left w:val="none" w:sz="0" w:space="0" w:color="auto"/>
        <w:bottom w:val="none" w:sz="0" w:space="0" w:color="auto"/>
        <w:right w:val="none" w:sz="0" w:space="0" w:color="auto"/>
      </w:divBdr>
      <w:divsChild>
        <w:div w:id="219679343">
          <w:marLeft w:val="640"/>
          <w:marRight w:val="0"/>
          <w:marTop w:val="0"/>
          <w:marBottom w:val="0"/>
          <w:divBdr>
            <w:top w:val="none" w:sz="0" w:space="0" w:color="auto"/>
            <w:left w:val="none" w:sz="0" w:space="0" w:color="auto"/>
            <w:bottom w:val="none" w:sz="0" w:space="0" w:color="auto"/>
            <w:right w:val="none" w:sz="0" w:space="0" w:color="auto"/>
          </w:divBdr>
        </w:div>
        <w:div w:id="1568757055">
          <w:marLeft w:val="640"/>
          <w:marRight w:val="0"/>
          <w:marTop w:val="0"/>
          <w:marBottom w:val="0"/>
          <w:divBdr>
            <w:top w:val="none" w:sz="0" w:space="0" w:color="auto"/>
            <w:left w:val="none" w:sz="0" w:space="0" w:color="auto"/>
            <w:bottom w:val="none" w:sz="0" w:space="0" w:color="auto"/>
            <w:right w:val="none" w:sz="0" w:space="0" w:color="auto"/>
          </w:divBdr>
        </w:div>
        <w:div w:id="1805075045">
          <w:marLeft w:val="640"/>
          <w:marRight w:val="0"/>
          <w:marTop w:val="0"/>
          <w:marBottom w:val="0"/>
          <w:divBdr>
            <w:top w:val="none" w:sz="0" w:space="0" w:color="auto"/>
            <w:left w:val="none" w:sz="0" w:space="0" w:color="auto"/>
            <w:bottom w:val="none" w:sz="0" w:space="0" w:color="auto"/>
            <w:right w:val="none" w:sz="0" w:space="0" w:color="auto"/>
          </w:divBdr>
        </w:div>
        <w:div w:id="889852240">
          <w:marLeft w:val="640"/>
          <w:marRight w:val="0"/>
          <w:marTop w:val="0"/>
          <w:marBottom w:val="0"/>
          <w:divBdr>
            <w:top w:val="none" w:sz="0" w:space="0" w:color="auto"/>
            <w:left w:val="none" w:sz="0" w:space="0" w:color="auto"/>
            <w:bottom w:val="none" w:sz="0" w:space="0" w:color="auto"/>
            <w:right w:val="none" w:sz="0" w:space="0" w:color="auto"/>
          </w:divBdr>
        </w:div>
        <w:div w:id="1055809951">
          <w:marLeft w:val="640"/>
          <w:marRight w:val="0"/>
          <w:marTop w:val="0"/>
          <w:marBottom w:val="0"/>
          <w:divBdr>
            <w:top w:val="none" w:sz="0" w:space="0" w:color="auto"/>
            <w:left w:val="none" w:sz="0" w:space="0" w:color="auto"/>
            <w:bottom w:val="none" w:sz="0" w:space="0" w:color="auto"/>
            <w:right w:val="none" w:sz="0" w:space="0" w:color="auto"/>
          </w:divBdr>
        </w:div>
        <w:div w:id="650594314">
          <w:marLeft w:val="640"/>
          <w:marRight w:val="0"/>
          <w:marTop w:val="0"/>
          <w:marBottom w:val="0"/>
          <w:divBdr>
            <w:top w:val="none" w:sz="0" w:space="0" w:color="auto"/>
            <w:left w:val="none" w:sz="0" w:space="0" w:color="auto"/>
            <w:bottom w:val="none" w:sz="0" w:space="0" w:color="auto"/>
            <w:right w:val="none" w:sz="0" w:space="0" w:color="auto"/>
          </w:divBdr>
        </w:div>
        <w:div w:id="861093890">
          <w:marLeft w:val="640"/>
          <w:marRight w:val="0"/>
          <w:marTop w:val="0"/>
          <w:marBottom w:val="0"/>
          <w:divBdr>
            <w:top w:val="none" w:sz="0" w:space="0" w:color="auto"/>
            <w:left w:val="none" w:sz="0" w:space="0" w:color="auto"/>
            <w:bottom w:val="none" w:sz="0" w:space="0" w:color="auto"/>
            <w:right w:val="none" w:sz="0" w:space="0" w:color="auto"/>
          </w:divBdr>
        </w:div>
        <w:div w:id="452208886">
          <w:marLeft w:val="640"/>
          <w:marRight w:val="0"/>
          <w:marTop w:val="0"/>
          <w:marBottom w:val="0"/>
          <w:divBdr>
            <w:top w:val="none" w:sz="0" w:space="0" w:color="auto"/>
            <w:left w:val="none" w:sz="0" w:space="0" w:color="auto"/>
            <w:bottom w:val="none" w:sz="0" w:space="0" w:color="auto"/>
            <w:right w:val="none" w:sz="0" w:space="0" w:color="auto"/>
          </w:divBdr>
        </w:div>
        <w:div w:id="2024742912">
          <w:marLeft w:val="640"/>
          <w:marRight w:val="0"/>
          <w:marTop w:val="0"/>
          <w:marBottom w:val="0"/>
          <w:divBdr>
            <w:top w:val="none" w:sz="0" w:space="0" w:color="auto"/>
            <w:left w:val="none" w:sz="0" w:space="0" w:color="auto"/>
            <w:bottom w:val="none" w:sz="0" w:space="0" w:color="auto"/>
            <w:right w:val="none" w:sz="0" w:space="0" w:color="auto"/>
          </w:divBdr>
        </w:div>
        <w:div w:id="844058419">
          <w:marLeft w:val="640"/>
          <w:marRight w:val="0"/>
          <w:marTop w:val="0"/>
          <w:marBottom w:val="0"/>
          <w:divBdr>
            <w:top w:val="none" w:sz="0" w:space="0" w:color="auto"/>
            <w:left w:val="none" w:sz="0" w:space="0" w:color="auto"/>
            <w:bottom w:val="none" w:sz="0" w:space="0" w:color="auto"/>
            <w:right w:val="none" w:sz="0" w:space="0" w:color="auto"/>
          </w:divBdr>
        </w:div>
        <w:div w:id="145246568">
          <w:marLeft w:val="640"/>
          <w:marRight w:val="0"/>
          <w:marTop w:val="0"/>
          <w:marBottom w:val="0"/>
          <w:divBdr>
            <w:top w:val="none" w:sz="0" w:space="0" w:color="auto"/>
            <w:left w:val="none" w:sz="0" w:space="0" w:color="auto"/>
            <w:bottom w:val="none" w:sz="0" w:space="0" w:color="auto"/>
            <w:right w:val="none" w:sz="0" w:space="0" w:color="auto"/>
          </w:divBdr>
        </w:div>
        <w:div w:id="1159229897">
          <w:marLeft w:val="640"/>
          <w:marRight w:val="0"/>
          <w:marTop w:val="0"/>
          <w:marBottom w:val="0"/>
          <w:divBdr>
            <w:top w:val="none" w:sz="0" w:space="0" w:color="auto"/>
            <w:left w:val="none" w:sz="0" w:space="0" w:color="auto"/>
            <w:bottom w:val="none" w:sz="0" w:space="0" w:color="auto"/>
            <w:right w:val="none" w:sz="0" w:space="0" w:color="auto"/>
          </w:divBdr>
        </w:div>
        <w:div w:id="1272081262">
          <w:marLeft w:val="640"/>
          <w:marRight w:val="0"/>
          <w:marTop w:val="0"/>
          <w:marBottom w:val="0"/>
          <w:divBdr>
            <w:top w:val="none" w:sz="0" w:space="0" w:color="auto"/>
            <w:left w:val="none" w:sz="0" w:space="0" w:color="auto"/>
            <w:bottom w:val="none" w:sz="0" w:space="0" w:color="auto"/>
            <w:right w:val="none" w:sz="0" w:space="0" w:color="auto"/>
          </w:divBdr>
        </w:div>
      </w:divsChild>
    </w:div>
    <w:div w:id="122116032">
      <w:bodyDiv w:val="1"/>
      <w:marLeft w:val="0"/>
      <w:marRight w:val="0"/>
      <w:marTop w:val="0"/>
      <w:marBottom w:val="0"/>
      <w:divBdr>
        <w:top w:val="none" w:sz="0" w:space="0" w:color="auto"/>
        <w:left w:val="none" w:sz="0" w:space="0" w:color="auto"/>
        <w:bottom w:val="none" w:sz="0" w:space="0" w:color="auto"/>
        <w:right w:val="none" w:sz="0" w:space="0" w:color="auto"/>
      </w:divBdr>
      <w:divsChild>
        <w:div w:id="413666477">
          <w:marLeft w:val="640"/>
          <w:marRight w:val="0"/>
          <w:marTop w:val="0"/>
          <w:marBottom w:val="0"/>
          <w:divBdr>
            <w:top w:val="none" w:sz="0" w:space="0" w:color="auto"/>
            <w:left w:val="none" w:sz="0" w:space="0" w:color="auto"/>
            <w:bottom w:val="none" w:sz="0" w:space="0" w:color="auto"/>
            <w:right w:val="none" w:sz="0" w:space="0" w:color="auto"/>
          </w:divBdr>
        </w:div>
        <w:div w:id="1433547814">
          <w:marLeft w:val="640"/>
          <w:marRight w:val="0"/>
          <w:marTop w:val="0"/>
          <w:marBottom w:val="0"/>
          <w:divBdr>
            <w:top w:val="none" w:sz="0" w:space="0" w:color="auto"/>
            <w:left w:val="none" w:sz="0" w:space="0" w:color="auto"/>
            <w:bottom w:val="none" w:sz="0" w:space="0" w:color="auto"/>
            <w:right w:val="none" w:sz="0" w:space="0" w:color="auto"/>
          </w:divBdr>
        </w:div>
        <w:div w:id="890464058">
          <w:marLeft w:val="640"/>
          <w:marRight w:val="0"/>
          <w:marTop w:val="0"/>
          <w:marBottom w:val="0"/>
          <w:divBdr>
            <w:top w:val="none" w:sz="0" w:space="0" w:color="auto"/>
            <w:left w:val="none" w:sz="0" w:space="0" w:color="auto"/>
            <w:bottom w:val="none" w:sz="0" w:space="0" w:color="auto"/>
            <w:right w:val="none" w:sz="0" w:space="0" w:color="auto"/>
          </w:divBdr>
        </w:div>
        <w:div w:id="861091728">
          <w:marLeft w:val="640"/>
          <w:marRight w:val="0"/>
          <w:marTop w:val="0"/>
          <w:marBottom w:val="0"/>
          <w:divBdr>
            <w:top w:val="none" w:sz="0" w:space="0" w:color="auto"/>
            <w:left w:val="none" w:sz="0" w:space="0" w:color="auto"/>
            <w:bottom w:val="none" w:sz="0" w:space="0" w:color="auto"/>
            <w:right w:val="none" w:sz="0" w:space="0" w:color="auto"/>
          </w:divBdr>
        </w:div>
        <w:div w:id="694307828">
          <w:marLeft w:val="640"/>
          <w:marRight w:val="0"/>
          <w:marTop w:val="0"/>
          <w:marBottom w:val="0"/>
          <w:divBdr>
            <w:top w:val="none" w:sz="0" w:space="0" w:color="auto"/>
            <w:left w:val="none" w:sz="0" w:space="0" w:color="auto"/>
            <w:bottom w:val="none" w:sz="0" w:space="0" w:color="auto"/>
            <w:right w:val="none" w:sz="0" w:space="0" w:color="auto"/>
          </w:divBdr>
        </w:div>
        <w:div w:id="1590044911">
          <w:marLeft w:val="640"/>
          <w:marRight w:val="0"/>
          <w:marTop w:val="0"/>
          <w:marBottom w:val="0"/>
          <w:divBdr>
            <w:top w:val="none" w:sz="0" w:space="0" w:color="auto"/>
            <w:left w:val="none" w:sz="0" w:space="0" w:color="auto"/>
            <w:bottom w:val="none" w:sz="0" w:space="0" w:color="auto"/>
            <w:right w:val="none" w:sz="0" w:space="0" w:color="auto"/>
          </w:divBdr>
        </w:div>
        <w:div w:id="1816755311">
          <w:marLeft w:val="640"/>
          <w:marRight w:val="0"/>
          <w:marTop w:val="0"/>
          <w:marBottom w:val="0"/>
          <w:divBdr>
            <w:top w:val="none" w:sz="0" w:space="0" w:color="auto"/>
            <w:left w:val="none" w:sz="0" w:space="0" w:color="auto"/>
            <w:bottom w:val="none" w:sz="0" w:space="0" w:color="auto"/>
            <w:right w:val="none" w:sz="0" w:space="0" w:color="auto"/>
          </w:divBdr>
        </w:div>
        <w:div w:id="1532382460">
          <w:marLeft w:val="640"/>
          <w:marRight w:val="0"/>
          <w:marTop w:val="0"/>
          <w:marBottom w:val="0"/>
          <w:divBdr>
            <w:top w:val="none" w:sz="0" w:space="0" w:color="auto"/>
            <w:left w:val="none" w:sz="0" w:space="0" w:color="auto"/>
            <w:bottom w:val="none" w:sz="0" w:space="0" w:color="auto"/>
            <w:right w:val="none" w:sz="0" w:space="0" w:color="auto"/>
          </w:divBdr>
        </w:div>
        <w:div w:id="1973899767">
          <w:marLeft w:val="640"/>
          <w:marRight w:val="0"/>
          <w:marTop w:val="0"/>
          <w:marBottom w:val="0"/>
          <w:divBdr>
            <w:top w:val="none" w:sz="0" w:space="0" w:color="auto"/>
            <w:left w:val="none" w:sz="0" w:space="0" w:color="auto"/>
            <w:bottom w:val="none" w:sz="0" w:space="0" w:color="auto"/>
            <w:right w:val="none" w:sz="0" w:space="0" w:color="auto"/>
          </w:divBdr>
        </w:div>
        <w:div w:id="179853668">
          <w:marLeft w:val="640"/>
          <w:marRight w:val="0"/>
          <w:marTop w:val="0"/>
          <w:marBottom w:val="0"/>
          <w:divBdr>
            <w:top w:val="none" w:sz="0" w:space="0" w:color="auto"/>
            <w:left w:val="none" w:sz="0" w:space="0" w:color="auto"/>
            <w:bottom w:val="none" w:sz="0" w:space="0" w:color="auto"/>
            <w:right w:val="none" w:sz="0" w:space="0" w:color="auto"/>
          </w:divBdr>
        </w:div>
        <w:div w:id="93207479">
          <w:marLeft w:val="640"/>
          <w:marRight w:val="0"/>
          <w:marTop w:val="0"/>
          <w:marBottom w:val="0"/>
          <w:divBdr>
            <w:top w:val="none" w:sz="0" w:space="0" w:color="auto"/>
            <w:left w:val="none" w:sz="0" w:space="0" w:color="auto"/>
            <w:bottom w:val="none" w:sz="0" w:space="0" w:color="auto"/>
            <w:right w:val="none" w:sz="0" w:space="0" w:color="auto"/>
          </w:divBdr>
        </w:div>
        <w:div w:id="1962571535">
          <w:marLeft w:val="640"/>
          <w:marRight w:val="0"/>
          <w:marTop w:val="0"/>
          <w:marBottom w:val="0"/>
          <w:divBdr>
            <w:top w:val="none" w:sz="0" w:space="0" w:color="auto"/>
            <w:left w:val="none" w:sz="0" w:space="0" w:color="auto"/>
            <w:bottom w:val="none" w:sz="0" w:space="0" w:color="auto"/>
            <w:right w:val="none" w:sz="0" w:space="0" w:color="auto"/>
          </w:divBdr>
        </w:div>
        <w:div w:id="441850601">
          <w:marLeft w:val="640"/>
          <w:marRight w:val="0"/>
          <w:marTop w:val="0"/>
          <w:marBottom w:val="0"/>
          <w:divBdr>
            <w:top w:val="none" w:sz="0" w:space="0" w:color="auto"/>
            <w:left w:val="none" w:sz="0" w:space="0" w:color="auto"/>
            <w:bottom w:val="none" w:sz="0" w:space="0" w:color="auto"/>
            <w:right w:val="none" w:sz="0" w:space="0" w:color="auto"/>
          </w:divBdr>
        </w:div>
        <w:div w:id="1952473432">
          <w:marLeft w:val="640"/>
          <w:marRight w:val="0"/>
          <w:marTop w:val="0"/>
          <w:marBottom w:val="0"/>
          <w:divBdr>
            <w:top w:val="none" w:sz="0" w:space="0" w:color="auto"/>
            <w:left w:val="none" w:sz="0" w:space="0" w:color="auto"/>
            <w:bottom w:val="none" w:sz="0" w:space="0" w:color="auto"/>
            <w:right w:val="none" w:sz="0" w:space="0" w:color="auto"/>
          </w:divBdr>
        </w:div>
      </w:divsChild>
    </w:div>
    <w:div w:id="143133317">
      <w:bodyDiv w:val="1"/>
      <w:marLeft w:val="0"/>
      <w:marRight w:val="0"/>
      <w:marTop w:val="0"/>
      <w:marBottom w:val="0"/>
      <w:divBdr>
        <w:top w:val="none" w:sz="0" w:space="0" w:color="auto"/>
        <w:left w:val="none" w:sz="0" w:space="0" w:color="auto"/>
        <w:bottom w:val="none" w:sz="0" w:space="0" w:color="auto"/>
        <w:right w:val="none" w:sz="0" w:space="0" w:color="auto"/>
      </w:divBdr>
      <w:divsChild>
        <w:div w:id="106849377">
          <w:marLeft w:val="640"/>
          <w:marRight w:val="0"/>
          <w:marTop w:val="0"/>
          <w:marBottom w:val="0"/>
          <w:divBdr>
            <w:top w:val="none" w:sz="0" w:space="0" w:color="auto"/>
            <w:left w:val="none" w:sz="0" w:space="0" w:color="auto"/>
            <w:bottom w:val="none" w:sz="0" w:space="0" w:color="auto"/>
            <w:right w:val="none" w:sz="0" w:space="0" w:color="auto"/>
          </w:divBdr>
        </w:div>
        <w:div w:id="322053607">
          <w:marLeft w:val="640"/>
          <w:marRight w:val="0"/>
          <w:marTop w:val="0"/>
          <w:marBottom w:val="0"/>
          <w:divBdr>
            <w:top w:val="none" w:sz="0" w:space="0" w:color="auto"/>
            <w:left w:val="none" w:sz="0" w:space="0" w:color="auto"/>
            <w:bottom w:val="none" w:sz="0" w:space="0" w:color="auto"/>
            <w:right w:val="none" w:sz="0" w:space="0" w:color="auto"/>
          </w:divBdr>
        </w:div>
        <w:div w:id="791944787">
          <w:marLeft w:val="640"/>
          <w:marRight w:val="0"/>
          <w:marTop w:val="0"/>
          <w:marBottom w:val="0"/>
          <w:divBdr>
            <w:top w:val="none" w:sz="0" w:space="0" w:color="auto"/>
            <w:left w:val="none" w:sz="0" w:space="0" w:color="auto"/>
            <w:bottom w:val="none" w:sz="0" w:space="0" w:color="auto"/>
            <w:right w:val="none" w:sz="0" w:space="0" w:color="auto"/>
          </w:divBdr>
        </w:div>
        <w:div w:id="1720470744">
          <w:marLeft w:val="640"/>
          <w:marRight w:val="0"/>
          <w:marTop w:val="0"/>
          <w:marBottom w:val="0"/>
          <w:divBdr>
            <w:top w:val="none" w:sz="0" w:space="0" w:color="auto"/>
            <w:left w:val="none" w:sz="0" w:space="0" w:color="auto"/>
            <w:bottom w:val="none" w:sz="0" w:space="0" w:color="auto"/>
            <w:right w:val="none" w:sz="0" w:space="0" w:color="auto"/>
          </w:divBdr>
        </w:div>
      </w:divsChild>
    </w:div>
    <w:div w:id="166095390">
      <w:bodyDiv w:val="1"/>
      <w:marLeft w:val="0"/>
      <w:marRight w:val="0"/>
      <w:marTop w:val="0"/>
      <w:marBottom w:val="0"/>
      <w:divBdr>
        <w:top w:val="none" w:sz="0" w:space="0" w:color="auto"/>
        <w:left w:val="none" w:sz="0" w:space="0" w:color="auto"/>
        <w:bottom w:val="none" w:sz="0" w:space="0" w:color="auto"/>
        <w:right w:val="none" w:sz="0" w:space="0" w:color="auto"/>
      </w:divBdr>
      <w:divsChild>
        <w:div w:id="555311419">
          <w:marLeft w:val="640"/>
          <w:marRight w:val="0"/>
          <w:marTop w:val="0"/>
          <w:marBottom w:val="0"/>
          <w:divBdr>
            <w:top w:val="none" w:sz="0" w:space="0" w:color="auto"/>
            <w:left w:val="none" w:sz="0" w:space="0" w:color="auto"/>
            <w:bottom w:val="none" w:sz="0" w:space="0" w:color="auto"/>
            <w:right w:val="none" w:sz="0" w:space="0" w:color="auto"/>
          </w:divBdr>
        </w:div>
        <w:div w:id="904142572">
          <w:marLeft w:val="640"/>
          <w:marRight w:val="0"/>
          <w:marTop w:val="0"/>
          <w:marBottom w:val="0"/>
          <w:divBdr>
            <w:top w:val="none" w:sz="0" w:space="0" w:color="auto"/>
            <w:left w:val="none" w:sz="0" w:space="0" w:color="auto"/>
            <w:bottom w:val="none" w:sz="0" w:space="0" w:color="auto"/>
            <w:right w:val="none" w:sz="0" w:space="0" w:color="auto"/>
          </w:divBdr>
        </w:div>
        <w:div w:id="1283800982">
          <w:marLeft w:val="640"/>
          <w:marRight w:val="0"/>
          <w:marTop w:val="0"/>
          <w:marBottom w:val="0"/>
          <w:divBdr>
            <w:top w:val="none" w:sz="0" w:space="0" w:color="auto"/>
            <w:left w:val="none" w:sz="0" w:space="0" w:color="auto"/>
            <w:bottom w:val="none" w:sz="0" w:space="0" w:color="auto"/>
            <w:right w:val="none" w:sz="0" w:space="0" w:color="auto"/>
          </w:divBdr>
        </w:div>
        <w:div w:id="1740707853">
          <w:marLeft w:val="640"/>
          <w:marRight w:val="0"/>
          <w:marTop w:val="0"/>
          <w:marBottom w:val="0"/>
          <w:divBdr>
            <w:top w:val="none" w:sz="0" w:space="0" w:color="auto"/>
            <w:left w:val="none" w:sz="0" w:space="0" w:color="auto"/>
            <w:bottom w:val="none" w:sz="0" w:space="0" w:color="auto"/>
            <w:right w:val="none" w:sz="0" w:space="0" w:color="auto"/>
          </w:divBdr>
        </w:div>
        <w:div w:id="759521204">
          <w:marLeft w:val="640"/>
          <w:marRight w:val="0"/>
          <w:marTop w:val="0"/>
          <w:marBottom w:val="0"/>
          <w:divBdr>
            <w:top w:val="none" w:sz="0" w:space="0" w:color="auto"/>
            <w:left w:val="none" w:sz="0" w:space="0" w:color="auto"/>
            <w:bottom w:val="none" w:sz="0" w:space="0" w:color="auto"/>
            <w:right w:val="none" w:sz="0" w:space="0" w:color="auto"/>
          </w:divBdr>
        </w:div>
        <w:div w:id="863179238">
          <w:marLeft w:val="640"/>
          <w:marRight w:val="0"/>
          <w:marTop w:val="0"/>
          <w:marBottom w:val="0"/>
          <w:divBdr>
            <w:top w:val="none" w:sz="0" w:space="0" w:color="auto"/>
            <w:left w:val="none" w:sz="0" w:space="0" w:color="auto"/>
            <w:bottom w:val="none" w:sz="0" w:space="0" w:color="auto"/>
            <w:right w:val="none" w:sz="0" w:space="0" w:color="auto"/>
          </w:divBdr>
        </w:div>
        <w:div w:id="751004282">
          <w:marLeft w:val="640"/>
          <w:marRight w:val="0"/>
          <w:marTop w:val="0"/>
          <w:marBottom w:val="0"/>
          <w:divBdr>
            <w:top w:val="none" w:sz="0" w:space="0" w:color="auto"/>
            <w:left w:val="none" w:sz="0" w:space="0" w:color="auto"/>
            <w:bottom w:val="none" w:sz="0" w:space="0" w:color="auto"/>
            <w:right w:val="none" w:sz="0" w:space="0" w:color="auto"/>
          </w:divBdr>
        </w:div>
        <w:div w:id="1696300606">
          <w:marLeft w:val="640"/>
          <w:marRight w:val="0"/>
          <w:marTop w:val="0"/>
          <w:marBottom w:val="0"/>
          <w:divBdr>
            <w:top w:val="none" w:sz="0" w:space="0" w:color="auto"/>
            <w:left w:val="none" w:sz="0" w:space="0" w:color="auto"/>
            <w:bottom w:val="none" w:sz="0" w:space="0" w:color="auto"/>
            <w:right w:val="none" w:sz="0" w:space="0" w:color="auto"/>
          </w:divBdr>
        </w:div>
        <w:div w:id="974717533">
          <w:marLeft w:val="640"/>
          <w:marRight w:val="0"/>
          <w:marTop w:val="0"/>
          <w:marBottom w:val="0"/>
          <w:divBdr>
            <w:top w:val="none" w:sz="0" w:space="0" w:color="auto"/>
            <w:left w:val="none" w:sz="0" w:space="0" w:color="auto"/>
            <w:bottom w:val="none" w:sz="0" w:space="0" w:color="auto"/>
            <w:right w:val="none" w:sz="0" w:space="0" w:color="auto"/>
          </w:divBdr>
        </w:div>
        <w:div w:id="663902356">
          <w:marLeft w:val="640"/>
          <w:marRight w:val="0"/>
          <w:marTop w:val="0"/>
          <w:marBottom w:val="0"/>
          <w:divBdr>
            <w:top w:val="none" w:sz="0" w:space="0" w:color="auto"/>
            <w:left w:val="none" w:sz="0" w:space="0" w:color="auto"/>
            <w:bottom w:val="none" w:sz="0" w:space="0" w:color="auto"/>
            <w:right w:val="none" w:sz="0" w:space="0" w:color="auto"/>
          </w:divBdr>
        </w:div>
        <w:div w:id="1195659612">
          <w:marLeft w:val="640"/>
          <w:marRight w:val="0"/>
          <w:marTop w:val="0"/>
          <w:marBottom w:val="0"/>
          <w:divBdr>
            <w:top w:val="none" w:sz="0" w:space="0" w:color="auto"/>
            <w:left w:val="none" w:sz="0" w:space="0" w:color="auto"/>
            <w:bottom w:val="none" w:sz="0" w:space="0" w:color="auto"/>
            <w:right w:val="none" w:sz="0" w:space="0" w:color="auto"/>
          </w:divBdr>
        </w:div>
        <w:div w:id="1597134397">
          <w:marLeft w:val="640"/>
          <w:marRight w:val="0"/>
          <w:marTop w:val="0"/>
          <w:marBottom w:val="0"/>
          <w:divBdr>
            <w:top w:val="none" w:sz="0" w:space="0" w:color="auto"/>
            <w:left w:val="none" w:sz="0" w:space="0" w:color="auto"/>
            <w:bottom w:val="none" w:sz="0" w:space="0" w:color="auto"/>
            <w:right w:val="none" w:sz="0" w:space="0" w:color="auto"/>
          </w:divBdr>
        </w:div>
      </w:divsChild>
    </w:div>
    <w:div w:id="170799472">
      <w:bodyDiv w:val="1"/>
      <w:marLeft w:val="0"/>
      <w:marRight w:val="0"/>
      <w:marTop w:val="0"/>
      <w:marBottom w:val="0"/>
      <w:divBdr>
        <w:top w:val="none" w:sz="0" w:space="0" w:color="auto"/>
        <w:left w:val="none" w:sz="0" w:space="0" w:color="auto"/>
        <w:bottom w:val="none" w:sz="0" w:space="0" w:color="auto"/>
        <w:right w:val="none" w:sz="0" w:space="0" w:color="auto"/>
      </w:divBdr>
      <w:divsChild>
        <w:div w:id="2146046648">
          <w:marLeft w:val="640"/>
          <w:marRight w:val="0"/>
          <w:marTop w:val="0"/>
          <w:marBottom w:val="0"/>
          <w:divBdr>
            <w:top w:val="none" w:sz="0" w:space="0" w:color="auto"/>
            <w:left w:val="none" w:sz="0" w:space="0" w:color="auto"/>
            <w:bottom w:val="none" w:sz="0" w:space="0" w:color="auto"/>
            <w:right w:val="none" w:sz="0" w:space="0" w:color="auto"/>
          </w:divBdr>
        </w:div>
        <w:div w:id="863323718">
          <w:marLeft w:val="640"/>
          <w:marRight w:val="0"/>
          <w:marTop w:val="0"/>
          <w:marBottom w:val="0"/>
          <w:divBdr>
            <w:top w:val="none" w:sz="0" w:space="0" w:color="auto"/>
            <w:left w:val="none" w:sz="0" w:space="0" w:color="auto"/>
            <w:bottom w:val="none" w:sz="0" w:space="0" w:color="auto"/>
            <w:right w:val="none" w:sz="0" w:space="0" w:color="auto"/>
          </w:divBdr>
        </w:div>
      </w:divsChild>
    </w:div>
    <w:div w:id="176695411">
      <w:bodyDiv w:val="1"/>
      <w:marLeft w:val="0"/>
      <w:marRight w:val="0"/>
      <w:marTop w:val="0"/>
      <w:marBottom w:val="0"/>
      <w:divBdr>
        <w:top w:val="none" w:sz="0" w:space="0" w:color="auto"/>
        <w:left w:val="none" w:sz="0" w:space="0" w:color="auto"/>
        <w:bottom w:val="none" w:sz="0" w:space="0" w:color="auto"/>
        <w:right w:val="none" w:sz="0" w:space="0" w:color="auto"/>
      </w:divBdr>
      <w:divsChild>
        <w:div w:id="2048025355">
          <w:marLeft w:val="640"/>
          <w:marRight w:val="0"/>
          <w:marTop w:val="0"/>
          <w:marBottom w:val="0"/>
          <w:divBdr>
            <w:top w:val="none" w:sz="0" w:space="0" w:color="auto"/>
            <w:left w:val="none" w:sz="0" w:space="0" w:color="auto"/>
            <w:bottom w:val="none" w:sz="0" w:space="0" w:color="auto"/>
            <w:right w:val="none" w:sz="0" w:space="0" w:color="auto"/>
          </w:divBdr>
        </w:div>
        <w:div w:id="967710010">
          <w:marLeft w:val="640"/>
          <w:marRight w:val="0"/>
          <w:marTop w:val="0"/>
          <w:marBottom w:val="0"/>
          <w:divBdr>
            <w:top w:val="none" w:sz="0" w:space="0" w:color="auto"/>
            <w:left w:val="none" w:sz="0" w:space="0" w:color="auto"/>
            <w:bottom w:val="none" w:sz="0" w:space="0" w:color="auto"/>
            <w:right w:val="none" w:sz="0" w:space="0" w:color="auto"/>
          </w:divBdr>
        </w:div>
        <w:div w:id="1604727704">
          <w:marLeft w:val="640"/>
          <w:marRight w:val="0"/>
          <w:marTop w:val="0"/>
          <w:marBottom w:val="0"/>
          <w:divBdr>
            <w:top w:val="none" w:sz="0" w:space="0" w:color="auto"/>
            <w:left w:val="none" w:sz="0" w:space="0" w:color="auto"/>
            <w:bottom w:val="none" w:sz="0" w:space="0" w:color="auto"/>
            <w:right w:val="none" w:sz="0" w:space="0" w:color="auto"/>
          </w:divBdr>
        </w:div>
        <w:div w:id="1557207678">
          <w:marLeft w:val="640"/>
          <w:marRight w:val="0"/>
          <w:marTop w:val="0"/>
          <w:marBottom w:val="0"/>
          <w:divBdr>
            <w:top w:val="none" w:sz="0" w:space="0" w:color="auto"/>
            <w:left w:val="none" w:sz="0" w:space="0" w:color="auto"/>
            <w:bottom w:val="none" w:sz="0" w:space="0" w:color="auto"/>
            <w:right w:val="none" w:sz="0" w:space="0" w:color="auto"/>
          </w:divBdr>
        </w:div>
        <w:div w:id="1465658263">
          <w:marLeft w:val="640"/>
          <w:marRight w:val="0"/>
          <w:marTop w:val="0"/>
          <w:marBottom w:val="0"/>
          <w:divBdr>
            <w:top w:val="none" w:sz="0" w:space="0" w:color="auto"/>
            <w:left w:val="none" w:sz="0" w:space="0" w:color="auto"/>
            <w:bottom w:val="none" w:sz="0" w:space="0" w:color="auto"/>
            <w:right w:val="none" w:sz="0" w:space="0" w:color="auto"/>
          </w:divBdr>
        </w:div>
        <w:div w:id="1320384927">
          <w:marLeft w:val="640"/>
          <w:marRight w:val="0"/>
          <w:marTop w:val="0"/>
          <w:marBottom w:val="0"/>
          <w:divBdr>
            <w:top w:val="none" w:sz="0" w:space="0" w:color="auto"/>
            <w:left w:val="none" w:sz="0" w:space="0" w:color="auto"/>
            <w:bottom w:val="none" w:sz="0" w:space="0" w:color="auto"/>
            <w:right w:val="none" w:sz="0" w:space="0" w:color="auto"/>
          </w:divBdr>
        </w:div>
        <w:div w:id="2118061715">
          <w:marLeft w:val="640"/>
          <w:marRight w:val="0"/>
          <w:marTop w:val="0"/>
          <w:marBottom w:val="0"/>
          <w:divBdr>
            <w:top w:val="none" w:sz="0" w:space="0" w:color="auto"/>
            <w:left w:val="none" w:sz="0" w:space="0" w:color="auto"/>
            <w:bottom w:val="none" w:sz="0" w:space="0" w:color="auto"/>
            <w:right w:val="none" w:sz="0" w:space="0" w:color="auto"/>
          </w:divBdr>
        </w:div>
        <w:div w:id="673457105">
          <w:marLeft w:val="640"/>
          <w:marRight w:val="0"/>
          <w:marTop w:val="0"/>
          <w:marBottom w:val="0"/>
          <w:divBdr>
            <w:top w:val="none" w:sz="0" w:space="0" w:color="auto"/>
            <w:left w:val="none" w:sz="0" w:space="0" w:color="auto"/>
            <w:bottom w:val="none" w:sz="0" w:space="0" w:color="auto"/>
            <w:right w:val="none" w:sz="0" w:space="0" w:color="auto"/>
          </w:divBdr>
        </w:div>
        <w:div w:id="361397917">
          <w:marLeft w:val="640"/>
          <w:marRight w:val="0"/>
          <w:marTop w:val="0"/>
          <w:marBottom w:val="0"/>
          <w:divBdr>
            <w:top w:val="none" w:sz="0" w:space="0" w:color="auto"/>
            <w:left w:val="none" w:sz="0" w:space="0" w:color="auto"/>
            <w:bottom w:val="none" w:sz="0" w:space="0" w:color="auto"/>
            <w:right w:val="none" w:sz="0" w:space="0" w:color="auto"/>
          </w:divBdr>
        </w:div>
        <w:div w:id="1889369637">
          <w:marLeft w:val="640"/>
          <w:marRight w:val="0"/>
          <w:marTop w:val="0"/>
          <w:marBottom w:val="0"/>
          <w:divBdr>
            <w:top w:val="none" w:sz="0" w:space="0" w:color="auto"/>
            <w:left w:val="none" w:sz="0" w:space="0" w:color="auto"/>
            <w:bottom w:val="none" w:sz="0" w:space="0" w:color="auto"/>
            <w:right w:val="none" w:sz="0" w:space="0" w:color="auto"/>
          </w:divBdr>
        </w:div>
      </w:divsChild>
    </w:div>
    <w:div w:id="182938273">
      <w:bodyDiv w:val="1"/>
      <w:marLeft w:val="0"/>
      <w:marRight w:val="0"/>
      <w:marTop w:val="0"/>
      <w:marBottom w:val="0"/>
      <w:divBdr>
        <w:top w:val="none" w:sz="0" w:space="0" w:color="auto"/>
        <w:left w:val="none" w:sz="0" w:space="0" w:color="auto"/>
        <w:bottom w:val="none" w:sz="0" w:space="0" w:color="auto"/>
        <w:right w:val="none" w:sz="0" w:space="0" w:color="auto"/>
      </w:divBdr>
      <w:divsChild>
        <w:div w:id="729765349">
          <w:marLeft w:val="640"/>
          <w:marRight w:val="0"/>
          <w:marTop w:val="0"/>
          <w:marBottom w:val="0"/>
          <w:divBdr>
            <w:top w:val="none" w:sz="0" w:space="0" w:color="auto"/>
            <w:left w:val="none" w:sz="0" w:space="0" w:color="auto"/>
            <w:bottom w:val="none" w:sz="0" w:space="0" w:color="auto"/>
            <w:right w:val="none" w:sz="0" w:space="0" w:color="auto"/>
          </w:divBdr>
        </w:div>
        <w:div w:id="1466922355">
          <w:marLeft w:val="640"/>
          <w:marRight w:val="0"/>
          <w:marTop w:val="0"/>
          <w:marBottom w:val="0"/>
          <w:divBdr>
            <w:top w:val="none" w:sz="0" w:space="0" w:color="auto"/>
            <w:left w:val="none" w:sz="0" w:space="0" w:color="auto"/>
            <w:bottom w:val="none" w:sz="0" w:space="0" w:color="auto"/>
            <w:right w:val="none" w:sz="0" w:space="0" w:color="auto"/>
          </w:divBdr>
        </w:div>
        <w:div w:id="1510826863">
          <w:marLeft w:val="640"/>
          <w:marRight w:val="0"/>
          <w:marTop w:val="0"/>
          <w:marBottom w:val="0"/>
          <w:divBdr>
            <w:top w:val="none" w:sz="0" w:space="0" w:color="auto"/>
            <w:left w:val="none" w:sz="0" w:space="0" w:color="auto"/>
            <w:bottom w:val="none" w:sz="0" w:space="0" w:color="auto"/>
            <w:right w:val="none" w:sz="0" w:space="0" w:color="auto"/>
          </w:divBdr>
        </w:div>
        <w:div w:id="1227885959">
          <w:marLeft w:val="640"/>
          <w:marRight w:val="0"/>
          <w:marTop w:val="0"/>
          <w:marBottom w:val="0"/>
          <w:divBdr>
            <w:top w:val="none" w:sz="0" w:space="0" w:color="auto"/>
            <w:left w:val="none" w:sz="0" w:space="0" w:color="auto"/>
            <w:bottom w:val="none" w:sz="0" w:space="0" w:color="auto"/>
            <w:right w:val="none" w:sz="0" w:space="0" w:color="auto"/>
          </w:divBdr>
        </w:div>
        <w:div w:id="210502243">
          <w:marLeft w:val="640"/>
          <w:marRight w:val="0"/>
          <w:marTop w:val="0"/>
          <w:marBottom w:val="0"/>
          <w:divBdr>
            <w:top w:val="none" w:sz="0" w:space="0" w:color="auto"/>
            <w:left w:val="none" w:sz="0" w:space="0" w:color="auto"/>
            <w:bottom w:val="none" w:sz="0" w:space="0" w:color="auto"/>
            <w:right w:val="none" w:sz="0" w:space="0" w:color="auto"/>
          </w:divBdr>
        </w:div>
        <w:div w:id="139620440">
          <w:marLeft w:val="640"/>
          <w:marRight w:val="0"/>
          <w:marTop w:val="0"/>
          <w:marBottom w:val="0"/>
          <w:divBdr>
            <w:top w:val="none" w:sz="0" w:space="0" w:color="auto"/>
            <w:left w:val="none" w:sz="0" w:space="0" w:color="auto"/>
            <w:bottom w:val="none" w:sz="0" w:space="0" w:color="auto"/>
            <w:right w:val="none" w:sz="0" w:space="0" w:color="auto"/>
          </w:divBdr>
        </w:div>
        <w:div w:id="2019454868">
          <w:marLeft w:val="640"/>
          <w:marRight w:val="0"/>
          <w:marTop w:val="0"/>
          <w:marBottom w:val="0"/>
          <w:divBdr>
            <w:top w:val="none" w:sz="0" w:space="0" w:color="auto"/>
            <w:left w:val="none" w:sz="0" w:space="0" w:color="auto"/>
            <w:bottom w:val="none" w:sz="0" w:space="0" w:color="auto"/>
            <w:right w:val="none" w:sz="0" w:space="0" w:color="auto"/>
          </w:divBdr>
        </w:div>
        <w:div w:id="774133777">
          <w:marLeft w:val="640"/>
          <w:marRight w:val="0"/>
          <w:marTop w:val="0"/>
          <w:marBottom w:val="0"/>
          <w:divBdr>
            <w:top w:val="none" w:sz="0" w:space="0" w:color="auto"/>
            <w:left w:val="none" w:sz="0" w:space="0" w:color="auto"/>
            <w:bottom w:val="none" w:sz="0" w:space="0" w:color="auto"/>
            <w:right w:val="none" w:sz="0" w:space="0" w:color="auto"/>
          </w:divBdr>
        </w:div>
        <w:div w:id="486744401">
          <w:marLeft w:val="640"/>
          <w:marRight w:val="0"/>
          <w:marTop w:val="0"/>
          <w:marBottom w:val="0"/>
          <w:divBdr>
            <w:top w:val="none" w:sz="0" w:space="0" w:color="auto"/>
            <w:left w:val="none" w:sz="0" w:space="0" w:color="auto"/>
            <w:bottom w:val="none" w:sz="0" w:space="0" w:color="auto"/>
            <w:right w:val="none" w:sz="0" w:space="0" w:color="auto"/>
          </w:divBdr>
        </w:div>
        <w:div w:id="624165618">
          <w:marLeft w:val="640"/>
          <w:marRight w:val="0"/>
          <w:marTop w:val="0"/>
          <w:marBottom w:val="0"/>
          <w:divBdr>
            <w:top w:val="none" w:sz="0" w:space="0" w:color="auto"/>
            <w:left w:val="none" w:sz="0" w:space="0" w:color="auto"/>
            <w:bottom w:val="none" w:sz="0" w:space="0" w:color="auto"/>
            <w:right w:val="none" w:sz="0" w:space="0" w:color="auto"/>
          </w:divBdr>
        </w:div>
      </w:divsChild>
    </w:div>
    <w:div w:id="189496444">
      <w:bodyDiv w:val="1"/>
      <w:marLeft w:val="0"/>
      <w:marRight w:val="0"/>
      <w:marTop w:val="0"/>
      <w:marBottom w:val="0"/>
      <w:divBdr>
        <w:top w:val="none" w:sz="0" w:space="0" w:color="auto"/>
        <w:left w:val="none" w:sz="0" w:space="0" w:color="auto"/>
        <w:bottom w:val="none" w:sz="0" w:space="0" w:color="auto"/>
        <w:right w:val="none" w:sz="0" w:space="0" w:color="auto"/>
      </w:divBdr>
      <w:divsChild>
        <w:div w:id="1815289911">
          <w:marLeft w:val="640"/>
          <w:marRight w:val="0"/>
          <w:marTop w:val="0"/>
          <w:marBottom w:val="0"/>
          <w:divBdr>
            <w:top w:val="none" w:sz="0" w:space="0" w:color="auto"/>
            <w:left w:val="none" w:sz="0" w:space="0" w:color="auto"/>
            <w:bottom w:val="none" w:sz="0" w:space="0" w:color="auto"/>
            <w:right w:val="none" w:sz="0" w:space="0" w:color="auto"/>
          </w:divBdr>
        </w:div>
        <w:div w:id="1803113747">
          <w:marLeft w:val="640"/>
          <w:marRight w:val="0"/>
          <w:marTop w:val="0"/>
          <w:marBottom w:val="0"/>
          <w:divBdr>
            <w:top w:val="none" w:sz="0" w:space="0" w:color="auto"/>
            <w:left w:val="none" w:sz="0" w:space="0" w:color="auto"/>
            <w:bottom w:val="none" w:sz="0" w:space="0" w:color="auto"/>
            <w:right w:val="none" w:sz="0" w:space="0" w:color="auto"/>
          </w:divBdr>
        </w:div>
        <w:div w:id="1731028254">
          <w:marLeft w:val="640"/>
          <w:marRight w:val="0"/>
          <w:marTop w:val="0"/>
          <w:marBottom w:val="0"/>
          <w:divBdr>
            <w:top w:val="none" w:sz="0" w:space="0" w:color="auto"/>
            <w:left w:val="none" w:sz="0" w:space="0" w:color="auto"/>
            <w:bottom w:val="none" w:sz="0" w:space="0" w:color="auto"/>
            <w:right w:val="none" w:sz="0" w:space="0" w:color="auto"/>
          </w:divBdr>
        </w:div>
        <w:div w:id="1497191377">
          <w:marLeft w:val="640"/>
          <w:marRight w:val="0"/>
          <w:marTop w:val="0"/>
          <w:marBottom w:val="0"/>
          <w:divBdr>
            <w:top w:val="none" w:sz="0" w:space="0" w:color="auto"/>
            <w:left w:val="none" w:sz="0" w:space="0" w:color="auto"/>
            <w:bottom w:val="none" w:sz="0" w:space="0" w:color="auto"/>
            <w:right w:val="none" w:sz="0" w:space="0" w:color="auto"/>
          </w:divBdr>
        </w:div>
        <w:div w:id="213085667">
          <w:marLeft w:val="640"/>
          <w:marRight w:val="0"/>
          <w:marTop w:val="0"/>
          <w:marBottom w:val="0"/>
          <w:divBdr>
            <w:top w:val="none" w:sz="0" w:space="0" w:color="auto"/>
            <w:left w:val="none" w:sz="0" w:space="0" w:color="auto"/>
            <w:bottom w:val="none" w:sz="0" w:space="0" w:color="auto"/>
            <w:right w:val="none" w:sz="0" w:space="0" w:color="auto"/>
          </w:divBdr>
        </w:div>
        <w:div w:id="968163947">
          <w:marLeft w:val="640"/>
          <w:marRight w:val="0"/>
          <w:marTop w:val="0"/>
          <w:marBottom w:val="0"/>
          <w:divBdr>
            <w:top w:val="none" w:sz="0" w:space="0" w:color="auto"/>
            <w:left w:val="none" w:sz="0" w:space="0" w:color="auto"/>
            <w:bottom w:val="none" w:sz="0" w:space="0" w:color="auto"/>
            <w:right w:val="none" w:sz="0" w:space="0" w:color="auto"/>
          </w:divBdr>
        </w:div>
        <w:div w:id="1316488993">
          <w:marLeft w:val="640"/>
          <w:marRight w:val="0"/>
          <w:marTop w:val="0"/>
          <w:marBottom w:val="0"/>
          <w:divBdr>
            <w:top w:val="none" w:sz="0" w:space="0" w:color="auto"/>
            <w:left w:val="none" w:sz="0" w:space="0" w:color="auto"/>
            <w:bottom w:val="none" w:sz="0" w:space="0" w:color="auto"/>
            <w:right w:val="none" w:sz="0" w:space="0" w:color="auto"/>
          </w:divBdr>
        </w:div>
        <w:div w:id="296373009">
          <w:marLeft w:val="640"/>
          <w:marRight w:val="0"/>
          <w:marTop w:val="0"/>
          <w:marBottom w:val="0"/>
          <w:divBdr>
            <w:top w:val="none" w:sz="0" w:space="0" w:color="auto"/>
            <w:left w:val="none" w:sz="0" w:space="0" w:color="auto"/>
            <w:bottom w:val="none" w:sz="0" w:space="0" w:color="auto"/>
            <w:right w:val="none" w:sz="0" w:space="0" w:color="auto"/>
          </w:divBdr>
        </w:div>
        <w:div w:id="1567522234">
          <w:marLeft w:val="640"/>
          <w:marRight w:val="0"/>
          <w:marTop w:val="0"/>
          <w:marBottom w:val="0"/>
          <w:divBdr>
            <w:top w:val="none" w:sz="0" w:space="0" w:color="auto"/>
            <w:left w:val="none" w:sz="0" w:space="0" w:color="auto"/>
            <w:bottom w:val="none" w:sz="0" w:space="0" w:color="auto"/>
            <w:right w:val="none" w:sz="0" w:space="0" w:color="auto"/>
          </w:divBdr>
        </w:div>
        <w:div w:id="2132942210">
          <w:marLeft w:val="640"/>
          <w:marRight w:val="0"/>
          <w:marTop w:val="0"/>
          <w:marBottom w:val="0"/>
          <w:divBdr>
            <w:top w:val="none" w:sz="0" w:space="0" w:color="auto"/>
            <w:left w:val="none" w:sz="0" w:space="0" w:color="auto"/>
            <w:bottom w:val="none" w:sz="0" w:space="0" w:color="auto"/>
            <w:right w:val="none" w:sz="0" w:space="0" w:color="auto"/>
          </w:divBdr>
        </w:div>
      </w:divsChild>
    </w:div>
    <w:div w:id="191498173">
      <w:bodyDiv w:val="1"/>
      <w:marLeft w:val="0"/>
      <w:marRight w:val="0"/>
      <w:marTop w:val="0"/>
      <w:marBottom w:val="0"/>
      <w:divBdr>
        <w:top w:val="none" w:sz="0" w:space="0" w:color="auto"/>
        <w:left w:val="none" w:sz="0" w:space="0" w:color="auto"/>
        <w:bottom w:val="none" w:sz="0" w:space="0" w:color="auto"/>
        <w:right w:val="none" w:sz="0" w:space="0" w:color="auto"/>
      </w:divBdr>
      <w:divsChild>
        <w:div w:id="1364674510">
          <w:marLeft w:val="640"/>
          <w:marRight w:val="0"/>
          <w:marTop w:val="0"/>
          <w:marBottom w:val="0"/>
          <w:divBdr>
            <w:top w:val="none" w:sz="0" w:space="0" w:color="auto"/>
            <w:left w:val="none" w:sz="0" w:space="0" w:color="auto"/>
            <w:bottom w:val="none" w:sz="0" w:space="0" w:color="auto"/>
            <w:right w:val="none" w:sz="0" w:space="0" w:color="auto"/>
          </w:divBdr>
        </w:div>
        <w:div w:id="943465241">
          <w:marLeft w:val="640"/>
          <w:marRight w:val="0"/>
          <w:marTop w:val="0"/>
          <w:marBottom w:val="0"/>
          <w:divBdr>
            <w:top w:val="none" w:sz="0" w:space="0" w:color="auto"/>
            <w:left w:val="none" w:sz="0" w:space="0" w:color="auto"/>
            <w:bottom w:val="none" w:sz="0" w:space="0" w:color="auto"/>
            <w:right w:val="none" w:sz="0" w:space="0" w:color="auto"/>
          </w:divBdr>
        </w:div>
      </w:divsChild>
    </w:div>
    <w:div w:id="200171132">
      <w:bodyDiv w:val="1"/>
      <w:marLeft w:val="0"/>
      <w:marRight w:val="0"/>
      <w:marTop w:val="0"/>
      <w:marBottom w:val="0"/>
      <w:divBdr>
        <w:top w:val="none" w:sz="0" w:space="0" w:color="auto"/>
        <w:left w:val="none" w:sz="0" w:space="0" w:color="auto"/>
        <w:bottom w:val="none" w:sz="0" w:space="0" w:color="auto"/>
        <w:right w:val="none" w:sz="0" w:space="0" w:color="auto"/>
      </w:divBdr>
      <w:divsChild>
        <w:div w:id="942415831">
          <w:marLeft w:val="640"/>
          <w:marRight w:val="0"/>
          <w:marTop w:val="0"/>
          <w:marBottom w:val="0"/>
          <w:divBdr>
            <w:top w:val="none" w:sz="0" w:space="0" w:color="auto"/>
            <w:left w:val="none" w:sz="0" w:space="0" w:color="auto"/>
            <w:bottom w:val="none" w:sz="0" w:space="0" w:color="auto"/>
            <w:right w:val="none" w:sz="0" w:space="0" w:color="auto"/>
          </w:divBdr>
        </w:div>
        <w:div w:id="431822806">
          <w:marLeft w:val="640"/>
          <w:marRight w:val="0"/>
          <w:marTop w:val="0"/>
          <w:marBottom w:val="0"/>
          <w:divBdr>
            <w:top w:val="none" w:sz="0" w:space="0" w:color="auto"/>
            <w:left w:val="none" w:sz="0" w:space="0" w:color="auto"/>
            <w:bottom w:val="none" w:sz="0" w:space="0" w:color="auto"/>
            <w:right w:val="none" w:sz="0" w:space="0" w:color="auto"/>
          </w:divBdr>
        </w:div>
        <w:div w:id="1827548466">
          <w:marLeft w:val="640"/>
          <w:marRight w:val="0"/>
          <w:marTop w:val="0"/>
          <w:marBottom w:val="0"/>
          <w:divBdr>
            <w:top w:val="none" w:sz="0" w:space="0" w:color="auto"/>
            <w:left w:val="none" w:sz="0" w:space="0" w:color="auto"/>
            <w:bottom w:val="none" w:sz="0" w:space="0" w:color="auto"/>
            <w:right w:val="none" w:sz="0" w:space="0" w:color="auto"/>
          </w:divBdr>
        </w:div>
        <w:div w:id="1557276280">
          <w:marLeft w:val="640"/>
          <w:marRight w:val="0"/>
          <w:marTop w:val="0"/>
          <w:marBottom w:val="0"/>
          <w:divBdr>
            <w:top w:val="none" w:sz="0" w:space="0" w:color="auto"/>
            <w:left w:val="none" w:sz="0" w:space="0" w:color="auto"/>
            <w:bottom w:val="none" w:sz="0" w:space="0" w:color="auto"/>
            <w:right w:val="none" w:sz="0" w:space="0" w:color="auto"/>
          </w:divBdr>
        </w:div>
        <w:div w:id="1610502381">
          <w:marLeft w:val="640"/>
          <w:marRight w:val="0"/>
          <w:marTop w:val="0"/>
          <w:marBottom w:val="0"/>
          <w:divBdr>
            <w:top w:val="none" w:sz="0" w:space="0" w:color="auto"/>
            <w:left w:val="none" w:sz="0" w:space="0" w:color="auto"/>
            <w:bottom w:val="none" w:sz="0" w:space="0" w:color="auto"/>
            <w:right w:val="none" w:sz="0" w:space="0" w:color="auto"/>
          </w:divBdr>
        </w:div>
        <w:div w:id="930351945">
          <w:marLeft w:val="640"/>
          <w:marRight w:val="0"/>
          <w:marTop w:val="0"/>
          <w:marBottom w:val="0"/>
          <w:divBdr>
            <w:top w:val="none" w:sz="0" w:space="0" w:color="auto"/>
            <w:left w:val="none" w:sz="0" w:space="0" w:color="auto"/>
            <w:bottom w:val="none" w:sz="0" w:space="0" w:color="auto"/>
            <w:right w:val="none" w:sz="0" w:space="0" w:color="auto"/>
          </w:divBdr>
        </w:div>
        <w:div w:id="2027291381">
          <w:marLeft w:val="640"/>
          <w:marRight w:val="0"/>
          <w:marTop w:val="0"/>
          <w:marBottom w:val="0"/>
          <w:divBdr>
            <w:top w:val="none" w:sz="0" w:space="0" w:color="auto"/>
            <w:left w:val="none" w:sz="0" w:space="0" w:color="auto"/>
            <w:bottom w:val="none" w:sz="0" w:space="0" w:color="auto"/>
            <w:right w:val="none" w:sz="0" w:space="0" w:color="auto"/>
          </w:divBdr>
        </w:div>
        <w:div w:id="95879220">
          <w:marLeft w:val="640"/>
          <w:marRight w:val="0"/>
          <w:marTop w:val="0"/>
          <w:marBottom w:val="0"/>
          <w:divBdr>
            <w:top w:val="none" w:sz="0" w:space="0" w:color="auto"/>
            <w:left w:val="none" w:sz="0" w:space="0" w:color="auto"/>
            <w:bottom w:val="none" w:sz="0" w:space="0" w:color="auto"/>
            <w:right w:val="none" w:sz="0" w:space="0" w:color="auto"/>
          </w:divBdr>
        </w:div>
        <w:div w:id="1464693003">
          <w:marLeft w:val="640"/>
          <w:marRight w:val="0"/>
          <w:marTop w:val="0"/>
          <w:marBottom w:val="0"/>
          <w:divBdr>
            <w:top w:val="none" w:sz="0" w:space="0" w:color="auto"/>
            <w:left w:val="none" w:sz="0" w:space="0" w:color="auto"/>
            <w:bottom w:val="none" w:sz="0" w:space="0" w:color="auto"/>
            <w:right w:val="none" w:sz="0" w:space="0" w:color="auto"/>
          </w:divBdr>
        </w:div>
        <w:div w:id="1279484044">
          <w:marLeft w:val="640"/>
          <w:marRight w:val="0"/>
          <w:marTop w:val="0"/>
          <w:marBottom w:val="0"/>
          <w:divBdr>
            <w:top w:val="none" w:sz="0" w:space="0" w:color="auto"/>
            <w:left w:val="none" w:sz="0" w:space="0" w:color="auto"/>
            <w:bottom w:val="none" w:sz="0" w:space="0" w:color="auto"/>
            <w:right w:val="none" w:sz="0" w:space="0" w:color="auto"/>
          </w:divBdr>
        </w:div>
        <w:div w:id="307713727">
          <w:marLeft w:val="640"/>
          <w:marRight w:val="0"/>
          <w:marTop w:val="0"/>
          <w:marBottom w:val="0"/>
          <w:divBdr>
            <w:top w:val="none" w:sz="0" w:space="0" w:color="auto"/>
            <w:left w:val="none" w:sz="0" w:space="0" w:color="auto"/>
            <w:bottom w:val="none" w:sz="0" w:space="0" w:color="auto"/>
            <w:right w:val="none" w:sz="0" w:space="0" w:color="auto"/>
          </w:divBdr>
        </w:div>
        <w:div w:id="1949963039">
          <w:marLeft w:val="640"/>
          <w:marRight w:val="0"/>
          <w:marTop w:val="0"/>
          <w:marBottom w:val="0"/>
          <w:divBdr>
            <w:top w:val="none" w:sz="0" w:space="0" w:color="auto"/>
            <w:left w:val="none" w:sz="0" w:space="0" w:color="auto"/>
            <w:bottom w:val="none" w:sz="0" w:space="0" w:color="auto"/>
            <w:right w:val="none" w:sz="0" w:space="0" w:color="auto"/>
          </w:divBdr>
        </w:div>
      </w:divsChild>
    </w:div>
    <w:div w:id="204370521">
      <w:bodyDiv w:val="1"/>
      <w:marLeft w:val="0"/>
      <w:marRight w:val="0"/>
      <w:marTop w:val="0"/>
      <w:marBottom w:val="0"/>
      <w:divBdr>
        <w:top w:val="none" w:sz="0" w:space="0" w:color="auto"/>
        <w:left w:val="none" w:sz="0" w:space="0" w:color="auto"/>
        <w:bottom w:val="none" w:sz="0" w:space="0" w:color="auto"/>
        <w:right w:val="none" w:sz="0" w:space="0" w:color="auto"/>
      </w:divBdr>
      <w:divsChild>
        <w:div w:id="474564420">
          <w:marLeft w:val="640"/>
          <w:marRight w:val="0"/>
          <w:marTop w:val="0"/>
          <w:marBottom w:val="0"/>
          <w:divBdr>
            <w:top w:val="none" w:sz="0" w:space="0" w:color="auto"/>
            <w:left w:val="none" w:sz="0" w:space="0" w:color="auto"/>
            <w:bottom w:val="none" w:sz="0" w:space="0" w:color="auto"/>
            <w:right w:val="none" w:sz="0" w:space="0" w:color="auto"/>
          </w:divBdr>
        </w:div>
        <w:div w:id="646250939">
          <w:marLeft w:val="640"/>
          <w:marRight w:val="0"/>
          <w:marTop w:val="0"/>
          <w:marBottom w:val="0"/>
          <w:divBdr>
            <w:top w:val="none" w:sz="0" w:space="0" w:color="auto"/>
            <w:left w:val="none" w:sz="0" w:space="0" w:color="auto"/>
            <w:bottom w:val="none" w:sz="0" w:space="0" w:color="auto"/>
            <w:right w:val="none" w:sz="0" w:space="0" w:color="auto"/>
          </w:divBdr>
        </w:div>
        <w:div w:id="1769229581">
          <w:marLeft w:val="640"/>
          <w:marRight w:val="0"/>
          <w:marTop w:val="0"/>
          <w:marBottom w:val="0"/>
          <w:divBdr>
            <w:top w:val="none" w:sz="0" w:space="0" w:color="auto"/>
            <w:left w:val="none" w:sz="0" w:space="0" w:color="auto"/>
            <w:bottom w:val="none" w:sz="0" w:space="0" w:color="auto"/>
            <w:right w:val="none" w:sz="0" w:space="0" w:color="auto"/>
          </w:divBdr>
        </w:div>
      </w:divsChild>
    </w:div>
    <w:div w:id="218783597">
      <w:bodyDiv w:val="1"/>
      <w:marLeft w:val="0"/>
      <w:marRight w:val="0"/>
      <w:marTop w:val="0"/>
      <w:marBottom w:val="0"/>
      <w:divBdr>
        <w:top w:val="none" w:sz="0" w:space="0" w:color="auto"/>
        <w:left w:val="none" w:sz="0" w:space="0" w:color="auto"/>
        <w:bottom w:val="none" w:sz="0" w:space="0" w:color="auto"/>
        <w:right w:val="none" w:sz="0" w:space="0" w:color="auto"/>
      </w:divBdr>
      <w:divsChild>
        <w:div w:id="688680177">
          <w:marLeft w:val="640"/>
          <w:marRight w:val="0"/>
          <w:marTop w:val="0"/>
          <w:marBottom w:val="0"/>
          <w:divBdr>
            <w:top w:val="none" w:sz="0" w:space="0" w:color="auto"/>
            <w:left w:val="none" w:sz="0" w:space="0" w:color="auto"/>
            <w:bottom w:val="none" w:sz="0" w:space="0" w:color="auto"/>
            <w:right w:val="none" w:sz="0" w:space="0" w:color="auto"/>
          </w:divBdr>
        </w:div>
        <w:div w:id="326788995">
          <w:marLeft w:val="640"/>
          <w:marRight w:val="0"/>
          <w:marTop w:val="0"/>
          <w:marBottom w:val="0"/>
          <w:divBdr>
            <w:top w:val="none" w:sz="0" w:space="0" w:color="auto"/>
            <w:left w:val="none" w:sz="0" w:space="0" w:color="auto"/>
            <w:bottom w:val="none" w:sz="0" w:space="0" w:color="auto"/>
            <w:right w:val="none" w:sz="0" w:space="0" w:color="auto"/>
          </w:divBdr>
        </w:div>
        <w:div w:id="1170288263">
          <w:marLeft w:val="640"/>
          <w:marRight w:val="0"/>
          <w:marTop w:val="0"/>
          <w:marBottom w:val="0"/>
          <w:divBdr>
            <w:top w:val="none" w:sz="0" w:space="0" w:color="auto"/>
            <w:left w:val="none" w:sz="0" w:space="0" w:color="auto"/>
            <w:bottom w:val="none" w:sz="0" w:space="0" w:color="auto"/>
            <w:right w:val="none" w:sz="0" w:space="0" w:color="auto"/>
          </w:divBdr>
        </w:div>
        <w:div w:id="63767539">
          <w:marLeft w:val="640"/>
          <w:marRight w:val="0"/>
          <w:marTop w:val="0"/>
          <w:marBottom w:val="0"/>
          <w:divBdr>
            <w:top w:val="none" w:sz="0" w:space="0" w:color="auto"/>
            <w:left w:val="none" w:sz="0" w:space="0" w:color="auto"/>
            <w:bottom w:val="none" w:sz="0" w:space="0" w:color="auto"/>
            <w:right w:val="none" w:sz="0" w:space="0" w:color="auto"/>
          </w:divBdr>
        </w:div>
        <w:div w:id="77530709">
          <w:marLeft w:val="640"/>
          <w:marRight w:val="0"/>
          <w:marTop w:val="0"/>
          <w:marBottom w:val="0"/>
          <w:divBdr>
            <w:top w:val="none" w:sz="0" w:space="0" w:color="auto"/>
            <w:left w:val="none" w:sz="0" w:space="0" w:color="auto"/>
            <w:bottom w:val="none" w:sz="0" w:space="0" w:color="auto"/>
            <w:right w:val="none" w:sz="0" w:space="0" w:color="auto"/>
          </w:divBdr>
        </w:div>
        <w:div w:id="1896431060">
          <w:marLeft w:val="640"/>
          <w:marRight w:val="0"/>
          <w:marTop w:val="0"/>
          <w:marBottom w:val="0"/>
          <w:divBdr>
            <w:top w:val="none" w:sz="0" w:space="0" w:color="auto"/>
            <w:left w:val="none" w:sz="0" w:space="0" w:color="auto"/>
            <w:bottom w:val="none" w:sz="0" w:space="0" w:color="auto"/>
            <w:right w:val="none" w:sz="0" w:space="0" w:color="auto"/>
          </w:divBdr>
        </w:div>
        <w:div w:id="386684966">
          <w:marLeft w:val="640"/>
          <w:marRight w:val="0"/>
          <w:marTop w:val="0"/>
          <w:marBottom w:val="0"/>
          <w:divBdr>
            <w:top w:val="none" w:sz="0" w:space="0" w:color="auto"/>
            <w:left w:val="none" w:sz="0" w:space="0" w:color="auto"/>
            <w:bottom w:val="none" w:sz="0" w:space="0" w:color="auto"/>
            <w:right w:val="none" w:sz="0" w:space="0" w:color="auto"/>
          </w:divBdr>
        </w:div>
        <w:div w:id="1185822904">
          <w:marLeft w:val="640"/>
          <w:marRight w:val="0"/>
          <w:marTop w:val="0"/>
          <w:marBottom w:val="0"/>
          <w:divBdr>
            <w:top w:val="none" w:sz="0" w:space="0" w:color="auto"/>
            <w:left w:val="none" w:sz="0" w:space="0" w:color="auto"/>
            <w:bottom w:val="none" w:sz="0" w:space="0" w:color="auto"/>
            <w:right w:val="none" w:sz="0" w:space="0" w:color="auto"/>
          </w:divBdr>
        </w:div>
        <w:div w:id="2112966756">
          <w:marLeft w:val="640"/>
          <w:marRight w:val="0"/>
          <w:marTop w:val="0"/>
          <w:marBottom w:val="0"/>
          <w:divBdr>
            <w:top w:val="none" w:sz="0" w:space="0" w:color="auto"/>
            <w:left w:val="none" w:sz="0" w:space="0" w:color="auto"/>
            <w:bottom w:val="none" w:sz="0" w:space="0" w:color="auto"/>
            <w:right w:val="none" w:sz="0" w:space="0" w:color="auto"/>
          </w:divBdr>
        </w:div>
        <w:div w:id="586155954">
          <w:marLeft w:val="640"/>
          <w:marRight w:val="0"/>
          <w:marTop w:val="0"/>
          <w:marBottom w:val="0"/>
          <w:divBdr>
            <w:top w:val="none" w:sz="0" w:space="0" w:color="auto"/>
            <w:left w:val="none" w:sz="0" w:space="0" w:color="auto"/>
            <w:bottom w:val="none" w:sz="0" w:space="0" w:color="auto"/>
            <w:right w:val="none" w:sz="0" w:space="0" w:color="auto"/>
          </w:divBdr>
        </w:div>
        <w:div w:id="1280994662">
          <w:marLeft w:val="640"/>
          <w:marRight w:val="0"/>
          <w:marTop w:val="0"/>
          <w:marBottom w:val="0"/>
          <w:divBdr>
            <w:top w:val="none" w:sz="0" w:space="0" w:color="auto"/>
            <w:left w:val="none" w:sz="0" w:space="0" w:color="auto"/>
            <w:bottom w:val="none" w:sz="0" w:space="0" w:color="auto"/>
            <w:right w:val="none" w:sz="0" w:space="0" w:color="auto"/>
          </w:divBdr>
        </w:div>
      </w:divsChild>
    </w:div>
    <w:div w:id="226183530">
      <w:bodyDiv w:val="1"/>
      <w:marLeft w:val="0"/>
      <w:marRight w:val="0"/>
      <w:marTop w:val="0"/>
      <w:marBottom w:val="0"/>
      <w:divBdr>
        <w:top w:val="none" w:sz="0" w:space="0" w:color="auto"/>
        <w:left w:val="none" w:sz="0" w:space="0" w:color="auto"/>
        <w:bottom w:val="none" w:sz="0" w:space="0" w:color="auto"/>
        <w:right w:val="none" w:sz="0" w:space="0" w:color="auto"/>
      </w:divBdr>
      <w:divsChild>
        <w:div w:id="525600849">
          <w:marLeft w:val="640"/>
          <w:marRight w:val="0"/>
          <w:marTop w:val="0"/>
          <w:marBottom w:val="0"/>
          <w:divBdr>
            <w:top w:val="none" w:sz="0" w:space="0" w:color="auto"/>
            <w:left w:val="none" w:sz="0" w:space="0" w:color="auto"/>
            <w:bottom w:val="none" w:sz="0" w:space="0" w:color="auto"/>
            <w:right w:val="none" w:sz="0" w:space="0" w:color="auto"/>
          </w:divBdr>
        </w:div>
        <w:div w:id="229074955">
          <w:marLeft w:val="640"/>
          <w:marRight w:val="0"/>
          <w:marTop w:val="0"/>
          <w:marBottom w:val="0"/>
          <w:divBdr>
            <w:top w:val="none" w:sz="0" w:space="0" w:color="auto"/>
            <w:left w:val="none" w:sz="0" w:space="0" w:color="auto"/>
            <w:bottom w:val="none" w:sz="0" w:space="0" w:color="auto"/>
            <w:right w:val="none" w:sz="0" w:space="0" w:color="auto"/>
          </w:divBdr>
        </w:div>
        <w:div w:id="530538722">
          <w:marLeft w:val="640"/>
          <w:marRight w:val="0"/>
          <w:marTop w:val="0"/>
          <w:marBottom w:val="0"/>
          <w:divBdr>
            <w:top w:val="none" w:sz="0" w:space="0" w:color="auto"/>
            <w:left w:val="none" w:sz="0" w:space="0" w:color="auto"/>
            <w:bottom w:val="none" w:sz="0" w:space="0" w:color="auto"/>
            <w:right w:val="none" w:sz="0" w:space="0" w:color="auto"/>
          </w:divBdr>
        </w:div>
        <w:div w:id="1877423616">
          <w:marLeft w:val="640"/>
          <w:marRight w:val="0"/>
          <w:marTop w:val="0"/>
          <w:marBottom w:val="0"/>
          <w:divBdr>
            <w:top w:val="none" w:sz="0" w:space="0" w:color="auto"/>
            <w:left w:val="none" w:sz="0" w:space="0" w:color="auto"/>
            <w:bottom w:val="none" w:sz="0" w:space="0" w:color="auto"/>
            <w:right w:val="none" w:sz="0" w:space="0" w:color="auto"/>
          </w:divBdr>
        </w:div>
        <w:div w:id="892884605">
          <w:marLeft w:val="640"/>
          <w:marRight w:val="0"/>
          <w:marTop w:val="0"/>
          <w:marBottom w:val="0"/>
          <w:divBdr>
            <w:top w:val="none" w:sz="0" w:space="0" w:color="auto"/>
            <w:left w:val="none" w:sz="0" w:space="0" w:color="auto"/>
            <w:bottom w:val="none" w:sz="0" w:space="0" w:color="auto"/>
            <w:right w:val="none" w:sz="0" w:space="0" w:color="auto"/>
          </w:divBdr>
        </w:div>
        <w:div w:id="227613426">
          <w:marLeft w:val="640"/>
          <w:marRight w:val="0"/>
          <w:marTop w:val="0"/>
          <w:marBottom w:val="0"/>
          <w:divBdr>
            <w:top w:val="none" w:sz="0" w:space="0" w:color="auto"/>
            <w:left w:val="none" w:sz="0" w:space="0" w:color="auto"/>
            <w:bottom w:val="none" w:sz="0" w:space="0" w:color="auto"/>
            <w:right w:val="none" w:sz="0" w:space="0" w:color="auto"/>
          </w:divBdr>
        </w:div>
        <w:div w:id="1483765775">
          <w:marLeft w:val="640"/>
          <w:marRight w:val="0"/>
          <w:marTop w:val="0"/>
          <w:marBottom w:val="0"/>
          <w:divBdr>
            <w:top w:val="none" w:sz="0" w:space="0" w:color="auto"/>
            <w:left w:val="none" w:sz="0" w:space="0" w:color="auto"/>
            <w:bottom w:val="none" w:sz="0" w:space="0" w:color="auto"/>
            <w:right w:val="none" w:sz="0" w:space="0" w:color="auto"/>
          </w:divBdr>
        </w:div>
        <w:div w:id="1927182809">
          <w:marLeft w:val="640"/>
          <w:marRight w:val="0"/>
          <w:marTop w:val="0"/>
          <w:marBottom w:val="0"/>
          <w:divBdr>
            <w:top w:val="none" w:sz="0" w:space="0" w:color="auto"/>
            <w:left w:val="none" w:sz="0" w:space="0" w:color="auto"/>
            <w:bottom w:val="none" w:sz="0" w:space="0" w:color="auto"/>
            <w:right w:val="none" w:sz="0" w:space="0" w:color="auto"/>
          </w:divBdr>
        </w:div>
        <w:div w:id="642082059">
          <w:marLeft w:val="640"/>
          <w:marRight w:val="0"/>
          <w:marTop w:val="0"/>
          <w:marBottom w:val="0"/>
          <w:divBdr>
            <w:top w:val="none" w:sz="0" w:space="0" w:color="auto"/>
            <w:left w:val="none" w:sz="0" w:space="0" w:color="auto"/>
            <w:bottom w:val="none" w:sz="0" w:space="0" w:color="auto"/>
            <w:right w:val="none" w:sz="0" w:space="0" w:color="auto"/>
          </w:divBdr>
        </w:div>
        <w:div w:id="1782525874">
          <w:marLeft w:val="640"/>
          <w:marRight w:val="0"/>
          <w:marTop w:val="0"/>
          <w:marBottom w:val="0"/>
          <w:divBdr>
            <w:top w:val="none" w:sz="0" w:space="0" w:color="auto"/>
            <w:left w:val="none" w:sz="0" w:space="0" w:color="auto"/>
            <w:bottom w:val="none" w:sz="0" w:space="0" w:color="auto"/>
            <w:right w:val="none" w:sz="0" w:space="0" w:color="auto"/>
          </w:divBdr>
        </w:div>
        <w:div w:id="1703170159">
          <w:marLeft w:val="640"/>
          <w:marRight w:val="0"/>
          <w:marTop w:val="0"/>
          <w:marBottom w:val="0"/>
          <w:divBdr>
            <w:top w:val="none" w:sz="0" w:space="0" w:color="auto"/>
            <w:left w:val="none" w:sz="0" w:space="0" w:color="auto"/>
            <w:bottom w:val="none" w:sz="0" w:space="0" w:color="auto"/>
            <w:right w:val="none" w:sz="0" w:space="0" w:color="auto"/>
          </w:divBdr>
        </w:div>
        <w:div w:id="1067730117">
          <w:marLeft w:val="640"/>
          <w:marRight w:val="0"/>
          <w:marTop w:val="0"/>
          <w:marBottom w:val="0"/>
          <w:divBdr>
            <w:top w:val="none" w:sz="0" w:space="0" w:color="auto"/>
            <w:left w:val="none" w:sz="0" w:space="0" w:color="auto"/>
            <w:bottom w:val="none" w:sz="0" w:space="0" w:color="auto"/>
            <w:right w:val="none" w:sz="0" w:space="0" w:color="auto"/>
          </w:divBdr>
        </w:div>
        <w:div w:id="1282227360">
          <w:marLeft w:val="640"/>
          <w:marRight w:val="0"/>
          <w:marTop w:val="0"/>
          <w:marBottom w:val="0"/>
          <w:divBdr>
            <w:top w:val="none" w:sz="0" w:space="0" w:color="auto"/>
            <w:left w:val="none" w:sz="0" w:space="0" w:color="auto"/>
            <w:bottom w:val="none" w:sz="0" w:space="0" w:color="auto"/>
            <w:right w:val="none" w:sz="0" w:space="0" w:color="auto"/>
          </w:divBdr>
        </w:div>
        <w:div w:id="1303081022">
          <w:marLeft w:val="640"/>
          <w:marRight w:val="0"/>
          <w:marTop w:val="0"/>
          <w:marBottom w:val="0"/>
          <w:divBdr>
            <w:top w:val="none" w:sz="0" w:space="0" w:color="auto"/>
            <w:left w:val="none" w:sz="0" w:space="0" w:color="auto"/>
            <w:bottom w:val="none" w:sz="0" w:space="0" w:color="auto"/>
            <w:right w:val="none" w:sz="0" w:space="0" w:color="auto"/>
          </w:divBdr>
        </w:div>
        <w:div w:id="301353136">
          <w:marLeft w:val="640"/>
          <w:marRight w:val="0"/>
          <w:marTop w:val="0"/>
          <w:marBottom w:val="0"/>
          <w:divBdr>
            <w:top w:val="none" w:sz="0" w:space="0" w:color="auto"/>
            <w:left w:val="none" w:sz="0" w:space="0" w:color="auto"/>
            <w:bottom w:val="none" w:sz="0" w:space="0" w:color="auto"/>
            <w:right w:val="none" w:sz="0" w:space="0" w:color="auto"/>
          </w:divBdr>
        </w:div>
        <w:div w:id="392168455">
          <w:marLeft w:val="640"/>
          <w:marRight w:val="0"/>
          <w:marTop w:val="0"/>
          <w:marBottom w:val="0"/>
          <w:divBdr>
            <w:top w:val="none" w:sz="0" w:space="0" w:color="auto"/>
            <w:left w:val="none" w:sz="0" w:space="0" w:color="auto"/>
            <w:bottom w:val="none" w:sz="0" w:space="0" w:color="auto"/>
            <w:right w:val="none" w:sz="0" w:space="0" w:color="auto"/>
          </w:divBdr>
        </w:div>
        <w:div w:id="258829904">
          <w:marLeft w:val="640"/>
          <w:marRight w:val="0"/>
          <w:marTop w:val="0"/>
          <w:marBottom w:val="0"/>
          <w:divBdr>
            <w:top w:val="none" w:sz="0" w:space="0" w:color="auto"/>
            <w:left w:val="none" w:sz="0" w:space="0" w:color="auto"/>
            <w:bottom w:val="none" w:sz="0" w:space="0" w:color="auto"/>
            <w:right w:val="none" w:sz="0" w:space="0" w:color="auto"/>
          </w:divBdr>
        </w:div>
      </w:divsChild>
    </w:div>
    <w:div w:id="230778630">
      <w:bodyDiv w:val="1"/>
      <w:marLeft w:val="0"/>
      <w:marRight w:val="0"/>
      <w:marTop w:val="0"/>
      <w:marBottom w:val="0"/>
      <w:divBdr>
        <w:top w:val="none" w:sz="0" w:space="0" w:color="auto"/>
        <w:left w:val="none" w:sz="0" w:space="0" w:color="auto"/>
        <w:bottom w:val="none" w:sz="0" w:space="0" w:color="auto"/>
        <w:right w:val="none" w:sz="0" w:space="0" w:color="auto"/>
      </w:divBdr>
      <w:divsChild>
        <w:div w:id="38289595">
          <w:marLeft w:val="640"/>
          <w:marRight w:val="0"/>
          <w:marTop w:val="0"/>
          <w:marBottom w:val="0"/>
          <w:divBdr>
            <w:top w:val="none" w:sz="0" w:space="0" w:color="auto"/>
            <w:left w:val="none" w:sz="0" w:space="0" w:color="auto"/>
            <w:bottom w:val="none" w:sz="0" w:space="0" w:color="auto"/>
            <w:right w:val="none" w:sz="0" w:space="0" w:color="auto"/>
          </w:divBdr>
        </w:div>
        <w:div w:id="1793094530">
          <w:marLeft w:val="640"/>
          <w:marRight w:val="0"/>
          <w:marTop w:val="0"/>
          <w:marBottom w:val="0"/>
          <w:divBdr>
            <w:top w:val="none" w:sz="0" w:space="0" w:color="auto"/>
            <w:left w:val="none" w:sz="0" w:space="0" w:color="auto"/>
            <w:bottom w:val="none" w:sz="0" w:space="0" w:color="auto"/>
            <w:right w:val="none" w:sz="0" w:space="0" w:color="auto"/>
          </w:divBdr>
        </w:div>
        <w:div w:id="1966740094">
          <w:marLeft w:val="640"/>
          <w:marRight w:val="0"/>
          <w:marTop w:val="0"/>
          <w:marBottom w:val="0"/>
          <w:divBdr>
            <w:top w:val="none" w:sz="0" w:space="0" w:color="auto"/>
            <w:left w:val="none" w:sz="0" w:space="0" w:color="auto"/>
            <w:bottom w:val="none" w:sz="0" w:space="0" w:color="auto"/>
            <w:right w:val="none" w:sz="0" w:space="0" w:color="auto"/>
          </w:divBdr>
        </w:div>
        <w:div w:id="1885362917">
          <w:marLeft w:val="640"/>
          <w:marRight w:val="0"/>
          <w:marTop w:val="0"/>
          <w:marBottom w:val="0"/>
          <w:divBdr>
            <w:top w:val="none" w:sz="0" w:space="0" w:color="auto"/>
            <w:left w:val="none" w:sz="0" w:space="0" w:color="auto"/>
            <w:bottom w:val="none" w:sz="0" w:space="0" w:color="auto"/>
            <w:right w:val="none" w:sz="0" w:space="0" w:color="auto"/>
          </w:divBdr>
        </w:div>
        <w:div w:id="433210940">
          <w:marLeft w:val="640"/>
          <w:marRight w:val="0"/>
          <w:marTop w:val="0"/>
          <w:marBottom w:val="0"/>
          <w:divBdr>
            <w:top w:val="none" w:sz="0" w:space="0" w:color="auto"/>
            <w:left w:val="none" w:sz="0" w:space="0" w:color="auto"/>
            <w:bottom w:val="none" w:sz="0" w:space="0" w:color="auto"/>
            <w:right w:val="none" w:sz="0" w:space="0" w:color="auto"/>
          </w:divBdr>
        </w:div>
        <w:div w:id="2001422547">
          <w:marLeft w:val="640"/>
          <w:marRight w:val="0"/>
          <w:marTop w:val="0"/>
          <w:marBottom w:val="0"/>
          <w:divBdr>
            <w:top w:val="none" w:sz="0" w:space="0" w:color="auto"/>
            <w:left w:val="none" w:sz="0" w:space="0" w:color="auto"/>
            <w:bottom w:val="none" w:sz="0" w:space="0" w:color="auto"/>
            <w:right w:val="none" w:sz="0" w:space="0" w:color="auto"/>
          </w:divBdr>
        </w:div>
        <w:div w:id="1875924136">
          <w:marLeft w:val="640"/>
          <w:marRight w:val="0"/>
          <w:marTop w:val="0"/>
          <w:marBottom w:val="0"/>
          <w:divBdr>
            <w:top w:val="none" w:sz="0" w:space="0" w:color="auto"/>
            <w:left w:val="none" w:sz="0" w:space="0" w:color="auto"/>
            <w:bottom w:val="none" w:sz="0" w:space="0" w:color="auto"/>
            <w:right w:val="none" w:sz="0" w:space="0" w:color="auto"/>
          </w:divBdr>
        </w:div>
        <w:div w:id="1058481729">
          <w:marLeft w:val="640"/>
          <w:marRight w:val="0"/>
          <w:marTop w:val="0"/>
          <w:marBottom w:val="0"/>
          <w:divBdr>
            <w:top w:val="none" w:sz="0" w:space="0" w:color="auto"/>
            <w:left w:val="none" w:sz="0" w:space="0" w:color="auto"/>
            <w:bottom w:val="none" w:sz="0" w:space="0" w:color="auto"/>
            <w:right w:val="none" w:sz="0" w:space="0" w:color="auto"/>
          </w:divBdr>
        </w:div>
      </w:divsChild>
    </w:div>
    <w:div w:id="231237361">
      <w:bodyDiv w:val="1"/>
      <w:marLeft w:val="0"/>
      <w:marRight w:val="0"/>
      <w:marTop w:val="0"/>
      <w:marBottom w:val="0"/>
      <w:divBdr>
        <w:top w:val="none" w:sz="0" w:space="0" w:color="auto"/>
        <w:left w:val="none" w:sz="0" w:space="0" w:color="auto"/>
        <w:bottom w:val="none" w:sz="0" w:space="0" w:color="auto"/>
        <w:right w:val="none" w:sz="0" w:space="0" w:color="auto"/>
      </w:divBdr>
      <w:divsChild>
        <w:div w:id="74522701">
          <w:marLeft w:val="640"/>
          <w:marRight w:val="0"/>
          <w:marTop w:val="0"/>
          <w:marBottom w:val="0"/>
          <w:divBdr>
            <w:top w:val="none" w:sz="0" w:space="0" w:color="auto"/>
            <w:left w:val="none" w:sz="0" w:space="0" w:color="auto"/>
            <w:bottom w:val="none" w:sz="0" w:space="0" w:color="auto"/>
            <w:right w:val="none" w:sz="0" w:space="0" w:color="auto"/>
          </w:divBdr>
        </w:div>
        <w:div w:id="1241908908">
          <w:marLeft w:val="640"/>
          <w:marRight w:val="0"/>
          <w:marTop w:val="0"/>
          <w:marBottom w:val="0"/>
          <w:divBdr>
            <w:top w:val="none" w:sz="0" w:space="0" w:color="auto"/>
            <w:left w:val="none" w:sz="0" w:space="0" w:color="auto"/>
            <w:bottom w:val="none" w:sz="0" w:space="0" w:color="auto"/>
            <w:right w:val="none" w:sz="0" w:space="0" w:color="auto"/>
          </w:divBdr>
        </w:div>
        <w:div w:id="2082605180">
          <w:marLeft w:val="640"/>
          <w:marRight w:val="0"/>
          <w:marTop w:val="0"/>
          <w:marBottom w:val="0"/>
          <w:divBdr>
            <w:top w:val="none" w:sz="0" w:space="0" w:color="auto"/>
            <w:left w:val="none" w:sz="0" w:space="0" w:color="auto"/>
            <w:bottom w:val="none" w:sz="0" w:space="0" w:color="auto"/>
            <w:right w:val="none" w:sz="0" w:space="0" w:color="auto"/>
          </w:divBdr>
        </w:div>
        <w:div w:id="303657477">
          <w:marLeft w:val="640"/>
          <w:marRight w:val="0"/>
          <w:marTop w:val="0"/>
          <w:marBottom w:val="0"/>
          <w:divBdr>
            <w:top w:val="none" w:sz="0" w:space="0" w:color="auto"/>
            <w:left w:val="none" w:sz="0" w:space="0" w:color="auto"/>
            <w:bottom w:val="none" w:sz="0" w:space="0" w:color="auto"/>
            <w:right w:val="none" w:sz="0" w:space="0" w:color="auto"/>
          </w:divBdr>
        </w:div>
        <w:div w:id="1230578037">
          <w:marLeft w:val="640"/>
          <w:marRight w:val="0"/>
          <w:marTop w:val="0"/>
          <w:marBottom w:val="0"/>
          <w:divBdr>
            <w:top w:val="none" w:sz="0" w:space="0" w:color="auto"/>
            <w:left w:val="none" w:sz="0" w:space="0" w:color="auto"/>
            <w:bottom w:val="none" w:sz="0" w:space="0" w:color="auto"/>
            <w:right w:val="none" w:sz="0" w:space="0" w:color="auto"/>
          </w:divBdr>
        </w:div>
        <w:div w:id="358628917">
          <w:marLeft w:val="640"/>
          <w:marRight w:val="0"/>
          <w:marTop w:val="0"/>
          <w:marBottom w:val="0"/>
          <w:divBdr>
            <w:top w:val="none" w:sz="0" w:space="0" w:color="auto"/>
            <w:left w:val="none" w:sz="0" w:space="0" w:color="auto"/>
            <w:bottom w:val="none" w:sz="0" w:space="0" w:color="auto"/>
            <w:right w:val="none" w:sz="0" w:space="0" w:color="auto"/>
          </w:divBdr>
        </w:div>
        <w:div w:id="229275168">
          <w:marLeft w:val="640"/>
          <w:marRight w:val="0"/>
          <w:marTop w:val="0"/>
          <w:marBottom w:val="0"/>
          <w:divBdr>
            <w:top w:val="none" w:sz="0" w:space="0" w:color="auto"/>
            <w:left w:val="none" w:sz="0" w:space="0" w:color="auto"/>
            <w:bottom w:val="none" w:sz="0" w:space="0" w:color="auto"/>
            <w:right w:val="none" w:sz="0" w:space="0" w:color="auto"/>
          </w:divBdr>
        </w:div>
        <w:div w:id="1735398357">
          <w:marLeft w:val="640"/>
          <w:marRight w:val="0"/>
          <w:marTop w:val="0"/>
          <w:marBottom w:val="0"/>
          <w:divBdr>
            <w:top w:val="none" w:sz="0" w:space="0" w:color="auto"/>
            <w:left w:val="none" w:sz="0" w:space="0" w:color="auto"/>
            <w:bottom w:val="none" w:sz="0" w:space="0" w:color="auto"/>
            <w:right w:val="none" w:sz="0" w:space="0" w:color="auto"/>
          </w:divBdr>
        </w:div>
        <w:div w:id="1351296560">
          <w:marLeft w:val="640"/>
          <w:marRight w:val="0"/>
          <w:marTop w:val="0"/>
          <w:marBottom w:val="0"/>
          <w:divBdr>
            <w:top w:val="none" w:sz="0" w:space="0" w:color="auto"/>
            <w:left w:val="none" w:sz="0" w:space="0" w:color="auto"/>
            <w:bottom w:val="none" w:sz="0" w:space="0" w:color="auto"/>
            <w:right w:val="none" w:sz="0" w:space="0" w:color="auto"/>
          </w:divBdr>
        </w:div>
        <w:div w:id="273679832">
          <w:marLeft w:val="640"/>
          <w:marRight w:val="0"/>
          <w:marTop w:val="0"/>
          <w:marBottom w:val="0"/>
          <w:divBdr>
            <w:top w:val="none" w:sz="0" w:space="0" w:color="auto"/>
            <w:left w:val="none" w:sz="0" w:space="0" w:color="auto"/>
            <w:bottom w:val="none" w:sz="0" w:space="0" w:color="auto"/>
            <w:right w:val="none" w:sz="0" w:space="0" w:color="auto"/>
          </w:divBdr>
        </w:div>
        <w:div w:id="843519252">
          <w:marLeft w:val="640"/>
          <w:marRight w:val="0"/>
          <w:marTop w:val="0"/>
          <w:marBottom w:val="0"/>
          <w:divBdr>
            <w:top w:val="none" w:sz="0" w:space="0" w:color="auto"/>
            <w:left w:val="none" w:sz="0" w:space="0" w:color="auto"/>
            <w:bottom w:val="none" w:sz="0" w:space="0" w:color="auto"/>
            <w:right w:val="none" w:sz="0" w:space="0" w:color="auto"/>
          </w:divBdr>
        </w:div>
        <w:div w:id="850141649">
          <w:marLeft w:val="640"/>
          <w:marRight w:val="0"/>
          <w:marTop w:val="0"/>
          <w:marBottom w:val="0"/>
          <w:divBdr>
            <w:top w:val="none" w:sz="0" w:space="0" w:color="auto"/>
            <w:left w:val="none" w:sz="0" w:space="0" w:color="auto"/>
            <w:bottom w:val="none" w:sz="0" w:space="0" w:color="auto"/>
            <w:right w:val="none" w:sz="0" w:space="0" w:color="auto"/>
          </w:divBdr>
        </w:div>
        <w:div w:id="1528913250">
          <w:marLeft w:val="640"/>
          <w:marRight w:val="0"/>
          <w:marTop w:val="0"/>
          <w:marBottom w:val="0"/>
          <w:divBdr>
            <w:top w:val="none" w:sz="0" w:space="0" w:color="auto"/>
            <w:left w:val="none" w:sz="0" w:space="0" w:color="auto"/>
            <w:bottom w:val="none" w:sz="0" w:space="0" w:color="auto"/>
            <w:right w:val="none" w:sz="0" w:space="0" w:color="auto"/>
          </w:divBdr>
        </w:div>
        <w:div w:id="526721712">
          <w:marLeft w:val="640"/>
          <w:marRight w:val="0"/>
          <w:marTop w:val="0"/>
          <w:marBottom w:val="0"/>
          <w:divBdr>
            <w:top w:val="none" w:sz="0" w:space="0" w:color="auto"/>
            <w:left w:val="none" w:sz="0" w:space="0" w:color="auto"/>
            <w:bottom w:val="none" w:sz="0" w:space="0" w:color="auto"/>
            <w:right w:val="none" w:sz="0" w:space="0" w:color="auto"/>
          </w:divBdr>
        </w:div>
        <w:div w:id="1180436247">
          <w:marLeft w:val="640"/>
          <w:marRight w:val="0"/>
          <w:marTop w:val="0"/>
          <w:marBottom w:val="0"/>
          <w:divBdr>
            <w:top w:val="none" w:sz="0" w:space="0" w:color="auto"/>
            <w:left w:val="none" w:sz="0" w:space="0" w:color="auto"/>
            <w:bottom w:val="none" w:sz="0" w:space="0" w:color="auto"/>
            <w:right w:val="none" w:sz="0" w:space="0" w:color="auto"/>
          </w:divBdr>
        </w:div>
      </w:divsChild>
    </w:div>
    <w:div w:id="240677170">
      <w:bodyDiv w:val="1"/>
      <w:marLeft w:val="0"/>
      <w:marRight w:val="0"/>
      <w:marTop w:val="0"/>
      <w:marBottom w:val="0"/>
      <w:divBdr>
        <w:top w:val="none" w:sz="0" w:space="0" w:color="auto"/>
        <w:left w:val="none" w:sz="0" w:space="0" w:color="auto"/>
        <w:bottom w:val="none" w:sz="0" w:space="0" w:color="auto"/>
        <w:right w:val="none" w:sz="0" w:space="0" w:color="auto"/>
      </w:divBdr>
      <w:divsChild>
        <w:div w:id="463744058">
          <w:marLeft w:val="640"/>
          <w:marRight w:val="0"/>
          <w:marTop w:val="0"/>
          <w:marBottom w:val="0"/>
          <w:divBdr>
            <w:top w:val="none" w:sz="0" w:space="0" w:color="auto"/>
            <w:left w:val="none" w:sz="0" w:space="0" w:color="auto"/>
            <w:bottom w:val="none" w:sz="0" w:space="0" w:color="auto"/>
            <w:right w:val="none" w:sz="0" w:space="0" w:color="auto"/>
          </w:divBdr>
        </w:div>
        <w:div w:id="1208227039">
          <w:marLeft w:val="640"/>
          <w:marRight w:val="0"/>
          <w:marTop w:val="0"/>
          <w:marBottom w:val="0"/>
          <w:divBdr>
            <w:top w:val="none" w:sz="0" w:space="0" w:color="auto"/>
            <w:left w:val="none" w:sz="0" w:space="0" w:color="auto"/>
            <w:bottom w:val="none" w:sz="0" w:space="0" w:color="auto"/>
            <w:right w:val="none" w:sz="0" w:space="0" w:color="auto"/>
          </w:divBdr>
        </w:div>
        <w:div w:id="955335000">
          <w:marLeft w:val="640"/>
          <w:marRight w:val="0"/>
          <w:marTop w:val="0"/>
          <w:marBottom w:val="0"/>
          <w:divBdr>
            <w:top w:val="none" w:sz="0" w:space="0" w:color="auto"/>
            <w:left w:val="none" w:sz="0" w:space="0" w:color="auto"/>
            <w:bottom w:val="none" w:sz="0" w:space="0" w:color="auto"/>
            <w:right w:val="none" w:sz="0" w:space="0" w:color="auto"/>
          </w:divBdr>
        </w:div>
        <w:div w:id="1798137957">
          <w:marLeft w:val="640"/>
          <w:marRight w:val="0"/>
          <w:marTop w:val="0"/>
          <w:marBottom w:val="0"/>
          <w:divBdr>
            <w:top w:val="none" w:sz="0" w:space="0" w:color="auto"/>
            <w:left w:val="none" w:sz="0" w:space="0" w:color="auto"/>
            <w:bottom w:val="none" w:sz="0" w:space="0" w:color="auto"/>
            <w:right w:val="none" w:sz="0" w:space="0" w:color="auto"/>
          </w:divBdr>
        </w:div>
      </w:divsChild>
    </w:div>
    <w:div w:id="247077298">
      <w:bodyDiv w:val="1"/>
      <w:marLeft w:val="0"/>
      <w:marRight w:val="0"/>
      <w:marTop w:val="0"/>
      <w:marBottom w:val="0"/>
      <w:divBdr>
        <w:top w:val="none" w:sz="0" w:space="0" w:color="auto"/>
        <w:left w:val="none" w:sz="0" w:space="0" w:color="auto"/>
        <w:bottom w:val="none" w:sz="0" w:space="0" w:color="auto"/>
        <w:right w:val="none" w:sz="0" w:space="0" w:color="auto"/>
      </w:divBdr>
      <w:divsChild>
        <w:div w:id="594283558">
          <w:marLeft w:val="640"/>
          <w:marRight w:val="0"/>
          <w:marTop w:val="0"/>
          <w:marBottom w:val="0"/>
          <w:divBdr>
            <w:top w:val="none" w:sz="0" w:space="0" w:color="auto"/>
            <w:left w:val="none" w:sz="0" w:space="0" w:color="auto"/>
            <w:bottom w:val="none" w:sz="0" w:space="0" w:color="auto"/>
            <w:right w:val="none" w:sz="0" w:space="0" w:color="auto"/>
          </w:divBdr>
        </w:div>
        <w:div w:id="605575521">
          <w:marLeft w:val="640"/>
          <w:marRight w:val="0"/>
          <w:marTop w:val="0"/>
          <w:marBottom w:val="0"/>
          <w:divBdr>
            <w:top w:val="none" w:sz="0" w:space="0" w:color="auto"/>
            <w:left w:val="none" w:sz="0" w:space="0" w:color="auto"/>
            <w:bottom w:val="none" w:sz="0" w:space="0" w:color="auto"/>
            <w:right w:val="none" w:sz="0" w:space="0" w:color="auto"/>
          </w:divBdr>
        </w:div>
      </w:divsChild>
    </w:div>
    <w:div w:id="254897361">
      <w:bodyDiv w:val="1"/>
      <w:marLeft w:val="0"/>
      <w:marRight w:val="0"/>
      <w:marTop w:val="0"/>
      <w:marBottom w:val="0"/>
      <w:divBdr>
        <w:top w:val="none" w:sz="0" w:space="0" w:color="auto"/>
        <w:left w:val="none" w:sz="0" w:space="0" w:color="auto"/>
        <w:bottom w:val="none" w:sz="0" w:space="0" w:color="auto"/>
        <w:right w:val="none" w:sz="0" w:space="0" w:color="auto"/>
      </w:divBdr>
      <w:divsChild>
        <w:div w:id="1368677288">
          <w:marLeft w:val="640"/>
          <w:marRight w:val="0"/>
          <w:marTop w:val="0"/>
          <w:marBottom w:val="0"/>
          <w:divBdr>
            <w:top w:val="none" w:sz="0" w:space="0" w:color="auto"/>
            <w:left w:val="none" w:sz="0" w:space="0" w:color="auto"/>
            <w:bottom w:val="none" w:sz="0" w:space="0" w:color="auto"/>
            <w:right w:val="none" w:sz="0" w:space="0" w:color="auto"/>
          </w:divBdr>
        </w:div>
        <w:div w:id="1332485760">
          <w:marLeft w:val="640"/>
          <w:marRight w:val="0"/>
          <w:marTop w:val="0"/>
          <w:marBottom w:val="0"/>
          <w:divBdr>
            <w:top w:val="none" w:sz="0" w:space="0" w:color="auto"/>
            <w:left w:val="none" w:sz="0" w:space="0" w:color="auto"/>
            <w:bottom w:val="none" w:sz="0" w:space="0" w:color="auto"/>
            <w:right w:val="none" w:sz="0" w:space="0" w:color="auto"/>
          </w:divBdr>
        </w:div>
        <w:div w:id="505170830">
          <w:marLeft w:val="640"/>
          <w:marRight w:val="0"/>
          <w:marTop w:val="0"/>
          <w:marBottom w:val="0"/>
          <w:divBdr>
            <w:top w:val="none" w:sz="0" w:space="0" w:color="auto"/>
            <w:left w:val="none" w:sz="0" w:space="0" w:color="auto"/>
            <w:bottom w:val="none" w:sz="0" w:space="0" w:color="auto"/>
            <w:right w:val="none" w:sz="0" w:space="0" w:color="auto"/>
          </w:divBdr>
        </w:div>
        <w:div w:id="942222109">
          <w:marLeft w:val="640"/>
          <w:marRight w:val="0"/>
          <w:marTop w:val="0"/>
          <w:marBottom w:val="0"/>
          <w:divBdr>
            <w:top w:val="none" w:sz="0" w:space="0" w:color="auto"/>
            <w:left w:val="none" w:sz="0" w:space="0" w:color="auto"/>
            <w:bottom w:val="none" w:sz="0" w:space="0" w:color="auto"/>
            <w:right w:val="none" w:sz="0" w:space="0" w:color="auto"/>
          </w:divBdr>
        </w:div>
      </w:divsChild>
    </w:div>
    <w:div w:id="278608342">
      <w:bodyDiv w:val="1"/>
      <w:marLeft w:val="0"/>
      <w:marRight w:val="0"/>
      <w:marTop w:val="0"/>
      <w:marBottom w:val="0"/>
      <w:divBdr>
        <w:top w:val="none" w:sz="0" w:space="0" w:color="auto"/>
        <w:left w:val="none" w:sz="0" w:space="0" w:color="auto"/>
        <w:bottom w:val="none" w:sz="0" w:space="0" w:color="auto"/>
        <w:right w:val="none" w:sz="0" w:space="0" w:color="auto"/>
      </w:divBdr>
      <w:divsChild>
        <w:div w:id="410081080">
          <w:marLeft w:val="640"/>
          <w:marRight w:val="0"/>
          <w:marTop w:val="0"/>
          <w:marBottom w:val="0"/>
          <w:divBdr>
            <w:top w:val="none" w:sz="0" w:space="0" w:color="auto"/>
            <w:left w:val="none" w:sz="0" w:space="0" w:color="auto"/>
            <w:bottom w:val="none" w:sz="0" w:space="0" w:color="auto"/>
            <w:right w:val="none" w:sz="0" w:space="0" w:color="auto"/>
          </w:divBdr>
        </w:div>
        <w:div w:id="773790840">
          <w:marLeft w:val="640"/>
          <w:marRight w:val="0"/>
          <w:marTop w:val="0"/>
          <w:marBottom w:val="0"/>
          <w:divBdr>
            <w:top w:val="none" w:sz="0" w:space="0" w:color="auto"/>
            <w:left w:val="none" w:sz="0" w:space="0" w:color="auto"/>
            <w:bottom w:val="none" w:sz="0" w:space="0" w:color="auto"/>
            <w:right w:val="none" w:sz="0" w:space="0" w:color="auto"/>
          </w:divBdr>
        </w:div>
        <w:div w:id="632104135">
          <w:marLeft w:val="640"/>
          <w:marRight w:val="0"/>
          <w:marTop w:val="0"/>
          <w:marBottom w:val="0"/>
          <w:divBdr>
            <w:top w:val="none" w:sz="0" w:space="0" w:color="auto"/>
            <w:left w:val="none" w:sz="0" w:space="0" w:color="auto"/>
            <w:bottom w:val="none" w:sz="0" w:space="0" w:color="auto"/>
            <w:right w:val="none" w:sz="0" w:space="0" w:color="auto"/>
          </w:divBdr>
        </w:div>
        <w:div w:id="19353814">
          <w:marLeft w:val="640"/>
          <w:marRight w:val="0"/>
          <w:marTop w:val="0"/>
          <w:marBottom w:val="0"/>
          <w:divBdr>
            <w:top w:val="none" w:sz="0" w:space="0" w:color="auto"/>
            <w:left w:val="none" w:sz="0" w:space="0" w:color="auto"/>
            <w:bottom w:val="none" w:sz="0" w:space="0" w:color="auto"/>
            <w:right w:val="none" w:sz="0" w:space="0" w:color="auto"/>
          </w:divBdr>
        </w:div>
        <w:div w:id="1202590413">
          <w:marLeft w:val="640"/>
          <w:marRight w:val="0"/>
          <w:marTop w:val="0"/>
          <w:marBottom w:val="0"/>
          <w:divBdr>
            <w:top w:val="none" w:sz="0" w:space="0" w:color="auto"/>
            <w:left w:val="none" w:sz="0" w:space="0" w:color="auto"/>
            <w:bottom w:val="none" w:sz="0" w:space="0" w:color="auto"/>
            <w:right w:val="none" w:sz="0" w:space="0" w:color="auto"/>
          </w:divBdr>
        </w:div>
        <w:div w:id="1591348646">
          <w:marLeft w:val="640"/>
          <w:marRight w:val="0"/>
          <w:marTop w:val="0"/>
          <w:marBottom w:val="0"/>
          <w:divBdr>
            <w:top w:val="none" w:sz="0" w:space="0" w:color="auto"/>
            <w:left w:val="none" w:sz="0" w:space="0" w:color="auto"/>
            <w:bottom w:val="none" w:sz="0" w:space="0" w:color="auto"/>
            <w:right w:val="none" w:sz="0" w:space="0" w:color="auto"/>
          </w:divBdr>
        </w:div>
        <w:div w:id="409694064">
          <w:marLeft w:val="640"/>
          <w:marRight w:val="0"/>
          <w:marTop w:val="0"/>
          <w:marBottom w:val="0"/>
          <w:divBdr>
            <w:top w:val="none" w:sz="0" w:space="0" w:color="auto"/>
            <w:left w:val="none" w:sz="0" w:space="0" w:color="auto"/>
            <w:bottom w:val="none" w:sz="0" w:space="0" w:color="auto"/>
            <w:right w:val="none" w:sz="0" w:space="0" w:color="auto"/>
          </w:divBdr>
        </w:div>
        <w:div w:id="1435251089">
          <w:marLeft w:val="640"/>
          <w:marRight w:val="0"/>
          <w:marTop w:val="0"/>
          <w:marBottom w:val="0"/>
          <w:divBdr>
            <w:top w:val="none" w:sz="0" w:space="0" w:color="auto"/>
            <w:left w:val="none" w:sz="0" w:space="0" w:color="auto"/>
            <w:bottom w:val="none" w:sz="0" w:space="0" w:color="auto"/>
            <w:right w:val="none" w:sz="0" w:space="0" w:color="auto"/>
          </w:divBdr>
        </w:div>
        <w:div w:id="292447344">
          <w:marLeft w:val="640"/>
          <w:marRight w:val="0"/>
          <w:marTop w:val="0"/>
          <w:marBottom w:val="0"/>
          <w:divBdr>
            <w:top w:val="none" w:sz="0" w:space="0" w:color="auto"/>
            <w:left w:val="none" w:sz="0" w:space="0" w:color="auto"/>
            <w:bottom w:val="none" w:sz="0" w:space="0" w:color="auto"/>
            <w:right w:val="none" w:sz="0" w:space="0" w:color="auto"/>
          </w:divBdr>
        </w:div>
        <w:div w:id="1248033480">
          <w:marLeft w:val="640"/>
          <w:marRight w:val="0"/>
          <w:marTop w:val="0"/>
          <w:marBottom w:val="0"/>
          <w:divBdr>
            <w:top w:val="none" w:sz="0" w:space="0" w:color="auto"/>
            <w:left w:val="none" w:sz="0" w:space="0" w:color="auto"/>
            <w:bottom w:val="none" w:sz="0" w:space="0" w:color="auto"/>
            <w:right w:val="none" w:sz="0" w:space="0" w:color="auto"/>
          </w:divBdr>
        </w:div>
        <w:div w:id="1897542303">
          <w:marLeft w:val="640"/>
          <w:marRight w:val="0"/>
          <w:marTop w:val="0"/>
          <w:marBottom w:val="0"/>
          <w:divBdr>
            <w:top w:val="none" w:sz="0" w:space="0" w:color="auto"/>
            <w:left w:val="none" w:sz="0" w:space="0" w:color="auto"/>
            <w:bottom w:val="none" w:sz="0" w:space="0" w:color="auto"/>
            <w:right w:val="none" w:sz="0" w:space="0" w:color="auto"/>
          </w:divBdr>
        </w:div>
        <w:div w:id="634918732">
          <w:marLeft w:val="640"/>
          <w:marRight w:val="0"/>
          <w:marTop w:val="0"/>
          <w:marBottom w:val="0"/>
          <w:divBdr>
            <w:top w:val="none" w:sz="0" w:space="0" w:color="auto"/>
            <w:left w:val="none" w:sz="0" w:space="0" w:color="auto"/>
            <w:bottom w:val="none" w:sz="0" w:space="0" w:color="auto"/>
            <w:right w:val="none" w:sz="0" w:space="0" w:color="auto"/>
          </w:divBdr>
        </w:div>
        <w:div w:id="1618681188">
          <w:marLeft w:val="640"/>
          <w:marRight w:val="0"/>
          <w:marTop w:val="0"/>
          <w:marBottom w:val="0"/>
          <w:divBdr>
            <w:top w:val="none" w:sz="0" w:space="0" w:color="auto"/>
            <w:left w:val="none" w:sz="0" w:space="0" w:color="auto"/>
            <w:bottom w:val="none" w:sz="0" w:space="0" w:color="auto"/>
            <w:right w:val="none" w:sz="0" w:space="0" w:color="auto"/>
          </w:divBdr>
        </w:div>
        <w:div w:id="511651827">
          <w:marLeft w:val="640"/>
          <w:marRight w:val="0"/>
          <w:marTop w:val="0"/>
          <w:marBottom w:val="0"/>
          <w:divBdr>
            <w:top w:val="none" w:sz="0" w:space="0" w:color="auto"/>
            <w:left w:val="none" w:sz="0" w:space="0" w:color="auto"/>
            <w:bottom w:val="none" w:sz="0" w:space="0" w:color="auto"/>
            <w:right w:val="none" w:sz="0" w:space="0" w:color="auto"/>
          </w:divBdr>
        </w:div>
      </w:divsChild>
    </w:div>
    <w:div w:id="305815596">
      <w:bodyDiv w:val="1"/>
      <w:marLeft w:val="0"/>
      <w:marRight w:val="0"/>
      <w:marTop w:val="0"/>
      <w:marBottom w:val="0"/>
      <w:divBdr>
        <w:top w:val="none" w:sz="0" w:space="0" w:color="auto"/>
        <w:left w:val="none" w:sz="0" w:space="0" w:color="auto"/>
        <w:bottom w:val="none" w:sz="0" w:space="0" w:color="auto"/>
        <w:right w:val="none" w:sz="0" w:space="0" w:color="auto"/>
      </w:divBdr>
      <w:divsChild>
        <w:div w:id="694428150">
          <w:marLeft w:val="640"/>
          <w:marRight w:val="0"/>
          <w:marTop w:val="0"/>
          <w:marBottom w:val="0"/>
          <w:divBdr>
            <w:top w:val="none" w:sz="0" w:space="0" w:color="auto"/>
            <w:left w:val="none" w:sz="0" w:space="0" w:color="auto"/>
            <w:bottom w:val="none" w:sz="0" w:space="0" w:color="auto"/>
            <w:right w:val="none" w:sz="0" w:space="0" w:color="auto"/>
          </w:divBdr>
        </w:div>
        <w:div w:id="1654067392">
          <w:marLeft w:val="640"/>
          <w:marRight w:val="0"/>
          <w:marTop w:val="0"/>
          <w:marBottom w:val="0"/>
          <w:divBdr>
            <w:top w:val="none" w:sz="0" w:space="0" w:color="auto"/>
            <w:left w:val="none" w:sz="0" w:space="0" w:color="auto"/>
            <w:bottom w:val="none" w:sz="0" w:space="0" w:color="auto"/>
            <w:right w:val="none" w:sz="0" w:space="0" w:color="auto"/>
          </w:divBdr>
        </w:div>
        <w:div w:id="344333968">
          <w:marLeft w:val="640"/>
          <w:marRight w:val="0"/>
          <w:marTop w:val="0"/>
          <w:marBottom w:val="0"/>
          <w:divBdr>
            <w:top w:val="none" w:sz="0" w:space="0" w:color="auto"/>
            <w:left w:val="none" w:sz="0" w:space="0" w:color="auto"/>
            <w:bottom w:val="none" w:sz="0" w:space="0" w:color="auto"/>
            <w:right w:val="none" w:sz="0" w:space="0" w:color="auto"/>
          </w:divBdr>
        </w:div>
        <w:div w:id="304315024">
          <w:marLeft w:val="640"/>
          <w:marRight w:val="0"/>
          <w:marTop w:val="0"/>
          <w:marBottom w:val="0"/>
          <w:divBdr>
            <w:top w:val="none" w:sz="0" w:space="0" w:color="auto"/>
            <w:left w:val="none" w:sz="0" w:space="0" w:color="auto"/>
            <w:bottom w:val="none" w:sz="0" w:space="0" w:color="auto"/>
            <w:right w:val="none" w:sz="0" w:space="0" w:color="auto"/>
          </w:divBdr>
        </w:div>
        <w:div w:id="511529053">
          <w:marLeft w:val="640"/>
          <w:marRight w:val="0"/>
          <w:marTop w:val="0"/>
          <w:marBottom w:val="0"/>
          <w:divBdr>
            <w:top w:val="none" w:sz="0" w:space="0" w:color="auto"/>
            <w:left w:val="none" w:sz="0" w:space="0" w:color="auto"/>
            <w:bottom w:val="none" w:sz="0" w:space="0" w:color="auto"/>
            <w:right w:val="none" w:sz="0" w:space="0" w:color="auto"/>
          </w:divBdr>
        </w:div>
        <w:div w:id="415902708">
          <w:marLeft w:val="640"/>
          <w:marRight w:val="0"/>
          <w:marTop w:val="0"/>
          <w:marBottom w:val="0"/>
          <w:divBdr>
            <w:top w:val="none" w:sz="0" w:space="0" w:color="auto"/>
            <w:left w:val="none" w:sz="0" w:space="0" w:color="auto"/>
            <w:bottom w:val="none" w:sz="0" w:space="0" w:color="auto"/>
            <w:right w:val="none" w:sz="0" w:space="0" w:color="auto"/>
          </w:divBdr>
        </w:div>
        <w:div w:id="951401957">
          <w:marLeft w:val="640"/>
          <w:marRight w:val="0"/>
          <w:marTop w:val="0"/>
          <w:marBottom w:val="0"/>
          <w:divBdr>
            <w:top w:val="none" w:sz="0" w:space="0" w:color="auto"/>
            <w:left w:val="none" w:sz="0" w:space="0" w:color="auto"/>
            <w:bottom w:val="none" w:sz="0" w:space="0" w:color="auto"/>
            <w:right w:val="none" w:sz="0" w:space="0" w:color="auto"/>
          </w:divBdr>
        </w:div>
        <w:div w:id="537592944">
          <w:marLeft w:val="640"/>
          <w:marRight w:val="0"/>
          <w:marTop w:val="0"/>
          <w:marBottom w:val="0"/>
          <w:divBdr>
            <w:top w:val="none" w:sz="0" w:space="0" w:color="auto"/>
            <w:left w:val="none" w:sz="0" w:space="0" w:color="auto"/>
            <w:bottom w:val="none" w:sz="0" w:space="0" w:color="auto"/>
            <w:right w:val="none" w:sz="0" w:space="0" w:color="auto"/>
          </w:divBdr>
        </w:div>
        <w:div w:id="1162159781">
          <w:marLeft w:val="640"/>
          <w:marRight w:val="0"/>
          <w:marTop w:val="0"/>
          <w:marBottom w:val="0"/>
          <w:divBdr>
            <w:top w:val="none" w:sz="0" w:space="0" w:color="auto"/>
            <w:left w:val="none" w:sz="0" w:space="0" w:color="auto"/>
            <w:bottom w:val="none" w:sz="0" w:space="0" w:color="auto"/>
            <w:right w:val="none" w:sz="0" w:space="0" w:color="auto"/>
          </w:divBdr>
        </w:div>
        <w:div w:id="680551631">
          <w:marLeft w:val="640"/>
          <w:marRight w:val="0"/>
          <w:marTop w:val="0"/>
          <w:marBottom w:val="0"/>
          <w:divBdr>
            <w:top w:val="none" w:sz="0" w:space="0" w:color="auto"/>
            <w:left w:val="none" w:sz="0" w:space="0" w:color="auto"/>
            <w:bottom w:val="none" w:sz="0" w:space="0" w:color="auto"/>
            <w:right w:val="none" w:sz="0" w:space="0" w:color="auto"/>
          </w:divBdr>
        </w:div>
        <w:div w:id="236522437">
          <w:marLeft w:val="640"/>
          <w:marRight w:val="0"/>
          <w:marTop w:val="0"/>
          <w:marBottom w:val="0"/>
          <w:divBdr>
            <w:top w:val="none" w:sz="0" w:space="0" w:color="auto"/>
            <w:left w:val="none" w:sz="0" w:space="0" w:color="auto"/>
            <w:bottom w:val="none" w:sz="0" w:space="0" w:color="auto"/>
            <w:right w:val="none" w:sz="0" w:space="0" w:color="auto"/>
          </w:divBdr>
        </w:div>
        <w:div w:id="262416372">
          <w:marLeft w:val="640"/>
          <w:marRight w:val="0"/>
          <w:marTop w:val="0"/>
          <w:marBottom w:val="0"/>
          <w:divBdr>
            <w:top w:val="none" w:sz="0" w:space="0" w:color="auto"/>
            <w:left w:val="none" w:sz="0" w:space="0" w:color="auto"/>
            <w:bottom w:val="none" w:sz="0" w:space="0" w:color="auto"/>
            <w:right w:val="none" w:sz="0" w:space="0" w:color="auto"/>
          </w:divBdr>
        </w:div>
        <w:div w:id="1148207085">
          <w:marLeft w:val="640"/>
          <w:marRight w:val="0"/>
          <w:marTop w:val="0"/>
          <w:marBottom w:val="0"/>
          <w:divBdr>
            <w:top w:val="none" w:sz="0" w:space="0" w:color="auto"/>
            <w:left w:val="none" w:sz="0" w:space="0" w:color="auto"/>
            <w:bottom w:val="none" w:sz="0" w:space="0" w:color="auto"/>
            <w:right w:val="none" w:sz="0" w:space="0" w:color="auto"/>
          </w:divBdr>
        </w:div>
        <w:div w:id="39863277">
          <w:marLeft w:val="640"/>
          <w:marRight w:val="0"/>
          <w:marTop w:val="0"/>
          <w:marBottom w:val="0"/>
          <w:divBdr>
            <w:top w:val="none" w:sz="0" w:space="0" w:color="auto"/>
            <w:left w:val="none" w:sz="0" w:space="0" w:color="auto"/>
            <w:bottom w:val="none" w:sz="0" w:space="0" w:color="auto"/>
            <w:right w:val="none" w:sz="0" w:space="0" w:color="auto"/>
          </w:divBdr>
        </w:div>
        <w:div w:id="53698781">
          <w:marLeft w:val="640"/>
          <w:marRight w:val="0"/>
          <w:marTop w:val="0"/>
          <w:marBottom w:val="0"/>
          <w:divBdr>
            <w:top w:val="none" w:sz="0" w:space="0" w:color="auto"/>
            <w:left w:val="none" w:sz="0" w:space="0" w:color="auto"/>
            <w:bottom w:val="none" w:sz="0" w:space="0" w:color="auto"/>
            <w:right w:val="none" w:sz="0" w:space="0" w:color="auto"/>
          </w:divBdr>
        </w:div>
      </w:divsChild>
    </w:div>
    <w:div w:id="315649847">
      <w:bodyDiv w:val="1"/>
      <w:marLeft w:val="0"/>
      <w:marRight w:val="0"/>
      <w:marTop w:val="0"/>
      <w:marBottom w:val="0"/>
      <w:divBdr>
        <w:top w:val="none" w:sz="0" w:space="0" w:color="auto"/>
        <w:left w:val="none" w:sz="0" w:space="0" w:color="auto"/>
        <w:bottom w:val="none" w:sz="0" w:space="0" w:color="auto"/>
        <w:right w:val="none" w:sz="0" w:space="0" w:color="auto"/>
      </w:divBdr>
      <w:divsChild>
        <w:div w:id="876619496">
          <w:marLeft w:val="640"/>
          <w:marRight w:val="0"/>
          <w:marTop w:val="0"/>
          <w:marBottom w:val="0"/>
          <w:divBdr>
            <w:top w:val="none" w:sz="0" w:space="0" w:color="auto"/>
            <w:left w:val="none" w:sz="0" w:space="0" w:color="auto"/>
            <w:bottom w:val="none" w:sz="0" w:space="0" w:color="auto"/>
            <w:right w:val="none" w:sz="0" w:space="0" w:color="auto"/>
          </w:divBdr>
        </w:div>
        <w:div w:id="787356554">
          <w:marLeft w:val="640"/>
          <w:marRight w:val="0"/>
          <w:marTop w:val="0"/>
          <w:marBottom w:val="0"/>
          <w:divBdr>
            <w:top w:val="none" w:sz="0" w:space="0" w:color="auto"/>
            <w:left w:val="none" w:sz="0" w:space="0" w:color="auto"/>
            <w:bottom w:val="none" w:sz="0" w:space="0" w:color="auto"/>
            <w:right w:val="none" w:sz="0" w:space="0" w:color="auto"/>
          </w:divBdr>
        </w:div>
        <w:div w:id="2144422507">
          <w:marLeft w:val="640"/>
          <w:marRight w:val="0"/>
          <w:marTop w:val="0"/>
          <w:marBottom w:val="0"/>
          <w:divBdr>
            <w:top w:val="none" w:sz="0" w:space="0" w:color="auto"/>
            <w:left w:val="none" w:sz="0" w:space="0" w:color="auto"/>
            <w:bottom w:val="none" w:sz="0" w:space="0" w:color="auto"/>
            <w:right w:val="none" w:sz="0" w:space="0" w:color="auto"/>
          </w:divBdr>
        </w:div>
        <w:div w:id="2000501197">
          <w:marLeft w:val="640"/>
          <w:marRight w:val="0"/>
          <w:marTop w:val="0"/>
          <w:marBottom w:val="0"/>
          <w:divBdr>
            <w:top w:val="none" w:sz="0" w:space="0" w:color="auto"/>
            <w:left w:val="none" w:sz="0" w:space="0" w:color="auto"/>
            <w:bottom w:val="none" w:sz="0" w:space="0" w:color="auto"/>
            <w:right w:val="none" w:sz="0" w:space="0" w:color="auto"/>
          </w:divBdr>
        </w:div>
      </w:divsChild>
    </w:div>
    <w:div w:id="349525700">
      <w:bodyDiv w:val="1"/>
      <w:marLeft w:val="0"/>
      <w:marRight w:val="0"/>
      <w:marTop w:val="0"/>
      <w:marBottom w:val="0"/>
      <w:divBdr>
        <w:top w:val="none" w:sz="0" w:space="0" w:color="auto"/>
        <w:left w:val="none" w:sz="0" w:space="0" w:color="auto"/>
        <w:bottom w:val="none" w:sz="0" w:space="0" w:color="auto"/>
        <w:right w:val="none" w:sz="0" w:space="0" w:color="auto"/>
      </w:divBdr>
      <w:divsChild>
        <w:div w:id="314720589">
          <w:marLeft w:val="640"/>
          <w:marRight w:val="0"/>
          <w:marTop w:val="0"/>
          <w:marBottom w:val="0"/>
          <w:divBdr>
            <w:top w:val="none" w:sz="0" w:space="0" w:color="auto"/>
            <w:left w:val="none" w:sz="0" w:space="0" w:color="auto"/>
            <w:bottom w:val="none" w:sz="0" w:space="0" w:color="auto"/>
            <w:right w:val="none" w:sz="0" w:space="0" w:color="auto"/>
          </w:divBdr>
        </w:div>
        <w:div w:id="1319111679">
          <w:marLeft w:val="640"/>
          <w:marRight w:val="0"/>
          <w:marTop w:val="0"/>
          <w:marBottom w:val="0"/>
          <w:divBdr>
            <w:top w:val="none" w:sz="0" w:space="0" w:color="auto"/>
            <w:left w:val="none" w:sz="0" w:space="0" w:color="auto"/>
            <w:bottom w:val="none" w:sz="0" w:space="0" w:color="auto"/>
            <w:right w:val="none" w:sz="0" w:space="0" w:color="auto"/>
          </w:divBdr>
        </w:div>
        <w:div w:id="1321733041">
          <w:marLeft w:val="640"/>
          <w:marRight w:val="0"/>
          <w:marTop w:val="0"/>
          <w:marBottom w:val="0"/>
          <w:divBdr>
            <w:top w:val="none" w:sz="0" w:space="0" w:color="auto"/>
            <w:left w:val="none" w:sz="0" w:space="0" w:color="auto"/>
            <w:bottom w:val="none" w:sz="0" w:space="0" w:color="auto"/>
            <w:right w:val="none" w:sz="0" w:space="0" w:color="auto"/>
          </w:divBdr>
        </w:div>
        <w:div w:id="539250345">
          <w:marLeft w:val="640"/>
          <w:marRight w:val="0"/>
          <w:marTop w:val="0"/>
          <w:marBottom w:val="0"/>
          <w:divBdr>
            <w:top w:val="none" w:sz="0" w:space="0" w:color="auto"/>
            <w:left w:val="none" w:sz="0" w:space="0" w:color="auto"/>
            <w:bottom w:val="none" w:sz="0" w:space="0" w:color="auto"/>
            <w:right w:val="none" w:sz="0" w:space="0" w:color="auto"/>
          </w:divBdr>
        </w:div>
        <w:div w:id="1211455064">
          <w:marLeft w:val="640"/>
          <w:marRight w:val="0"/>
          <w:marTop w:val="0"/>
          <w:marBottom w:val="0"/>
          <w:divBdr>
            <w:top w:val="none" w:sz="0" w:space="0" w:color="auto"/>
            <w:left w:val="none" w:sz="0" w:space="0" w:color="auto"/>
            <w:bottom w:val="none" w:sz="0" w:space="0" w:color="auto"/>
            <w:right w:val="none" w:sz="0" w:space="0" w:color="auto"/>
          </w:divBdr>
        </w:div>
        <w:div w:id="198278105">
          <w:marLeft w:val="640"/>
          <w:marRight w:val="0"/>
          <w:marTop w:val="0"/>
          <w:marBottom w:val="0"/>
          <w:divBdr>
            <w:top w:val="none" w:sz="0" w:space="0" w:color="auto"/>
            <w:left w:val="none" w:sz="0" w:space="0" w:color="auto"/>
            <w:bottom w:val="none" w:sz="0" w:space="0" w:color="auto"/>
            <w:right w:val="none" w:sz="0" w:space="0" w:color="auto"/>
          </w:divBdr>
        </w:div>
        <w:div w:id="1941909715">
          <w:marLeft w:val="640"/>
          <w:marRight w:val="0"/>
          <w:marTop w:val="0"/>
          <w:marBottom w:val="0"/>
          <w:divBdr>
            <w:top w:val="none" w:sz="0" w:space="0" w:color="auto"/>
            <w:left w:val="none" w:sz="0" w:space="0" w:color="auto"/>
            <w:bottom w:val="none" w:sz="0" w:space="0" w:color="auto"/>
            <w:right w:val="none" w:sz="0" w:space="0" w:color="auto"/>
          </w:divBdr>
        </w:div>
        <w:div w:id="627980339">
          <w:marLeft w:val="640"/>
          <w:marRight w:val="0"/>
          <w:marTop w:val="0"/>
          <w:marBottom w:val="0"/>
          <w:divBdr>
            <w:top w:val="none" w:sz="0" w:space="0" w:color="auto"/>
            <w:left w:val="none" w:sz="0" w:space="0" w:color="auto"/>
            <w:bottom w:val="none" w:sz="0" w:space="0" w:color="auto"/>
            <w:right w:val="none" w:sz="0" w:space="0" w:color="auto"/>
          </w:divBdr>
        </w:div>
        <w:div w:id="192041523">
          <w:marLeft w:val="640"/>
          <w:marRight w:val="0"/>
          <w:marTop w:val="0"/>
          <w:marBottom w:val="0"/>
          <w:divBdr>
            <w:top w:val="none" w:sz="0" w:space="0" w:color="auto"/>
            <w:left w:val="none" w:sz="0" w:space="0" w:color="auto"/>
            <w:bottom w:val="none" w:sz="0" w:space="0" w:color="auto"/>
            <w:right w:val="none" w:sz="0" w:space="0" w:color="auto"/>
          </w:divBdr>
        </w:div>
        <w:div w:id="2141804979">
          <w:marLeft w:val="640"/>
          <w:marRight w:val="0"/>
          <w:marTop w:val="0"/>
          <w:marBottom w:val="0"/>
          <w:divBdr>
            <w:top w:val="none" w:sz="0" w:space="0" w:color="auto"/>
            <w:left w:val="none" w:sz="0" w:space="0" w:color="auto"/>
            <w:bottom w:val="none" w:sz="0" w:space="0" w:color="auto"/>
            <w:right w:val="none" w:sz="0" w:space="0" w:color="auto"/>
          </w:divBdr>
        </w:div>
        <w:div w:id="1231036041">
          <w:marLeft w:val="640"/>
          <w:marRight w:val="0"/>
          <w:marTop w:val="0"/>
          <w:marBottom w:val="0"/>
          <w:divBdr>
            <w:top w:val="none" w:sz="0" w:space="0" w:color="auto"/>
            <w:left w:val="none" w:sz="0" w:space="0" w:color="auto"/>
            <w:bottom w:val="none" w:sz="0" w:space="0" w:color="auto"/>
            <w:right w:val="none" w:sz="0" w:space="0" w:color="auto"/>
          </w:divBdr>
        </w:div>
        <w:div w:id="190579131">
          <w:marLeft w:val="640"/>
          <w:marRight w:val="0"/>
          <w:marTop w:val="0"/>
          <w:marBottom w:val="0"/>
          <w:divBdr>
            <w:top w:val="none" w:sz="0" w:space="0" w:color="auto"/>
            <w:left w:val="none" w:sz="0" w:space="0" w:color="auto"/>
            <w:bottom w:val="none" w:sz="0" w:space="0" w:color="auto"/>
            <w:right w:val="none" w:sz="0" w:space="0" w:color="auto"/>
          </w:divBdr>
        </w:div>
        <w:div w:id="1537424539">
          <w:marLeft w:val="640"/>
          <w:marRight w:val="0"/>
          <w:marTop w:val="0"/>
          <w:marBottom w:val="0"/>
          <w:divBdr>
            <w:top w:val="none" w:sz="0" w:space="0" w:color="auto"/>
            <w:left w:val="none" w:sz="0" w:space="0" w:color="auto"/>
            <w:bottom w:val="none" w:sz="0" w:space="0" w:color="auto"/>
            <w:right w:val="none" w:sz="0" w:space="0" w:color="auto"/>
          </w:divBdr>
        </w:div>
        <w:div w:id="630286157">
          <w:marLeft w:val="640"/>
          <w:marRight w:val="0"/>
          <w:marTop w:val="0"/>
          <w:marBottom w:val="0"/>
          <w:divBdr>
            <w:top w:val="none" w:sz="0" w:space="0" w:color="auto"/>
            <w:left w:val="none" w:sz="0" w:space="0" w:color="auto"/>
            <w:bottom w:val="none" w:sz="0" w:space="0" w:color="auto"/>
            <w:right w:val="none" w:sz="0" w:space="0" w:color="auto"/>
          </w:divBdr>
        </w:div>
      </w:divsChild>
    </w:div>
    <w:div w:id="354159586">
      <w:bodyDiv w:val="1"/>
      <w:marLeft w:val="0"/>
      <w:marRight w:val="0"/>
      <w:marTop w:val="0"/>
      <w:marBottom w:val="0"/>
      <w:divBdr>
        <w:top w:val="none" w:sz="0" w:space="0" w:color="auto"/>
        <w:left w:val="none" w:sz="0" w:space="0" w:color="auto"/>
        <w:bottom w:val="none" w:sz="0" w:space="0" w:color="auto"/>
        <w:right w:val="none" w:sz="0" w:space="0" w:color="auto"/>
      </w:divBdr>
      <w:divsChild>
        <w:div w:id="2088336462">
          <w:marLeft w:val="640"/>
          <w:marRight w:val="0"/>
          <w:marTop w:val="0"/>
          <w:marBottom w:val="0"/>
          <w:divBdr>
            <w:top w:val="none" w:sz="0" w:space="0" w:color="auto"/>
            <w:left w:val="none" w:sz="0" w:space="0" w:color="auto"/>
            <w:bottom w:val="none" w:sz="0" w:space="0" w:color="auto"/>
            <w:right w:val="none" w:sz="0" w:space="0" w:color="auto"/>
          </w:divBdr>
        </w:div>
        <w:div w:id="1815834102">
          <w:marLeft w:val="640"/>
          <w:marRight w:val="0"/>
          <w:marTop w:val="0"/>
          <w:marBottom w:val="0"/>
          <w:divBdr>
            <w:top w:val="none" w:sz="0" w:space="0" w:color="auto"/>
            <w:left w:val="none" w:sz="0" w:space="0" w:color="auto"/>
            <w:bottom w:val="none" w:sz="0" w:space="0" w:color="auto"/>
            <w:right w:val="none" w:sz="0" w:space="0" w:color="auto"/>
          </w:divBdr>
        </w:div>
      </w:divsChild>
    </w:div>
    <w:div w:id="367029795">
      <w:bodyDiv w:val="1"/>
      <w:marLeft w:val="0"/>
      <w:marRight w:val="0"/>
      <w:marTop w:val="0"/>
      <w:marBottom w:val="0"/>
      <w:divBdr>
        <w:top w:val="none" w:sz="0" w:space="0" w:color="auto"/>
        <w:left w:val="none" w:sz="0" w:space="0" w:color="auto"/>
        <w:bottom w:val="none" w:sz="0" w:space="0" w:color="auto"/>
        <w:right w:val="none" w:sz="0" w:space="0" w:color="auto"/>
      </w:divBdr>
      <w:divsChild>
        <w:div w:id="345442137">
          <w:marLeft w:val="640"/>
          <w:marRight w:val="0"/>
          <w:marTop w:val="0"/>
          <w:marBottom w:val="0"/>
          <w:divBdr>
            <w:top w:val="none" w:sz="0" w:space="0" w:color="auto"/>
            <w:left w:val="none" w:sz="0" w:space="0" w:color="auto"/>
            <w:bottom w:val="none" w:sz="0" w:space="0" w:color="auto"/>
            <w:right w:val="none" w:sz="0" w:space="0" w:color="auto"/>
          </w:divBdr>
        </w:div>
        <w:div w:id="1580364297">
          <w:marLeft w:val="640"/>
          <w:marRight w:val="0"/>
          <w:marTop w:val="0"/>
          <w:marBottom w:val="0"/>
          <w:divBdr>
            <w:top w:val="none" w:sz="0" w:space="0" w:color="auto"/>
            <w:left w:val="none" w:sz="0" w:space="0" w:color="auto"/>
            <w:bottom w:val="none" w:sz="0" w:space="0" w:color="auto"/>
            <w:right w:val="none" w:sz="0" w:space="0" w:color="auto"/>
          </w:divBdr>
        </w:div>
        <w:div w:id="1787189170">
          <w:marLeft w:val="640"/>
          <w:marRight w:val="0"/>
          <w:marTop w:val="0"/>
          <w:marBottom w:val="0"/>
          <w:divBdr>
            <w:top w:val="none" w:sz="0" w:space="0" w:color="auto"/>
            <w:left w:val="none" w:sz="0" w:space="0" w:color="auto"/>
            <w:bottom w:val="none" w:sz="0" w:space="0" w:color="auto"/>
            <w:right w:val="none" w:sz="0" w:space="0" w:color="auto"/>
          </w:divBdr>
        </w:div>
        <w:div w:id="1749883299">
          <w:marLeft w:val="640"/>
          <w:marRight w:val="0"/>
          <w:marTop w:val="0"/>
          <w:marBottom w:val="0"/>
          <w:divBdr>
            <w:top w:val="none" w:sz="0" w:space="0" w:color="auto"/>
            <w:left w:val="none" w:sz="0" w:space="0" w:color="auto"/>
            <w:bottom w:val="none" w:sz="0" w:space="0" w:color="auto"/>
            <w:right w:val="none" w:sz="0" w:space="0" w:color="auto"/>
          </w:divBdr>
        </w:div>
      </w:divsChild>
    </w:div>
    <w:div w:id="386683229">
      <w:bodyDiv w:val="1"/>
      <w:marLeft w:val="0"/>
      <w:marRight w:val="0"/>
      <w:marTop w:val="0"/>
      <w:marBottom w:val="0"/>
      <w:divBdr>
        <w:top w:val="none" w:sz="0" w:space="0" w:color="auto"/>
        <w:left w:val="none" w:sz="0" w:space="0" w:color="auto"/>
        <w:bottom w:val="none" w:sz="0" w:space="0" w:color="auto"/>
        <w:right w:val="none" w:sz="0" w:space="0" w:color="auto"/>
      </w:divBdr>
      <w:divsChild>
        <w:div w:id="799344931">
          <w:marLeft w:val="640"/>
          <w:marRight w:val="0"/>
          <w:marTop w:val="0"/>
          <w:marBottom w:val="0"/>
          <w:divBdr>
            <w:top w:val="none" w:sz="0" w:space="0" w:color="auto"/>
            <w:left w:val="none" w:sz="0" w:space="0" w:color="auto"/>
            <w:bottom w:val="none" w:sz="0" w:space="0" w:color="auto"/>
            <w:right w:val="none" w:sz="0" w:space="0" w:color="auto"/>
          </w:divBdr>
        </w:div>
      </w:divsChild>
    </w:div>
    <w:div w:id="396518118">
      <w:bodyDiv w:val="1"/>
      <w:marLeft w:val="0"/>
      <w:marRight w:val="0"/>
      <w:marTop w:val="0"/>
      <w:marBottom w:val="0"/>
      <w:divBdr>
        <w:top w:val="none" w:sz="0" w:space="0" w:color="auto"/>
        <w:left w:val="none" w:sz="0" w:space="0" w:color="auto"/>
        <w:bottom w:val="none" w:sz="0" w:space="0" w:color="auto"/>
        <w:right w:val="none" w:sz="0" w:space="0" w:color="auto"/>
      </w:divBdr>
      <w:divsChild>
        <w:div w:id="1367945998">
          <w:marLeft w:val="640"/>
          <w:marRight w:val="0"/>
          <w:marTop w:val="0"/>
          <w:marBottom w:val="0"/>
          <w:divBdr>
            <w:top w:val="none" w:sz="0" w:space="0" w:color="auto"/>
            <w:left w:val="none" w:sz="0" w:space="0" w:color="auto"/>
            <w:bottom w:val="none" w:sz="0" w:space="0" w:color="auto"/>
            <w:right w:val="none" w:sz="0" w:space="0" w:color="auto"/>
          </w:divBdr>
        </w:div>
        <w:div w:id="843204383">
          <w:marLeft w:val="640"/>
          <w:marRight w:val="0"/>
          <w:marTop w:val="0"/>
          <w:marBottom w:val="0"/>
          <w:divBdr>
            <w:top w:val="none" w:sz="0" w:space="0" w:color="auto"/>
            <w:left w:val="none" w:sz="0" w:space="0" w:color="auto"/>
            <w:bottom w:val="none" w:sz="0" w:space="0" w:color="auto"/>
            <w:right w:val="none" w:sz="0" w:space="0" w:color="auto"/>
          </w:divBdr>
        </w:div>
      </w:divsChild>
    </w:div>
    <w:div w:id="403915730">
      <w:bodyDiv w:val="1"/>
      <w:marLeft w:val="0"/>
      <w:marRight w:val="0"/>
      <w:marTop w:val="0"/>
      <w:marBottom w:val="0"/>
      <w:divBdr>
        <w:top w:val="none" w:sz="0" w:space="0" w:color="auto"/>
        <w:left w:val="none" w:sz="0" w:space="0" w:color="auto"/>
        <w:bottom w:val="none" w:sz="0" w:space="0" w:color="auto"/>
        <w:right w:val="none" w:sz="0" w:space="0" w:color="auto"/>
      </w:divBdr>
      <w:divsChild>
        <w:div w:id="1727222955">
          <w:marLeft w:val="640"/>
          <w:marRight w:val="0"/>
          <w:marTop w:val="0"/>
          <w:marBottom w:val="0"/>
          <w:divBdr>
            <w:top w:val="none" w:sz="0" w:space="0" w:color="auto"/>
            <w:left w:val="none" w:sz="0" w:space="0" w:color="auto"/>
            <w:bottom w:val="none" w:sz="0" w:space="0" w:color="auto"/>
            <w:right w:val="none" w:sz="0" w:space="0" w:color="auto"/>
          </w:divBdr>
        </w:div>
        <w:div w:id="1164856756">
          <w:marLeft w:val="640"/>
          <w:marRight w:val="0"/>
          <w:marTop w:val="0"/>
          <w:marBottom w:val="0"/>
          <w:divBdr>
            <w:top w:val="none" w:sz="0" w:space="0" w:color="auto"/>
            <w:left w:val="none" w:sz="0" w:space="0" w:color="auto"/>
            <w:bottom w:val="none" w:sz="0" w:space="0" w:color="auto"/>
            <w:right w:val="none" w:sz="0" w:space="0" w:color="auto"/>
          </w:divBdr>
        </w:div>
        <w:div w:id="465245452">
          <w:marLeft w:val="640"/>
          <w:marRight w:val="0"/>
          <w:marTop w:val="0"/>
          <w:marBottom w:val="0"/>
          <w:divBdr>
            <w:top w:val="none" w:sz="0" w:space="0" w:color="auto"/>
            <w:left w:val="none" w:sz="0" w:space="0" w:color="auto"/>
            <w:bottom w:val="none" w:sz="0" w:space="0" w:color="auto"/>
            <w:right w:val="none" w:sz="0" w:space="0" w:color="auto"/>
          </w:divBdr>
        </w:div>
        <w:div w:id="1969698212">
          <w:marLeft w:val="640"/>
          <w:marRight w:val="0"/>
          <w:marTop w:val="0"/>
          <w:marBottom w:val="0"/>
          <w:divBdr>
            <w:top w:val="none" w:sz="0" w:space="0" w:color="auto"/>
            <w:left w:val="none" w:sz="0" w:space="0" w:color="auto"/>
            <w:bottom w:val="none" w:sz="0" w:space="0" w:color="auto"/>
            <w:right w:val="none" w:sz="0" w:space="0" w:color="auto"/>
          </w:divBdr>
        </w:div>
        <w:div w:id="2135754949">
          <w:marLeft w:val="640"/>
          <w:marRight w:val="0"/>
          <w:marTop w:val="0"/>
          <w:marBottom w:val="0"/>
          <w:divBdr>
            <w:top w:val="none" w:sz="0" w:space="0" w:color="auto"/>
            <w:left w:val="none" w:sz="0" w:space="0" w:color="auto"/>
            <w:bottom w:val="none" w:sz="0" w:space="0" w:color="auto"/>
            <w:right w:val="none" w:sz="0" w:space="0" w:color="auto"/>
          </w:divBdr>
        </w:div>
        <w:div w:id="1974554894">
          <w:marLeft w:val="640"/>
          <w:marRight w:val="0"/>
          <w:marTop w:val="0"/>
          <w:marBottom w:val="0"/>
          <w:divBdr>
            <w:top w:val="none" w:sz="0" w:space="0" w:color="auto"/>
            <w:left w:val="none" w:sz="0" w:space="0" w:color="auto"/>
            <w:bottom w:val="none" w:sz="0" w:space="0" w:color="auto"/>
            <w:right w:val="none" w:sz="0" w:space="0" w:color="auto"/>
          </w:divBdr>
        </w:div>
        <w:div w:id="529563194">
          <w:marLeft w:val="640"/>
          <w:marRight w:val="0"/>
          <w:marTop w:val="0"/>
          <w:marBottom w:val="0"/>
          <w:divBdr>
            <w:top w:val="none" w:sz="0" w:space="0" w:color="auto"/>
            <w:left w:val="none" w:sz="0" w:space="0" w:color="auto"/>
            <w:bottom w:val="none" w:sz="0" w:space="0" w:color="auto"/>
            <w:right w:val="none" w:sz="0" w:space="0" w:color="auto"/>
          </w:divBdr>
        </w:div>
      </w:divsChild>
    </w:div>
    <w:div w:id="474684020">
      <w:bodyDiv w:val="1"/>
      <w:marLeft w:val="0"/>
      <w:marRight w:val="0"/>
      <w:marTop w:val="0"/>
      <w:marBottom w:val="0"/>
      <w:divBdr>
        <w:top w:val="none" w:sz="0" w:space="0" w:color="auto"/>
        <w:left w:val="none" w:sz="0" w:space="0" w:color="auto"/>
        <w:bottom w:val="none" w:sz="0" w:space="0" w:color="auto"/>
        <w:right w:val="none" w:sz="0" w:space="0" w:color="auto"/>
      </w:divBdr>
      <w:divsChild>
        <w:div w:id="2025352756">
          <w:marLeft w:val="640"/>
          <w:marRight w:val="0"/>
          <w:marTop w:val="0"/>
          <w:marBottom w:val="0"/>
          <w:divBdr>
            <w:top w:val="none" w:sz="0" w:space="0" w:color="auto"/>
            <w:left w:val="none" w:sz="0" w:space="0" w:color="auto"/>
            <w:bottom w:val="none" w:sz="0" w:space="0" w:color="auto"/>
            <w:right w:val="none" w:sz="0" w:space="0" w:color="auto"/>
          </w:divBdr>
        </w:div>
        <w:div w:id="1893536905">
          <w:marLeft w:val="640"/>
          <w:marRight w:val="0"/>
          <w:marTop w:val="0"/>
          <w:marBottom w:val="0"/>
          <w:divBdr>
            <w:top w:val="none" w:sz="0" w:space="0" w:color="auto"/>
            <w:left w:val="none" w:sz="0" w:space="0" w:color="auto"/>
            <w:bottom w:val="none" w:sz="0" w:space="0" w:color="auto"/>
            <w:right w:val="none" w:sz="0" w:space="0" w:color="auto"/>
          </w:divBdr>
        </w:div>
        <w:div w:id="1556816890">
          <w:marLeft w:val="640"/>
          <w:marRight w:val="0"/>
          <w:marTop w:val="0"/>
          <w:marBottom w:val="0"/>
          <w:divBdr>
            <w:top w:val="none" w:sz="0" w:space="0" w:color="auto"/>
            <w:left w:val="none" w:sz="0" w:space="0" w:color="auto"/>
            <w:bottom w:val="none" w:sz="0" w:space="0" w:color="auto"/>
            <w:right w:val="none" w:sz="0" w:space="0" w:color="auto"/>
          </w:divBdr>
        </w:div>
        <w:div w:id="920219266">
          <w:marLeft w:val="640"/>
          <w:marRight w:val="0"/>
          <w:marTop w:val="0"/>
          <w:marBottom w:val="0"/>
          <w:divBdr>
            <w:top w:val="none" w:sz="0" w:space="0" w:color="auto"/>
            <w:left w:val="none" w:sz="0" w:space="0" w:color="auto"/>
            <w:bottom w:val="none" w:sz="0" w:space="0" w:color="auto"/>
            <w:right w:val="none" w:sz="0" w:space="0" w:color="auto"/>
          </w:divBdr>
        </w:div>
      </w:divsChild>
    </w:div>
    <w:div w:id="588389768">
      <w:bodyDiv w:val="1"/>
      <w:marLeft w:val="0"/>
      <w:marRight w:val="0"/>
      <w:marTop w:val="0"/>
      <w:marBottom w:val="0"/>
      <w:divBdr>
        <w:top w:val="none" w:sz="0" w:space="0" w:color="auto"/>
        <w:left w:val="none" w:sz="0" w:space="0" w:color="auto"/>
        <w:bottom w:val="none" w:sz="0" w:space="0" w:color="auto"/>
        <w:right w:val="none" w:sz="0" w:space="0" w:color="auto"/>
      </w:divBdr>
      <w:divsChild>
        <w:div w:id="76096100">
          <w:marLeft w:val="640"/>
          <w:marRight w:val="0"/>
          <w:marTop w:val="0"/>
          <w:marBottom w:val="0"/>
          <w:divBdr>
            <w:top w:val="none" w:sz="0" w:space="0" w:color="auto"/>
            <w:left w:val="none" w:sz="0" w:space="0" w:color="auto"/>
            <w:bottom w:val="none" w:sz="0" w:space="0" w:color="auto"/>
            <w:right w:val="none" w:sz="0" w:space="0" w:color="auto"/>
          </w:divBdr>
        </w:div>
        <w:div w:id="1474979856">
          <w:marLeft w:val="640"/>
          <w:marRight w:val="0"/>
          <w:marTop w:val="0"/>
          <w:marBottom w:val="0"/>
          <w:divBdr>
            <w:top w:val="none" w:sz="0" w:space="0" w:color="auto"/>
            <w:left w:val="none" w:sz="0" w:space="0" w:color="auto"/>
            <w:bottom w:val="none" w:sz="0" w:space="0" w:color="auto"/>
            <w:right w:val="none" w:sz="0" w:space="0" w:color="auto"/>
          </w:divBdr>
        </w:div>
        <w:div w:id="1233003610">
          <w:marLeft w:val="640"/>
          <w:marRight w:val="0"/>
          <w:marTop w:val="0"/>
          <w:marBottom w:val="0"/>
          <w:divBdr>
            <w:top w:val="none" w:sz="0" w:space="0" w:color="auto"/>
            <w:left w:val="none" w:sz="0" w:space="0" w:color="auto"/>
            <w:bottom w:val="none" w:sz="0" w:space="0" w:color="auto"/>
            <w:right w:val="none" w:sz="0" w:space="0" w:color="auto"/>
          </w:divBdr>
        </w:div>
        <w:div w:id="765611103">
          <w:marLeft w:val="640"/>
          <w:marRight w:val="0"/>
          <w:marTop w:val="0"/>
          <w:marBottom w:val="0"/>
          <w:divBdr>
            <w:top w:val="none" w:sz="0" w:space="0" w:color="auto"/>
            <w:left w:val="none" w:sz="0" w:space="0" w:color="auto"/>
            <w:bottom w:val="none" w:sz="0" w:space="0" w:color="auto"/>
            <w:right w:val="none" w:sz="0" w:space="0" w:color="auto"/>
          </w:divBdr>
        </w:div>
        <w:div w:id="1807621088">
          <w:marLeft w:val="640"/>
          <w:marRight w:val="0"/>
          <w:marTop w:val="0"/>
          <w:marBottom w:val="0"/>
          <w:divBdr>
            <w:top w:val="none" w:sz="0" w:space="0" w:color="auto"/>
            <w:left w:val="none" w:sz="0" w:space="0" w:color="auto"/>
            <w:bottom w:val="none" w:sz="0" w:space="0" w:color="auto"/>
            <w:right w:val="none" w:sz="0" w:space="0" w:color="auto"/>
          </w:divBdr>
        </w:div>
        <w:div w:id="1809938050">
          <w:marLeft w:val="640"/>
          <w:marRight w:val="0"/>
          <w:marTop w:val="0"/>
          <w:marBottom w:val="0"/>
          <w:divBdr>
            <w:top w:val="none" w:sz="0" w:space="0" w:color="auto"/>
            <w:left w:val="none" w:sz="0" w:space="0" w:color="auto"/>
            <w:bottom w:val="none" w:sz="0" w:space="0" w:color="auto"/>
            <w:right w:val="none" w:sz="0" w:space="0" w:color="auto"/>
          </w:divBdr>
        </w:div>
        <w:div w:id="1939485134">
          <w:marLeft w:val="640"/>
          <w:marRight w:val="0"/>
          <w:marTop w:val="0"/>
          <w:marBottom w:val="0"/>
          <w:divBdr>
            <w:top w:val="none" w:sz="0" w:space="0" w:color="auto"/>
            <w:left w:val="none" w:sz="0" w:space="0" w:color="auto"/>
            <w:bottom w:val="none" w:sz="0" w:space="0" w:color="auto"/>
            <w:right w:val="none" w:sz="0" w:space="0" w:color="auto"/>
          </w:divBdr>
        </w:div>
        <w:div w:id="1201819160">
          <w:marLeft w:val="640"/>
          <w:marRight w:val="0"/>
          <w:marTop w:val="0"/>
          <w:marBottom w:val="0"/>
          <w:divBdr>
            <w:top w:val="none" w:sz="0" w:space="0" w:color="auto"/>
            <w:left w:val="none" w:sz="0" w:space="0" w:color="auto"/>
            <w:bottom w:val="none" w:sz="0" w:space="0" w:color="auto"/>
            <w:right w:val="none" w:sz="0" w:space="0" w:color="auto"/>
          </w:divBdr>
        </w:div>
        <w:div w:id="134572683">
          <w:marLeft w:val="640"/>
          <w:marRight w:val="0"/>
          <w:marTop w:val="0"/>
          <w:marBottom w:val="0"/>
          <w:divBdr>
            <w:top w:val="none" w:sz="0" w:space="0" w:color="auto"/>
            <w:left w:val="none" w:sz="0" w:space="0" w:color="auto"/>
            <w:bottom w:val="none" w:sz="0" w:space="0" w:color="auto"/>
            <w:right w:val="none" w:sz="0" w:space="0" w:color="auto"/>
          </w:divBdr>
        </w:div>
        <w:div w:id="2113275797">
          <w:marLeft w:val="640"/>
          <w:marRight w:val="0"/>
          <w:marTop w:val="0"/>
          <w:marBottom w:val="0"/>
          <w:divBdr>
            <w:top w:val="none" w:sz="0" w:space="0" w:color="auto"/>
            <w:left w:val="none" w:sz="0" w:space="0" w:color="auto"/>
            <w:bottom w:val="none" w:sz="0" w:space="0" w:color="auto"/>
            <w:right w:val="none" w:sz="0" w:space="0" w:color="auto"/>
          </w:divBdr>
        </w:div>
        <w:div w:id="1845591274">
          <w:marLeft w:val="640"/>
          <w:marRight w:val="0"/>
          <w:marTop w:val="0"/>
          <w:marBottom w:val="0"/>
          <w:divBdr>
            <w:top w:val="none" w:sz="0" w:space="0" w:color="auto"/>
            <w:left w:val="none" w:sz="0" w:space="0" w:color="auto"/>
            <w:bottom w:val="none" w:sz="0" w:space="0" w:color="auto"/>
            <w:right w:val="none" w:sz="0" w:space="0" w:color="auto"/>
          </w:divBdr>
        </w:div>
        <w:div w:id="1528253567">
          <w:marLeft w:val="640"/>
          <w:marRight w:val="0"/>
          <w:marTop w:val="0"/>
          <w:marBottom w:val="0"/>
          <w:divBdr>
            <w:top w:val="none" w:sz="0" w:space="0" w:color="auto"/>
            <w:left w:val="none" w:sz="0" w:space="0" w:color="auto"/>
            <w:bottom w:val="none" w:sz="0" w:space="0" w:color="auto"/>
            <w:right w:val="none" w:sz="0" w:space="0" w:color="auto"/>
          </w:divBdr>
        </w:div>
        <w:div w:id="882209851">
          <w:marLeft w:val="640"/>
          <w:marRight w:val="0"/>
          <w:marTop w:val="0"/>
          <w:marBottom w:val="0"/>
          <w:divBdr>
            <w:top w:val="none" w:sz="0" w:space="0" w:color="auto"/>
            <w:left w:val="none" w:sz="0" w:space="0" w:color="auto"/>
            <w:bottom w:val="none" w:sz="0" w:space="0" w:color="auto"/>
            <w:right w:val="none" w:sz="0" w:space="0" w:color="auto"/>
          </w:divBdr>
        </w:div>
      </w:divsChild>
    </w:div>
    <w:div w:id="619999046">
      <w:bodyDiv w:val="1"/>
      <w:marLeft w:val="0"/>
      <w:marRight w:val="0"/>
      <w:marTop w:val="0"/>
      <w:marBottom w:val="0"/>
      <w:divBdr>
        <w:top w:val="none" w:sz="0" w:space="0" w:color="auto"/>
        <w:left w:val="none" w:sz="0" w:space="0" w:color="auto"/>
        <w:bottom w:val="none" w:sz="0" w:space="0" w:color="auto"/>
        <w:right w:val="none" w:sz="0" w:space="0" w:color="auto"/>
      </w:divBdr>
      <w:divsChild>
        <w:div w:id="215748635">
          <w:marLeft w:val="640"/>
          <w:marRight w:val="0"/>
          <w:marTop w:val="0"/>
          <w:marBottom w:val="0"/>
          <w:divBdr>
            <w:top w:val="none" w:sz="0" w:space="0" w:color="auto"/>
            <w:left w:val="none" w:sz="0" w:space="0" w:color="auto"/>
            <w:bottom w:val="none" w:sz="0" w:space="0" w:color="auto"/>
            <w:right w:val="none" w:sz="0" w:space="0" w:color="auto"/>
          </w:divBdr>
        </w:div>
        <w:div w:id="1912035701">
          <w:marLeft w:val="640"/>
          <w:marRight w:val="0"/>
          <w:marTop w:val="0"/>
          <w:marBottom w:val="0"/>
          <w:divBdr>
            <w:top w:val="none" w:sz="0" w:space="0" w:color="auto"/>
            <w:left w:val="none" w:sz="0" w:space="0" w:color="auto"/>
            <w:bottom w:val="none" w:sz="0" w:space="0" w:color="auto"/>
            <w:right w:val="none" w:sz="0" w:space="0" w:color="auto"/>
          </w:divBdr>
        </w:div>
        <w:div w:id="2090076499">
          <w:marLeft w:val="640"/>
          <w:marRight w:val="0"/>
          <w:marTop w:val="0"/>
          <w:marBottom w:val="0"/>
          <w:divBdr>
            <w:top w:val="none" w:sz="0" w:space="0" w:color="auto"/>
            <w:left w:val="none" w:sz="0" w:space="0" w:color="auto"/>
            <w:bottom w:val="none" w:sz="0" w:space="0" w:color="auto"/>
            <w:right w:val="none" w:sz="0" w:space="0" w:color="auto"/>
          </w:divBdr>
        </w:div>
        <w:div w:id="1329672240">
          <w:marLeft w:val="640"/>
          <w:marRight w:val="0"/>
          <w:marTop w:val="0"/>
          <w:marBottom w:val="0"/>
          <w:divBdr>
            <w:top w:val="none" w:sz="0" w:space="0" w:color="auto"/>
            <w:left w:val="none" w:sz="0" w:space="0" w:color="auto"/>
            <w:bottom w:val="none" w:sz="0" w:space="0" w:color="auto"/>
            <w:right w:val="none" w:sz="0" w:space="0" w:color="auto"/>
          </w:divBdr>
        </w:div>
      </w:divsChild>
    </w:div>
    <w:div w:id="626594716">
      <w:bodyDiv w:val="1"/>
      <w:marLeft w:val="0"/>
      <w:marRight w:val="0"/>
      <w:marTop w:val="0"/>
      <w:marBottom w:val="0"/>
      <w:divBdr>
        <w:top w:val="none" w:sz="0" w:space="0" w:color="auto"/>
        <w:left w:val="none" w:sz="0" w:space="0" w:color="auto"/>
        <w:bottom w:val="none" w:sz="0" w:space="0" w:color="auto"/>
        <w:right w:val="none" w:sz="0" w:space="0" w:color="auto"/>
      </w:divBdr>
      <w:divsChild>
        <w:div w:id="880170496">
          <w:marLeft w:val="640"/>
          <w:marRight w:val="0"/>
          <w:marTop w:val="0"/>
          <w:marBottom w:val="0"/>
          <w:divBdr>
            <w:top w:val="none" w:sz="0" w:space="0" w:color="auto"/>
            <w:left w:val="none" w:sz="0" w:space="0" w:color="auto"/>
            <w:bottom w:val="none" w:sz="0" w:space="0" w:color="auto"/>
            <w:right w:val="none" w:sz="0" w:space="0" w:color="auto"/>
          </w:divBdr>
        </w:div>
        <w:div w:id="1507086952">
          <w:marLeft w:val="640"/>
          <w:marRight w:val="0"/>
          <w:marTop w:val="0"/>
          <w:marBottom w:val="0"/>
          <w:divBdr>
            <w:top w:val="none" w:sz="0" w:space="0" w:color="auto"/>
            <w:left w:val="none" w:sz="0" w:space="0" w:color="auto"/>
            <w:bottom w:val="none" w:sz="0" w:space="0" w:color="auto"/>
            <w:right w:val="none" w:sz="0" w:space="0" w:color="auto"/>
          </w:divBdr>
        </w:div>
        <w:div w:id="279923981">
          <w:marLeft w:val="640"/>
          <w:marRight w:val="0"/>
          <w:marTop w:val="0"/>
          <w:marBottom w:val="0"/>
          <w:divBdr>
            <w:top w:val="none" w:sz="0" w:space="0" w:color="auto"/>
            <w:left w:val="none" w:sz="0" w:space="0" w:color="auto"/>
            <w:bottom w:val="none" w:sz="0" w:space="0" w:color="auto"/>
            <w:right w:val="none" w:sz="0" w:space="0" w:color="auto"/>
          </w:divBdr>
        </w:div>
        <w:div w:id="162741721">
          <w:marLeft w:val="640"/>
          <w:marRight w:val="0"/>
          <w:marTop w:val="0"/>
          <w:marBottom w:val="0"/>
          <w:divBdr>
            <w:top w:val="none" w:sz="0" w:space="0" w:color="auto"/>
            <w:left w:val="none" w:sz="0" w:space="0" w:color="auto"/>
            <w:bottom w:val="none" w:sz="0" w:space="0" w:color="auto"/>
            <w:right w:val="none" w:sz="0" w:space="0" w:color="auto"/>
          </w:divBdr>
        </w:div>
        <w:div w:id="970399489">
          <w:marLeft w:val="640"/>
          <w:marRight w:val="0"/>
          <w:marTop w:val="0"/>
          <w:marBottom w:val="0"/>
          <w:divBdr>
            <w:top w:val="none" w:sz="0" w:space="0" w:color="auto"/>
            <w:left w:val="none" w:sz="0" w:space="0" w:color="auto"/>
            <w:bottom w:val="none" w:sz="0" w:space="0" w:color="auto"/>
            <w:right w:val="none" w:sz="0" w:space="0" w:color="auto"/>
          </w:divBdr>
        </w:div>
        <w:div w:id="1830822834">
          <w:marLeft w:val="640"/>
          <w:marRight w:val="0"/>
          <w:marTop w:val="0"/>
          <w:marBottom w:val="0"/>
          <w:divBdr>
            <w:top w:val="none" w:sz="0" w:space="0" w:color="auto"/>
            <w:left w:val="none" w:sz="0" w:space="0" w:color="auto"/>
            <w:bottom w:val="none" w:sz="0" w:space="0" w:color="auto"/>
            <w:right w:val="none" w:sz="0" w:space="0" w:color="auto"/>
          </w:divBdr>
        </w:div>
        <w:div w:id="59790448">
          <w:marLeft w:val="640"/>
          <w:marRight w:val="0"/>
          <w:marTop w:val="0"/>
          <w:marBottom w:val="0"/>
          <w:divBdr>
            <w:top w:val="none" w:sz="0" w:space="0" w:color="auto"/>
            <w:left w:val="none" w:sz="0" w:space="0" w:color="auto"/>
            <w:bottom w:val="none" w:sz="0" w:space="0" w:color="auto"/>
            <w:right w:val="none" w:sz="0" w:space="0" w:color="auto"/>
          </w:divBdr>
        </w:div>
        <w:div w:id="2074691299">
          <w:marLeft w:val="640"/>
          <w:marRight w:val="0"/>
          <w:marTop w:val="0"/>
          <w:marBottom w:val="0"/>
          <w:divBdr>
            <w:top w:val="none" w:sz="0" w:space="0" w:color="auto"/>
            <w:left w:val="none" w:sz="0" w:space="0" w:color="auto"/>
            <w:bottom w:val="none" w:sz="0" w:space="0" w:color="auto"/>
            <w:right w:val="none" w:sz="0" w:space="0" w:color="auto"/>
          </w:divBdr>
        </w:div>
        <w:div w:id="498467855">
          <w:marLeft w:val="640"/>
          <w:marRight w:val="0"/>
          <w:marTop w:val="0"/>
          <w:marBottom w:val="0"/>
          <w:divBdr>
            <w:top w:val="none" w:sz="0" w:space="0" w:color="auto"/>
            <w:left w:val="none" w:sz="0" w:space="0" w:color="auto"/>
            <w:bottom w:val="none" w:sz="0" w:space="0" w:color="auto"/>
            <w:right w:val="none" w:sz="0" w:space="0" w:color="auto"/>
          </w:divBdr>
        </w:div>
        <w:div w:id="976840660">
          <w:marLeft w:val="640"/>
          <w:marRight w:val="0"/>
          <w:marTop w:val="0"/>
          <w:marBottom w:val="0"/>
          <w:divBdr>
            <w:top w:val="none" w:sz="0" w:space="0" w:color="auto"/>
            <w:left w:val="none" w:sz="0" w:space="0" w:color="auto"/>
            <w:bottom w:val="none" w:sz="0" w:space="0" w:color="auto"/>
            <w:right w:val="none" w:sz="0" w:space="0" w:color="auto"/>
          </w:divBdr>
        </w:div>
        <w:div w:id="1157575240">
          <w:marLeft w:val="640"/>
          <w:marRight w:val="0"/>
          <w:marTop w:val="0"/>
          <w:marBottom w:val="0"/>
          <w:divBdr>
            <w:top w:val="none" w:sz="0" w:space="0" w:color="auto"/>
            <w:left w:val="none" w:sz="0" w:space="0" w:color="auto"/>
            <w:bottom w:val="none" w:sz="0" w:space="0" w:color="auto"/>
            <w:right w:val="none" w:sz="0" w:space="0" w:color="auto"/>
          </w:divBdr>
        </w:div>
        <w:div w:id="450318034">
          <w:marLeft w:val="640"/>
          <w:marRight w:val="0"/>
          <w:marTop w:val="0"/>
          <w:marBottom w:val="0"/>
          <w:divBdr>
            <w:top w:val="none" w:sz="0" w:space="0" w:color="auto"/>
            <w:left w:val="none" w:sz="0" w:space="0" w:color="auto"/>
            <w:bottom w:val="none" w:sz="0" w:space="0" w:color="auto"/>
            <w:right w:val="none" w:sz="0" w:space="0" w:color="auto"/>
          </w:divBdr>
        </w:div>
        <w:div w:id="2033651137">
          <w:marLeft w:val="640"/>
          <w:marRight w:val="0"/>
          <w:marTop w:val="0"/>
          <w:marBottom w:val="0"/>
          <w:divBdr>
            <w:top w:val="none" w:sz="0" w:space="0" w:color="auto"/>
            <w:left w:val="none" w:sz="0" w:space="0" w:color="auto"/>
            <w:bottom w:val="none" w:sz="0" w:space="0" w:color="auto"/>
            <w:right w:val="none" w:sz="0" w:space="0" w:color="auto"/>
          </w:divBdr>
        </w:div>
      </w:divsChild>
    </w:div>
    <w:div w:id="632490173">
      <w:bodyDiv w:val="1"/>
      <w:marLeft w:val="0"/>
      <w:marRight w:val="0"/>
      <w:marTop w:val="0"/>
      <w:marBottom w:val="0"/>
      <w:divBdr>
        <w:top w:val="none" w:sz="0" w:space="0" w:color="auto"/>
        <w:left w:val="none" w:sz="0" w:space="0" w:color="auto"/>
        <w:bottom w:val="none" w:sz="0" w:space="0" w:color="auto"/>
        <w:right w:val="none" w:sz="0" w:space="0" w:color="auto"/>
      </w:divBdr>
      <w:divsChild>
        <w:div w:id="1859926554">
          <w:marLeft w:val="640"/>
          <w:marRight w:val="0"/>
          <w:marTop w:val="0"/>
          <w:marBottom w:val="0"/>
          <w:divBdr>
            <w:top w:val="none" w:sz="0" w:space="0" w:color="auto"/>
            <w:left w:val="none" w:sz="0" w:space="0" w:color="auto"/>
            <w:bottom w:val="none" w:sz="0" w:space="0" w:color="auto"/>
            <w:right w:val="none" w:sz="0" w:space="0" w:color="auto"/>
          </w:divBdr>
        </w:div>
        <w:div w:id="56973212">
          <w:marLeft w:val="640"/>
          <w:marRight w:val="0"/>
          <w:marTop w:val="0"/>
          <w:marBottom w:val="0"/>
          <w:divBdr>
            <w:top w:val="none" w:sz="0" w:space="0" w:color="auto"/>
            <w:left w:val="none" w:sz="0" w:space="0" w:color="auto"/>
            <w:bottom w:val="none" w:sz="0" w:space="0" w:color="auto"/>
            <w:right w:val="none" w:sz="0" w:space="0" w:color="auto"/>
          </w:divBdr>
        </w:div>
        <w:div w:id="819925038">
          <w:marLeft w:val="640"/>
          <w:marRight w:val="0"/>
          <w:marTop w:val="0"/>
          <w:marBottom w:val="0"/>
          <w:divBdr>
            <w:top w:val="none" w:sz="0" w:space="0" w:color="auto"/>
            <w:left w:val="none" w:sz="0" w:space="0" w:color="auto"/>
            <w:bottom w:val="none" w:sz="0" w:space="0" w:color="auto"/>
            <w:right w:val="none" w:sz="0" w:space="0" w:color="auto"/>
          </w:divBdr>
        </w:div>
        <w:div w:id="1257859150">
          <w:marLeft w:val="640"/>
          <w:marRight w:val="0"/>
          <w:marTop w:val="0"/>
          <w:marBottom w:val="0"/>
          <w:divBdr>
            <w:top w:val="none" w:sz="0" w:space="0" w:color="auto"/>
            <w:left w:val="none" w:sz="0" w:space="0" w:color="auto"/>
            <w:bottom w:val="none" w:sz="0" w:space="0" w:color="auto"/>
            <w:right w:val="none" w:sz="0" w:space="0" w:color="auto"/>
          </w:divBdr>
        </w:div>
      </w:divsChild>
    </w:div>
    <w:div w:id="639073759">
      <w:bodyDiv w:val="1"/>
      <w:marLeft w:val="0"/>
      <w:marRight w:val="0"/>
      <w:marTop w:val="0"/>
      <w:marBottom w:val="0"/>
      <w:divBdr>
        <w:top w:val="none" w:sz="0" w:space="0" w:color="auto"/>
        <w:left w:val="none" w:sz="0" w:space="0" w:color="auto"/>
        <w:bottom w:val="none" w:sz="0" w:space="0" w:color="auto"/>
        <w:right w:val="none" w:sz="0" w:space="0" w:color="auto"/>
      </w:divBdr>
      <w:divsChild>
        <w:div w:id="724379550">
          <w:marLeft w:val="640"/>
          <w:marRight w:val="0"/>
          <w:marTop w:val="0"/>
          <w:marBottom w:val="0"/>
          <w:divBdr>
            <w:top w:val="none" w:sz="0" w:space="0" w:color="auto"/>
            <w:left w:val="none" w:sz="0" w:space="0" w:color="auto"/>
            <w:bottom w:val="none" w:sz="0" w:space="0" w:color="auto"/>
            <w:right w:val="none" w:sz="0" w:space="0" w:color="auto"/>
          </w:divBdr>
        </w:div>
        <w:div w:id="1795708074">
          <w:marLeft w:val="640"/>
          <w:marRight w:val="0"/>
          <w:marTop w:val="0"/>
          <w:marBottom w:val="0"/>
          <w:divBdr>
            <w:top w:val="none" w:sz="0" w:space="0" w:color="auto"/>
            <w:left w:val="none" w:sz="0" w:space="0" w:color="auto"/>
            <w:bottom w:val="none" w:sz="0" w:space="0" w:color="auto"/>
            <w:right w:val="none" w:sz="0" w:space="0" w:color="auto"/>
          </w:divBdr>
        </w:div>
      </w:divsChild>
    </w:div>
    <w:div w:id="640616974">
      <w:bodyDiv w:val="1"/>
      <w:marLeft w:val="0"/>
      <w:marRight w:val="0"/>
      <w:marTop w:val="0"/>
      <w:marBottom w:val="0"/>
      <w:divBdr>
        <w:top w:val="none" w:sz="0" w:space="0" w:color="auto"/>
        <w:left w:val="none" w:sz="0" w:space="0" w:color="auto"/>
        <w:bottom w:val="none" w:sz="0" w:space="0" w:color="auto"/>
        <w:right w:val="none" w:sz="0" w:space="0" w:color="auto"/>
      </w:divBdr>
      <w:divsChild>
        <w:div w:id="45182995">
          <w:marLeft w:val="640"/>
          <w:marRight w:val="0"/>
          <w:marTop w:val="0"/>
          <w:marBottom w:val="0"/>
          <w:divBdr>
            <w:top w:val="none" w:sz="0" w:space="0" w:color="auto"/>
            <w:left w:val="none" w:sz="0" w:space="0" w:color="auto"/>
            <w:bottom w:val="none" w:sz="0" w:space="0" w:color="auto"/>
            <w:right w:val="none" w:sz="0" w:space="0" w:color="auto"/>
          </w:divBdr>
        </w:div>
        <w:div w:id="629288480">
          <w:marLeft w:val="640"/>
          <w:marRight w:val="0"/>
          <w:marTop w:val="0"/>
          <w:marBottom w:val="0"/>
          <w:divBdr>
            <w:top w:val="none" w:sz="0" w:space="0" w:color="auto"/>
            <w:left w:val="none" w:sz="0" w:space="0" w:color="auto"/>
            <w:bottom w:val="none" w:sz="0" w:space="0" w:color="auto"/>
            <w:right w:val="none" w:sz="0" w:space="0" w:color="auto"/>
          </w:divBdr>
        </w:div>
        <w:div w:id="486749891">
          <w:marLeft w:val="640"/>
          <w:marRight w:val="0"/>
          <w:marTop w:val="0"/>
          <w:marBottom w:val="0"/>
          <w:divBdr>
            <w:top w:val="none" w:sz="0" w:space="0" w:color="auto"/>
            <w:left w:val="none" w:sz="0" w:space="0" w:color="auto"/>
            <w:bottom w:val="none" w:sz="0" w:space="0" w:color="auto"/>
            <w:right w:val="none" w:sz="0" w:space="0" w:color="auto"/>
          </w:divBdr>
        </w:div>
        <w:div w:id="1672370150">
          <w:marLeft w:val="640"/>
          <w:marRight w:val="0"/>
          <w:marTop w:val="0"/>
          <w:marBottom w:val="0"/>
          <w:divBdr>
            <w:top w:val="none" w:sz="0" w:space="0" w:color="auto"/>
            <w:left w:val="none" w:sz="0" w:space="0" w:color="auto"/>
            <w:bottom w:val="none" w:sz="0" w:space="0" w:color="auto"/>
            <w:right w:val="none" w:sz="0" w:space="0" w:color="auto"/>
          </w:divBdr>
        </w:div>
        <w:div w:id="849179841">
          <w:marLeft w:val="640"/>
          <w:marRight w:val="0"/>
          <w:marTop w:val="0"/>
          <w:marBottom w:val="0"/>
          <w:divBdr>
            <w:top w:val="none" w:sz="0" w:space="0" w:color="auto"/>
            <w:left w:val="none" w:sz="0" w:space="0" w:color="auto"/>
            <w:bottom w:val="none" w:sz="0" w:space="0" w:color="auto"/>
            <w:right w:val="none" w:sz="0" w:space="0" w:color="auto"/>
          </w:divBdr>
        </w:div>
        <w:div w:id="1002243128">
          <w:marLeft w:val="640"/>
          <w:marRight w:val="0"/>
          <w:marTop w:val="0"/>
          <w:marBottom w:val="0"/>
          <w:divBdr>
            <w:top w:val="none" w:sz="0" w:space="0" w:color="auto"/>
            <w:left w:val="none" w:sz="0" w:space="0" w:color="auto"/>
            <w:bottom w:val="none" w:sz="0" w:space="0" w:color="auto"/>
            <w:right w:val="none" w:sz="0" w:space="0" w:color="auto"/>
          </w:divBdr>
        </w:div>
        <w:div w:id="1654605859">
          <w:marLeft w:val="640"/>
          <w:marRight w:val="0"/>
          <w:marTop w:val="0"/>
          <w:marBottom w:val="0"/>
          <w:divBdr>
            <w:top w:val="none" w:sz="0" w:space="0" w:color="auto"/>
            <w:left w:val="none" w:sz="0" w:space="0" w:color="auto"/>
            <w:bottom w:val="none" w:sz="0" w:space="0" w:color="auto"/>
            <w:right w:val="none" w:sz="0" w:space="0" w:color="auto"/>
          </w:divBdr>
        </w:div>
        <w:div w:id="2056542022">
          <w:marLeft w:val="640"/>
          <w:marRight w:val="0"/>
          <w:marTop w:val="0"/>
          <w:marBottom w:val="0"/>
          <w:divBdr>
            <w:top w:val="none" w:sz="0" w:space="0" w:color="auto"/>
            <w:left w:val="none" w:sz="0" w:space="0" w:color="auto"/>
            <w:bottom w:val="none" w:sz="0" w:space="0" w:color="auto"/>
            <w:right w:val="none" w:sz="0" w:space="0" w:color="auto"/>
          </w:divBdr>
        </w:div>
        <w:div w:id="927539686">
          <w:marLeft w:val="640"/>
          <w:marRight w:val="0"/>
          <w:marTop w:val="0"/>
          <w:marBottom w:val="0"/>
          <w:divBdr>
            <w:top w:val="none" w:sz="0" w:space="0" w:color="auto"/>
            <w:left w:val="none" w:sz="0" w:space="0" w:color="auto"/>
            <w:bottom w:val="none" w:sz="0" w:space="0" w:color="auto"/>
            <w:right w:val="none" w:sz="0" w:space="0" w:color="auto"/>
          </w:divBdr>
        </w:div>
        <w:div w:id="431631158">
          <w:marLeft w:val="640"/>
          <w:marRight w:val="0"/>
          <w:marTop w:val="0"/>
          <w:marBottom w:val="0"/>
          <w:divBdr>
            <w:top w:val="none" w:sz="0" w:space="0" w:color="auto"/>
            <w:left w:val="none" w:sz="0" w:space="0" w:color="auto"/>
            <w:bottom w:val="none" w:sz="0" w:space="0" w:color="auto"/>
            <w:right w:val="none" w:sz="0" w:space="0" w:color="auto"/>
          </w:divBdr>
        </w:div>
        <w:div w:id="1413699104">
          <w:marLeft w:val="640"/>
          <w:marRight w:val="0"/>
          <w:marTop w:val="0"/>
          <w:marBottom w:val="0"/>
          <w:divBdr>
            <w:top w:val="none" w:sz="0" w:space="0" w:color="auto"/>
            <w:left w:val="none" w:sz="0" w:space="0" w:color="auto"/>
            <w:bottom w:val="none" w:sz="0" w:space="0" w:color="auto"/>
            <w:right w:val="none" w:sz="0" w:space="0" w:color="auto"/>
          </w:divBdr>
        </w:div>
      </w:divsChild>
    </w:div>
    <w:div w:id="643125396">
      <w:bodyDiv w:val="1"/>
      <w:marLeft w:val="0"/>
      <w:marRight w:val="0"/>
      <w:marTop w:val="0"/>
      <w:marBottom w:val="0"/>
      <w:divBdr>
        <w:top w:val="none" w:sz="0" w:space="0" w:color="auto"/>
        <w:left w:val="none" w:sz="0" w:space="0" w:color="auto"/>
        <w:bottom w:val="none" w:sz="0" w:space="0" w:color="auto"/>
        <w:right w:val="none" w:sz="0" w:space="0" w:color="auto"/>
      </w:divBdr>
      <w:divsChild>
        <w:div w:id="44061300">
          <w:marLeft w:val="640"/>
          <w:marRight w:val="0"/>
          <w:marTop w:val="0"/>
          <w:marBottom w:val="0"/>
          <w:divBdr>
            <w:top w:val="none" w:sz="0" w:space="0" w:color="auto"/>
            <w:left w:val="none" w:sz="0" w:space="0" w:color="auto"/>
            <w:bottom w:val="none" w:sz="0" w:space="0" w:color="auto"/>
            <w:right w:val="none" w:sz="0" w:space="0" w:color="auto"/>
          </w:divBdr>
        </w:div>
        <w:div w:id="1539657558">
          <w:marLeft w:val="640"/>
          <w:marRight w:val="0"/>
          <w:marTop w:val="0"/>
          <w:marBottom w:val="0"/>
          <w:divBdr>
            <w:top w:val="none" w:sz="0" w:space="0" w:color="auto"/>
            <w:left w:val="none" w:sz="0" w:space="0" w:color="auto"/>
            <w:bottom w:val="none" w:sz="0" w:space="0" w:color="auto"/>
            <w:right w:val="none" w:sz="0" w:space="0" w:color="auto"/>
          </w:divBdr>
        </w:div>
        <w:div w:id="1217816586">
          <w:marLeft w:val="640"/>
          <w:marRight w:val="0"/>
          <w:marTop w:val="0"/>
          <w:marBottom w:val="0"/>
          <w:divBdr>
            <w:top w:val="none" w:sz="0" w:space="0" w:color="auto"/>
            <w:left w:val="none" w:sz="0" w:space="0" w:color="auto"/>
            <w:bottom w:val="none" w:sz="0" w:space="0" w:color="auto"/>
            <w:right w:val="none" w:sz="0" w:space="0" w:color="auto"/>
          </w:divBdr>
        </w:div>
        <w:div w:id="1874922472">
          <w:marLeft w:val="640"/>
          <w:marRight w:val="0"/>
          <w:marTop w:val="0"/>
          <w:marBottom w:val="0"/>
          <w:divBdr>
            <w:top w:val="none" w:sz="0" w:space="0" w:color="auto"/>
            <w:left w:val="none" w:sz="0" w:space="0" w:color="auto"/>
            <w:bottom w:val="none" w:sz="0" w:space="0" w:color="auto"/>
            <w:right w:val="none" w:sz="0" w:space="0" w:color="auto"/>
          </w:divBdr>
        </w:div>
        <w:div w:id="1386029919">
          <w:marLeft w:val="640"/>
          <w:marRight w:val="0"/>
          <w:marTop w:val="0"/>
          <w:marBottom w:val="0"/>
          <w:divBdr>
            <w:top w:val="none" w:sz="0" w:space="0" w:color="auto"/>
            <w:left w:val="none" w:sz="0" w:space="0" w:color="auto"/>
            <w:bottom w:val="none" w:sz="0" w:space="0" w:color="auto"/>
            <w:right w:val="none" w:sz="0" w:space="0" w:color="auto"/>
          </w:divBdr>
        </w:div>
        <w:div w:id="316038771">
          <w:marLeft w:val="640"/>
          <w:marRight w:val="0"/>
          <w:marTop w:val="0"/>
          <w:marBottom w:val="0"/>
          <w:divBdr>
            <w:top w:val="none" w:sz="0" w:space="0" w:color="auto"/>
            <w:left w:val="none" w:sz="0" w:space="0" w:color="auto"/>
            <w:bottom w:val="none" w:sz="0" w:space="0" w:color="auto"/>
            <w:right w:val="none" w:sz="0" w:space="0" w:color="auto"/>
          </w:divBdr>
        </w:div>
        <w:div w:id="165478927">
          <w:marLeft w:val="640"/>
          <w:marRight w:val="0"/>
          <w:marTop w:val="0"/>
          <w:marBottom w:val="0"/>
          <w:divBdr>
            <w:top w:val="none" w:sz="0" w:space="0" w:color="auto"/>
            <w:left w:val="none" w:sz="0" w:space="0" w:color="auto"/>
            <w:bottom w:val="none" w:sz="0" w:space="0" w:color="auto"/>
            <w:right w:val="none" w:sz="0" w:space="0" w:color="auto"/>
          </w:divBdr>
        </w:div>
        <w:div w:id="2040273389">
          <w:marLeft w:val="640"/>
          <w:marRight w:val="0"/>
          <w:marTop w:val="0"/>
          <w:marBottom w:val="0"/>
          <w:divBdr>
            <w:top w:val="none" w:sz="0" w:space="0" w:color="auto"/>
            <w:left w:val="none" w:sz="0" w:space="0" w:color="auto"/>
            <w:bottom w:val="none" w:sz="0" w:space="0" w:color="auto"/>
            <w:right w:val="none" w:sz="0" w:space="0" w:color="auto"/>
          </w:divBdr>
        </w:div>
        <w:div w:id="720984893">
          <w:marLeft w:val="640"/>
          <w:marRight w:val="0"/>
          <w:marTop w:val="0"/>
          <w:marBottom w:val="0"/>
          <w:divBdr>
            <w:top w:val="none" w:sz="0" w:space="0" w:color="auto"/>
            <w:left w:val="none" w:sz="0" w:space="0" w:color="auto"/>
            <w:bottom w:val="none" w:sz="0" w:space="0" w:color="auto"/>
            <w:right w:val="none" w:sz="0" w:space="0" w:color="auto"/>
          </w:divBdr>
        </w:div>
        <w:div w:id="1581400904">
          <w:marLeft w:val="640"/>
          <w:marRight w:val="0"/>
          <w:marTop w:val="0"/>
          <w:marBottom w:val="0"/>
          <w:divBdr>
            <w:top w:val="none" w:sz="0" w:space="0" w:color="auto"/>
            <w:left w:val="none" w:sz="0" w:space="0" w:color="auto"/>
            <w:bottom w:val="none" w:sz="0" w:space="0" w:color="auto"/>
            <w:right w:val="none" w:sz="0" w:space="0" w:color="auto"/>
          </w:divBdr>
        </w:div>
        <w:div w:id="1082727117">
          <w:marLeft w:val="640"/>
          <w:marRight w:val="0"/>
          <w:marTop w:val="0"/>
          <w:marBottom w:val="0"/>
          <w:divBdr>
            <w:top w:val="none" w:sz="0" w:space="0" w:color="auto"/>
            <w:left w:val="none" w:sz="0" w:space="0" w:color="auto"/>
            <w:bottom w:val="none" w:sz="0" w:space="0" w:color="auto"/>
            <w:right w:val="none" w:sz="0" w:space="0" w:color="auto"/>
          </w:divBdr>
        </w:div>
        <w:div w:id="967853152">
          <w:marLeft w:val="640"/>
          <w:marRight w:val="0"/>
          <w:marTop w:val="0"/>
          <w:marBottom w:val="0"/>
          <w:divBdr>
            <w:top w:val="none" w:sz="0" w:space="0" w:color="auto"/>
            <w:left w:val="none" w:sz="0" w:space="0" w:color="auto"/>
            <w:bottom w:val="none" w:sz="0" w:space="0" w:color="auto"/>
            <w:right w:val="none" w:sz="0" w:space="0" w:color="auto"/>
          </w:divBdr>
        </w:div>
        <w:div w:id="973676387">
          <w:marLeft w:val="640"/>
          <w:marRight w:val="0"/>
          <w:marTop w:val="0"/>
          <w:marBottom w:val="0"/>
          <w:divBdr>
            <w:top w:val="none" w:sz="0" w:space="0" w:color="auto"/>
            <w:left w:val="none" w:sz="0" w:space="0" w:color="auto"/>
            <w:bottom w:val="none" w:sz="0" w:space="0" w:color="auto"/>
            <w:right w:val="none" w:sz="0" w:space="0" w:color="auto"/>
          </w:divBdr>
        </w:div>
        <w:div w:id="756026679">
          <w:marLeft w:val="640"/>
          <w:marRight w:val="0"/>
          <w:marTop w:val="0"/>
          <w:marBottom w:val="0"/>
          <w:divBdr>
            <w:top w:val="none" w:sz="0" w:space="0" w:color="auto"/>
            <w:left w:val="none" w:sz="0" w:space="0" w:color="auto"/>
            <w:bottom w:val="none" w:sz="0" w:space="0" w:color="auto"/>
            <w:right w:val="none" w:sz="0" w:space="0" w:color="auto"/>
          </w:divBdr>
        </w:div>
        <w:div w:id="189344625">
          <w:marLeft w:val="640"/>
          <w:marRight w:val="0"/>
          <w:marTop w:val="0"/>
          <w:marBottom w:val="0"/>
          <w:divBdr>
            <w:top w:val="none" w:sz="0" w:space="0" w:color="auto"/>
            <w:left w:val="none" w:sz="0" w:space="0" w:color="auto"/>
            <w:bottom w:val="none" w:sz="0" w:space="0" w:color="auto"/>
            <w:right w:val="none" w:sz="0" w:space="0" w:color="auto"/>
          </w:divBdr>
        </w:div>
      </w:divsChild>
    </w:div>
    <w:div w:id="645743441">
      <w:bodyDiv w:val="1"/>
      <w:marLeft w:val="0"/>
      <w:marRight w:val="0"/>
      <w:marTop w:val="0"/>
      <w:marBottom w:val="0"/>
      <w:divBdr>
        <w:top w:val="none" w:sz="0" w:space="0" w:color="auto"/>
        <w:left w:val="none" w:sz="0" w:space="0" w:color="auto"/>
        <w:bottom w:val="none" w:sz="0" w:space="0" w:color="auto"/>
        <w:right w:val="none" w:sz="0" w:space="0" w:color="auto"/>
      </w:divBdr>
      <w:divsChild>
        <w:div w:id="747387094">
          <w:marLeft w:val="640"/>
          <w:marRight w:val="0"/>
          <w:marTop w:val="0"/>
          <w:marBottom w:val="0"/>
          <w:divBdr>
            <w:top w:val="none" w:sz="0" w:space="0" w:color="auto"/>
            <w:left w:val="none" w:sz="0" w:space="0" w:color="auto"/>
            <w:bottom w:val="none" w:sz="0" w:space="0" w:color="auto"/>
            <w:right w:val="none" w:sz="0" w:space="0" w:color="auto"/>
          </w:divBdr>
        </w:div>
        <w:div w:id="113790804">
          <w:marLeft w:val="640"/>
          <w:marRight w:val="0"/>
          <w:marTop w:val="0"/>
          <w:marBottom w:val="0"/>
          <w:divBdr>
            <w:top w:val="none" w:sz="0" w:space="0" w:color="auto"/>
            <w:left w:val="none" w:sz="0" w:space="0" w:color="auto"/>
            <w:bottom w:val="none" w:sz="0" w:space="0" w:color="auto"/>
            <w:right w:val="none" w:sz="0" w:space="0" w:color="auto"/>
          </w:divBdr>
        </w:div>
        <w:div w:id="1666858643">
          <w:marLeft w:val="640"/>
          <w:marRight w:val="0"/>
          <w:marTop w:val="0"/>
          <w:marBottom w:val="0"/>
          <w:divBdr>
            <w:top w:val="none" w:sz="0" w:space="0" w:color="auto"/>
            <w:left w:val="none" w:sz="0" w:space="0" w:color="auto"/>
            <w:bottom w:val="none" w:sz="0" w:space="0" w:color="auto"/>
            <w:right w:val="none" w:sz="0" w:space="0" w:color="auto"/>
          </w:divBdr>
        </w:div>
        <w:div w:id="354112072">
          <w:marLeft w:val="640"/>
          <w:marRight w:val="0"/>
          <w:marTop w:val="0"/>
          <w:marBottom w:val="0"/>
          <w:divBdr>
            <w:top w:val="none" w:sz="0" w:space="0" w:color="auto"/>
            <w:left w:val="none" w:sz="0" w:space="0" w:color="auto"/>
            <w:bottom w:val="none" w:sz="0" w:space="0" w:color="auto"/>
            <w:right w:val="none" w:sz="0" w:space="0" w:color="auto"/>
          </w:divBdr>
        </w:div>
        <w:div w:id="791174619">
          <w:marLeft w:val="640"/>
          <w:marRight w:val="0"/>
          <w:marTop w:val="0"/>
          <w:marBottom w:val="0"/>
          <w:divBdr>
            <w:top w:val="none" w:sz="0" w:space="0" w:color="auto"/>
            <w:left w:val="none" w:sz="0" w:space="0" w:color="auto"/>
            <w:bottom w:val="none" w:sz="0" w:space="0" w:color="auto"/>
            <w:right w:val="none" w:sz="0" w:space="0" w:color="auto"/>
          </w:divBdr>
        </w:div>
        <w:div w:id="1275137622">
          <w:marLeft w:val="640"/>
          <w:marRight w:val="0"/>
          <w:marTop w:val="0"/>
          <w:marBottom w:val="0"/>
          <w:divBdr>
            <w:top w:val="none" w:sz="0" w:space="0" w:color="auto"/>
            <w:left w:val="none" w:sz="0" w:space="0" w:color="auto"/>
            <w:bottom w:val="none" w:sz="0" w:space="0" w:color="auto"/>
            <w:right w:val="none" w:sz="0" w:space="0" w:color="auto"/>
          </w:divBdr>
        </w:div>
        <w:div w:id="199323289">
          <w:marLeft w:val="640"/>
          <w:marRight w:val="0"/>
          <w:marTop w:val="0"/>
          <w:marBottom w:val="0"/>
          <w:divBdr>
            <w:top w:val="none" w:sz="0" w:space="0" w:color="auto"/>
            <w:left w:val="none" w:sz="0" w:space="0" w:color="auto"/>
            <w:bottom w:val="none" w:sz="0" w:space="0" w:color="auto"/>
            <w:right w:val="none" w:sz="0" w:space="0" w:color="auto"/>
          </w:divBdr>
        </w:div>
        <w:div w:id="209151287">
          <w:marLeft w:val="640"/>
          <w:marRight w:val="0"/>
          <w:marTop w:val="0"/>
          <w:marBottom w:val="0"/>
          <w:divBdr>
            <w:top w:val="none" w:sz="0" w:space="0" w:color="auto"/>
            <w:left w:val="none" w:sz="0" w:space="0" w:color="auto"/>
            <w:bottom w:val="none" w:sz="0" w:space="0" w:color="auto"/>
            <w:right w:val="none" w:sz="0" w:space="0" w:color="auto"/>
          </w:divBdr>
        </w:div>
      </w:divsChild>
    </w:div>
    <w:div w:id="668825887">
      <w:bodyDiv w:val="1"/>
      <w:marLeft w:val="0"/>
      <w:marRight w:val="0"/>
      <w:marTop w:val="0"/>
      <w:marBottom w:val="0"/>
      <w:divBdr>
        <w:top w:val="none" w:sz="0" w:space="0" w:color="auto"/>
        <w:left w:val="none" w:sz="0" w:space="0" w:color="auto"/>
        <w:bottom w:val="none" w:sz="0" w:space="0" w:color="auto"/>
        <w:right w:val="none" w:sz="0" w:space="0" w:color="auto"/>
      </w:divBdr>
      <w:divsChild>
        <w:div w:id="243809177">
          <w:marLeft w:val="640"/>
          <w:marRight w:val="0"/>
          <w:marTop w:val="0"/>
          <w:marBottom w:val="0"/>
          <w:divBdr>
            <w:top w:val="none" w:sz="0" w:space="0" w:color="auto"/>
            <w:left w:val="none" w:sz="0" w:space="0" w:color="auto"/>
            <w:bottom w:val="none" w:sz="0" w:space="0" w:color="auto"/>
            <w:right w:val="none" w:sz="0" w:space="0" w:color="auto"/>
          </w:divBdr>
        </w:div>
        <w:div w:id="1841390406">
          <w:marLeft w:val="640"/>
          <w:marRight w:val="0"/>
          <w:marTop w:val="0"/>
          <w:marBottom w:val="0"/>
          <w:divBdr>
            <w:top w:val="none" w:sz="0" w:space="0" w:color="auto"/>
            <w:left w:val="none" w:sz="0" w:space="0" w:color="auto"/>
            <w:bottom w:val="none" w:sz="0" w:space="0" w:color="auto"/>
            <w:right w:val="none" w:sz="0" w:space="0" w:color="auto"/>
          </w:divBdr>
        </w:div>
      </w:divsChild>
    </w:div>
    <w:div w:id="676620882">
      <w:bodyDiv w:val="1"/>
      <w:marLeft w:val="0"/>
      <w:marRight w:val="0"/>
      <w:marTop w:val="0"/>
      <w:marBottom w:val="0"/>
      <w:divBdr>
        <w:top w:val="none" w:sz="0" w:space="0" w:color="auto"/>
        <w:left w:val="none" w:sz="0" w:space="0" w:color="auto"/>
        <w:bottom w:val="none" w:sz="0" w:space="0" w:color="auto"/>
        <w:right w:val="none" w:sz="0" w:space="0" w:color="auto"/>
      </w:divBdr>
      <w:divsChild>
        <w:div w:id="669337286">
          <w:marLeft w:val="640"/>
          <w:marRight w:val="0"/>
          <w:marTop w:val="0"/>
          <w:marBottom w:val="0"/>
          <w:divBdr>
            <w:top w:val="none" w:sz="0" w:space="0" w:color="auto"/>
            <w:left w:val="none" w:sz="0" w:space="0" w:color="auto"/>
            <w:bottom w:val="none" w:sz="0" w:space="0" w:color="auto"/>
            <w:right w:val="none" w:sz="0" w:space="0" w:color="auto"/>
          </w:divBdr>
        </w:div>
      </w:divsChild>
    </w:div>
    <w:div w:id="695738594">
      <w:bodyDiv w:val="1"/>
      <w:marLeft w:val="0"/>
      <w:marRight w:val="0"/>
      <w:marTop w:val="0"/>
      <w:marBottom w:val="0"/>
      <w:divBdr>
        <w:top w:val="none" w:sz="0" w:space="0" w:color="auto"/>
        <w:left w:val="none" w:sz="0" w:space="0" w:color="auto"/>
        <w:bottom w:val="none" w:sz="0" w:space="0" w:color="auto"/>
        <w:right w:val="none" w:sz="0" w:space="0" w:color="auto"/>
      </w:divBdr>
      <w:divsChild>
        <w:div w:id="977414547">
          <w:marLeft w:val="640"/>
          <w:marRight w:val="0"/>
          <w:marTop w:val="0"/>
          <w:marBottom w:val="0"/>
          <w:divBdr>
            <w:top w:val="none" w:sz="0" w:space="0" w:color="auto"/>
            <w:left w:val="none" w:sz="0" w:space="0" w:color="auto"/>
            <w:bottom w:val="none" w:sz="0" w:space="0" w:color="auto"/>
            <w:right w:val="none" w:sz="0" w:space="0" w:color="auto"/>
          </w:divBdr>
        </w:div>
        <w:div w:id="1925262146">
          <w:marLeft w:val="640"/>
          <w:marRight w:val="0"/>
          <w:marTop w:val="0"/>
          <w:marBottom w:val="0"/>
          <w:divBdr>
            <w:top w:val="none" w:sz="0" w:space="0" w:color="auto"/>
            <w:left w:val="none" w:sz="0" w:space="0" w:color="auto"/>
            <w:bottom w:val="none" w:sz="0" w:space="0" w:color="auto"/>
            <w:right w:val="none" w:sz="0" w:space="0" w:color="auto"/>
          </w:divBdr>
        </w:div>
      </w:divsChild>
    </w:div>
    <w:div w:id="704250863">
      <w:bodyDiv w:val="1"/>
      <w:marLeft w:val="0"/>
      <w:marRight w:val="0"/>
      <w:marTop w:val="0"/>
      <w:marBottom w:val="0"/>
      <w:divBdr>
        <w:top w:val="none" w:sz="0" w:space="0" w:color="auto"/>
        <w:left w:val="none" w:sz="0" w:space="0" w:color="auto"/>
        <w:bottom w:val="none" w:sz="0" w:space="0" w:color="auto"/>
        <w:right w:val="none" w:sz="0" w:space="0" w:color="auto"/>
      </w:divBdr>
      <w:divsChild>
        <w:div w:id="523133050">
          <w:marLeft w:val="640"/>
          <w:marRight w:val="0"/>
          <w:marTop w:val="0"/>
          <w:marBottom w:val="0"/>
          <w:divBdr>
            <w:top w:val="none" w:sz="0" w:space="0" w:color="auto"/>
            <w:left w:val="none" w:sz="0" w:space="0" w:color="auto"/>
            <w:bottom w:val="none" w:sz="0" w:space="0" w:color="auto"/>
            <w:right w:val="none" w:sz="0" w:space="0" w:color="auto"/>
          </w:divBdr>
        </w:div>
        <w:div w:id="1106849790">
          <w:marLeft w:val="640"/>
          <w:marRight w:val="0"/>
          <w:marTop w:val="0"/>
          <w:marBottom w:val="0"/>
          <w:divBdr>
            <w:top w:val="none" w:sz="0" w:space="0" w:color="auto"/>
            <w:left w:val="none" w:sz="0" w:space="0" w:color="auto"/>
            <w:bottom w:val="none" w:sz="0" w:space="0" w:color="auto"/>
            <w:right w:val="none" w:sz="0" w:space="0" w:color="auto"/>
          </w:divBdr>
        </w:div>
        <w:div w:id="1282228509">
          <w:marLeft w:val="640"/>
          <w:marRight w:val="0"/>
          <w:marTop w:val="0"/>
          <w:marBottom w:val="0"/>
          <w:divBdr>
            <w:top w:val="none" w:sz="0" w:space="0" w:color="auto"/>
            <w:left w:val="none" w:sz="0" w:space="0" w:color="auto"/>
            <w:bottom w:val="none" w:sz="0" w:space="0" w:color="auto"/>
            <w:right w:val="none" w:sz="0" w:space="0" w:color="auto"/>
          </w:divBdr>
        </w:div>
        <w:div w:id="139466942">
          <w:marLeft w:val="640"/>
          <w:marRight w:val="0"/>
          <w:marTop w:val="0"/>
          <w:marBottom w:val="0"/>
          <w:divBdr>
            <w:top w:val="none" w:sz="0" w:space="0" w:color="auto"/>
            <w:left w:val="none" w:sz="0" w:space="0" w:color="auto"/>
            <w:bottom w:val="none" w:sz="0" w:space="0" w:color="auto"/>
            <w:right w:val="none" w:sz="0" w:space="0" w:color="auto"/>
          </w:divBdr>
        </w:div>
        <w:div w:id="818034700">
          <w:marLeft w:val="640"/>
          <w:marRight w:val="0"/>
          <w:marTop w:val="0"/>
          <w:marBottom w:val="0"/>
          <w:divBdr>
            <w:top w:val="none" w:sz="0" w:space="0" w:color="auto"/>
            <w:left w:val="none" w:sz="0" w:space="0" w:color="auto"/>
            <w:bottom w:val="none" w:sz="0" w:space="0" w:color="auto"/>
            <w:right w:val="none" w:sz="0" w:space="0" w:color="auto"/>
          </w:divBdr>
        </w:div>
        <w:div w:id="1179589137">
          <w:marLeft w:val="640"/>
          <w:marRight w:val="0"/>
          <w:marTop w:val="0"/>
          <w:marBottom w:val="0"/>
          <w:divBdr>
            <w:top w:val="none" w:sz="0" w:space="0" w:color="auto"/>
            <w:left w:val="none" w:sz="0" w:space="0" w:color="auto"/>
            <w:bottom w:val="none" w:sz="0" w:space="0" w:color="auto"/>
            <w:right w:val="none" w:sz="0" w:space="0" w:color="auto"/>
          </w:divBdr>
        </w:div>
        <w:div w:id="105588265">
          <w:marLeft w:val="640"/>
          <w:marRight w:val="0"/>
          <w:marTop w:val="0"/>
          <w:marBottom w:val="0"/>
          <w:divBdr>
            <w:top w:val="none" w:sz="0" w:space="0" w:color="auto"/>
            <w:left w:val="none" w:sz="0" w:space="0" w:color="auto"/>
            <w:bottom w:val="none" w:sz="0" w:space="0" w:color="auto"/>
            <w:right w:val="none" w:sz="0" w:space="0" w:color="auto"/>
          </w:divBdr>
        </w:div>
        <w:div w:id="2029789506">
          <w:marLeft w:val="640"/>
          <w:marRight w:val="0"/>
          <w:marTop w:val="0"/>
          <w:marBottom w:val="0"/>
          <w:divBdr>
            <w:top w:val="none" w:sz="0" w:space="0" w:color="auto"/>
            <w:left w:val="none" w:sz="0" w:space="0" w:color="auto"/>
            <w:bottom w:val="none" w:sz="0" w:space="0" w:color="auto"/>
            <w:right w:val="none" w:sz="0" w:space="0" w:color="auto"/>
          </w:divBdr>
        </w:div>
        <w:div w:id="1765104659">
          <w:marLeft w:val="640"/>
          <w:marRight w:val="0"/>
          <w:marTop w:val="0"/>
          <w:marBottom w:val="0"/>
          <w:divBdr>
            <w:top w:val="none" w:sz="0" w:space="0" w:color="auto"/>
            <w:left w:val="none" w:sz="0" w:space="0" w:color="auto"/>
            <w:bottom w:val="none" w:sz="0" w:space="0" w:color="auto"/>
            <w:right w:val="none" w:sz="0" w:space="0" w:color="auto"/>
          </w:divBdr>
        </w:div>
        <w:div w:id="1792554992">
          <w:marLeft w:val="640"/>
          <w:marRight w:val="0"/>
          <w:marTop w:val="0"/>
          <w:marBottom w:val="0"/>
          <w:divBdr>
            <w:top w:val="none" w:sz="0" w:space="0" w:color="auto"/>
            <w:left w:val="none" w:sz="0" w:space="0" w:color="auto"/>
            <w:bottom w:val="none" w:sz="0" w:space="0" w:color="auto"/>
            <w:right w:val="none" w:sz="0" w:space="0" w:color="auto"/>
          </w:divBdr>
        </w:div>
        <w:div w:id="427845346">
          <w:marLeft w:val="640"/>
          <w:marRight w:val="0"/>
          <w:marTop w:val="0"/>
          <w:marBottom w:val="0"/>
          <w:divBdr>
            <w:top w:val="none" w:sz="0" w:space="0" w:color="auto"/>
            <w:left w:val="none" w:sz="0" w:space="0" w:color="auto"/>
            <w:bottom w:val="none" w:sz="0" w:space="0" w:color="auto"/>
            <w:right w:val="none" w:sz="0" w:space="0" w:color="auto"/>
          </w:divBdr>
        </w:div>
        <w:div w:id="337931912">
          <w:marLeft w:val="640"/>
          <w:marRight w:val="0"/>
          <w:marTop w:val="0"/>
          <w:marBottom w:val="0"/>
          <w:divBdr>
            <w:top w:val="none" w:sz="0" w:space="0" w:color="auto"/>
            <w:left w:val="none" w:sz="0" w:space="0" w:color="auto"/>
            <w:bottom w:val="none" w:sz="0" w:space="0" w:color="auto"/>
            <w:right w:val="none" w:sz="0" w:space="0" w:color="auto"/>
          </w:divBdr>
        </w:div>
        <w:div w:id="107893950">
          <w:marLeft w:val="640"/>
          <w:marRight w:val="0"/>
          <w:marTop w:val="0"/>
          <w:marBottom w:val="0"/>
          <w:divBdr>
            <w:top w:val="none" w:sz="0" w:space="0" w:color="auto"/>
            <w:left w:val="none" w:sz="0" w:space="0" w:color="auto"/>
            <w:bottom w:val="none" w:sz="0" w:space="0" w:color="auto"/>
            <w:right w:val="none" w:sz="0" w:space="0" w:color="auto"/>
          </w:divBdr>
        </w:div>
        <w:div w:id="655761315">
          <w:marLeft w:val="640"/>
          <w:marRight w:val="0"/>
          <w:marTop w:val="0"/>
          <w:marBottom w:val="0"/>
          <w:divBdr>
            <w:top w:val="none" w:sz="0" w:space="0" w:color="auto"/>
            <w:left w:val="none" w:sz="0" w:space="0" w:color="auto"/>
            <w:bottom w:val="none" w:sz="0" w:space="0" w:color="auto"/>
            <w:right w:val="none" w:sz="0" w:space="0" w:color="auto"/>
          </w:divBdr>
        </w:div>
        <w:div w:id="1022240355">
          <w:marLeft w:val="640"/>
          <w:marRight w:val="0"/>
          <w:marTop w:val="0"/>
          <w:marBottom w:val="0"/>
          <w:divBdr>
            <w:top w:val="none" w:sz="0" w:space="0" w:color="auto"/>
            <w:left w:val="none" w:sz="0" w:space="0" w:color="auto"/>
            <w:bottom w:val="none" w:sz="0" w:space="0" w:color="auto"/>
            <w:right w:val="none" w:sz="0" w:space="0" w:color="auto"/>
          </w:divBdr>
        </w:div>
      </w:divsChild>
    </w:div>
    <w:div w:id="738135326">
      <w:bodyDiv w:val="1"/>
      <w:marLeft w:val="0"/>
      <w:marRight w:val="0"/>
      <w:marTop w:val="0"/>
      <w:marBottom w:val="0"/>
      <w:divBdr>
        <w:top w:val="none" w:sz="0" w:space="0" w:color="auto"/>
        <w:left w:val="none" w:sz="0" w:space="0" w:color="auto"/>
        <w:bottom w:val="none" w:sz="0" w:space="0" w:color="auto"/>
        <w:right w:val="none" w:sz="0" w:space="0" w:color="auto"/>
      </w:divBdr>
      <w:divsChild>
        <w:div w:id="1522822253">
          <w:marLeft w:val="640"/>
          <w:marRight w:val="0"/>
          <w:marTop w:val="0"/>
          <w:marBottom w:val="0"/>
          <w:divBdr>
            <w:top w:val="none" w:sz="0" w:space="0" w:color="auto"/>
            <w:left w:val="none" w:sz="0" w:space="0" w:color="auto"/>
            <w:bottom w:val="none" w:sz="0" w:space="0" w:color="auto"/>
            <w:right w:val="none" w:sz="0" w:space="0" w:color="auto"/>
          </w:divBdr>
        </w:div>
      </w:divsChild>
    </w:div>
    <w:div w:id="744188387">
      <w:bodyDiv w:val="1"/>
      <w:marLeft w:val="0"/>
      <w:marRight w:val="0"/>
      <w:marTop w:val="0"/>
      <w:marBottom w:val="0"/>
      <w:divBdr>
        <w:top w:val="none" w:sz="0" w:space="0" w:color="auto"/>
        <w:left w:val="none" w:sz="0" w:space="0" w:color="auto"/>
        <w:bottom w:val="none" w:sz="0" w:space="0" w:color="auto"/>
        <w:right w:val="none" w:sz="0" w:space="0" w:color="auto"/>
      </w:divBdr>
      <w:divsChild>
        <w:div w:id="386805161">
          <w:marLeft w:val="640"/>
          <w:marRight w:val="0"/>
          <w:marTop w:val="0"/>
          <w:marBottom w:val="0"/>
          <w:divBdr>
            <w:top w:val="none" w:sz="0" w:space="0" w:color="auto"/>
            <w:left w:val="none" w:sz="0" w:space="0" w:color="auto"/>
            <w:bottom w:val="none" w:sz="0" w:space="0" w:color="auto"/>
            <w:right w:val="none" w:sz="0" w:space="0" w:color="auto"/>
          </w:divBdr>
        </w:div>
        <w:div w:id="823084765">
          <w:marLeft w:val="640"/>
          <w:marRight w:val="0"/>
          <w:marTop w:val="0"/>
          <w:marBottom w:val="0"/>
          <w:divBdr>
            <w:top w:val="none" w:sz="0" w:space="0" w:color="auto"/>
            <w:left w:val="none" w:sz="0" w:space="0" w:color="auto"/>
            <w:bottom w:val="none" w:sz="0" w:space="0" w:color="auto"/>
            <w:right w:val="none" w:sz="0" w:space="0" w:color="auto"/>
          </w:divBdr>
        </w:div>
      </w:divsChild>
    </w:div>
    <w:div w:id="788233799">
      <w:bodyDiv w:val="1"/>
      <w:marLeft w:val="0"/>
      <w:marRight w:val="0"/>
      <w:marTop w:val="0"/>
      <w:marBottom w:val="0"/>
      <w:divBdr>
        <w:top w:val="none" w:sz="0" w:space="0" w:color="auto"/>
        <w:left w:val="none" w:sz="0" w:space="0" w:color="auto"/>
        <w:bottom w:val="none" w:sz="0" w:space="0" w:color="auto"/>
        <w:right w:val="none" w:sz="0" w:space="0" w:color="auto"/>
      </w:divBdr>
      <w:divsChild>
        <w:div w:id="2082944107">
          <w:marLeft w:val="640"/>
          <w:marRight w:val="0"/>
          <w:marTop w:val="0"/>
          <w:marBottom w:val="0"/>
          <w:divBdr>
            <w:top w:val="none" w:sz="0" w:space="0" w:color="auto"/>
            <w:left w:val="none" w:sz="0" w:space="0" w:color="auto"/>
            <w:bottom w:val="none" w:sz="0" w:space="0" w:color="auto"/>
            <w:right w:val="none" w:sz="0" w:space="0" w:color="auto"/>
          </w:divBdr>
        </w:div>
        <w:div w:id="2085030744">
          <w:marLeft w:val="640"/>
          <w:marRight w:val="0"/>
          <w:marTop w:val="0"/>
          <w:marBottom w:val="0"/>
          <w:divBdr>
            <w:top w:val="none" w:sz="0" w:space="0" w:color="auto"/>
            <w:left w:val="none" w:sz="0" w:space="0" w:color="auto"/>
            <w:bottom w:val="none" w:sz="0" w:space="0" w:color="auto"/>
            <w:right w:val="none" w:sz="0" w:space="0" w:color="auto"/>
          </w:divBdr>
        </w:div>
        <w:div w:id="1179388479">
          <w:marLeft w:val="640"/>
          <w:marRight w:val="0"/>
          <w:marTop w:val="0"/>
          <w:marBottom w:val="0"/>
          <w:divBdr>
            <w:top w:val="none" w:sz="0" w:space="0" w:color="auto"/>
            <w:left w:val="none" w:sz="0" w:space="0" w:color="auto"/>
            <w:bottom w:val="none" w:sz="0" w:space="0" w:color="auto"/>
            <w:right w:val="none" w:sz="0" w:space="0" w:color="auto"/>
          </w:divBdr>
        </w:div>
        <w:div w:id="548880446">
          <w:marLeft w:val="640"/>
          <w:marRight w:val="0"/>
          <w:marTop w:val="0"/>
          <w:marBottom w:val="0"/>
          <w:divBdr>
            <w:top w:val="none" w:sz="0" w:space="0" w:color="auto"/>
            <w:left w:val="none" w:sz="0" w:space="0" w:color="auto"/>
            <w:bottom w:val="none" w:sz="0" w:space="0" w:color="auto"/>
            <w:right w:val="none" w:sz="0" w:space="0" w:color="auto"/>
          </w:divBdr>
        </w:div>
      </w:divsChild>
    </w:div>
    <w:div w:id="813333657">
      <w:bodyDiv w:val="1"/>
      <w:marLeft w:val="0"/>
      <w:marRight w:val="0"/>
      <w:marTop w:val="0"/>
      <w:marBottom w:val="0"/>
      <w:divBdr>
        <w:top w:val="none" w:sz="0" w:space="0" w:color="auto"/>
        <w:left w:val="none" w:sz="0" w:space="0" w:color="auto"/>
        <w:bottom w:val="none" w:sz="0" w:space="0" w:color="auto"/>
        <w:right w:val="none" w:sz="0" w:space="0" w:color="auto"/>
      </w:divBdr>
      <w:divsChild>
        <w:div w:id="860819001">
          <w:marLeft w:val="640"/>
          <w:marRight w:val="0"/>
          <w:marTop w:val="0"/>
          <w:marBottom w:val="0"/>
          <w:divBdr>
            <w:top w:val="none" w:sz="0" w:space="0" w:color="auto"/>
            <w:left w:val="none" w:sz="0" w:space="0" w:color="auto"/>
            <w:bottom w:val="none" w:sz="0" w:space="0" w:color="auto"/>
            <w:right w:val="none" w:sz="0" w:space="0" w:color="auto"/>
          </w:divBdr>
        </w:div>
        <w:div w:id="442577123">
          <w:marLeft w:val="640"/>
          <w:marRight w:val="0"/>
          <w:marTop w:val="0"/>
          <w:marBottom w:val="0"/>
          <w:divBdr>
            <w:top w:val="none" w:sz="0" w:space="0" w:color="auto"/>
            <w:left w:val="none" w:sz="0" w:space="0" w:color="auto"/>
            <w:bottom w:val="none" w:sz="0" w:space="0" w:color="auto"/>
            <w:right w:val="none" w:sz="0" w:space="0" w:color="auto"/>
          </w:divBdr>
        </w:div>
        <w:div w:id="2115705759">
          <w:marLeft w:val="640"/>
          <w:marRight w:val="0"/>
          <w:marTop w:val="0"/>
          <w:marBottom w:val="0"/>
          <w:divBdr>
            <w:top w:val="none" w:sz="0" w:space="0" w:color="auto"/>
            <w:left w:val="none" w:sz="0" w:space="0" w:color="auto"/>
            <w:bottom w:val="none" w:sz="0" w:space="0" w:color="auto"/>
            <w:right w:val="none" w:sz="0" w:space="0" w:color="auto"/>
          </w:divBdr>
        </w:div>
        <w:div w:id="728260653">
          <w:marLeft w:val="640"/>
          <w:marRight w:val="0"/>
          <w:marTop w:val="0"/>
          <w:marBottom w:val="0"/>
          <w:divBdr>
            <w:top w:val="none" w:sz="0" w:space="0" w:color="auto"/>
            <w:left w:val="none" w:sz="0" w:space="0" w:color="auto"/>
            <w:bottom w:val="none" w:sz="0" w:space="0" w:color="auto"/>
            <w:right w:val="none" w:sz="0" w:space="0" w:color="auto"/>
          </w:divBdr>
        </w:div>
      </w:divsChild>
    </w:div>
    <w:div w:id="840900418">
      <w:bodyDiv w:val="1"/>
      <w:marLeft w:val="0"/>
      <w:marRight w:val="0"/>
      <w:marTop w:val="0"/>
      <w:marBottom w:val="0"/>
      <w:divBdr>
        <w:top w:val="none" w:sz="0" w:space="0" w:color="auto"/>
        <w:left w:val="none" w:sz="0" w:space="0" w:color="auto"/>
        <w:bottom w:val="none" w:sz="0" w:space="0" w:color="auto"/>
        <w:right w:val="none" w:sz="0" w:space="0" w:color="auto"/>
      </w:divBdr>
      <w:divsChild>
        <w:div w:id="1048141448">
          <w:marLeft w:val="640"/>
          <w:marRight w:val="0"/>
          <w:marTop w:val="0"/>
          <w:marBottom w:val="0"/>
          <w:divBdr>
            <w:top w:val="none" w:sz="0" w:space="0" w:color="auto"/>
            <w:left w:val="none" w:sz="0" w:space="0" w:color="auto"/>
            <w:bottom w:val="none" w:sz="0" w:space="0" w:color="auto"/>
            <w:right w:val="none" w:sz="0" w:space="0" w:color="auto"/>
          </w:divBdr>
        </w:div>
        <w:div w:id="607004866">
          <w:marLeft w:val="640"/>
          <w:marRight w:val="0"/>
          <w:marTop w:val="0"/>
          <w:marBottom w:val="0"/>
          <w:divBdr>
            <w:top w:val="none" w:sz="0" w:space="0" w:color="auto"/>
            <w:left w:val="none" w:sz="0" w:space="0" w:color="auto"/>
            <w:bottom w:val="none" w:sz="0" w:space="0" w:color="auto"/>
            <w:right w:val="none" w:sz="0" w:space="0" w:color="auto"/>
          </w:divBdr>
        </w:div>
        <w:div w:id="900822463">
          <w:marLeft w:val="640"/>
          <w:marRight w:val="0"/>
          <w:marTop w:val="0"/>
          <w:marBottom w:val="0"/>
          <w:divBdr>
            <w:top w:val="none" w:sz="0" w:space="0" w:color="auto"/>
            <w:left w:val="none" w:sz="0" w:space="0" w:color="auto"/>
            <w:bottom w:val="none" w:sz="0" w:space="0" w:color="auto"/>
            <w:right w:val="none" w:sz="0" w:space="0" w:color="auto"/>
          </w:divBdr>
        </w:div>
        <w:div w:id="1317953878">
          <w:marLeft w:val="640"/>
          <w:marRight w:val="0"/>
          <w:marTop w:val="0"/>
          <w:marBottom w:val="0"/>
          <w:divBdr>
            <w:top w:val="none" w:sz="0" w:space="0" w:color="auto"/>
            <w:left w:val="none" w:sz="0" w:space="0" w:color="auto"/>
            <w:bottom w:val="none" w:sz="0" w:space="0" w:color="auto"/>
            <w:right w:val="none" w:sz="0" w:space="0" w:color="auto"/>
          </w:divBdr>
        </w:div>
      </w:divsChild>
    </w:div>
    <w:div w:id="863053872">
      <w:bodyDiv w:val="1"/>
      <w:marLeft w:val="0"/>
      <w:marRight w:val="0"/>
      <w:marTop w:val="0"/>
      <w:marBottom w:val="0"/>
      <w:divBdr>
        <w:top w:val="none" w:sz="0" w:space="0" w:color="auto"/>
        <w:left w:val="none" w:sz="0" w:space="0" w:color="auto"/>
        <w:bottom w:val="none" w:sz="0" w:space="0" w:color="auto"/>
        <w:right w:val="none" w:sz="0" w:space="0" w:color="auto"/>
      </w:divBdr>
      <w:divsChild>
        <w:div w:id="1091269751">
          <w:marLeft w:val="640"/>
          <w:marRight w:val="0"/>
          <w:marTop w:val="0"/>
          <w:marBottom w:val="0"/>
          <w:divBdr>
            <w:top w:val="none" w:sz="0" w:space="0" w:color="auto"/>
            <w:left w:val="none" w:sz="0" w:space="0" w:color="auto"/>
            <w:bottom w:val="none" w:sz="0" w:space="0" w:color="auto"/>
            <w:right w:val="none" w:sz="0" w:space="0" w:color="auto"/>
          </w:divBdr>
        </w:div>
        <w:div w:id="739062347">
          <w:marLeft w:val="640"/>
          <w:marRight w:val="0"/>
          <w:marTop w:val="0"/>
          <w:marBottom w:val="0"/>
          <w:divBdr>
            <w:top w:val="none" w:sz="0" w:space="0" w:color="auto"/>
            <w:left w:val="none" w:sz="0" w:space="0" w:color="auto"/>
            <w:bottom w:val="none" w:sz="0" w:space="0" w:color="auto"/>
            <w:right w:val="none" w:sz="0" w:space="0" w:color="auto"/>
          </w:divBdr>
        </w:div>
        <w:div w:id="2014725366">
          <w:marLeft w:val="640"/>
          <w:marRight w:val="0"/>
          <w:marTop w:val="0"/>
          <w:marBottom w:val="0"/>
          <w:divBdr>
            <w:top w:val="none" w:sz="0" w:space="0" w:color="auto"/>
            <w:left w:val="none" w:sz="0" w:space="0" w:color="auto"/>
            <w:bottom w:val="none" w:sz="0" w:space="0" w:color="auto"/>
            <w:right w:val="none" w:sz="0" w:space="0" w:color="auto"/>
          </w:divBdr>
        </w:div>
        <w:div w:id="966544073">
          <w:marLeft w:val="640"/>
          <w:marRight w:val="0"/>
          <w:marTop w:val="0"/>
          <w:marBottom w:val="0"/>
          <w:divBdr>
            <w:top w:val="none" w:sz="0" w:space="0" w:color="auto"/>
            <w:left w:val="none" w:sz="0" w:space="0" w:color="auto"/>
            <w:bottom w:val="none" w:sz="0" w:space="0" w:color="auto"/>
            <w:right w:val="none" w:sz="0" w:space="0" w:color="auto"/>
          </w:divBdr>
        </w:div>
        <w:div w:id="795299447">
          <w:marLeft w:val="640"/>
          <w:marRight w:val="0"/>
          <w:marTop w:val="0"/>
          <w:marBottom w:val="0"/>
          <w:divBdr>
            <w:top w:val="none" w:sz="0" w:space="0" w:color="auto"/>
            <w:left w:val="none" w:sz="0" w:space="0" w:color="auto"/>
            <w:bottom w:val="none" w:sz="0" w:space="0" w:color="auto"/>
            <w:right w:val="none" w:sz="0" w:space="0" w:color="auto"/>
          </w:divBdr>
        </w:div>
        <w:div w:id="1151866133">
          <w:marLeft w:val="640"/>
          <w:marRight w:val="0"/>
          <w:marTop w:val="0"/>
          <w:marBottom w:val="0"/>
          <w:divBdr>
            <w:top w:val="none" w:sz="0" w:space="0" w:color="auto"/>
            <w:left w:val="none" w:sz="0" w:space="0" w:color="auto"/>
            <w:bottom w:val="none" w:sz="0" w:space="0" w:color="auto"/>
            <w:right w:val="none" w:sz="0" w:space="0" w:color="auto"/>
          </w:divBdr>
        </w:div>
        <w:div w:id="1479229431">
          <w:marLeft w:val="640"/>
          <w:marRight w:val="0"/>
          <w:marTop w:val="0"/>
          <w:marBottom w:val="0"/>
          <w:divBdr>
            <w:top w:val="none" w:sz="0" w:space="0" w:color="auto"/>
            <w:left w:val="none" w:sz="0" w:space="0" w:color="auto"/>
            <w:bottom w:val="none" w:sz="0" w:space="0" w:color="auto"/>
            <w:right w:val="none" w:sz="0" w:space="0" w:color="auto"/>
          </w:divBdr>
        </w:div>
        <w:div w:id="2012415301">
          <w:marLeft w:val="640"/>
          <w:marRight w:val="0"/>
          <w:marTop w:val="0"/>
          <w:marBottom w:val="0"/>
          <w:divBdr>
            <w:top w:val="none" w:sz="0" w:space="0" w:color="auto"/>
            <w:left w:val="none" w:sz="0" w:space="0" w:color="auto"/>
            <w:bottom w:val="none" w:sz="0" w:space="0" w:color="auto"/>
            <w:right w:val="none" w:sz="0" w:space="0" w:color="auto"/>
          </w:divBdr>
        </w:div>
      </w:divsChild>
    </w:div>
    <w:div w:id="867909678">
      <w:bodyDiv w:val="1"/>
      <w:marLeft w:val="0"/>
      <w:marRight w:val="0"/>
      <w:marTop w:val="0"/>
      <w:marBottom w:val="0"/>
      <w:divBdr>
        <w:top w:val="none" w:sz="0" w:space="0" w:color="auto"/>
        <w:left w:val="none" w:sz="0" w:space="0" w:color="auto"/>
        <w:bottom w:val="none" w:sz="0" w:space="0" w:color="auto"/>
        <w:right w:val="none" w:sz="0" w:space="0" w:color="auto"/>
      </w:divBdr>
      <w:divsChild>
        <w:div w:id="1741489141">
          <w:marLeft w:val="640"/>
          <w:marRight w:val="0"/>
          <w:marTop w:val="0"/>
          <w:marBottom w:val="0"/>
          <w:divBdr>
            <w:top w:val="none" w:sz="0" w:space="0" w:color="auto"/>
            <w:left w:val="none" w:sz="0" w:space="0" w:color="auto"/>
            <w:bottom w:val="none" w:sz="0" w:space="0" w:color="auto"/>
            <w:right w:val="none" w:sz="0" w:space="0" w:color="auto"/>
          </w:divBdr>
        </w:div>
        <w:div w:id="1381249777">
          <w:marLeft w:val="640"/>
          <w:marRight w:val="0"/>
          <w:marTop w:val="0"/>
          <w:marBottom w:val="0"/>
          <w:divBdr>
            <w:top w:val="none" w:sz="0" w:space="0" w:color="auto"/>
            <w:left w:val="none" w:sz="0" w:space="0" w:color="auto"/>
            <w:bottom w:val="none" w:sz="0" w:space="0" w:color="auto"/>
            <w:right w:val="none" w:sz="0" w:space="0" w:color="auto"/>
          </w:divBdr>
        </w:div>
        <w:div w:id="1308166450">
          <w:marLeft w:val="640"/>
          <w:marRight w:val="0"/>
          <w:marTop w:val="0"/>
          <w:marBottom w:val="0"/>
          <w:divBdr>
            <w:top w:val="none" w:sz="0" w:space="0" w:color="auto"/>
            <w:left w:val="none" w:sz="0" w:space="0" w:color="auto"/>
            <w:bottom w:val="none" w:sz="0" w:space="0" w:color="auto"/>
            <w:right w:val="none" w:sz="0" w:space="0" w:color="auto"/>
          </w:divBdr>
        </w:div>
        <w:div w:id="1061639405">
          <w:marLeft w:val="640"/>
          <w:marRight w:val="0"/>
          <w:marTop w:val="0"/>
          <w:marBottom w:val="0"/>
          <w:divBdr>
            <w:top w:val="none" w:sz="0" w:space="0" w:color="auto"/>
            <w:left w:val="none" w:sz="0" w:space="0" w:color="auto"/>
            <w:bottom w:val="none" w:sz="0" w:space="0" w:color="auto"/>
            <w:right w:val="none" w:sz="0" w:space="0" w:color="auto"/>
          </w:divBdr>
        </w:div>
        <w:div w:id="716783303">
          <w:marLeft w:val="640"/>
          <w:marRight w:val="0"/>
          <w:marTop w:val="0"/>
          <w:marBottom w:val="0"/>
          <w:divBdr>
            <w:top w:val="none" w:sz="0" w:space="0" w:color="auto"/>
            <w:left w:val="none" w:sz="0" w:space="0" w:color="auto"/>
            <w:bottom w:val="none" w:sz="0" w:space="0" w:color="auto"/>
            <w:right w:val="none" w:sz="0" w:space="0" w:color="auto"/>
          </w:divBdr>
        </w:div>
        <w:div w:id="1828862775">
          <w:marLeft w:val="640"/>
          <w:marRight w:val="0"/>
          <w:marTop w:val="0"/>
          <w:marBottom w:val="0"/>
          <w:divBdr>
            <w:top w:val="none" w:sz="0" w:space="0" w:color="auto"/>
            <w:left w:val="none" w:sz="0" w:space="0" w:color="auto"/>
            <w:bottom w:val="none" w:sz="0" w:space="0" w:color="auto"/>
            <w:right w:val="none" w:sz="0" w:space="0" w:color="auto"/>
          </w:divBdr>
        </w:div>
        <w:div w:id="1239437003">
          <w:marLeft w:val="640"/>
          <w:marRight w:val="0"/>
          <w:marTop w:val="0"/>
          <w:marBottom w:val="0"/>
          <w:divBdr>
            <w:top w:val="none" w:sz="0" w:space="0" w:color="auto"/>
            <w:left w:val="none" w:sz="0" w:space="0" w:color="auto"/>
            <w:bottom w:val="none" w:sz="0" w:space="0" w:color="auto"/>
            <w:right w:val="none" w:sz="0" w:space="0" w:color="auto"/>
          </w:divBdr>
        </w:div>
        <w:div w:id="1313482966">
          <w:marLeft w:val="640"/>
          <w:marRight w:val="0"/>
          <w:marTop w:val="0"/>
          <w:marBottom w:val="0"/>
          <w:divBdr>
            <w:top w:val="none" w:sz="0" w:space="0" w:color="auto"/>
            <w:left w:val="none" w:sz="0" w:space="0" w:color="auto"/>
            <w:bottom w:val="none" w:sz="0" w:space="0" w:color="auto"/>
            <w:right w:val="none" w:sz="0" w:space="0" w:color="auto"/>
          </w:divBdr>
        </w:div>
        <w:div w:id="1033186473">
          <w:marLeft w:val="640"/>
          <w:marRight w:val="0"/>
          <w:marTop w:val="0"/>
          <w:marBottom w:val="0"/>
          <w:divBdr>
            <w:top w:val="none" w:sz="0" w:space="0" w:color="auto"/>
            <w:left w:val="none" w:sz="0" w:space="0" w:color="auto"/>
            <w:bottom w:val="none" w:sz="0" w:space="0" w:color="auto"/>
            <w:right w:val="none" w:sz="0" w:space="0" w:color="auto"/>
          </w:divBdr>
        </w:div>
        <w:div w:id="1594044949">
          <w:marLeft w:val="640"/>
          <w:marRight w:val="0"/>
          <w:marTop w:val="0"/>
          <w:marBottom w:val="0"/>
          <w:divBdr>
            <w:top w:val="none" w:sz="0" w:space="0" w:color="auto"/>
            <w:left w:val="none" w:sz="0" w:space="0" w:color="auto"/>
            <w:bottom w:val="none" w:sz="0" w:space="0" w:color="auto"/>
            <w:right w:val="none" w:sz="0" w:space="0" w:color="auto"/>
          </w:divBdr>
        </w:div>
        <w:div w:id="2027247927">
          <w:marLeft w:val="640"/>
          <w:marRight w:val="0"/>
          <w:marTop w:val="0"/>
          <w:marBottom w:val="0"/>
          <w:divBdr>
            <w:top w:val="none" w:sz="0" w:space="0" w:color="auto"/>
            <w:left w:val="none" w:sz="0" w:space="0" w:color="auto"/>
            <w:bottom w:val="none" w:sz="0" w:space="0" w:color="auto"/>
            <w:right w:val="none" w:sz="0" w:space="0" w:color="auto"/>
          </w:divBdr>
        </w:div>
        <w:div w:id="1214318522">
          <w:marLeft w:val="640"/>
          <w:marRight w:val="0"/>
          <w:marTop w:val="0"/>
          <w:marBottom w:val="0"/>
          <w:divBdr>
            <w:top w:val="none" w:sz="0" w:space="0" w:color="auto"/>
            <w:left w:val="none" w:sz="0" w:space="0" w:color="auto"/>
            <w:bottom w:val="none" w:sz="0" w:space="0" w:color="auto"/>
            <w:right w:val="none" w:sz="0" w:space="0" w:color="auto"/>
          </w:divBdr>
        </w:div>
        <w:div w:id="1984506401">
          <w:marLeft w:val="640"/>
          <w:marRight w:val="0"/>
          <w:marTop w:val="0"/>
          <w:marBottom w:val="0"/>
          <w:divBdr>
            <w:top w:val="none" w:sz="0" w:space="0" w:color="auto"/>
            <w:left w:val="none" w:sz="0" w:space="0" w:color="auto"/>
            <w:bottom w:val="none" w:sz="0" w:space="0" w:color="auto"/>
            <w:right w:val="none" w:sz="0" w:space="0" w:color="auto"/>
          </w:divBdr>
        </w:div>
        <w:div w:id="1464931968">
          <w:marLeft w:val="640"/>
          <w:marRight w:val="0"/>
          <w:marTop w:val="0"/>
          <w:marBottom w:val="0"/>
          <w:divBdr>
            <w:top w:val="none" w:sz="0" w:space="0" w:color="auto"/>
            <w:left w:val="none" w:sz="0" w:space="0" w:color="auto"/>
            <w:bottom w:val="none" w:sz="0" w:space="0" w:color="auto"/>
            <w:right w:val="none" w:sz="0" w:space="0" w:color="auto"/>
          </w:divBdr>
        </w:div>
      </w:divsChild>
    </w:div>
    <w:div w:id="920532045">
      <w:bodyDiv w:val="1"/>
      <w:marLeft w:val="0"/>
      <w:marRight w:val="0"/>
      <w:marTop w:val="0"/>
      <w:marBottom w:val="0"/>
      <w:divBdr>
        <w:top w:val="none" w:sz="0" w:space="0" w:color="auto"/>
        <w:left w:val="none" w:sz="0" w:space="0" w:color="auto"/>
        <w:bottom w:val="none" w:sz="0" w:space="0" w:color="auto"/>
        <w:right w:val="none" w:sz="0" w:space="0" w:color="auto"/>
      </w:divBdr>
      <w:divsChild>
        <w:div w:id="1806192917">
          <w:marLeft w:val="640"/>
          <w:marRight w:val="0"/>
          <w:marTop w:val="0"/>
          <w:marBottom w:val="0"/>
          <w:divBdr>
            <w:top w:val="none" w:sz="0" w:space="0" w:color="auto"/>
            <w:left w:val="none" w:sz="0" w:space="0" w:color="auto"/>
            <w:bottom w:val="none" w:sz="0" w:space="0" w:color="auto"/>
            <w:right w:val="none" w:sz="0" w:space="0" w:color="auto"/>
          </w:divBdr>
        </w:div>
      </w:divsChild>
    </w:div>
    <w:div w:id="951476793">
      <w:bodyDiv w:val="1"/>
      <w:marLeft w:val="0"/>
      <w:marRight w:val="0"/>
      <w:marTop w:val="0"/>
      <w:marBottom w:val="0"/>
      <w:divBdr>
        <w:top w:val="none" w:sz="0" w:space="0" w:color="auto"/>
        <w:left w:val="none" w:sz="0" w:space="0" w:color="auto"/>
        <w:bottom w:val="none" w:sz="0" w:space="0" w:color="auto"/>
        <w:right w:val="none" w:sz="0" w:space="0" w:color="auto"/>
      </w:divBdr>
      <w:divsChild>
        <w:div w:id="1287659322">
          <w:marLeft w:val="640"/>
          <w:marRight w:val="0"/>
          <w:marTop w:val="0"/>
          <w:marBottom w:val="0"/>
          <w:divBdr>
            <w:top w:val="none" w:sz="0" w:space="0" w:color="auto"/>
            <w:left w:val="none" w:sz="0" w:space="0" w:color="auto"/>
            <w:bottom w:val="none" w:sz="0" w:space="0" w:color="auto"/>
            <w:right w:val="none" w:sz="0" w:space="0" w:color="auto"/>
          </w:divBdr>
        </w:div>
        <w:div w:id="58864772">
          <w:marLeft w:val="640"/>
          <w:marRight w:val="0"/>
          <w:marTop w:val="0"/>
          <w:marBottom w:val="0"/>
          <w:divBdr>
            <w:top w:val="none" w:sz="0" w:space="0" w:color="auto"/>
            <w:left w:val="none" w:sz="0" w:space="0" w:color="auto"/>
            <w:bottom w:val="none" w:sz="0" w:space="0" w:color="auto"/>
            <w:right w:val="none" w:sz="0" w:space="0" w:color="auto"/>
          </w:divBdr>
        </w:div>
        <w:div w:id="899249369">
          <w:marLeft w:val="640"/>
          <w:marRight w:val="0"/>
          <w:marTop w:val="0"/>
          <w:marBottom w:val="0"/>
          <w:divBdr>
            <w:top w:val="none" w:sz="0" w:space="0" w:color="auto"/>
            <w:left w:val="none" w:sz="0" w:space="0" w:color="auto"/>
            <w:bottom w:val="none" w:sz="0" w:space="0" w:color="auto"/>
            <w:right w:val="none" w:sz="0" w:space="0" w:color="auto"/>
          </w:divBdr>
        </w:div>
        <w:div w:id="1350373638">
          <w:marLeft w:val="640"/>
          <w:marRight w:val="0"/>
          <w:marTop w:val="0"/>
          <w:marBottom w:val="0"/>
          <w:divBdr>
            <w:top w:val="none" w:sz="0" w:space="0" w:color="auto"/>
            <w:left w:val="none" w:sz="0" w:space="0" w:color="auto"/>
            <w:bottom w:val="none" w:sz="0" w:space="0" w:color="auto"/>
            <w:right w:val="none" w:sz="0" w:space="0" w:color="auto"/>
          </w:divBdr>
        </w:div>
        <w:div w:id="316155403">
          <w:marLeft w:val="640"/>
          <w:marRight w:val="0"/>
          <w:marTop w:val="0"/>
          <w:marBottom w:val="0"/>
          <w:divBdr>
            <w:top w:val="none" w:sz="0" w:space="0" w:color="auto"/>
            <w:left w:val="none" w:sz="0" w:space="0" w:color="auto"/>
            <w:bottom w:val="none" w:sz="0" w:space="0" w:color="auto"/>
            <w:right w:val="none" w:sz="0" w:space="0" w:color="auto"/>
          </w:divBdr>
        </w:div>
        <w:div w:id="341124765">
          <w:marLeft w:val="640"/>
          <w:marRight w:val="0"/>
          <w:marTop w:val="0"/>
          <w:marBottom w:val="0"/>
          <w:divBdr>
            <w:top w:val="none" w:sz="0" w:space="0" w:color="auto"/>
            <w:left w:val="none" w:sz="0" w:space="0" w:color="auto"/>
            <w:bottom w:val="none" w:sz="0" w:space="0" w:color="auto"/>
            <w:right w:val="none" w:sz="0" w:space="0" w:color="auto"/>
          </w:divBdr>
        </w:div>
        <w:div w:id="1710259125">
          <w:marLeft w:val="640"/>
          <w:marRight w:val="0"/>
          <w:marTop w:val="0"/>
          <w:marBottom w:val="0"/>
          <w:divBdr>
            <w:top w:val="none" w:sz="0" w:space="0" w:color="auto"/>
            <w:left w:val="none" w:sz="0" w:space="0" w:color="auto"/>
            <w:bottom w:val="none" w:sz="0" w:space="0" w:color="auto"/>
            <w:right w:val="none" w:sz="0" w:space="0" w:color="auto"/>
          </w:divBdr>
        </w:div>
        <w:div w:id="163714680">
          <w:marLeft w:val="640"/>
          <w:marRight w:val="0"/>
          <w:marTop w:val="0"/>
          <w:marBottom w:val="0"/>
          <w:divBdr>
            <w:top w:val="none" w:sz="0" w:space="0" w:color="auto"/>
            <w:left w:val="none" w:sz="0" w:space="0" w:color="auto"/>
            <w:bottom w:val="none" w:sz="0" w:space="0" w:color="auto"/>
            <w:right w:val="none" w:sz="0" w:space="0" w:color="auto"/>
          </w:divBdr>
        </w:div>
        <w:div w:id="172037483">
          <w:marLeft w:val="640"/>
          <w:marRight w:val="0"/>
          <w:marTop w:val="0"/>
          <w:marBottom w:val="0"/>
          <w:divBdr>
            <w:top w:val="none" w:sz="0" w:space="0" w:color="auto"/>
            <w:left w:val="none" w:sz="0" w:space="0" w:color="auto"/>
            <w:bottom w:val="none" w:sz="0" w:space="0" w:color="auto"/>
            <w:right w:val="none" w:sz="0" w:space="0" w:color="auto"/>
          </w:divBdr>
        </w:div>
      </w:divsChild>
    </w:div>
    <w:div w:id="951980439">
      <w:bodyDiv w:val="1"/>
      <w:marLeft w:val="0"/>
      <w:marRight w:val="0"/>
      <w:marTop w:val="0"/>
      <w:marBottom w:val="0"/>
      <w:divBdr>
        <w:top w:val="none" w:sz="0" w:space="0" w:color="auto"/>
        <w:left w:val="none" w:sz="0" w:space="0" w:color="auto"/>
        <w:bottom w:val="none" w:sz="0" w:space="0" w:color="auto"/>
        <w:right w:val="none" w:sz="0" w:space="0" w:color="auto"/>
      </w:divBdr>
      <w:divsChild>
        <w:div w:id="263349386">
          <w:marLeft w:val="640"/>
          <w:marRight w:val="0"/>
          <w:marTop w:val="0"/>
          <w:marBottom w:val="0"/>
          <w:divBdr>
            <w:top w:val="none" w:sz="0" w:space="0" w:color="auto"/>
            <w:left w:val="none" w:sz="0" w:space="0" w:color="auto"/>
            <w:bottom w:val="none" w:sz="0" w:space="0" w:color="auto"/>
            <w:right w:val="none" w:sz="0" w:space="0" w:color="auto"/>
          </w:divBdr>
        </w:div>
        <w:div w:id="766846840">
          <w:marLeft w:val="640"/>
          <w:marRight w:val="0"/>
          <w:marTop w:val="0"/>
          <w:marBottom w:val="0"/>
          <w:divBdr>
            <w:top w:val="none" w:sz="0" w:space="0" w:color="auto"/>
            <w:left w:val="none" w:sz="0" w:space="0" w:color="auto"/>
            <w:bottom w:val="none" w:sz="0" w:space="0" w:color="auto"/>
            <w:right w:val="none" w:sz="0" w:space="0" w:color="auto"/>
          </w:divBdr>
        </w:div>
      </w:divsChild>
    </w:div>
    <w:div w:id="966162741">
      <w:bodyDiv w:val="1"/>
      <w:marLeft w:val="0"/>
      <w:marRight w:val="0"/>
      <w:marTop w:val="0"/>
      <w:marBottom w:val="0"/>
      <w:divBdr>
        <w:top w:val="none" w:sz="0" w:space="0" w:color="auto"/>
        <w:left w:val="none" w:sz="0" w:space="0" w:color="auto"/>
        <w:bottom w:val="none" w:sz="0" w:space="0" w:color="auto"/>
        <w:right w:val="none" w:sz="0" w:space="0" w:color="auto"/>
      </w:divBdr>
      <w:divsChild>
        <w:div w:id="1713767372">
          <w:marLeft w:val="640"/>
          <w:marRight w:val="0"/>
          <w:marTop w:val="0"/>
          <w:marBottom w:val="0"/>
          <w:divBdr>
            <w:top w:val="none" w:sz="0" w:space="0" w:color="auto"/>
            <w:left w:val="none" w:sz="0" w:space="0" w:color="auto"/>
            <w:bottom w:val="none" w:sz="0" w:space="0" w:color="auto"/>
            <w:right w:val="none" w:sz="0" w:space="0" w:color="auto"/>
          </w:divBdr>
        </w:div>
        <w:div w:id="694816519">
          <w:marLeft w:val="640"/>
          <w:marRight w:val="0"/>
          <w:marTop w:val="0"/>
          <w:marBottom w:val="0"/>
          <w:divBdr>
            <w:top w:val="none" w:sz="0" w:space="0" w:color="auto"/>
            <w:left w:val="none" w:sz="0" w:space="0" w:color="auto"/>
            <w:bottom w:val="none" w:sz="0" w:space="0" w:color="auto"/>
            <w:right w:val="none" w:sz="0" w:space="0" w:color="auto"/>
          </w:divBdr>
        </w:div>
        <w:div w:id="206187441">
          <w:marLeft w:val="640"/>
          <w:marRight w:val="0"/>
          <w:marTop w:val="0"/>
          <w:marBottom w:val="0"/>
          <w:divBdr>
            <w:top w:val="none" w:sz="0" w:space="0" w:color="auto"/>
            <w:left w:val="none" w:sz="0" w:space="0" w:color="auto"/>
            <w:bottom w:val="none" w:sz="0" w:space="0" w:color="auto"/>
            <w:right w:val="none" w:sz="0" w:space="0" w:color="auto"/>
          </w:divBdr>
        </w:div>
        <w:div w:id="914752590">
          <w:marLeft w:val="640"/>
          <w:marRight w:val="0"/>
          <w:marTop w:val="0"/>
          <w:marBottom w:val="0"/>
          <w:divBdr>
            <w:top w:val="none" w:sz="0" w:space="0" w:color="auto"/>
            <w:left w:val="none" w:sz="0" w:space="0" w:color="auto"/>
            <w:bottom w:val="none" w:sz="0" w:space="0" w:color="auto"/>
            <w:right w:val="none" w:sz="0" w:space="0" w:color="auto"/>
          </w:divBdr>
        </w:div>
        <w:div w:id="668825875">
          <w:marLeft w:val="640"/>
          <w:marRight w:val="0"/>
          <w:marTop w:val="0"/>
          <w:marBottom w:val="0"/>
          <w:divBdr>
            <w:top w:val="none" w:sz="0" w:space="0" w:color="auto"/>
            <w:left w:val="none" w:sz="0" w:space="0" w:color="auto"/>
            <w:bottom w:val="none" w:sz="0" w:space="0" w:color="auto"/>
            <w:right w:val="none" w:sz="0" w:space="0" w:color="auto"/>
          </w:divBdr>
        </w:div>
        <w:div w:id="1759869319">
          <w:marLeft w:val="640"/>
          <w:marRight w:val="0"/>
          <w:marTop w:val="0"/>
          <w:marBottom w:val="0"/>
          <w:divBdr>
            <w:top w:val="none" w:sz="0" w:space="0" w:color="auto"/>
            <w:left w:val="none" w:sz="0" w:space="0" w:color="auto"/>
            <w:bottom w:val="none" w:sz="0" w:space="0" w:color="auto"/>
            <w:right w:val="none" w:sz="0" w:space="0" w:color="auto"/>
          </w:divBdr>
        </w:div>
        <w:div w:id="1588801771">
          <w:marLeft w:val="640"/>
          <w:marRight w:val="0"/>
          <w:marTop w:val="0"/>
          <w:marBottom w:val="0"/>
          <w:divBdr>
            <w:top w:val="none" w:sz="0" w:space="0" w:color="auto"/>
            <w:left w:val="none" w:sz="0" w:space="0" w:color="auto"/>
            <w:bottom w:val="none" w:sz="0" w:space="0" w:color="auto"/>
            <w:right w:val="none" w:sz="0" w:space="0" w:color="auto"/>
          </w:divBdr>
        </w:div>
        <w:div w:id="1224022161">
          <w:marLeft w:val="640"/>
          <w:marRight w:val="0"/>
          <w:marTop w:val="0"/>
          <w:marBottom w:val="0"/>
          <w:divBdr>
            <w:top w:val="none" w:sz="0" w:space="0" w:color="auto"/>
            <w:left w:val="none" w:sz="0" w:space="0" w:color="auto"/>
            <w:bottom w:val="none" w:sz="0" w:space="0" w:color="auto"/>
            <w:right w:val="none" w:sz="0" w:space="0" w:color="auto"/>
          </w:divBdr>
        </w:div>
        <w:div w:id="85465093">
          <w:marLeft w:val="640"/>
          <w:marRight w:val="0"/>
          <w:marTop w:val="0"/>
          <w:marBottom w:val="0"/>
          <w:divBdr>
            <w:top w:val="none" w:sz="0" w:space="0" w:color="auto"/>
            <w:left w:val="none" w:sz="0" w:space="0" w:color="auto"/>
            <w:bottom w:val="none" w:sz="0" w:space="0" w:color="auto"/>
            <w:right w:val="none" w:sz="0" w:space="0" w:color="auto"/>
          </w:divBdr>
        </w:div>
        <w:div w:id="362484854">
          <w:marLeft w:val="640"/>
          <w:marRight w:val="0"/>
          <w:marTop w:val="0"/>
          <w:marBottom w:val="0"/>
          <w:divBdr>
            <w:top w:val="none" w:sz="0" w:space="0" w:color="auto"/>
            <w:left w:val="none" w:sz="0" w:space="0" w:color="auto"/>
            <w:bottom w:val="none" w:sz="0" w:space="0" w:color="auto"/>
            <w:right w:val="none" w:sz="0" w:space="0" w:color="auto"/>
          </w:divBdr>
        </w:div>
        <w:div w:id="208305276">
          <w:marLeft w:val="640"/>
          <w:marRight w:val="0"/>
          <w:marTop w:val="0"/>
          <w:marBottom w:val="0"/>
          <w:divBdr>
            <w:top w:val="none" w:sz="0" w:space="0" w:color="auto"/>
            <w:left w:val="none" w:sz="0" w:space="0" w:color="auto"/>
            <w:bottom w:val="none" w:sz="0" w:space="0" w:color="auto"/>
            <w:right w:val="none" w:sz="0" w:space="0" w:color="auto"/>
          </w:divBdr>
        </w:div>
        <w:div w:id="1603299277">
          <w:marLeft w:val="640"/>
          <w:marRight w:val="0"/>
          <w:marTop w:val="0"/>
          <w:marBottom w:val="0"/>
          <w:divBdr>
            <w:top w:val="none" w:sz="0" w:space="0" w:color="auto"/>
            <w:left w:val="none" w:sz="0" w:space="0" w:color="auto"/>
            <w:bottom w:val="none" w:sz="0" w:space="0" w:color="auto"/>
            <w:right w:val="none" w:sz="0" w:space="0" w:color="auto"/>
          </w:divBdr>
        </w:div>
        <w:div w:id="1063601531">
          <w:marLeft w:val="640"/>
          <w:marRight w:val="0"/>
          <w:marTop w:val="0"/>
          <w:marBottom w:val="0"/>
          <w:divBdr>
            <w:top w:val="none" w:sz="0" w:space="0" w:color="auto"/>
            <w:left w:val="none" w:sz="0" w:space="0" w:color="auto"/>
            <w:bottom w:val="none" w:sz="0" w:space="0" w:color="auto"/>
            <w:right w:val="none" w:sz="0" w:space="0" w:color="auto"/>
          </w:divBdr>
        </w:div>
        <w:div w:id="247739230">
          <w:marLeft w:val="640"/>
          <w:marRight w:val="0"/>
          <w:marTop w:val="0"/>
          <w:marBottom w:val="0"/>
          <w:divBdr>
            <w:top w:val="none" w:sz="0" w:space="0" w:color="auto"/>
            <w:left w:val="none" w:sz="0" w:space="0" w:color="auto"/>
            <w:bottom w:val="none" w:sz="0" w:space="0" w:color="auto"/>
            <w:right w:val="none" w:sz="0" w:space="0" w:color="auto"/>
          </w:divBdr>
        </w:div>
        <w:div w:id="851266790">
          <w:marLeft w:val="640"/>
          <w:marRight w:val="0"/>
          <w:marTop w:val="0"/>
          <w:marBottom w:val="0"/>
          <w:divBdr>
            <w:top w:val="none" w:sz="0" w:space="0" w:color="auto"/>
            <w:left w:val="none" w:sz="0" w:space="0" w:color="auto"/>
            <w:bottom w:val="none" w:sz="0" w:space="0" w:color="auto"/>
            <w:right w:val="none" w:sz="0" w:space="0" w:color="auto"/>
          </w:divBdr>
        </w:div>
      </w:divsChild>
    </w:div>
    <w:div w:id="969240806">
      <w:bodyDiv w:val="1"/>
      <w:marLeft w:val="0"/>
      <w:marRight w:val="0"/>
      <w:marTop w:val="0"/>
      <w:marBottom w:val="0"/>
      <w:divBdr>
        <w:top w:val="none" w:sz="0" w:space="0" w:color="auto"/>
        <w:left w:val="none" w:sz="0" w:space="0" w:color="auto"/>
        <w:bottom w:val="none" w:sz="0" w:space="0" w:color="auto"/>
        <w:right w:val="none" w:sz="0" w:space="0" w:color="auto"/>
      </w:divBdr>
      <w:divsChild>
        <w:div w:id="1447894234">
          <w:marLeft w:val="640"/>
          <w:marRight w:val="0"/>
          <w:marTop w:val="0"/>
          <w:marBottom w:val="0"/>
          <w:divBdr>
            <w:top w:val="none" w:sz="0" w:space="0" w:color="auto"/>
            <w:left w:val="none" w:sz="0" w:space="0" w:color="auto"/>
            <w:bottom w:val="none" w:sz="0" w:space="0" w:color="auto"/>
            <w:right w:val="none" w:sz="0" w:space="0" w:color="auto"/>
          </w:divBdr>
        </w:div>
        <w:div w:id="1876190809">
          <w:marLeft w:val="640"/>
          <w:marRight w:val="0"/>
          <w:marTop w:val="0"/>
          <w:marBottom w:val="0"/>
          <w:divBdr>
            <w:top w:val="none" w:sz="0" w:space="0" w:color="auto"/>
            <w:left w:val="none" w:sz="0" w:space="0" w:color="auto"/>
            <w:bottom w:val="none" w:sz="0" w:space="0" w:color="auto"/>
            <w:right w:val="none" w:sz="0" w:space="0" w:color="auto"/>
          </w:divBdr>
        </w:div>
        <w:div w:id="357586500">
          <w:marLeft w:val="640"/>
          <w:marRight w:val="0"/>
          <w:marTop w:val="0"/>
          <w:marBottom w:val="0"/>
          <w:divBdr>
            <w:top w:val="none" w:sz="0" w:space="0" w:color="auto"/>
            <w:left w:val="none" w:sz="0" w:space="0" w:color="auto"/>
            <w:bottom w:val="none" w:sz="0" w:space="0" w:color="auto"/>
            <w:right w:val="none" w:sz="0" w:space="0" w:color="auto"/>
          </w:divBdr>
        </w:div>
        <w:div w:id="204563199">
          <w:marLeft w:val="640"/>
          <w:marRight w:val="0"/>
          <w:marTop w:val="0"/>
          <w:marBottom w:val="0"/>
          <w:divBdr>
            <w:top w:val="none" w:sz="0" w:space="0" w:color="auto"/>
            <w:left w:val="none" w:sz="0" w:space="0" w:color="auto"/>
            <w:bottom w:val="none" w:sz="0" w:space="0" w:color="auto"/>
            <w:right w:val="none" w:sz="0" w:space="0" w:color="auto"/>
          </w:divBdr>
        </w:div>
        <w:div w:id="1765109829">
          <w:marLeft w:val="640"/>
          <w:marRight w:val="0"/>
          <w:marTop w:val="0"/>
          <w:marBottom w:val="0"/>
          <w:divBdr>
            <w:top w:val="none" w:sz="0" w:space="0" w:color="auto"/>
            <w:left w:val="none" w:sz="0" w:space="0" w:color="auto"/>
            <w:bottom w:val="none" w:sz="0" w:space="0" w:color="auto"/>
            <w:right w:val="none" w:sz="0" w:space="0" w:color="auto"/>
          </w:divBdr>
        </w:div>
        <w:div w:id="1078862058">
          <w:marLeft w:val="640"/>
          <w:marRight w:val="0"/>
          <w:marTop w:val="0"/>
          <w:marBottom w:val="0"/>
          <w:divBdr>
            <w:top w:val="none" w:sz="0" w:space="0" w:color="auto"/>
            <w:left w:val="none" w:sz="0" w:space="0" w:color="auto"/>
            <w:bottom w:val="none" w:sz="0" w:space="0" w:color="auto"/>
            <w:right w:val="none" w:sz="0" w:space="0" w:color="auto"/>
          </w:divBdr>
        </w:div>
        <w:div w:id="1213465249">
          <w:marLeft w:val="640"/>
          <w:marRight w:val="0"/>
          <w:marTop w:val="0"/>
          <w:marBottom w:val="0"/>
          <w:divBdr>
            <w:top w:val="none" w:sz="0" w:space="0" w:color="auto"/>
            <w:left w:val="none" w:sz="0" w:space="0" w:color="auto"/>
            <w:bottom w:val="none" w:sz="0" w:space="0" w:color="auto"/>
            <w:right w:val="none" w:sz="0" w:space="0" w:color="auto"/>
          </w:divBdr>
        </w:div>
        <w:div w:id="1950039344">
          <w:marLeft w:val="640"/>
          <w:marRight w:val="0"/>
          <w:marTop w:val="0"/>
          <w:marBottom w:val="0"/>
          <w:divBdr>
            <w:top w:val="none" w:sz="0" w:space="0" w:color="auto"/>
            <w:left w:val="none" w:sz="0" w:space="0" w:color="auto"/>
            <w:bottom w:val="none" w:sz="0" w:space="0" w:color="auto"/>
            <w:right w:val="none" w:sz="0" w:space="0" w:color="auto"/>
          </w:divBdr>
        </w:div>
        <w:div w:id="1781224379">
          <w:marLeft w:val="640"/>
          <w:marRight w:val="0"/>
          <w:marTop w:val="0"/>
          <w:marBottom w:val="0"/>
          <w:divBdr>
            <w:top w:val="none" w:sz="0" w:space="0" w:color="auto"/>
            <w:left w:val="none" w:sz="0" w:space="0" w:color="auto"/>
            <w:bottom w:val="none" w:sz="0" w:space="0" w:color="auto"/>
            <w:right w:val="none" w:sz="0" w:space="0" w:color="auto"/>
          </w:divBdr>
        </w:div>
        <w:div w:id="1490949464">
          <w:marLeft w:val="640"/>
          <w:marRight w:val="0"/>
          <w:marTop w:val="0"/>
          <w:marBottom w:val="0"/>
          <w:divBdr>
            <w:top w:val="none" w:sz="0" w:space="0" w:color="auto"/>
            <w:left w:val="none" w:sz="0" w:space="0" w:color="auto"/>
            <w:bottom w:val="none" w:sz="0" w:space="0" w:color="auto"/>
            <w:right w:val="none" w:sz="0" w:space="0" w:color="auto"/>
          </w:divBdr>
        </w:div>
        <w:div w:id="1707754671">
          <w:marLeft w:val="640"/>
          <w:marRight w:val="0"/>
          <w:marTop w:val="0"/>
          <w:marBottom w:val="0"/>
          <w:divBdr>
            <w:top w:val="none" w:sz="0" w:space="0" w:color="auto"/>
            <w:left w:val="none" w:sz="0" w:space="0" w:color="auto"/>
            <w:bottom w:val="none" w:sz="0" w:space="0" w:color="auto"/>
            <w:right w:val="none" w:sz="0" w:space="0" w:color="auto"/>
          </w:divBdr>
        </w:div>
        <w:div w:id="2143880802">
          <w:marLeft w:val="640"/>
          <w:marRight w:val="0"/>
          <w:marTop w:val="0"/>
          <w:marBottom w:val="0"/>
          <w:divBdr>
            <w:top w:val="none" w:sz="0" w:space="0" w:color="auto"/>
            <w:left w:val="none" w:sz="0" w:space="0" w:color="auto"/>
            <w:bottom w:val="none" w:sz="0" w:space="0" w:color="auto"/>
            <w:right w:val="none" w:sz="0" w:space="0" w:color="auto"/>
          </w:divBdr>
        </w:div>
        <w:div w:id="1980110845">
          <w:marLeft w:val="640"/>
          <w:marRight w:val="0"/>
          <w:marTop w:val="0"/>
          <w:marBottom w:val="0"/>
          <w:divBdr>
            <w:top w:val="none" w:sz="0" w:space="0" w:color="auto"/>
            <w:left w:val="none" w:sz="0" w:space="0" w:color="auto"/>
            <w:bottom w:val="none" w:sz="0" w:space="0" w:color="auto"/>
            <w:right w:val="none" w:sz="0" w:space="0" w:color="auto"/>
          </w:divBdr>
        </w:div>
        <w:div w:id="1387337331">
          <w:marLeft w:val="640"/>
          <w:marRight w:val="0"/>
          <w:marTop w:val="0"/>
          <w:marBottom w:val="0"/>
          <w:divBdr>
            <w:top w:val="none" w:sz="0" w:space="0" w:color="auto"/>
            <w:left w:val="none" w:sz="0" w:space="0" w:color="auto"/>
            <w:bottom w:val="none" w:sz="0" w:space="0" w:color="auto"/>
            <w:right w:val="none" w:sz="0" w:space="0" w:color="auto"/>
          </w:divBdr>
        </w:div>
        <w:div w:id="1024134306">
          <w:marLeft w:val="640"/>
          <w:marRight w:val="0"/>
          <w:marTop w:val="0"/>
          <w:marBottom w:val="0"/>
          <w:divBdr>
            <w:top w:val="none" w:sz="0" w:space="0" w:color="auto"/>
            <w:left w:val="none" w:sz="0" w:space="0" w:color="auto"/>
            <w:bottom w:val="none" w:sz="0" w:space="0" w:color="auto"/>
            <w:right w:val="none" w:sz="0" w:space="0" w:color="auto"/>
          </w:divBdr>
        </w:div>
      </w:divsChild>
    </w:div>
    <w:div w:id="969940757">
      <w:bodyDiv w:val="1"/>
      <w:marLeft w:val="0"/>
      <w:marRight w:val="0"/>
      <w:marTop w:val="0"/>
      <w:marBottom w:val="0"/>
      <w:divBdr>
        <w:top w:val="none" w:sz="0" w:space="0" w:color="auto"/>
        <w:left w:val="none" w:sz="0" w:space="0" w:color="auto"/>
        <w:bottom w:val="none" w:sz="0" w:space="0" w:color="auto"/>
        <w:right w:val="none" w:sz="0" w:space="0" w:color="auto"/>
      </w:divBdr>
      <w:divsChild>
        <w:div w:id="1925601122">
          <w:marLeft w:val="640"/>
          <w:marRight w:val="0"/>
          <w:marTop w:val="0"/>
          <w:marBottom w:val="0"/>
          <w:divBdr>
            <w:top w:val="none" w:sz="0" w:space="0" w:color="auto"/>
            <w:left w:val="none" w:sz="0" w:space="0" w:color="auto"/>
            <w:bottom w:val="none" w:sz="0" w:space="0" w:color="auto"/>
            <w:right w:val="none" w:sz="0" w:space="0" w:color="auto"/>
          </w:divBdr>
        </w:div>
        <w:div w:id="1983923285">
          <w:marLeft w:val="640"/>
          <w:marRight w:val="0"/>
          <w:marTop w:val="0"/>
          <w:marBottom w:val="0"/>
          <w:divBdr>
            <w:top w:val="none" w:sz="0" w:space="0" w:color="auto"/>
            <w:left w:val="none" w:sz="0" w:space="0" w:color="auto"/>
            <w:bottom w:val="none" w:sz="0" w:space="0" w:color="auto"/>
            <w:right w:val="none" w:sz="0" w:space="0" w:color="auto"/>
          </w:divBdr>
        </w:div>
        <w:div w:id="50737263">
          <w:marLeft w:val="640"/>
          <w:marRight w:val="0"/>
          <w:marTop w:val="0"/>
          <w:marBottom w:val="0"/>
          <w:divBdr>
            <w:top w:val="none" w:sz="0" w:space="0" w:color="auto"/>
            <w:left w:val="none" w:sz="0" w:space="0" w:color="auto"/>
            <w:bottom w:val="none" w:sz="0" w:space="0" w:color="auto"/>
            <w:right w:val="none" w:sz="0" w:space="0" w:color="auto"/>
          </w:divBdr>
        </w:div>
        <w:div w:id="628239881">
          <w:marLeft w:val="640"/>
          <w:marRight w:val="0"/>
          <w:marTop w:val="0"/>
          <w:marBottom w:val="0"/>
          <w:divBdr>
            <w:top w:val="none" w:sz="0" w:space="0" w:color="auto"/>
            <w:left w:val="none" w:sz="0" w:space="0" w:color="auto"/>
            <w:bottom w:val="none" w:sz="0" w:space="0" w:color="auto"/>
            <w:right w:val="none" w:sz="0" w:space="0" w:color="auto"/>
          </w:divBdr>
        </w:div>
        <w:div w:id="489716213">
          <w:marLeft w:val="640"/>
          <w:marRight w:val="0"/>
          <w:marTop w:val="0"/>
          <w:marBottom w:val="0"/>
          <w:divBdr>
            <w:top w:val="none" w:sz="0" w:space="0" w:color="auto"/>
            <w:left w:val="none" w:sz="0" w:space="0" w:color="auto"/>
            <w:bottom w:val="none" w:sz="0" w:space="0" w:color="auto"/>
            <w:right w:val="none" w:sz="0" w:space="0" w:color="auto"/>
          </w:divBdr>
        </w:div>
        <w:div w:id="1445223553">
          <w:marLeft w:val="640"/>
          <w:marRight w:val="0"/>
          <w:marTop w:val="0"/>
          <w:marBottom w:val="0"/>
          <w:divBdr>
            <w:top w:val="none" w:sz="0" w:space="0" w:color="auto"/>
            <w:left w:val="none" w:sz="0" w:space="0" w:color="auto"/>
            <w:bottom w:val="none" w:sz="0" w:space="0" w:color="auto"/>
            <w:right w:val="none" w:sz="0" w:space="0" w:color="auto"/>
          </w:divBdr>
        </w:div>
        <w:div w:id="1430928391">
          <w:marLeft w:val="640"/>
          <w:marRight w:val="0"/>
          <w:marTop w:val="0"/>
          <w:marBottom w:val="0"/>
          <w:divBdr>
            <w:top w:val="none" w:sz="0" w:space="0" w:color="auto"/>
            <w:left w:val="none" w:sz="0" w:space="0" w:color="auto"/>
            <w:bottom w:val="none" w:sz="0" w:space="0" w:color="auto"/>
            <w:right w:val="none" w:sz="0" w:space="0" w:color="auto"/>
          </w:divBdr>
        </w:div>
        <w:div w:id="2053260886">
          <w:marLeft w:val="640"/>
          <w:marRight w:val="0"/>
          <w:marTop w:val="0"/>
          <w:marBottom w:val="0"/>
          <w:divBdr>
            <w:top w:val="none" w:sz="0" w:space="0" w:color="auto"/>
            <w:left w:val="none" w:sz="0" w:space="0" w:color="auto"/>
            <w:bottom w:val="none" w:sz="0" w:space="0" w:color="auto"/>
            <w:right w:val="none" w:sz="0" w:space="0" w:color="auto"/>
          </w:divBdr>
        </w:div>
        <w:div w:id="1709135355">
          <w:marLeft w:val="640"/>
          <w:marRight w:val="0"/>
          <w:marTop w:val="0"/>
          <w:marBottom w:val="0"/>
          <w:divBdr>
            <w:top w:val="none" w:sz="0" w:space="0" w:color="auto"/>
            <w:left w:val="none" w:sz="0" w:space="0" w:color="auto"/>
            <w:bottom w:val="none" w:sz="0" w:space="0" w:color="auto"/>
            <w:right w:val="none" w:sz="0" w:space="0" w:color="auto"/>
          </w:divBdr>
        </w:div>
        <w:div w:id="589435464">
          <w:marLeft w:val="640"/>
          <w:marRight w:val="0"/>
          <w:marTop w:val="0"/>
          <w:marBottom w:val="0"/>
          <w:divBdr>
            <w:top w:val="none" w:sz="0" w:space="0" w:color="auto"/>
            <w:left w:val="none" w:sz="0" w:space="0" w:color="auto"/>
            <w:bottom w:val="none" w:sz="0" w:space="0" w:color="auto"/>
            <w:right w:val="none" w:sz="0" w:space="0" w:color="auto"/>
          </w:divBdr>
        </w:div>
        <w:div w:id="1477407447">
          <w:marLeft w:val="640"/>
          <w:marRight w:val="0"/>
          <w:marTop w:val="0"/>
          <w:marBottom w:val="0"/>
          <w:divBdr>
            <w:top w:val="none" w:sz="0" w:space="0" w:color="auto"/>
            <w:left w:val="none" w:sz="0" w:space="0" w:color="auto"/>
            <w:bottom w:val="none" w:sz="0" w:space="0" w:color="auto"/>
            <w:right w:val="none" w:sz="0" w:space="0" w:color="auto"/>
          </w:divBdr>
        </w:div>
        <w:div w:id="1287349295">
          <w:marLeft w:val="640"/>
          <w:marRight w:val="0"/>
          <w:marTop w:val="0"/>
          <w:marBottom w:val="0"/>
          <w:divBdr>
            <w:top w:val="none" w:sz="0" w:space="0" w:color="auto"/>
            <w:left w:val="none" w:sz="0" w:space="0" w:color="auto"/>
            <w:bottom w:val="none" w:sz="0" w:space="0" w:color="auto"/>
            <w:right w:val="none" w:sz="0" w:space="0" w:color="auto"/>
          </w:divBdr>
        </w:div>
        <w:div w:id="2085028010">
          <w:marLeft w:val="640"/>
          <w:marRight w:val="0"/>
          <w:marTop w:val="0"/>
          <w:marBottom w:val="0"/>
          <w:divBdr>
            <w:top w:val="none" w:sz="0" w:space="0" w:color="auto"/>
            <w:left w:val="none" w:sz="0" w:space="0" w:color="auto"/>
            <w:bottom w:val="none" w:sz="0" w:space="0" w:color="auto"/>
            <w:right w:val="none" w:sz="0" w:space="0" w:color="auto"/>
          </w:divBdr>
        </w:div>
        <w:div w:id="1880703928">
          <w:marLeft w:val="640"/>
          <w:marRight w:val="0"/>
          <w:marTop w:val="0"/>
          <w:marBottom w:val="0"/>
          <w:divBdr>
            <w:top w:val="none" w:sz="0" w:space="0" w:color="auto"/>
            <w:left w:val="none" w:sz="0" w:space="0" w:color="auto"/>
            <w:bottom w:val="none" w:sz="0" w:space="0" w:color="auto"/>
            <w:right w:val="none" w:sz="0" w:space="0" w:color="auto"/>
          </w:divBdr>
        </w:div>
        <w:div w:id="356272677">
          <w:marLeft w:val="640"/>
          <w:marRight w:val="0"/>
          <w:marTop w:val="0"/>
          <w:marBottom w:val="0"/>
          <w:divBdr>
            <w:top w:val="none" w:sz="0" w:space="0" w:color="auto"/>
            <w:left w:val="none" w:sz="0" w:space="0" w:color="auto"/>
            <w:bottom w:val="none" w:sz="0" w:space="0" w:color="auto"/>
            <w:right w:val="none" w:sz="0" w:space="0" w:color="auto"/>
          </w:divBdr>
        </w:div>
        <w:div w:id="169026050">
          <w:marLeft w:val="640"/>
          <w:marRight w:val="0"/>
          <w:marTop w:val="0"/>
          <w:marBottom w:val="0"/>
          <w:divBdr>
            <w:top w:val="none" w:sz="0" w:space="0" w:color="auto"/>
            <w:left w:val="none" w:sz="0" w:space="0" w:color="auto"/>
            <w:bottom w:val="none" w:sz="0" w:space="0" w:color="auto"/>
            <w:right w:val="none" w:sz="0" w:space="0" w:color="auto"/>
          </w:divBdr>
        </w:div>
      </w:divsChild>
    </w:div>
    <w:div w:id="992367695">
      <w:bodyDiv w:val="1"/>
      <w:marLeft w:val="0"/>
      <w:marRight w:val="0"/>
      <w:marTop w:val="0"/>
      <w:marBottom w:val="0"/>
      <w:divBdr>
        <w:top w:val="none" w:sz="0" w:space="0" w:color="auto"/>
        <w:left w:val="none" w:sz="0" w:space="0" w:color="auto"/>
        <w:bottom w:val="none" w:sz="0" w:space="0" w:color="auto"/>
        <w:right w:val="none" w:sz="0" w:space="0" w:color="auto"/>
      </w:divBdr>
      <w:divsChild>
        <w:div w:id="341787414">
          <w:marLeft w:val="640"/>
          <w:marRight w:val="0"/>
          <w:marTop w:val="0"/>
          <w:marBottom w:val="0"/>
          <w:divBdr>
            <w:top w:val="none" w:sz="0" w:space="0" w:color="auto"/>
            <w:left w:val="none" w:sz="0" w:space="0" w:color="auto"/>
            <w:bottom w:val="none" w:sz="0" w:space="0" w:color="auto"/>
            <w:right w:val="none" w:sz="0" w:space="0" w:color="auto"/>
          </w:divBdr>
        </w:div>
        <w:div w:id="915091666">
          <w:marLeft w:val="640"/>
          <w:marRight w:val="0"/>
          <w:marTop w:val="0"/>
          <w:marBottom w:val="0"/>
          <w:divBdr>
            <w:top w:val="none" w:sz="0" w:space="0" w:color="auto"/>
            <w:left w:val="none" w:sz="0" w:space="0" w:color="auto"/>
            <w:bottom w:val="none" w:sz="0" w:space="0" w:color="auto"/>
            <w:right w:val="none" w:sz="0" w:space="0" w:color="auto"/>
          </w:divBdr>
        </w:div>
        <w:div w:id="2001930981">
          <w:marLeft w:val="640"/>
          <w:marRight w:val="0"/>
          <w:marTop w:val="0"/>
          <w:marBottom w:val="0"/>
          <w:divBdr>
            <w:top w:val="none" w:sz="0" w:space="0" w:color="auto"/>
            <w:left w:val="none" w:sz="0" w:space="0" w:color="auto"/>
            <w:bottom w:val="none" w:sz="0" w:space="0" w:color="auto"/>
            <w:right w:val="none" w:sz="0" w:space="0" w:color="auto"/>
          </w:divBdr>
        </w:div>
        <w:div w:id="1861239427">
          <w:marLeft w:val="640"/>
          <w:marRight w:val="0"/>
          <w:marTop w:val="0"/>
          <w:marBottom w:val="0"/>
          <w:divBdr>
            <w:top w:val="none" w:sz="0" w:space="0" w:color="auto"/>
            <w:left w:val="none" w:sz="0" w:space="0" w:color="auto"/>
            <w:bottom w:val="none" w:sz="0" w:space="0" w:color="auto"/>
            <w:right w:val="none" w:sz="0" w:space="0" w:color="auto"/>
          </w:divBdr>
        </w:div>
      </w:divsChild>
    </w:div>
    <w:div w:id="994407240">
      <w:bodyDiv w:val="1"/>
      <w:marLeft w:val="0"/>
      <w:marRight w:val="0"/>
      <w:marTop w:val="0"/>
      <w:marBottom w:val="0"/>
      <w:divBdr>
        <w:top w:val="none" w:sz="0" w:space="0" w:color="auto"/>
        <w:left w:val="none" w:sz="0" w:space="0" w:color="auto"/>
        <w:bottom w:val="none" w:sz="0" w:space="0" w:color="auto"/>
        <w:right w:val="none" w:sz="0" w:space="0" w:color="auto"/>
      </w:divBdr>
      <w:divsChild>
        <w:div w:id="1963879112">
          <w:marLeft w:val="640"/>
          <w:marRight w:val="0"/>
          <w:marTop w:val="0"/>
          <w:marBottom w:val="0"/>
          <w:divBdr>
            <w:top w:val="none" w:sz="0" w:space="0" w:color="auto"/>
            <w:left w:val="none" w:sz="0" w:space="0" w:color="auto"/>
            <w:bottom w:val="none" w:sz="0" w:space="0" w:color="auto"/>
            <w:right w:val="none" w:sz="0" w:space="0" w:color="auto"/>
          </w:divBdr>
        </w:div>
        <w:div w:id="894242853">
          <w:marLeft w:val="640"/>
          <w:marRight w:val="0"/>
          <w:marTop w:val="0"/>
          <w:marBottom w:val="0"/>
          <w:divBdr>
            <w:top w:val="none" w:sz="0" w:space="0" w:color="auto"/>
            <w:left w:val="none" w:sz="0" w:space="0" w:color="auto"/>
            <w:bottom w:val="none" w:sz="0" w:space="0" w:color="auto"/>
            <w:right w:val="none" w:sz="0" w:space="0" w:color="auto"/>
          </w:divBdr>
        </w:div>
        <w:div w:id="1581212584">
          <w:marLeft w:val="640"/>
          <w:marRight w:val="0"/>
          <w:marTop w:val="0"/>
          <w:marBottom w:val="0"/>
          <w:divBdr>
            <w:top w:val="none" w:sz="0" w:space="0" w:color="auto"/>
            <w:left w:val="none" w:sz="0" w:space="0" w:color="auto"/>
            <w:bottom w:val="none" w:sz="0" w:space="0" w:color="auto"/>
            <w:right w:val="none" w:sz="0" w:space="0" w:color="auto"/>
          </w:divBdr>
        </w:div>
        <w:div w:id="1221676248">
          <w:marLeft w:val="640"/>
          <w:marRight w:val="0"/>
          <w:marTop w:val="0"/>
          <w:marBottom w:val="0"/>
          <w:divBdr>
            <w:top w:val="none" w:sz="0" w:space="0" w:color="auto"/>
            <w:left w:val="none" w:sz="0" w:space="0" w:color="auto"/>
            <w:bottom w:val="none" w:sz="0" w:space="0" w:color="auto"/>
            <w:right w:val="none" w:sz="0" w:space="0" w:color="auto"/>
          </w:divBdr>
        </w:div>
        <w:div w:id="550264138">
          <w:marLeft w:val="640"/>
          <w:marRight w:val="0"/>
          <w:marTop w:val="0"/>
          <w:marBottom w:val="0"/>
          <w:divBdr>
            <w:top w:val="none" w:sz="0" w:space="0" w:color="auto"/>
            <w:left w:val="none" w:sz="0" w:space="0" w:color="auto"/>
            <w:bottom w:val="none" w:sz="0" w:space="0" w:color="auto"/>
            <w:right w:val="none" w:sz="0" w:space="0" w:color="auto"/>
          </w:divBdr>
        </w:div>
        <w:div w:id="2103448019">
          <w:marLeft w:val="640"/>
          <w:marRight w:val="0"/>
          <w:marTop w:val="0"/>
          <w:marBottom w:val="0"/>
          <w:divBdr>
            <w:top w:val="none" w:sz="0" w:space="0" w:color="auto"/>
            <w:left w:val="none" w:sz="0" w:space="0" w:color="auto"/>
            <w:bottom w:val="none" w:sz="0" w:space="0" w:color="auto"/>
            <w:right w:val="none" w:sz="0" w:space="0" w:color="auto"/>
          </w:divBdr>
        </w:div>
        <w:div w:id="1601254844">
          <w:marLeft w:val="640"/>
          <w:marRight w:val="0"/>
          <w:marTop w:val="0"/>
          <w:marBottom w:val="0"/>
          <w:divBdr>
            <w:top w:val="none" w:sz="0" w:space="0" w:color="auto"/>
            <w:left w:val="none" w:sz="0" w:space="0" w:color="auto"/>
            <w:bottom w:val="none" w:sz="0" w:space="0" w:color="auto"/>
            <w:right w:val="none" w:sz="0" w:space="0" w:color="auto"/>
          </w:divBdr>
        </w:div>
        <w:div w:id="82184717">
          <w:marLeft w:val="640"/>
          <w:marRight w:val="0"/>
          <w:marTop w:val="0"/>
          <w:marBottom w:val="0"/>
          <w:divBdr>
            <w:top w:val="none" w:sz="0" w:space="0" w:color="auto"/>
            <w:left w:val="none" w:sz="0" w:space="0" w:color="auto"/>
            <w:bottom w:val="none" w:sz="0" w:space="0" w:color="auto"/>
            <w:right w:val="none" w:sz="0" w:space="0" w:color="auto"/>
          </w:divBdr>
        </w:div>
        <w:div w:id="648168912">
          <w:marLeft w:val="640"/>
          <w:marRight w:val="0"/>
          <w:marTop w:val="0"/>
          <w:marBottom w:val="0"/>
          <w:divBdr>
            <w:top w:val="none" w:sz="0" w:space="0" w:color="auto"/>
            <w:left w:val="none" w:sz="0" w:space="0" w:color="auto"/>
            <w:bottom w:val="none" w:sz="0" w:space="0" w:color="auto"/>
            <w:right w:val="none" w:sz="0" w:space="0" w:color="auto"/>
          </w:divBdr>
        </w:div>
        <w:div w:id="1763409761">
          <w:marLeft w:val="640"/>
          <w:marRight w:val="0"/>
          <w:marTop w:val="0"/>
          <w:marBottom w:val="0"/>
          <w:divBdr>
            <w:top w:val="none" w:sz="0" w:space="0" w:color="auto"/>
            <w:left w:val="none" w:sz="0" w:space="0" w:color="auto"/>
            <w:bottom w:val="none" w:sz="0" w:space="0" w:color="auto"/>
            <w:right w:val="none" w:sz="0" w:space="0" w:color="auto"/>
          </w:divBdr>
        </w:div>
        <w:div w:id="1220434335">
          <w:marLeft w:val="640"/>
          <w:marRight w:val="0"/>
          <w:marTop w:val="0"/>
          <w:marBottom w:val="0"/>
          <w:divBdr>
            <w:top w:val="none" w:sz="0" w:space="0" w:color="auto"/>
            <w:left w:val="none" w:sz="0" w:space="0" w:color="auto"/>
            <w:bottom w:val="none" w:sz="0" w:space="0" w:color="auto"/>
            <w:right w:val="none" w:sz="0" w:space="0" w:color="auto"/>
          </w:divBdr>
        </w:div>
        <w:div w:id="953363388">
          <w:marLeft w:val="640"/>
          <w:marRight w:val="0"/>
          <w:marTop w:val="0"/>
          <w:marBottom w:val="0"/>
          <w:divBdr>
            <w:top w:val="none" w:sz="0" w:space="0" w:color="auto"/>
            <w:left w:val="none" w:sz="0" w:space="0" w:color="auto"/>
            <w:bottom w:val="none" w:sz="0" w:space="0" w:color="auto"/>
            <w:right w:val="none" w:sz="0" w:space="0" w:color="auto"/>
          </w:divBdr>
        </w:div>
        <w:div w:id="1904607954">
          <w:marLeft w:val="640"/>
          <w:marRight w:val="0"/>
          <w:marTop w:val="0"/>
          <w:marBottom w:val="0"/>
          <w:divBdr>
            <w:top w:val="none" w:sz="0" w:space="0" w:color="auto"/>
            <w:left w:val="none" w:sz="0" w:space="0" w:color="auto"/>
            <w:bottom w:val="none" w:sz="0" w:space="0" w:color="auto"/>
            <w:right w:val="none" w:sz="0" w:space="0" w:color="auto"/>
          </w:divBdr>
        </w:div>
        <w:div w:id="1144274925">
          <w:marLeft w:val="640"/>
          <w:marRight w:val="0"/>
          <w:marTop w:val="0"/>
          <w:marBottom w:val="0"/>
          <w:divBdr>
            <w:top w:val="none" w:sz="0" w:space="0" w:color="auto"/>
            <w:left w:val="none" w:sz="0" w:space="0" w:color="auto"/>
            <w:bottom w:val="none" w:sz="0" w:space="0" w:color="auto"/>
            <w:right w:val="none" w:sz="0" w:space="0" w:color="auto"/>
          </w:divBdr>
        </w:div>
        <w:div w:id="40522711">
          <w:marLeft w:val="640"/>
          <w:marRight w:val="0"/>
          <w:marTop w:val="0"/>
          <w:marBottom w:val="0"/>
          <w:divBdr>
            <w:top w:val="none" w:sz="0" w:space="0" w:color="auto"/>
            <w:left w:val="none" w:sz="0" w:space="0" w:color="auto"/>
            <w:bottom w:val="none" w:sz="0" w:space="0" w:color="auto"/>
            <w:right w:val="none" w:sz="0" w:space="0" w:color="auto"/>
          </w:divBdr>
        </w:div>
        <w:div w:id="125778419">
          <w:marLeft w:val="640"/>
          <w:marRight w:val="0"/>
          <w:marTop w:val="0"/>
          <w:marBottom w:val="0"/>
          <w:divBdr>
            <w:top w:val="none" w:sz="0" w:space="0" w:color="auto"/>
            <w:left w:val="none" w:sz="0" w:space="0" w:color="auto"/>
            <w:bottom w:val="none" w:sz="0" w:space="0" w:color="auto"/>
            <w:right w:val="none" w:sz="0" w:space="0" w:color="auto"/>
          </w:divBdr>
        </w:div>
      </w:divsChild>
    </w:div>
    <w:div w:id="1002397452">
      <w:bodyDiv w:val="1"/>
      <w:marLeft w:val="0"/>
      <w:marRight w:val="0"/>
      <w:marTop w:val="0"/>
      <w:marBottom w:val="0"/>
      <w:divBdr>
        <w:top w:val="none" w:sz="0" w:space="0" w:color="auto"/>
        <w:left w:val="none" w:sz="0" w:space="0" w:color="auto"/>
        <w:bottom w:val="none" w:sz="0" w:space="0" w:color="auto"/>
        <w:right w:val="none" w:sz="0" w:space="0" w:color="auto"/>
      </w:divBdr>
      <w:divsChild>
        <w:div w:id="1879010179">
          <w:marLeft w:val="640"/>
          <w:marRight w:val="0"/>
          <w:marTop w:val="0"/>
          <w:marBottom w:val="0"/>
          <w:divBdr>
            <w:top w:val="none" w:sz="0" w:space="0" w:color="auto"/>
            <w:left w:val="none" w:sz="0" w:space="0" w:color="auto"/>
            <w:bottom w:val="none" w:sz="0" w:space="0" w:color="auto"/>
            <w:right w:val="none" w:sz="0" w:space="0" w:color="auto"/>
          </w:divBdr>
        </w:div>
      </w:divsChild>
    </w:div>
    <w:div w:id="1027297464">
      <w:bodyDiv w:val="1"/>
      <w:marLeft w:val="0"/>
      <w:marRight w:val="0"/>
      <w:marTop w:val="0"/>
      <w:marBottom w:val="0"/>
      <w:divBdr>
        <w:top w:val="none" w:sz="0" w:space="0" w:color="auto"/>
        <w:left w:val="none" w:sz="0" w:space="0" w:color="auto"/>
        <w:bottom w:val="none" w:sz="0" w:space="0" w:color="auto"/>
        <w:right w:val="none" w:sz="0" w:space="0" w:color="auto"/>
      </w:divBdr>
      <w:divsChild>
        <w:div w:id="1309167046">
          <w:marLeft w:val="640"/>
          <w:marRight w:val="0"/>
          <w:marTop w:val="0"/>
          <w:marBottom w:val="0"/>
          <w:divBdr>
            <w:top w:val="none" w:sz="0" w:space="0" w:color="auto"/>
            <w:left w:val="none" w:sz="0" w:space="0" w:color="auto"/>
            <w:bottom w:val="none" w:sz="0" w:space="0" w:color="auto"/>
            <w:right w:val="none" w:sz="0" w:space="0" w:color="auto"/>
          </w:divBdr>
        </w:div>
        <w:div w:id="932470551">
          <w:marLeft w:val="640"/>
          <w:marRight w:val="0"/>
          <w:marTop w:val="0"/>
          <w:marBottom w:val="0"/>
          <w:divBdr>
            <w:top w:val="none" w:sz="0" w:space="0" w:color="auto"/>
            <w:left w:val="none" w:sz="0" w:space="0" w:color="auto"/>
            <w:bottom w:val="none" w:sz="0" w:space="0" w:color="auto"/>
            <w:right w:val="none" w:sz="0" w:space="0" w:color="auto"/>
          </w:divBdr>
        </w:div>
        <w:div w:id="356780372">
          <w:marLeft w:val="640"/>
          <w:marRight w:val="0"/>
          <w:marTop w:val="0"/>
          <w:marBottom w:val="0"/>
          <w:divBdr>
            <w:top w:val="none" w:sz="0" w:space="0" w:color="auto"/>
            <w:left w:val="none" w:sz="0" w:space="0" w:color="auto"/>
            <w:bottom w:val="none" w:sz="0" w:space="0" w:color="auto"/>
            <w:right w:val="none" w:sz="0" w:space="0" w:color="auto"/>
          </w:divBdr>
        </w:div>
        <w:div w:id="2030376628">
          <w:marLeft w:val="640"/>
          <w:marRight w:val="0"/>
          <w:marTop w:val="0"/>
          <w:marBottom w:val="0"/>
          <w:divBdr>
            <w:top w:val="none" w:sz="0" w:space="0" w:color="auto"/>
            <w:left w:val="none" w:sz="0" w:space="0" w:color="auto"/>
            <w:bottom w:val="none" w:sz="0" w:space="0" w:color="auto"/>
            <w:right w:val="none" w:sz="0" w:space="0" w:color="auto"/>
          </w:divBdr>
        </w:div>
        <w:div w:id="390351637">
          <w:marLeft w:val="640"/>
          <w:marRight w:val="0"/>
          <w:marTop w:val="0"/>
          <w:marBottom w:val="0"/>
          <w:divBdr>
            <w:top w:val="none" w:sz="0" w:space="0" w:color="auto"/>
            <w:left w:val="none" w:sz="0" w:space="0" w:color="auto"/>
            <w:bottom w:val="none" w:sz="0" w:space="0" w:color="auto"/>
            <w:right w:val="none" w:sz="0" w:space="0" w:color="auto"/>
          </w:divBdr>
        </w:div>
        <w:div w:id="1900242772">
          <w:marLeft w:val="640"/>
          <w:marRight w:val="0"/>
          <w:marTop w:val="0"/>
          <w:marBottom w:val="0"/>
          <w:divBdr>
            <w:top w:val="none" w:sz="0" w:space="0" w:color="auto"/>
            <w:left w:val="none" w:sz="0" w:space="0" w:color="auto"/>
            <w:bottom w:val="none" w:sz="0" w:space="0" w:color="auto"/>
            <w:right w:val="none" w:sz="0" w:space="0" w:color="auto"/>
          </w:divBdr>
        </w:div>
        <w:div w:id="401951258">
          <w:marLeft w:val="640"/>
          <w:marRight w:val="0"/>
          <w:marTop w:val="0"/>
          <w:marBottom w:val="0"/>
          <w:divBdr>
            <w:top w:val="none" w:sz="0" w:space="0" w:color="auto"/>
            <w:left w:val="none" w:sz="0" w:space="0" w:color="auto"/>
            <w:bottom w:val="none" w:sz="0" w:space="0" w:color="auto"/>
            <w:right w:val="none" w:sz="0" w:space="0" w:color="auto"/>
          </w:divBdr>
        </w:div>
        <w:div w:id="1961644744">
          <w:marLeft w:val="640"/>
          <w:marRight w:val="0"/>
          <w:marTop w:val="0"/>
          <w:marBottom w:val="0"/>
          <w:divBdr>
            <w:top w:val="none" w:sz="0" w:space="0" w:color="auto"/>
            <w:left w:val="none" w:sz="0" w:space="0" w:color="auto"/>
            <w:bottom w:val="none" w:sz="0" w:space="0" w:color="auto"/>
            <w:right w:val="none" w:sz="0" w:space="0" w:color="auto"/>
          </w:divBdr>
        </w:div>
        <w:div w:id="1516533645">
          <w:marLeft w:val="640"/>
          <w:marRight w:val="0"/>
          <w:marTop w:val="0"/>
          <w:marBottom w:val="0"/>
          <w:divBdr>
            <w:top w:val="none" w:sz="0" w:space="0" w:color="auto"/>
            <w:left w:val="none" w:sz="0" w:space="0" w:color="auto"/>
            <w:bottom w:val="none" w:sz="0" w:space="0" w:color="auto"/>
            <w:right w:val="none" w:sz="0" w:space="0" w:color="auto"/>
          </w:divBdr>
        </w:div>
        <w:div w:id="436365702">
          <w:marLeft w:val="640"/>
          <w:marRight w:val="0"/>
          <w:marTop w:val="0"/>
          <w:marBottom w:val="0"/>
          <w:divBdr>
            <w:top w:val="none" w:sz="0" w:space="0" w:color="auto"/>
            <w:left w:val="none" w:sz="0" w:space="0" w:color="auto"/>
            <w:bottom w:val="none" w:sz="0" w:space="0" w:color="auto"/>
            <w:right w:val="none" w:sz="0" w:space="0" w:color="auto"/>
          </w:divBdr>
        </w:div>
        <w:div w:id="1488668378">
          <w:marLeft w:val="640"/>
          <w:marRight w:val="0"/>
          <w:marTop w:val="0"/>
          <w:marBottom w:val="0"/>
          <w:divBdr>
            <w:top w:val="none" w:sz="0" w:space="0" w:color="auto"/>
            <w:left w:val="none" w:sz="0" w:space="0" w:color="auto"/>
            <w:bottom w:val="none" w:sz="0" w:space="0" w:color="auto"/>
            <w:right w:val="none" w:sz="0" w:space="0" w:color="auto"/>
          </w:divBdr>
        </w:div>
        <w:div w:id="879783127">
          <w:marLeft w:val="640"/>
          <w:marRight w:val="0"/>
          <w:marTop w:val="0"/>
          <w:marBottom w:val="0"/>
          <w:divBdr>
            <w:top w:val="none" w:sz="0" w:space="0" w:color="auto"/>
            <w:left w:val="none" w:sz="0" w:space="0" w:color="auto"/>
            <w:bottom w:val="none" w:sz="0" w:space="0" w:color="auto"/>
            <w:right w:val="none" w:sz="0" w:space="0" w:color="auto"/>
          </w:divBdr>
        </w:div>
        <w:div w:id="250939741">
          <w:marLeft w:val="640"/>
          <w:marRight w:val="0"/>
          <w:marTop w:val="0"/>
          <w:marBottom w:val="0"/>
          <w:divBdr>
            <w:top w:val="none" w:sz="0" w:space="0" w:color="auto"/>
            <w:left w:val="none" w:sz="0" w:space="0" w:color="auto"/>
            <w:bottom w:val="none" w:sz="0" w:space="0" w:color="auto"/>
            <w:right w:val="none" w:sz="0" w:space="0" w:color="auto"/>
          </w:divBdr>
        </w:div>
      </w:divsChild>
    </w:div>
    <w:div w:id="1046367096">
      <w:bodyDiv w:val="1"/>
      <w:marLeft w:val="0"/>
      <w:marRight w:val="0"/>
      <w:marTop w:val="0"/>
      <w:marBottom w:val="0"/>
      <w:divBdr>
        <w:top w:val="none" w:sz="0" w:space="0" w:color="auto"/>
        <w:left w:val="none" w:sz="0" w:space="0" w:color="auto"/>
        <w:bottom w:val="none" w:sz="0" w:space="0" w:color="auto"/>
        <w:right w:val="none" w:sz="0" w:space="0" w:color="auto"/>
      </w:divBdr>
      <w:divsChild>
        <w:div w:id="1584214780">
          <w:marLeft w:val="640"/>
          <w:marRight w:val="0"/>
          <w:marTop w:val="0"/>
          <w:marBottom w:val="0"/>
          <w:divBdr>
            <w:top w:val="none" w:sz="0" w:space="0" w:color="auto"/>
            <w:left w:val="none" w:sz="0" w:space="0" w:color="auto"/>
            <w:bottom w:val="none" w:sz="0" w:space="0" w:color="auto"/>
            <w:right w:val="none" w:sz="0" w:space="0" w:color="auto"/>
          </w:divBdr>
        </w:div>
        <w:div w:id="10035137">
          <w:marLeft w:val="640"/>
          <w:marRight w:val="0"/>
          <w:marTop w:val="0"/>
          <w:marBottom w:val="0"/>
          <w:divBdr>
            <w:top w:val="none" w:sz="0" w:space="0" w:color="auto"/>
            <w:left w:val="none" w:sz="0" w:space="0" w:color="auto"/>
            <w:bottom w:val="none" w:sz="0" w:space="0" w:color="auto"/>
            <w:right w:val="none" w:sz="0" w:space="0" w:color="auto"/>
          </w:divBdr>
        </w:div>
        <w:div w:id="1267423761">
          <w:marLeft w:val="640"/>
          <w:marRight w:val="0"/>
          <w:marTop w:val="0"/>
          <w:marBottom w:val="0"/>
          <w:divBdr>
            <w:top w:val="none" w:sz="0" w:space="0" w:color="auto"/>
            <w:left w:val="none" w:sz="0" w:space="0" w:color="auto"/>
            <w:bottom w:val="none" w:sz="0" w:space="0" w:color="auto"/>
            <w:right w:val="none" w:sz="0" w:space="0" w:color="auto"/>
          </w:divBdr>
        </w:div>
        <w:div w:id="1367220688">
          <w:marLeft w:val="640"/>
          <w:marRight w:val="0"/>
          <w:marTop w:val="0"/>
          <w:marBottom w:val="0"/>
          <w:divBdr>
            <w:top w:val="none" w:sz="0" w:space="0" w:color="auto"/>
            <w:left w:val="none" w:sz="0" w:space="0" w:color="auto"/>
            <w:bottom w:val="none" w:sz="0" w:space="0" w:color="auto"/>
            <w:right w:val="none" w:sz="0" w:space="0" w:color="auto"/>
          </w:divBdr>
        </w:div>
        <w:div w:id="1256328894">
          <w:marLeft w:val="640"/>
          <w:marRight w:val="0"/>
          <w:marTop w:val="0"/>
          <w:marBottom w:val="0"/>
          <w:divBdr>
            <w:top w:val="none" w:sz="0" w:space="0" w:color="auto"/>
            <w:left w:val="none" w:sz="0" w:space="0" w:color="auto"/>
            <w:bottom w:val="none" w:sz="0" w:space="0" w:color="auto"/>
            <w:right w:val="none" w:sz="0" w:space="0" w:color="auto"/>
          </w:divBdr>
        </w:div>
        <w:div w:id="441727648">
          <w:marLeft w:val="640"/>
          <w:marRight w:val="0"/>
          <w:marTop w:val="0"/>
          <w:marBottom w:val="0"/>
          <w:divBdr>
            <w:top w:val="none" w:sz="0" w:space="0" w:color="auto"/>
            <w:left w:val="none" w:sz="0" w:space="0" w:color="auto"/>
            <w:bottom w:val="none" w:sz="0" w:space="0" w:color="auto"/>
            <w:right w:val="none" w:sz="0" w:space="0" w:color="auto"/>
          </w:divBdr>
        </w:div>
        <w:div w:id="777915683">
          <w:marLeft w:val="640"/>
          <w:marRight w:val="0"/>
          <w:marTop w:val="0"/>
          <w:marBottom w:val="0"/>
          <w:divBdr>
            <w:top w:val="none" w:sz="0" w:space="0" w:color="auto"/>
            <w:left w:val="none" w:sz="0" w:space="0" w:color="auto"/>
            <w:bottom w:val="none" w:sz="0" w:space="0" w:color="auto"/>
            <w:right w:val="none" w:sz="0" w:space="0" w:color="auto"/>
          </w:divBdr>
        </w:div>
        <w:div w:id="1962683460">
          <w:marLeft w:val="640"/>
          <w:marRight w:val="0"/>
          <w:marTop w:val="0"/>
          <w:marBottom w:val="0"/>
          <w:divBdr>
            <w:top w:val="none" w:sz="0" w:space="0" w:color="auto"/>
            <w:left w:val="none" w:sz="0" w:space="0" w:color="auto"/>
            <w:bottom w:val="none" w:sz="0" w:space="0" w:color="auto"/>
            <w:right w:val="none" w:sz="0" w:space="0" w:color="auto"/>
          </w:divBdr>
        </w:div>
        <w:div w:id="786437101">
          <w:marLeft w:val="640"/>
          <w:marRight w:val="0"/>
          <w:marTop w:val="0"/>
          <w:marBottom w:val="0"/>
          <w:divBdr>
            <w:top w:val="none" w:sz="0" w:space="0" w:color="auto"/>
            <w:left w:val="none" w:sz="0" w:space="0" w:color="auto"/>
            <w:bottom w:val="none" w:sz="0" w:space="0" w:color="auto"/>
            <w:right w:val="none" w:sz="0" w:space="0" w:color="auto"/>
          </w:divBdr>
        </w:div>
        <w:div w:id="1928807369">
          <w:marLeft w:val="640"/>
          <w:marRight w:val="0"/>
          <w:marTop w:val="0"/>
          <w:marBottom w:val="0"/>
          <w:divBdr>
            <w:top w:val="none" w:sz="0" w:space="0" w:color="auto"/>
            <w:left w:val="none" w:sz="0" w:space="0" w:color="auto"/>
            <w:bottom w:val="none" w:sz="0" w:space="0" w:color="auto"/>
            <w:right w:val="none" w:sz="0" w:space="0" w:color="auto"/>
          </w:divBdr>
        </w:div>
        <w:div w:id="493106308">
          <w:marLeft w:val="640"/>
          <w:marRight w:val="0"/>
          <w:marTop w:val="0"/>
          <w:marBottom w:val="0"/>
          <w:divBdr>
            <w:top w:val="none" w:sz="0" w:space="0" w:color="auto"/>
            <w:left w:val="none" w:sz="0" w:space="0" w:color="auto"/>
            <w:bottom w:val="none" w:sz="0" w:space="0" w:color="auto"/>
            <w:right w:val="none" w:sz="0" w:space="0" w:color="auto"/>
          </w:divBdr>
        </w:div>
        <w:div w:id="816460867">
          <w:marLeft w:val="640"/>
          <w:marRight w:val="0"/>
          <w:marTop w:val="0"/>
          <w:marBottom w:val="0"/>
          <w:divBdr>
            <w:top w:val="none" w:sz="0" w:space="0" w:color="auto"/>
            <w:left w:val="none" w:sz="0" w:space="0" w:color="auto"/>
            <w:bottom w:val="none" w:sz="0" w:space="0" w:color="auto"/>
            <w:right w:val="none" w:sz="0" w:space="0" w:color="auto"/>
          </w:divBdr>
        </w:div>
        <w:div w:id="2108770460">
          <w:marLeft w:val="640"/>
          <w:marRight w:val="0"/>
          <w:marTop w:val="0"/>
          <w:marBottom w:val="0"/>
          <w:divBdr>
            <w:top w:val="none" w:sz="0" w:space="0" w:color="auto"/>
            <w:left w:val="none" w:sz="0" w:space="0" w:color="auto"/>
            <w:bottom w:val="none" w:sz="0" w:space="0" w:color="auto"/>
            <w:right w:val="none" w:sz="0" w:space="0" w:color="auto"/>
          </w:divBdr>
        </w:div>
        <w:div w:id="707265359">
          <w:marLeft w:val="640"/>
          <w:marRight w:val="0"/>
          <w:marTop w:val="0"/>
          <w:marBottom w:val="0"/>
          <w:divBdr>
            <w:top w:val="none" w:sz="0" w:space="0" w:color="auto"/>
            <w:left w:val="none" w:sz="0" w:space="0" w:color="auto"/>
            <w:bottom w:val="none" w:sz="0" w:space="0" w:color="auto"/>
            <w:right w:val="none" w:sz="0" w:space="0" w:color="auto"/>
          </w:divBdr>
        </w:div>
        <w:div w:id="2044086669">
          <w:marLeft w:val="640"/>
          <w:marRight w:val="0"/>
          <w:marTop w:val="0"/>
          <w:marBottom w:val="0"/>
          <w:divBdr>
            <w:top w:val="none" w:sz="0" w:space="0" w:color="auto"/>
            <w:left w:val="none" w:sz="0" w:space="0" w:color="auto"/>
            <w:bottom w:val="none" w:sz="0" w:space="0" w:color="auto"/>
            <w:right w:val="none" w:sz="0" w:space="0" w:color="auto"/>
          </w:divBdr>
        </w:div>
      </w:divsChild>
    </w:div>
    <w:div w:id="1056978676">
      <w:bodyDiv w:val="1"/>
      <w:marLeft w:val="0"/>
      <w:marRight w:val="0"/>
      <w:marTop w:val="0"/>
      <w:marBottom w:val="0"/>
      <w:divBdr>
        <w:top w:val="none" w:sz="0" w:space="0" w:color="auto"/>
        <w:left w:val="none" w:sz="0" w:space="0" w:color="auto"/>
        <w:bottom w:val="none" w:sz="0" w:space="0" w:color="auto"/>
        <w:right w:val="none" w:sz="0" w:space="0" w:color="auto"/>
      </w:divBdr>
      <w:divsChild>
        <w:div w:id="633174854">
          <w:marLeft w:val="640"/>
          <w:marRight w:val="0"/>
          <w:marTop w:val="0"/>
          <w:marBottom w:val="0"/>
          <w:divBdr>
            <w:top w:val="none" w:sz="0" w:space="0" w:color="auto"/>
            <w:left w:val="none" w:sz="0" w:space="0" w:color="auto"/>
            <w:bottom w:val="none" w:sz="0" w:space="0" w:color="auto"/>
            <w:right w:val="none" w:sz="0" w:space="0" w:color="auto"/>
          </w:divBdr>
        </w:div>
        <w:div w:id="1771242719">
          <w:marLeft w:val="640"/>
          <w:marRight w:val="0"/>
          <w:marTop w:val="0"/>
          <w:marBottom w:val="0"/>
          <w:divBdr>
            <w:top w:val="none" w:sz="0" w:space="0" w:color="auto"/>
            <w:left w:val="none" w:sz="0" w:space="0" w:color="auto"/>
            <w:bottom w:val="none" w:sz="0" w:space="0" w:color="auto"/>
            <w:right w:val="none" w:sz="0" w:space="0" w:color="auto"/>
          </w:divBdr>
        </w:div>
        <w:div w:id="2040157751">
          <w:marLeft w:val="640"/>
          <w:marRight w:val="0"/>
          <w:marTop w:val="0"/>
          <w:marBottom w:val="0"/>
          <w:divBdr>
            <w:top w:val="none" w:sz="0" w:space="0" w:color="auto"/>
            <w:left w:val="none" w:sz="0" w:space="0" w:color="auto"/>
            <w:bottom w:val="none" w:sz="0" w:space="0" w:color="auto"/>
            <w:right w:val="none" w:sz="0" w:space="0" w:color="auto"/>
          </w:divBdr>
        </w:div>
        <w:div w:id="480276430">
          <w:marLeft w:val="640"/>
          <w:marRight w:val="0"/>
          <w:marTop w:val="0"/>
          <w:marBottom w:val="0"/>
          <w:divBdr>
            <w:top w:val="none" w:sz="0" w:space="0" w:color="auto"/>
            <w:left w:val="none" w:sz="0" w:space="0" w:color="auto"/>
            <w:bottom w:val="none" w:sz="0" w:space="0" w:color="auto"/>
            <w:right w:val="none" w:sz="0" w:space="0" w:color="auto"/>
          </w:divBdr>
        </w:div>
        <w:div w:id="1701516618">
          <w:marLeft w:val="640"/>
          <w:marRight w:val="0"/>
          <w:marTop w:val="0"/>
          <w:marBottom w:val="0"/>
          <w:divBdr>
            <w:top w:val="none" w:sz="0" w:space="0" w:color="auto"/>
            <w:left w:val="none" w:sz="0" w:space="0" w:color="auto"/>
            <w:bottom w:val="none" w:sz="0" w:space="0" w:color="auto"/>
            <w:right w:val="none" w:sz="0" w:space="0" w:color="auto"/>
          </w:divBdr>
        </w:div>
        <w:div w:id="1369909843">
          <w:marLeft w:val="640"/>
          <w:marRight w:val="0"/>
          <w:marTop w:val="0"/>
          <w:marBottom w:val="0"/>
          <w:divBdr>
            <w:top w:val="none" w:sz="0" w:space="0" w:color="auto"/>
            <w:left w:val="none" w:sz="0" w:space="0" w:color="auto"/>
            <w:bottom w:val="none" w:sz="0" w:space="0" w:color="auto"/>
            <w:right w:val="none" w:sz="0" w:space="0" w:color="auto"/>
          </w:divBdr>
        </w:div>
        <w:div w:id="1373924881">
          <w:marLeft w:val="640"/>
          <w:marRight w:val="0"/>
          <w:marTop w:val="0"/>
          <w:marBottom w:val="0"/>
          <w:divBdr>
            <w:top w:val="none" w:sz="0" w:space="0" w:color="auto"/>
            <w:left w:val="none" w:sz="0" w:space="0" w:color="auto"/>
            <w:bottom w:val="none" w:sz="0" w:space="0" w:color="auto"/>
            <w:right w:val="none" w:sz="0" w:space="0" w:color="auto"/>
          </w:divBdr>
        </w:div>
        <w:div w:id="574360093">
          <w:marLeft w:val="640"/>
          <w:marRight w:val="0"/>
          <w:marTop w:val="0"/>
          <w:marBottom w:val="0"/>
          <w:divBdr>
            <w:top w:val="none" w:sz="0" w:space="0" w:color="auto"/>
            <w:left w:val="none" w:sz="0" w:space="0" w:color="auto"/>
            <w:bottom w:val="none" w:sz="0" w:space="0" w:color="auto"/>
            <w:right w:val="none" w:sz="0" w:space="0" w:color="auto"/>
          </w:divBdr>
        </w:div>
        <w:div w:id="340086482">
          <w:marLeft w:val="640"/>
          <w:marRight w:val="0"/>
          <w:marTop w:val="0"/>
          <w:marBottom w:val="0"/>
          <w:divBdr>
            <w:top w:val="none" w:sz="0" w:space="0" w:color="auto"/>
            <w:left w:val="none" w:sz="0" w:space="0" w:color="auto"/>
            <w:bottom w:val="none" w:sz="0" w:space="0" w:color="auto"/>
            <w:right w:val="none" w:sz="0" w:space="0" w:color="auto"/>
          </w:divBdr>
        </w:div>
        <w:div w:id="1630091234">
          <w:marLeft w:val="640"/>
          <w:marRight w:val="0"/>
          <w:marTop w:val="0"/>
          <w:marBottom w:val="0"/>
          <w:divBdr>
            <w:top w:val="none" w:sz="0" w:space="0" w:color="auto"/>
            <w:left w:val="none" w:sz="0" w:space="0" w:color="auto"/>
            <w:bottom w:val="none" w:sz="0" w:space="0" w:color="auto"/>
            <w:right w:val="none" w:sz="0" w:space="0" w:color="auto"/>
          </w:divBdr>
        </w:div>
        <w:div w:id="1672216656">
          <w:marLeft w:val="640"/>
          <w:marRight w:val="0"/>
          <w:marTop w:val="0"/>
          <w:marBottom w:val="0"/>
          <w:divBdr>
            <w:top w:val="none" w:sz="0" w:space="0" w:color="auto"/>
            <w:left w:val="none" w:sz="0" w:space="0" w:color="auto"/>
            <w:bottom w:val="none" w:sz="0" w:space="0" w:color="auto"/>
            <w:right w:val="none" w:sz="0" w:space="0" w:color="auto"/>
          </w:divBdr>
        </w:div>
        <w:div w:id="354691143">
          <w:marLeft w:val="640"/>
          <w:marRight w:val="0"/>
          <w:marTop w:val="0"/>
          <w:marBottom w:val="0"/>
          <w:divBdr>
            <w:top w:val="none" w:sz="0" w:space="0" w:color="auto"/>
            <w:left w:val="none" w:sz="0" w:space="0" w:color="auto"/>
            <w:bottom w:val="none" w:sz="0" w:space="0" w:color="auto"/>
            <w:right w:val="none" w:sz="0" w:space="0" w:color="auto"/>
          </w:divBdr>
        </w:div>
        <w:div w:id="962462003">
          <w:marLeft w:val="640"/>
          <w:marRight w:val="0"/>
          <w:marTop w:val="0"/>
          <w:marBottom w:val="0"/>
          <w:divBdr>
            <w:top w:val="none" w:sz="0" w:space="0" w:color="auto"/>
            <w:left w:val="none" w:sz="0" w:space="0" w:color="auto"/>
            <w:bottom w:val="none" w:sz="0" w:space="0" w:color="auto"/>
            <w:right w:val="none" w:sz="0" w:space="0" w:color="auto"/>
          </w:divBdr>
        </w:div>
        <w:div w:id="471875555">
          <w:marLeft w:val="640"/>
          <w:marRight w:val="0"/>
          <w:marTop w:val="0"/>
          <w:marBottom w:val="0"/>
          <w:divBdr>
            <w:top w:val="none" w:sz="0" w:space="0" w:color="auto"/>
            <w:left w:val="none" w:sz="0" w:space="0" w:color="auto"/>
            <w:bottom w:val="none" w:sz="0" w:space="0" w:color="auto"/>
            <w:right w:val="none" w:sz="0" w:space="0" w:color="auto"/>
          </w:divBdr>
        </w:div>
        <w:div w:id="1896351502">
          <w:marLeft w:val="640"/>
          <w:marRight w:val="0"/>
          <w:marTop w:val="0"/>
          <w:marBottom w:val="0"/>
          <w:divBdr>
            <w:top w:val="none" w:sz="0" w:space="0" w:color="auto"/>
            <w:left w:val="none" w:sz="0" w:space="0" w:color="auto"/>
            <w:bottom w:val="none" w:sz="0" w:space="0" w:color="auto"/>
            <w:right w:val="none" w:sz="0" w:space="0" w:color="auto"/>
          </w:divBdr>
        </w:div>
      </w:divsChild>
    </w:div>
    <w:div w:id="1059473893">
      <w:bodyDiv w:val="1"/>
      <w:marLeft w:val="0"/>
      <w:marRight w:val="0"/>
      <w:marTop w:val="0"/>
      <w:marBottom w:val="0"/>
      <w:divBdr>
        <w:top w:val="none" w:sz="0" w:space="0" w:color="auto"/>
        <w:left w:val="none" w:sz="0" w:space="0" w:color="auto"/>
        <w:bottom w:val="none" w:sz="0" w:space="0" w:color="auto"/>
        <w:right w:val="none" w:sz="0" w:space="0" w:color="auto"/>
      </w:divBdr>
      <w:divsChild>
        <w:div w:id="871770653">
          <w:marLeft w:val="640"/>
          <w:marRight w:val="0"/>
          <w:marTop w:val="0"/>
          <w:marBottom w:val="0"/>
          <w:divBdr>
            <w:top w:val="none" w:sz="0" w:space="0" w:color="auto"/>
            <w:left w:val="none" w:sz="0" w:space="0" w:color="auto"/>
            <w:bottom w:val="none" w:sz="0" w:space="0" w:color="auto"/>
            <w:right w:val="none" w:sz="0" w:space="0" w:color="auto"/>
          </w:divBdr>
        </w:div>
      </w:divsChild>
    </w:div>
    <w:div w:id="1068378991">
      <w:bodyDiv w:val="1"/>
      <w:marLeft w:val="0"/>
      <w:marRight w:val="0"/>
      <w:marTop w:val="0"/>
      <w:marBottom w:val="0"/>
      <w:divBdr>
        <w:top w:val="none" w:sz="0" w:space="0" w:color="auto"/>
        <w:left w:val="none" w:sz="0" w:space="0" w:color="auto"/>
        <w:bottom w:val="none" w:sz="0" w:space="0" w:color="auto"/>
        <w:right w:val="none" w:sz="0" w:space="0" w:color="auto"/>
      </w:divBdr>
      <w:divsChild>
        <w:div w:id="1266157654">
          <w:marLeft w:val="640"/>
          <w:marRight w:val="0"/>
          <w:marTop w:val="0"/>
          <w:marBottom w:val="0"/>
          <w:divBdr>
            <w:top w:val="none" w:sz="0" w:space="0" w:color="auto"/>
            <w:left w:val="none" w:sz="0" w:space="0" w:color="auto"/>
            <w:bottom w:val="none" w:sz="0" w:space="0" w:color="auto"/>
            <w:right w:val="none" w:sz="0" w:space="0" w:color="auto"/>
          </w:divBdr>
        </w:div>
        <w:div w:id="1449356262">
          <w:marLeft w:val="640"/>
          <w:marRight w:val="0"/>
          <w:marTop w:val="0"/>
          <w:marBottom w:val="0"/>
          <w:divBdr>
            <w:top w:val="none" w:sz="0" w:space="0" w:color="auto"/>
            <w:left w:val="none" w:sz="0" w:space="0" w:color="auto"/>
            <w:bottom w:val="none" w:sz="0" w:space="0" w:color="auto"/>
            <w:right w:val="none" w:sz="0" w:space="0" w:color="auto"/>
          </w:divBdr>
        </w:div>
        <w:div w:id="2067869836">
          <w:marLeft w:val="640"/>
          <w:marRight w:val="0"/>
          <w:marTop w:val="0"/>
          <w:marBottom w:val="0"/>
          <w:divBdr>
            <w:top w:val="none" w:sz="0" w:space="0" w:color="auto"/>
            <w:left w:val="none" w:sz="0" w:space="0" w:color="auto"/>
            <w:bottom w:val="none" w:sz="0" w:space="0" w:color="auto"/>
            <w:right w:val="none" w:sz="0" w:space="0" w:color="auto"/>
          </w:divBdr>
        </w:div>
        <w:div w:id="1886288220">
          <w:marLeft w:val="640"/>
          <w:marRight w:val="0"/>
          <w:marTop w:val="0"/>
          <w:marBottom w:val="0"/>
          <w:divBdr>
            <w:top w:val="none" w:sz="0" w:space="0" w:color="auto"/>
            <w:left w:val="none" w:sz="0" w:space="0" w:color="auto"/>
            <w:bottom w:val="none" w:sz="0" w:space="0" w:color="auto"/>
            <w:right w:val="none" w:sz="0" w:space="0" w:color="auto"/>
          </w:divBdr>
        </w:div>
        <w:div w:id="1562789025">
          <w:marLeft w:val="640"/>
          <w:marRight w:val="0"/>
          <w:marTop w:val="0"/>
          <w:marBottom w:val="0"/>
          <w:divBdr>
            <w:top w:val="none" w:sz="0" w:space="0" w:color="auto"/>
            <w:left w:val="none" w:sz="0" w:space="0" w:color="auto"/>
            <w:bottom w:val="none" w:sz="0" w:space="0" w:color="auto"/>
            <w:right w:val="none" w:sz="0" w:space="0" w:color="auto"/>
          </w:divBdr>
        </w:div>
        <w:div w:id="2094664118">
          <w:marLeft w:val="640"/>
          <w:marRight w:val="0"/>
          <w:marTop w:val="0"/>
          <w:marBottom w:val="0"/>
          <w:divBdr>
            <w:top w:val="none" w:sz="0" w:space="0" w:color="auto"/>
            <w:left w:val="none" w:sz="0" w:space="0" w:color="auto"/>
            <w:bottom w:val="none" w:sz="0" w:space="0" w:color="auto"/>
            <w:right w:val="none" w:sz="0" w:space="0" w:color="auto"/>
          </w:divBdr>
        </w:div>
        <w:div w:id="672798372">
          <w:marLeft w:val="640"/>
          <w:marRight w:val="0"/>
          <w:marTop w:val="0"/>
          <w:marBottom w:val="0"/>
          <w:divBdr>
            <w:top w:val="none" w:sz="0" w:space="0" w:color="auto"/>
            <w:left w:val="none" w:sz="0" w:space="0" w:color="auto"/>
            <w:bottom w:val="none" w:sz="0" w:space="0" w:color="auto"/>
            <w:right w:val="none" w:sz="0" w:space="0" w:color="auto"/>
          </w:divBdr>
        </w:div>
        <w:div w:id="336151168">
          <w:marLeft w:val="640"/>
          <w:marRight w:val="0"/>
          <w:marTop w:val="0"/>
          <w:marBottom w:val="0"/>
          <w:divBdr>
            <w:top w:val="none" w:sz="0" w:space="0" w:color="auto"/>
            <w:left w:val="none" w:sz="0" w:space="0" w:color="auto"/>
            <w:bottom w:val="none" w:sz="0" w:space="0" w:color="auto"/>
            <w:right w:val="none" w:sz="0" w:space="0" w:color="auto"/>
          </w:divBdr>
        </w:div>
        <w:div w:id="825317283">
          <w:marLeft w:val="640"/>
          <w:marRight w:val="0"/>
          <w:marTop w:val="0"/>
          <w:marBottom w:val="0"/>
          <w:divBdr>
            <w:top w:val="none" w:sz="0" w:space="0" w:color="auto"/>
            <w:left w:val="none" w:sz="0" w:space="0" w:color="auto"/>
            <w:bottom w:val="none" w:sz="0" w:space="0" w:color="auto"/>
            <w:right w:val="none" w:sz="0" w:space="0" w:color="auto"/>
          </w:divBdr>
        </w:div>
        <w:div w:id="572817071">
          <w:marLeft w:val="640"/>
          <w:marRight w:val="0"/>
          <w:marTop w:val="0"/>
          <w:marBottom w:val="0"/>
          <w:divBdr>
            <w:top w:val="none" w:sz="0" w:space="0" w:color="auto"/>
            <w:left w:val="none" w:sz="0" w:space="0" w:color="auto"/>
            <w:bottom w:val="none" w:sz="0" w:space="0" w:color="auto"/>
            <w:right w:val="none" w:sz="0" w:space="0" w:color="auto"/>
          </w:divBdr>
        </w:div>
        <w:div w:id="482039727">
          <w:marLeft w:val="640"/>
          <w:marRight w:val="0"/>
          <w:marTop w:val="0"/>
          <w:marBottom w:val="0"/>
          <w:divBdr>
            <w:top w:val="none" w:sz="0" w:space="0" w:color="auto"/>
            <w:left w:val="none" w:sz="0" w:space="0" w:color="auto"/>
            <w:bottom w:val="none" w:sz="0" w:space="0" w:color="auto"/>
            <w:right w:val="none" w:sz="0" w:space="0" w:color="auto"/>
          </w:divBdr>
        </w:div>
        <w:div w:id="92285192">
          <w:marLeft w:val="640"/>
          <w:marRight w:val="0"/>
          <w:marTop w:val="0"/>
          <w:marBottom w:val="0"/>
          <w:divBdr>
            <w:top w:val="none" w:sz="0" w:space="0" w:color="auto"/>
            <w:left w:val="none" w:sz="0" w:space="0" w:color="auto"/>
            <w:bottom w:val="none" w:sz="0" w:space="0" w:color="auto"/>
            <w:right w:val="none" w:sz="0" w:space="0" w:color="auto"/>
          </w:divBdr>
        </w:div>
        <w:div w:id="1023898350">
          <w:marLeft w:val="640"/>
          <w:marRight w:val="0"/>
          <w:marTop w:val="0"/>
          <w:marBottom w:val="0"/>
          <w:divBdr>
            <w:top w:val="none" w:sz="0" w:space="0" w:color="auto"/>
            <w:left w:val="none" w:sz="0" w:space="0" w:color="auto"/>
            <w:bottom w:val="none" w:sz="0" w:space="0" w:color="auto"/>
            <w:right w:val="none" w:sz="0" w:space="0" w:color="auto"/>
          </w:divBdr>
        </w:div>
        <w:div w:id="846748847">
          <w:marLeft w:val="640"/>
          <w:marRight w:val="0"/>
          <w:marTop w:val="0"/>
          <w:marBottom w:val="0"/>
          <w:divBdr>
            <w:top w:val="none" w:sz="0" w:space="0" w:color="auto"/>
            <w:left w:val="none" w:sz="0" w:space="0" w:color="auto"/>
            <w:bottom w:val="none" w:sz="0" w:space="0" w:color="auto"/>
            <w:right w:val="none" w:sz="0" w:space="0" w:color="auto"/>
          </w:divBdr>
        </w:div>
        <w:div w:id="1179387419">
          <w:marLeft w:val="640"/>
          <w:marRight w:val="0"/>
          <w:marTop w:val="0"/>
          <w:marBottom w:val="0"/>
          <w:divBdr>
            <w:top w:val="none" w:sz="0" w:space="0" w:color="auto"/>
            <w:left w:val="none" w:sz="0" w:space="0" w:color="auto"/>
            <w:bottom w:val="none" w:sz="0" w:space="0" w:color="auto"/>
            <w:right w:val="none" w:sz="0" w:space="0" w:color="auto"/>
          </w:divBdr>
        </w:div>
      </w:divsChild>
    </w:div>
    <w:div w:id="1095587787">
      <w:bodyDiv w:val="1"/>
      <w:marLeft w:val="0"/>
      <w:marRight w:val="0"/>
      <w:marTop w:val="0"/>
      <w:marBottom w:val="0"/>
      <w:divBdr>
        <w:top w:val="none" w:sz="0" w:space="0" w:color="auto"/>
        <w:left w:val="none" w:sz="0" w:space="0" w:color="auto"/>
        <w:bottom w:val="none" w:sz="0" w:space="0" w:color="auto"/>
        <w:right w:val="none" w:sz="0" w:space="0" w:color="auto"/>
      </w:divBdr>
      <w:divsChild>
        <w:div w:id="38938454">
          <w:marLeft w:val="640"/>
          <w:marRight w:val="0"/>
          <w:marTop w:val="0"/>
          <w:marBottom w:val="0"/>
          <w:divBdr>
            <w:top w:val="none" w:sz="0" w:space="0" w:color="auto"/>
            <w:left w:val="none" w:sz="0" w:space="0" w:color="auto"/>
            <w:bottom w:val="none" w:sz="0" w:space="0" w:color="auto"/>
            <w:right w:val="none" w:sz="0" w:space="0" w:color="auto"/>
          </w:divBdr>
        </w:div>
        <w:div w:id="782960504">
          <w:marLeft w:val="640"/>
          <w:marRight w:val="0"/>
          <w:marTop w:val="0"/>
          <w:marBottom w:val="0"/>
          <w:divBdr>
            <w:top w:val="none" w:sz="0" w:space="0" w:color="auto"/>
            <w:left w:val="none" w:sz="0" w:space="0" w:color="auto"/>
            <w:bottom w:val="none" w:sz="0" w:space="0" w:color="auto"/>
            <w:right w:val="none" w:sz="0" w:space="0" w:color="auto"/>
          </w:divBdr>
        </w:div>
        <w:div w:id="310258385">
          <w:marLeft w:val="640"/>
          <w:marRight w:val="0"/>
          <w:marTop w:val="0"/>
          <w:marBottom w:val="0"/>
          <w:divBdr>
            <w:top w:val="none" w:sz="0" w:space="0" w:color="auto"/>
            <w:left w:val="none" w:sz="0" w:space="0" w:color="auto"/>
            <w:bottom w:val="none" w:sz="0" w:space="0" w:color="auto"/>
            <w:right w:val="none" w:sz="0" w:space="0" w:color="auto"/>
          </w:divBdr>
        </w:div>
        <w:div w:id="710497525">
          <w:marLeft w:val="640"/>
          <w:marRight w:val="0"/>
          <w:marTop w:val="0"/>
          <w:marBottom w:val="0"/>
          <w:divBdr>
            <w:top w:val="none" w:sz="0" w:space="0" w:color="auto"/>
            <w:left w:val="none" w:sz="0" w:space="0" w:color="auto"/>
            <w:bottom w:val="none" w:sz="0" w:space="0" w:color="auto"/>
            <w:right w:val="none" w:sz="0" w:space="0" w:color="auto"/>
          </w:divBdr>
        </w:div>
        <w:div w:id="1383748235">
          <w:marLeft w:val="640"/>
          <w:marRight w:val="0"/>
          <w:marTop w:val="0"/>
          <w:marBottom w:val="0"/>
          <w:divBdr>
            <w:top w:val="none" w:sz="0" w:space="0" w:color="auto"/>
            <w:left w:val="none" w:sz="0" w:space="0" w:color="auto"/>
            <w:bottom w:val="none" w:sz="0" w:space="0" w:color="auto"/>
            <w:right w:val="none" w:sz="0" w:space="0" w:color="auto"/>
          </w:divBdr>
        </w:div>
      </w:divsChild>
    </w:div>
    <w:div w:id="1098328160">
      <w:bodyDiv w:val="1"/>
      <w:marLeft w:val="0"/>
      <w:marRight w:val="0"/>
      <w:marTop w:val="0"/>
      <w:marBottom w:val="0"/>
      <w:divBdr>
        <w:top w:val="none" w:sz="0" w:space="0" w:color="auto"/>
        <w:left w:val="none" w:sz="0" w:space="0" w:color="auto"/>
        <w:bottom w:val="none" w:sz="0" w:space="0" w:color="auto"/>
        <w:right w:val="none" w:sz="0" w:space="0" w:color="auto"/>
      </w:divBdr>
      <w:divsChild>
        <w:div w:id="1340307421">
          <w:marLeft w:val="640"/>
          <w:marRight w:val="0"/>
          <w:marTop w:val="0"/>
          <w:marBottom w:val="0"/>
          <w:divBdr>
            <w:top w:val="none" w:sz="0" w:space="0" w:color="auto"/>
            <w:left w:val="none" w:sz="0" w:space="0" w:color="auto"/>
            <w:bottom w:val="none" w:sz="0" w:space="0" w:color="auto"/>
            <w:right w:val="none" w:sz="0" w:space="0" w:color="auto"/>
          </w:divBdr>
        </w:div>
        <w:div w:id="2012681860">
          <w:marLeft w:val="640"/>
          <w:marRight w:val="0"/>
          <w:marTop w:val="0"/>
          <w:marBottom w:val="0"/>
          <w:divBdr>
            <w:top w:val="none" w:sz="0" w:space="0" w:color="auto"/>
            <w:left w:val="none" w:sz="0" w:space="0" w:color="auto"/>
            <w:bottom w:val="none" w:sz="0" w:space="0" w:color="auto"/>
            <w:right w:val="none" w:sz="0" w:space="0" w:color="auto"/>
          </w:divBdr>
        </w:div>
        <w:div w:id="1583024339">
          <w:marLeft w:val="640"/>
          <w:marRight w:val="0"/>
          <w:marTop w:val="0"/>
          <w:marBottom w:val="0"/>
          <w:divBdr>
            <w:top w:val="none" w:sz="0" w:space="0" w:color="auto"/>
            <w:left w:val="none" w:sz="0" w:space="0" w:color="auto"/>
            <w:bottom w:val="none" w:sz="0" w:space="0" w:color="auto"/>
            <w:right w:val="none" w:sz="0" w:space="0" w:color="auto"/>
          </w:divBdr>
        </w:div>
        <w:div w:id="363289511">
          <w:marLeft w:val="640"/>
          <w:marRight w:val="0"/>
          <w:marTop w:val="0"/>
          <w:marBottom w:val="0"/>
          <w:divBdr>
            <w:top w:val="none" w:sz="0" w:space="0" w:color="auto"/>
            <w:left w:val="none" w:sz="0" w:space="0" w:color="auto"/>
            <w:bottom w:val="none" w:sz="0" w:space="0" w:color="auto"/>
            <w:right w:val="none" w:sz="0" w:space="0" w:color="auto"/>
          </w:divBdr>
        </w:div>
      </w:divsChild>
    </w:div>
    <w:div w:id="1100033099">
      <w:bodyDiv w:val="1"/>
      <w:marLeft w:val="0"/>
      <w:marRight w:val="0"/>
      <w:marTop w:val="0"/>
      <w:marBottom w:val="0"/>
      <w:divBdr>
        <w:top w:val="none" w:sz="0" w:space="0" w:color="auto"/>
        <w:left w:val="none" w:sz="0" w:space="0" w:color="auto"/>
        <w:bottom w:val="none" w:sz="0" w:space="0" w:color="auto"/>
        <w:right w:val="none" w:sz="0" w:space="0" w:color="auto"/>
      </w:divBdr>
      <w:divsChild>
        <w:div w:id="721634661">
          <w:marLeft w:val="640"/>
          <w:marRight w:val="0"/>
          <w:marTop w:val="0"/>
          <w:marBottom w:val="0"/>
          <w:divBdr>
            <w:top w:val="none" w:sz="0" w:space="0" w:color="auto"/>
            <w:left w:val="none" w:sz="0" w:space="0" w:color="auto"/>
            <w:bottom w:val="none" w:sz="0" w:space="0" w:color="auto"/>
            <w:right w:val="none" w:sz="0" w:space="0" w:color="auto"/>
          </w:divBdr>
        </w:div>
      </w:divsChild>
    </w:div>
    <w:div w:id="1142652353">
      <w:bodyDiv w:val="1"/>
      <w:marLeft w:val="0"/>
      <w:marRight w:val="0"/>
      <w:marTop w:val="0"/>
      <w:marBottom w:val="0"/>
      <w:divBdr>
        <w:top w:val="none" w:sz="0" w:space="0" w:color="auto"/>
        <w:left w:val="none" w:sz="0" w:space="0" w:color="auto"/>
        <w:bottom w:val="none" w:sz="0" w:space="0" w:color="auto"/>
        <w:right w:val="none" w:sz="0" w:space="0" w:color="auto"/>
      </w:divBdr>
      <w:divsChild>
        <w:div w:id="1893082284">
          <w:marLeft w:val="640"/>
          <w:marRight w:val="0"/>
          <w:marTop w:val="0"/>
          <w:marBottom w:val="0"/>
          <w:divBdr>
            <w:top w:val="none" w:sz="0" w:space="0" w:color="auto"/>
            <w:left w:val="none" w:sz="0" w:space="0" w:color="auto"/>
            <w:bottom w:val="none" w:sz="0" w:space="0" w:color="auto"/>
            <w:right w:val="none" w:sz="0" w:space="0" w:color="auto"/>
          </w:divBdr>
        </w:div>
        <w:div w:id="1703164941">
          <w:marLeft w:val="640"/>
          <w:marRight w:val="0"/>
          <w:marTop w:val="0"/>
          <w:marBottom w:val="0"/>
          <w:divBdr>
            <w:top w:val="none" w:sz="0" w:space="0" w:color="auto"/>
            <w:left w:val="none" w:sz="0" w:space="0" w:color="auto"/>
            <w:bottom w:val="none" w:sz="0" w:space="0" w:color="auto"/>
            <w:right w:val="none" w:sz="0" w:space="0" w:color="auto"/>
          </w:divBdr>
        </w:div>
        <w:div w:id="1742866575">
          <w:marLeft w:val="640"/>
          <w:marRight w:val="0"/>
          <w:marTop w:val="0"/>
          <w:marBottom w:val="0"/>
          <w:divBdr>
            <w:top w:val="none" w:sz="0" w:space="0" w:color="auto"/>
            <w:left w:val="none" w:sz="0" w:space="0" w:color="auto"/>
            <w:bottom w:val="none" w:sz="0" w:space="0" w:color="auto"/>
            <w:right w:val="none" w:sz="0" w:space="0" w:color="auto"/>
          </w:divBdr>
        </w:div>
        <w:div w:id="1689720221">
          <w:marLeft w:val="640"/>
          <w:marRight w:val="0"/>
          <w:marTop w:val="0"/>
          <w:marBottom w:val="0"/>
          <w:divBdr>
            <w:top w:val="none" w:sz="0" w:space="0" w:color="auto"/>
            <w:left w:val="none" w:sz="0" w:space="0" w:color="auto"/>
            <w:bottom w:val="none" w:sz="0" w:space="0" w:color="auto"/>
            <w:right w:val="none" w:sz="0" w:space="0" w:color="auto"/>
          </w:divBdr>
        </w:div>
        <w:div w:id="1128668106">
          <w:marLeft w:val="640"/>
          <w:marRight w:val="0"/>
          <w:marTop w:val="0"/>
          <w:marBottom w:val="0"/>
          <w:divBdr>
            <w:top w:val="none" w:sz="0" w:space="0" w:color="auto"/>
            <w:left w:val="none" w:sz="0" w:space="0" w:color="auto"/>
            <w:bottom w:val="none" w:sz="0" w:space="0" w:color="auto"/>
            <w:right w:val="none" w:sz="0" w:space="0" w:color="auto"/>
          </w:divBdr>
        </w:div>
        <w:div w:id="327027543">
          <w:marLeft w:val="640"/>
          <w:marRight w:val="0"/>
          <w:marTop w:val="0"/>
          <w:marBottom w:val="0"/>
          <w:divBdr>
            <w:top w:val="none" w:sz="0" w:space="0" w:color="auto"/>
            <w:left w:val="none" w:sz="0" w:space="0" w:color="auto"/>
            <w:bottom w:val="none" w:sz="0" w:space="0" w:color="auto"/>
            <w:right w:val="none" w:sz="0" w:space="0" w:color="auto"/>
          </w:divBdr>
        </w:div>
        <w:div w:id="38020420">
          <w:marLeft w:val="640"/>
          <w:marRight w:val="0"/>
          <w:marTop w:val="0"/>
          <w:marBottom w:val="0"/>
          <w:divBdr>
            <w:top w:val="none" w:sz="0" w:space="0" w:color="auto"/>
            <w:left w:val="none" w:sz="0" w:space="0" w:color="auto"/>
            <w:bottom w:val="none" w:sz="0" w:space="0" w:color="auto"/>
            <w:right w:val="none" w:sz="0" w:space="0" w:color="auto"/>
          </w:divBdr>
        </w:div>
        <w:div w:id="1021274666">
          <w:marLeft w:val="640"/>
          <w:marRight w:val="0"/>
          <w:marTop w:val="0"/>
          <w:marBottom w:val="0"/>
          <w:divBdr>
            <w:top w:val="none" w:sz="0" w:space="0" w:color="auto"/>
            <w:left w:val="none" w:sz="0" w:space="0" w:color="auto"/>
            <w:bottom w:val="none" w:sz="0" w:space="0" w:color="auto"/>
            <w:right w:val="none" w:sz="0" w:space="0" w:color="auto"/>
          </w:divBdr>
        </w:div>
        <w:div w:id="2128693007">
          <w:marLeft w:val="640"/>
          <w:marRight w:val="0"/>
          <w:marTop w:val="0"/>
          <w:marBottom w:val="0"/>
          <w:divBdr>
            <w:top w:val="none" w:sz="0" w:space="0" w:color="auto"/>
            <w:left w:val="none" w:sz="0" w:space="0" w:color="auto"/>
            <w:bottom w:val="none" w:sz="0" w:space="0" w:color="auto"/>
            <w:right w:val="none" w:sz="0" w:space="0" w:color="auto"/>
          </w:divBdr>
        </w:div>
        <w:div w:id="857701005">
          <w:marLeft w:val="640"/>
          <w:marRight w:val="0"/>
          <w:marTop w:val="0"/>
          <w:marBottom w:val="0"/>
          <w:divBdr>
            <w:top w:val="none" w:sz="0" w:space="0" w:color="auto"/>
            <w:left w:val="none" w:sz="0" w:space="0" w:color="auto"/>
            <w:bottom w:val="none" w:sz="0" w:space="0" w:color="auto"/>
            <w:right w:val="none" w:sz="0" w:space="0" w:color="auto"/>
          </w:divBdr>
        </w:div>
        <w:div w:id="247156094">
          <w:marLeft w:val="640"/>
          <w:marRight w:val="0"/>
          <w:marTop w:val="0"/>
          <w:marBottom w:val="0"/>
          <w:divBdr>
            <w:top w:val="none" w:sz="0" w:space="0" w:color="auto"/>
            <w:left w:val="none" w:sz="0" w:space="0" w:color="auto"/>
            <w:bottom w:val="none" w:sz="0" w:space="0" w:color="auto"/>
            <w:right w:val="none" w:sz="0" w:space="0" w:color="auto"/>
          </w:divBdr>
        </w:div>
        <w:div w:id="1757287998">
          <w:marLeft w:val="640"/>
          <w:marRight w:val="0"/>
          <w:marTop w:val="0"/>
          <w:marBottom w:val="0"/>
          <w:divBdr>
            <w:top w:val="none" w:sz="0" w:space="0" w:color="auto"/>
            <w:left w:val="none" w:sz="0" w:space="0" w:color="auto"/>
            <w:bottom w:val="none" w:sz="0" w:space="0" w:color="auto"/>
            <w:right w:val="none" w:sz="0" w:space="0" w:color="auto"/>
          </w:divBdr>
        </w:div>
        <w:div w:id="1335376462">
          <w:marLeft w:val="640"/>
          <w:marRight w:val="0"/>
          <w:marTop w:val="0"/>
          <w:marBottom w:val="0"/>
          <w:divBdr>
            <w:top w:val="none" w:sz="0" w:space="0" w:color="auto"/>
            <w:left w:val="none" w:sz="0" w:space="0" w:color="auto"/>
            <w:bottom w:val="none" w:sz="0" w:space="0" w:color="auto"/>
            <w:right w:val="none" w:sz="0" w:space="0" w:color="auto"/>
          </w:divBdr>
        </w:div>
        <w:div w:id="1751847054">
          <w:marLeft w:val="640"/>
          <w:marRight w:val="0"/>
          <w:marTop w:val="0"/>
          <w:marBottom w:val="0"/>
          <w:divBdr>
            <w:top w:val="none" w:sz="0" w:space="0" w:color="auto"/>
            <w:left w:val="none" w:sz="0" w:space="0" w:color="auto"/>
            <w:bottom w:val="none" w:sz="0" w:space="0" w:color="auto"/>
            <w:right w:val="none" w:sz="0" w:space="0" w:color="auto"/>
          </w:divBdr>
        </w:div>
        <w:div w:id="449863914">
          <w:marLeft w:val="640"/>
          <w:marRight w:val="0"/>
          <w:marTop w:val="0"/>
          <w:marBottom w:val="0"/>
          <w:divBdr>
            <w:top w:val="none" w:sz="0" w:space="0" w:color="auto"/>
            <w:left w:val="none" w:sz="0" w:space="0" w:color="auto"/>
            <w:bottom w:val="none" w:sz="0" w:space="0" w:color="auto"/>
            <w:right w:val="none" w:sz="0" w:space="0" w:color="auto"/>
          </w:divBdr>
        </w:div>
        <w:div w:id="215245269">
          <w:marLeft w:val="640"/>
          <w:marRight w:val="0"/>
          <w:marTop w:val="0"/>
          <w:marBottom w:val="0"/>
          <w:divBdr>
            <w:top w:val="none" w:sz="0" w:space="0" w:color="auto"/>
            <w:left w:val="none" w:sz="0" w:space="0" w:color="auto"/>
            <w:bottom w:val="none" w:sz="0" w:space="0" w:color="auto"/>
            <w:right w:val="none" w:sz="0" w:space="0" w:color="auto"/>
          </w:divBdr>
        </w:div>
      </w:divsChild>
    </w:div>
    <w:div w:id="1175262114">
      <w:bodyDiv w:val="1"/>
      <w:marLeft w:val="0"/>
      <w:marRight w:val="0"/>
      <w:marTop w:val="0"/>
      <w:marBottom w:val="0"/>
      <w:divBdr>
        <w:top w:val="none" w:sz="0" w:space="0" w:color="auto"/>
        <w:left w:val="none" w:sz="0" w:space="0" w:color="auto"/>
        <w:bottom w:val="none" w:sz="0" w:space="0" w:color="auto"/>
        <w:right w:val="none" w:sz="0" w:space="0" w:color="auto"/>
      </w:divBdr>
      <w:divsChild>
        <w:div w:id="774398787">
          <w:marLeft w:val="640"/>
          <w:marRight w:val="0"/>
          <w:marTop w:val="0"/>
          <w:marBottom w:val="0"/>
          <w:divBdr>
            <w:top w:val="none" w:sz="0" w:space="0" w:color="auto"/>
            <w:left w:val="none" w:sz="0" w:space="0" w:color="auto"/>
            <w:bottom w:val="none" w:sz="0" w:space="0" w:color="auto"/>
            <w:right w:val="none" w:sz="0" w:space="0" w:color="auto"/>
          </w:divBdr>
        </w:div>
        <w:div w:id="707610776">
          <w:marLeft w:val="640"/>
          <w:marRight w:val="0"/>
          <w:marTop w:val="0"/>
          <w:marBottom w:val="0"/>
          <w:divBdr>
            <w:top w:val="none" w:sz="0" w:space="0" w:color="auto"/>
            <w:left w:val="none" w:sz="0" w:space="0" w:color="auto"/>
            <w:bottom w:val="none" w:sz="0" w:space="0" w:color="auto"/>
            <w:right w:val="none" w:sz="0" w:space="0" w:color="auto"/>
          </w:divBdr>
        </w:div>
        <w:div w:id="118883546">
          <w:marLeft w:val="640"/>
          <w:marRight w:val="0"/>
          <w:marTop w:val="0"/>
          <w:marBottom w:val="0"/>
          <w:divBdr>
            <w:top w:val="none" w:sz="0" w:space="0" w:color="auto"/>
            <w:left w:val="none" w:sz="0" w:space="0" w:color="auto"/>
            <w:bottom w:val="none" w:sz="0" w:space="0" w:color="auto"/>
            <w:right w:val="none" w:sz="0" w:space="0" w:color="auto"/>
          </w:divBdr>
        </w:div>
        <w:div w:id="705524535">
          <w:marLeft w:val="640"/>
          <w:marRight w:val="0"/>
          <w:marTop w:val="0"/>
          <w:marBottom w:val="0"/>
          <w:divBdr>
            <w:top w:val="none" w:sz="0" w:space="0" w:color="auto"/>
            <w:left w:val="none" w:sz="0" w:space="0" w:color="auto"/>
            <w:bottom w:val="none" w:sz="0" w:space="0" w:color="auto"/>
            <w:right w:val="none" w:sz="0" w:space="0" w:color="auto"/>
          </w:divBdr>
        </w:div>
        <w:div w:id="1097139993">
          <w:marLeft w:val="640"/>
          <w:marRight w:val="0"/>
          <w:marTop w:val="0"/>
          <w:marBottom w:val="0"/>
          <w:divBdr>
            <w:top w:val="none" w:sz="0" w:space="0" w:color="auto"/>
            <w:left w:val="none" w:sz="0" w:space="0" w:color="auto"/>
            <w:bottom w:val="none" w:sz="0" w:space="0" w:color="auto"/>
            <w:right w:val="none" w:sz="0" w:space="0" w:color="auto"/>
          </w:divBdr>
        </w:div>
        <w:div w:id="1385759577">
          <w:marLeft w:val="640"/>
          <w:marRight w:val="0"/>
          <w:marTop w:val="0"/>
          <w:marBottom w:val="0"/>
          <w:divBdr>
            <w:top w:val="none" w:sz="0" w:space="0" w:color="auto"/>
            <w:left w:val="none" w:sz="0" w:space="0" w:color="auto"/>
            <w:bottom w:val="none" w:sz="0" w:space="0" w:color="auto"/>
            <w:right w:val="none" w:sz="0" w:space="0" w:color="auto"/>
          </w:divBdr>
        </w:div>
        <w:div w:id="1898080148">
          <w:marLeft w:val="640"/>
          <w:marRight w:val="0"/>
          <w:marTop w:val="0"/>
          <w:marBottom w:val="0"/>
          <w:divBdr>
            <w:top w:val="none" w:sz="0" w:space="0" w:color="auto"/>
            <w:left w:val="none" w:sz="0" w:space="0" w:color="auto"/>
            <w:bottom w:val="none" w:sz="0" w:space="0" w:color="auto"/>
            <w:right w:val="none" w:sz="0" w:space="0" w:color="auto"/>
          </w:divBdr>
        </w:div>
        <w:div w:id="772436455">
          <w:marLeft w:val="640"/>
          <w:marRight w:val="0"/>
          <w:marTop w:val="0"/>
          <w:marBottom w:val="0"/>
          <w:divBdr>
            <w:top w:val="none" w:sz="0" w:space="0" w:color="auto"/>
            <w:left w:val="none" w:sz="0" w:space="0" w:color="auto"/>
            <w:bottom w:val="none" w:sz="0" w:space="0" w:color="auto"/>
            <w:right w:val="none" w:sz="0" w:space="0" w:color="auto"/>
          </w:divBdr>
        </w:div>
        <w:div w:id="1408962285">
          <w:marLeft w:val="640"/>
          <w:marRight w:val="0"/>
          <w:marTop w:val="0"/>
          <w:marBottom w:val="0"/>
          <w:divBdr>
            <w:top w:val="none" w:sz="0" w:space="0" w:color="auto"/>
            <w:left w:val="none" w:sz="0" w:space="0" w:color="auto"/>
            <w:bottom w:val="none" w:sz="0" w:space="0" w:color="auto"/>
            <w:right w:val="none" w:sz="0" w:space="0" w:color="auto"/>
          </w:divBdr>
        </w:div>
        <w:div w:id="616446040">
          <w:marLeft w:val="640"/>
          <w:marRight w:val="0"/>
          <w:marTop w:val="0"/>
          <w:marBottom w:val="0"/>
          <w:divBdr>
            <w:top w:val="none" w:sz="0" w:space="0" w:color="auto"/>
            <w:left w:val="none" w:sz="0" w:space="0" w:color="auto"/>
            <w:bottom w:val="none" w:sz="0" w:space="0" w:color="auto"/>
            <w:right w:val="none" w:sz="0" w:space="0" w:color="auto"/>
          </w:divBdr>
        </w:div>
        <w:div w:id="868253291">
          <w:marLeft w:val="640"/>
          <w:marRight w:val="0"/>
          <w:marTop w:val="0"/>
          <w:marBottom w:val="0"/>
          <w:divBdr>
            <w:top w:val="none" w:sz="0" w:space="0" w:color="auto"/>
            <w:left w:val="none" w:sz="0" w:space="0" w:color="auto"/>
            <w:bottom w:val="none" w:sz="0" w:space="0" w:color="auto"/>
            <w:right w:val="none" w:sz="0" w:space="0" w:color="auto"/>
          </w:divBdr>
        </w:div>
        <w:div w:id="1958684134">
          <w:marLeft w:val="640"/>
          <w:marRight w:val="0"/>
          <w:marTop w:val="0"/>
          <w:marBottom w:val="0"/>
          <w:divBdr>
            <w:top w:val="none" w:sz="0" w:space="0" w:color="auto"/>
            <w:left w:val="none" w:sz="0" w:space="0" w:color="auto"/>
            <w:bottom w:val="none" w:sz="0" w:space="0" w:color="auto"/>
            <w:right w:val="none" w:sz="0" w:space="0" w:color="auto"/>
          </w:divBdr>
        </w:div>
        <w:div w:id="1911765651">
          <w:marLeft w:val="640"/>
          <w:marRight w:val="0"/>
          <w:marTop w:val="0"/>
          <w:marBottom w:val="0"/>
          <w:divBdr>
            <w:top w:val="none" w:sz="0" w:space="0" w:color="auto"/>
            <w:left w:val="none" w:sz="0" w:space="0" w:color="auto"/>
            <w:bottom w:val="none" w:sz="0" w:space="0" w:color="auto"/>
            <w:right w:val="none" w:sz="0" w:space="0" w:color="auto"/>
          </w:divBdr>
        </w:div>
        <w:div w:id="751899949">
          <w:marLeft w:val="640"/>
          <w:marRight w:val="0"/>
          <w:marTop w:val="0"/>
          <w:marBottom w:val="0"/>
          <w:divBdr>
            <w:top w:val="none" w:sz="0" w:space="0" w:color="auto"/>
            <w:left w:val="none" w:sz="0" w:space="0" w:color="auto"/>
            <w:bottom w:val="none" w:sz="0" w:space="0" w:color="auto"/>
            <w:right w:val="none" w:sz="0" w:space="0" w:color="auto"/>
          </w:divBdr>
        </w:div>
        <w:div w:id="2018118395">
          <w:marLeft w:val="640"/>
          <w:marRight w:val="0"/>
          <w:marTop w:val="0"/>
          <w:marBottom w:val="0"/>
          <w:divBdr>
            <w:top w:val="none" w:sz="0" w:space="0" w:color="auto"/>
            <w:left w:val="none" w:sz="0" w:space="0" w:color="auto"/>
            <w:bottom w:val="none" w:sz="0" w:space="0" w:color="auto"/>
            <w:right w:val="none" w:sz="0" w:space="0" w:color="auto"/>
          </w:divBdr>
        </w:div>
      </w:divsChild>
    </w:div>
    <w:div w:id="1191994045">
      <w:bodyDiv w:val="1"/>
      <w:marLeft w:val="0"/>
      <w:marRight w:val="0"/>
      <w:marTop w:val="0"/>
      <w:marBottom w:val="0"/>
      <w:divBdr>
        <w:top w:val="none" w:sz="0" w:space="0" w:color="auto"/>
        <w:left w:val="none" w:sz="0" w:space="0" w:color="auto"/>
        <w:bottom w:val="none" w:sz="0" w:space="0" w:color="auto"/>
        <w:right w:val="none" w:sz="0" w:space="0" w:color="auto"/>
      </w:divBdr>
      <w:divsChild>
        <w:div w:id="1582333926">
          <w:marLeft w:val="640"/>
          <w:marRight w:val="0"/>
          <w:marTop w:val="0"/>
          <w:marBottom w:val="0"/>
          <w:divBdr>
            <w:top w:val="none" w:sz="0" w:space="0" w:color="auto"/>
            <w:left w:val="none" w:sz="0" w:space="0" w:color="auto"/>
            <w:bottom w:val="none" w:sz="0" w:space="0" w:color="auto"/>
            <w:right w:val="none" w:sz="0" w:space="0" w:color="auto"/>
          </w:divBdr>
        </w:div>
        <w:div w:id="1051732705">
          <w:marLeft w:val="640"/>
          <w:marRight w:val="0"/>
          <w:marTop w:val="0"/>
          <w:marBottom w:val="0"/>
          <w:divBdr>
            <w:top w:val="none" w:sz="0" w:space="0" w:color="auto"/>
            <w:left w:val="none" w:sz="0" w:space="0" w:color="auto"/>
            <w:bottom w:val="none" w:sz="0" w:space="0" w:color="auto"/>
            <w:right w:val="none" w:sz="0" w:space="0" w:color="auto"/>
          </w:divBdr>
        </w:div>
        <w:div w:id="535000888">
          <w:marLeft w:val="640"/>
          <w:marRight w:val="0"/>
          <w:marTop w:val="0"/>
          <w:marBottom w:val="0"/>
          <w:divBdr>
            <w:top w:val="none" w:sz="0" w:space="0" w:color="auto"/>
            <w:left w:val="none" w:sz="0" w:space="0" w:color="auto"/>
            <w:bottom w:val="none" w:sz="0" w:space="0" w:color="auto"/>
            <w:right w:val="none" w:sz="0" w:space="0" w:color="auto"/>
          </w:divBdr>
        </w:div>
        <w:div w:id="1464693093">
          <w:marLeft w:val="640"/>
          <w:marRight w:val="0"/>
          <w:marTop w:val="0"/>
          <w:marBottom w:val="0"/>
          <w:divBdr>
            <w:top w:val="none" w:sz="0" w:space="0" w:color="auto"/>
            <w:left w:val="none" w:sz="0" w:space="0" w:color="auto"/>
            <w:bottom w:val="none" w:sz="0" w:space="0" w:color="auto"/>
            <w:right w:val="none" w:sz="0" w:space="0" w:color="auto"/>
          </w:divBdr>
        </w:div>
        <w:div w:id="1512143641">
          <w:marLeft w:val="640"/>
          <w:marRight w:val="0"/>
          <w:marTop w:val="0"/>
          <w:marBottom w:val="0"/>
          <w:divBdr>
            <w:top w:val="none" w:sz="0" w:space="0" w:color="auto"/>
            <w:left w:val="none" w:sz="0" w:space="0" w:color="auto"/>
            <w:bottom w:val="none" w:sz="0" w:space="0" w:color="auto"/>
            <w:right w:val="none" w:sz="0" w:space="0" w:color="auto"/>
          </w:divBdr>
        </w:div>
        <w:div w:id="372507757">
          <w:marLeft w:val="640"/>
          <w:marRight w:val="0"/>
          <w:marTop w:val="0"/>
          <w:marBottom w:val="0"/>
          <w:divBdr>
            <w:top w:val="none" w:sz="0" w:space="0" w:color="auto"/>
            <w:left w:val="none" w:sz="0" w:space="0" w:color="auto"/>
            <w:bottom w:val="none" w:sz="0" w:space="0" w:color="auto"/>
            <w:right w:val="none" w:sz="0" w:space="0" w:color="auto"/>
          </w:divBdr>
        </w:div>
        <w:div w:id="1428966136">
          <w:marLeft w:val="640"/>
          <w:marRight w:val="0"/>
          <w:marTop w:val="0"/>
          <w:marBottom w:val="0"/>
          <w:divBdr>
            <w:top w:val="none" w:sz="0" w:space="0" w:color="auto"/>
            <w:left w:val="none" w:sz="0" w:space="0" w:color="auto"/>
            <w:bottom w:val="none" w:sz="0" w:space="0" w:color="auto"/>
            <w:right w:val="none" w:sz="0" w:space="0" w:color="auto"/>
          </w:divBdr>
        </w:div>
        <w:div w:id="437797788">
          <w:marLeft w:val="640"/>
          <w:marRight w:val="0"/>
          <w:marTop w:val="0"/>
          <w:marBottom w:val="0"/>
          <w:divBdr>
            <w:top w:val="none" w:sz="0" w:space="0" w:color="auto"/>
            <w:left w:val="none" w:sz="0" w:space="0" w:color="auto"/>
            <w:bottom w:val="none" w:sz="0" w:space="0" w:color="auto"/>
            <w:right w:val="none" w:sz="0" w:space="0" w:color="auto"/>
          </w:divBdr>
        </w:div>
      </w:divsChild>
    </w:div>
    <w:div w:id="1209300759">
      <w:bodyDiv w:val="1"/>
      <w:marLeft w:val="0"/>
      <w:marRight w:val="0"/>
      <w:marTop w:val="0"/>
      <w:marBottom w:val="0"/>
      <w:divBdr>
        <w:top w:val="none" w:sz="0" w:space="0" w:color="auto"/>
        <w:left w:val="none" w:sz="0" w:space="0" w:color="auto"/>
        <w:bottom w:val="none" w:sz="0" w:space="0" w:color="auto"/>
        <w:right w:val="none" w:sz="0" w:space="0" w:color="auto"/>
      </w:divBdr>
      <w:divsChild>
        <w:div w:id="85924359">
          <w:marLeft w:val="640"/>
          <w:marRight w:val="0"/>
          <w:marTop w:val="0"/>
          <w:marBottom w:val="0"/>
          <w:divBdr>
            <w:top w:val="none" w:sz="0" w:space="0" w:color="auto"/>
            <w:left w:val="none" w:sz="0" w:space="0" w:color="auto"/>
            <w:bottom w:val="none" w:sz="0" w:space="0" w:color="auto"/>
            <w:right w:val="none" w:sz="0" w:space="0" w:color="auto"/>
          </w:divBdr>
        </w:div>
        <w:div w:id="534124184">
          <w:marLeft w:val="640"/>
          <w:marRight w:val="0"/>
          <w:marTop w:val="0"/>
          <w:marBottom w:val="0"/>
          <w:divBdr>
            <w:top w:val="none" w:sz="0" w:space="0" w:color="auto"/>
            <w:left w:val="none" w:sz="0" w:space="0" w:color="auto"/>
            <w:bottom w:val="none" w:sz="0" w:space="0" w:color="auto"/>
            <w:right w:val="none" w:sz="0" w:space="0" w:color="auto"/>
          </w:divBdr>
        </w:div>
        <w:div w:id="1117482124">
          <w:marLeft w:val="640"/>
          <w:marRight w:val="0"/>
          <w:marTop w:val="0"/>
          <w:marBottom w:val="0"/>
          <w:divBdr>
            <w:top w:val="none" w:sz="0" w:space="0" w:color="auto"/>
            <w:left w:val="none" w:sz="0" w:space="0" w:color="auto"/>
            <w:bottom w:val="none" w:sz="0" w:space="0" w:color="auto"/>
            <w:right w:val="none" w:sz="0" w:space="0" w:color="auto"/>
          </w:divBdr>
        </w:div>
        <w:div w:id="1862012871">
          <w:marLeft w:val="640"/>
          <w:marRight w:val="0"/>
          <w:marTop w:val="0"/>
          <w:marBottom w:val="0"/>
          <w:divBdr>
            <w:top w:val="none" w:sz="0" w:space="0" w:color="auto"/>
            <w:left w:val="none" w:sz="0" w:space="0" w:color="auto"/>
            <w:bottom w:val="none" w:sz="0" w:space="0" w:color="auto"/>
            <w:right w:val="none" w:sz="0" w:space="0" w:color="auto"/>
          </w:divBdr>
        </w:div>
      </w:divsChild>
    </w:div>
    <w:div w:id="1222714996">
      <w:bodyDiv w:val="1"/>
      <w:marLeft w:val="0"/>
      <w:marRight w:val="0"/>
      <w:marTop w:val="0"/>
      <w:marBottom w:val="0"/>
      <w:divBdr>
        <w:top w:val="none" w:sz="0" w:space="0" w:color="auto"/>
        <w:left w:val="none" w:sz="0" w:space="0" w:color="auto"/>
        <w:bottom w:val="none" w:sz="0" w:space="0" w:color="auto"/>
        <w:right w:val="none" w:sz="0" w:space="0" w:color="auto"/>
      </w:divBdr>
      <w:divsChild>
        <w:div w:id="1994528832">
          <w:marLeft w:val="640"/>
          <w:marRight w:val="0"/>
          <w:marTop w:val="0"/>
          <w:marBottom w:val="0"/>
          <w:divBdr>
            <w:top w:val="none" w:sz="0" w:space="0" w:color="auto"/>
            <w:left w:val="none" w:sz="0" w:space="0" w:color="auto"/>
            <w:bottom w:val="none" w:sz="0" w:space="0" w:color="auto"/>
            <w:right w:val="none" w:sz="0" w:space="0" w:color="auto"/>
          </w:divBdr>
        </w:div>
        <w:div w:id="1845318182">
          <w:marLeft w:val="640"/>
          <w:marRight w:val="0"/>
          <w:marTop w:val="0"/>
          <w:marBottom w:val="0"/>
          <w:divBdr>
            <w:top w:val="none" w:sz="0" w:space="0" w:color="auto"/>
            <w:left w:val="none" w:sz="0" w:space="0" w:color="auto"/>
            <w:bottom w:val="none" w:sz="0" w:space="0" w:color="auto"/>
            <w:right w:val="none" w:sz="0" w:space="0" w:color="auto"/>
          </w:divBdr>
        </w:div>
        <w:div w:id="657150667">
          <w:marLeft w:val="640"/>
          <w:marRight w:val="0"/>
          <w:marTop w:val="0"/>
          <w:marBottom w:val="0"/>
          <w:divBdr>
            <w:top w:val="none" w:sz="0" w:space="0" w:color="auto"/>
            <w:left w:val="none" w:sz="0" w:space="0" w:color="auto"/>
            <w:bottom w:val="none" w:sz="0" w:space="0" w:color="auto"/>
            <w:right w:val="none" w:sz="0" w:space="0" w:color="auto"/>
          </w:divBdr>
        </w:div>
        <w:div w:id="1764915673">
          <w:marLeft w:val="640"/>
          <w:marRight w:val="0"/>
          <w:marTop w:val="0"/>
          <w:marBottom w:val="0"/>
          <w:divBdr>
            <w:top w:val="none" w:sz="0" w:space="0" w:color="auto"/>
            <w:left w:val="none" w:sz="0" w:space="0" w:color="auto"/>
            <w:bottom w:val="none" w:sz="0" w:space="0" w:color="auto"/>
            <w:right w:val="none" w:sz="0" w:space="0" w:color="auto"/>
          </w:divBdr>
        </w:div>
        <w:div w:id="423188340">
          <w:marLeft w:val="640"/>
          <w:marRight w:val="0"/>
          <w:marTop w:val="0"/>
          <w:marBottom w:val="0"/>
          <w:divBdr>
            <w:top w:val="none" w:sz="0" w:space="0" w:color="auto"/>
            <w:left w:val="none" w:sz="0" w:space="0" w:color="auto"/>
            <w:bottom w:val="none" w:sz="0" w:space="0" w:color="auto"/>
            <w:right w:val="none" w:sz="0" w:space="0" w:color="auto"/>
          </w:divBdr>
        </w:div>
        <w:div w:id="561141033">
          <w:marLeft w:val="640"/>
          <w:marRight w:val="0"/>
          <w:marTop w:val="0"/>
          <w:marBottom w:val="0"/>
          <w:divBdr>
            <w:top w:val="none" w:sz="0" w:space="0" w:color="auto"/>
            <w:left w:val="none" w:sz="0" w:space="0" w:color="auto"/>
            <w:bottom w:val="none" w:sz="0" w:space="0" w:color="auto"/>
            <w:right w:val="none" w:sz="0" w:space="0" w:color="auto"/>
          </w:divBdr>
        </w:div>
        <w:div w:id="918904304">
          <w:marLeft w:val="640"/>
          <w:marRight w:val="0"/>
          <w:marTop w:val="0"/>
          <w:marBottom w:val="0"/>
          <w:divBdr>
            <w:top w:val="none" w:sz="0" w:space="0" w:color="auto"/>
            <w:left w:val="none" w:sz="0" w:space="0" w:color="auto"/>
            <w:bottom w:val="none" w:sz="0" w:space="0" w:color="auto"/>
            <w:right w:val="none" w:sz="0" w:space="0" w:color="auto"/>
          </w:divBdr>
        </w:div>
        <w:div w:id="1815680083">
          <w:marLeft w:val="640"/>
          <w:marRight w:val="0"/>
          <w:marTop w:val="0"/>
          <w:marBottom w:val="0"/>
          <w:divBdr>
            <w:top w:val="none" w:sz="0" w:space="0" w:color="auto"/>
            <w:left w:val="none" w:sz="0" w:space="0" w:color="auto"/>
            <w:bottom w:val="none" w:sz="0" w:space="0" w:color="auto"/>
            <w:right w:val="none" w:sz="0" w:space="0" w:color="auto"/>
          </w:divBdr>
        </w:div>
      </w:divsChild>
    </w:div>
    <w:div w:id="1254045393">
      <w:bodyDiv w:val="1"/>
      <w:marLeft w:val="0"/>
      <w:marRight w:val="0"/>
      <w:marTop w:val="0"/>
      <w:marBottom w:val="0"/>
      <w:divBdr>
        <w:top w:val="none" w:sz="0" w:space="0" w:color="auto"/>
        <w:left w:val="none" w:sz="0" w:space="0" w:color="auto"/>
        <w:bottom w:val="none" w:sz="0" w:space="0" w:color="auto"/>
        <w:right w:val="none" w:sz="0" w:space="0" w:color="auto"/>
      </w:divBdr>
      <w:divsChild>
        <w:div w:id="1631670243">
          <w:marLeft w:val="640"/>
          <w:marRight w:val="0"/>
          <w:marTop w:val="0"/>
          <w:marBottom w:val="0"/>
          <w:divBdr>
            <w:top w:val="none" w:sz="0" w:space="0" w:color="auto"/>
            <w:left w:val="none" w:sz="0" w:space="0" w:color="auto"/>
            <w:bottom w:val="none" w:sz="0" w:space="0" w:color="auto"/>
            <w:right w:val="none" w:sz="0" w:space="0" w:color="auto"/>
          </w:divBdr>
        </w:div>
        <w:div w:id="1503277662">
          <w:marLeft w:val="640"/>
          <w:marRight w:val="0"/>
          <w:marTop w:val="0"/>
          <w:marBottom w:val="0"/>
          <w:divBdr>
            <w:top w:val="none" w:sz="0" w:space="0" w:color="auto"/>
            <w:left w:val="none" w:sz="0" w:space="0" w:color="auto"/>
            <w:bottom w:val="none" w:sz="0" w:space="0" w:color="auto"/>
            <w:right w:val="none" w:sz="0" w:space="0" w:color="auto"/>
          </w:divBdr>
        </w:div>
      </w:divsChild>
    </w:div>
    <w:div w:id="1282112142">
      <w:bodyDiv w:val="1"/>
      <w:marLeft w:val="0"/>
      <w:marRight w:val="0"/>
      <w:marTop w:val="0"/>
      <w:marBottom w:val="0"/>
      <w:divBdr>
        <w:top w:val="none" w:sz="0" w:space="0" w:color="auto"/>
        <w:left w:val="none" w:sz="0" w:space="0" w:color="auto"/>
        <w:bottom w:val="none" w:sz="0" w:space="0" w:color="auto"/>
        <w:right w:val="none" w:sz="0" w:space="0" w:color="auto"/>
      </w:divBdr>
      <w:divsChild>
        <w:div w:id="1896307158">
          <w:marLeft w:val="640"/>
          <w:marRight w:val="0"/>
          <w:marTop w:val="0"/>
          <w:marBottom w:val="0"/>
          <w:divBdr>
            <w:top w:val="none" w:sz="0" w:space="0" w:color="auto"/>
            <w:left w:val="none" w:sz="0" w:space="0" w:color="auto"/>
            <w:bottom w:val="none" w:sz="0" w:space="0" w:color="auto"/>
            <w:right w:val="none" w:sz="0" w:space="0" w:color="auto"/>
          </w:divBdr>
        </w:div>
        <w:div w:id="2109496500">
          <w:marLeft w:val="640"/>
          <w:marRight w:val="0"/>
          <w:marTop w:val="0"/>
          <w:marBottom w:val="0"/>
          <w:divBdr>
            <w:top w:val="none" w:sz="0" w:space="0" w:color="auto"/>
            <w:left w:val="none" w:sz="0" w:space="0" w:color="auto"/>
            <w:bottom w:val="none" w:sz="0" w:space="0" w:color="auto"/>
            <w:right w:val="none" w:sz="0" w:space="0" w:color="auto"/>
          </w:divBdr>
        </w:div>
        <w:div w:id="281807273">
          <w:marLeft w:val="640"/>
          <w:marRight w:val="0"/>
          <w:marTop w:val="0"/>
          <w:marBottom w:val="0"/>
          <w:divBdr>
            <w:top w:val="none" w:sz="0" w:space="0" w:color="auto"/>
            <w:left w:val="none" w:sz="0" w:space="0" w:color="auto"/>
            <w:bottom w:val="none" w:sz="0" w:space="0" w:color="auto"/>
            <w:right w:val="none" w:sz="0" w:space="0" w:color="auto"/>
          </w:divBdr>
        </w:div>
        <w:div w:id="417865934">
          <w:marLeft w:val="640"/>
          <w:marRight w:val="0"/>
          <w:marTop w:val="0"/>
          <w:marBottom w:val="0"/>
          <w:divBdr>
            <w:top w:val="none" w:sz="0" w:space="0" w:color="auto"/>
            <w:left w:val="none" w:sz="0" w:space="0" w:color="auto"/>
            <w:bottom w:val="none" w:sz="0" w:space="0" w:color="auto"/>
            <w:right w:val="none" w:sz="0" w:space="0" w:color="auto"/>
          </w:divBdr>
        </w:div>
        <w:div w:id="15276972">
          <w:marLeft w:val="640"/>
          <w:marRight w:val="0"/>
          <w:marTop w:val="0"/>
          <w:marBottom w:val="0"/>
          <w:divBdr>
            <w:top w:val="none" w:sz="0" w:space="0" w:color="auto"/>
            <w:left w:val="none" w:sz="0" w:space="0" w:color="auto"/>
            <w:bottom w:val="none" w:sz="0" w:space="0" w:color="auto"/>
            <w:right w:val="none" w:sz="0" w:space="0" w:color="auto"/>
          </w:divBdr>
        </w:div>
        <w:div w:id="903180211">
          <w:marLeft w:val="640"/>
          <w:marRight w:val="0"/>
          <w:marTop w:val="0"/>
          <w:marBottom w:val="0"/>
          <w:divBdr>
            <w:top w:val="none" w:sz="0" w:space="0" w:color="auto"/>
            <w:left w:val="none" w:sz="0" w:space="0" w:color="auto"/>
            <w:bottom w:val="none" w:sz="0" w:space="0" w:color="auto"/>
            <w:right w:val="none" w:sz="0" w:space="0" w:color="auto"/>
          </w:divBdr>
        </w:div>
        <w:div w:id="1507748446">
          <w:marLeft w:val="640"/>
          <w:marRight w:val="0"/>
          <w:marTop w:val="0"/>
          <w:marBottom w:val="0"/>
          <w:divBdr>
            <w:top w:val="none" w:sz="0" w:space="0" w:color="auto"/>
            <w:left w:val="none" w:sz="0" w:space="0" w:color="auto"/>
            <w:bottom w:val="none" w:sz="0" w:space="0" w:color="auto"/>
            <w:right w:val="none" w:sz="0" w:space="0" w:color="auto"/>
          </w:divBdr>
        </w:div>
      </w:divsChild>
    </w:div>
    <w:div w:id="1287470421">
      <w:bodyDiv w:val="1"/>
      <w:marLeft w:val="0"/>
      <w:marRight w:val="0"/>
      <w:marTop w:val="0"/>
      <w:marBottom w:val="0"/>
      <w:divBdr>
        <w:top w:val="none" w:sz="0" w:space="0" w:color="auto"/>
        <w:left w:val="none" w:sz="0" w:space="0" w:color="auto"/>
        <w:bottom w:val="none" w:sz="0" w:space="0" w:color="auto"/>
        <w:right w:val="none" w:sz="0" w:space="0" w:color="auto"/>
      </w:divBdr>
      <w:divsChild>
        <w:div w:id="1421025642">
          <w:marLeft w:val="640"/>
          <w:marRight w:val="0"/>
          <w:marTop w:val="0"/>
          <w:marBottom w:val="0"/>
          <w:divBdr>
            <w:top w:val="none" w:sz="0" w:space="0" w:color="auto"/>
            <w:left w:val="none" w:sz="0" w:space="0" w:color="auto"/>
            <w:bottom w:val="none" w:sz="0" w:space="0" w:color="auto"/>
            <w:right w:val="none" w:sz="0" w:space="0" w:color="auto"/>
          </w:divBdr>
        </w:div>
        <w:div w:id="1992367037">
          <w:marLeft w:val="640"/>
          <w:marRight w:val="0"/>
          <w:marTop w:val="0"/>
          <w:marBottom w:val="0"/>
          <w:divBdr>
            <w:top w:val="none" w:sz="0" w:space="0" w:color="auto"/>
            <w:left w:val="none" w:sz="0" w:space="0" w:color="auto"/>
            <w:bottom w:val="none" w:sz="0" w:space="0" w:color="auto"/>
            <w:right w:val="none" w:sz="0" w:space="0" w:color="auto"/>
          </w:divBdr>
        </w:div>
        <w:div w:id="1116296506">
          <w:marLeft w:val="640"/>
          <w:marRight w:val="0"/>
          <w:marTop w:val="0"/>
          <w:marBottom w:val="0"/>
          <w:divBdr>
            <w:top w:val="none" w:sz="0" w:space="0" w:color="auto"/>
            <w:left w:val="none" w:sz="0" w:space="0" w:color="auto"/>
            <w:bottom w:val="none" w:sz="0" w:space="0" w:color="auto"/>
            <w:right w:val="none" w:sz="0" w:space="0" w:color="auto"/>
          </w:divBdr>
        </w:div>
        <w:div w:id="831681994">
          <w:marLeft w:val="640"/>
          <w:marRight w:val="0"/>
          <w:marTop w:val="0"/>
          <w:marBottom w:val="0"/>
          <w:divBdr>
            <w:top w:val="none" w:sz="0" w:space="0" w:color="auto"/>
            <w:left w:val="none" w:sz="0" w:space="0" w:color="auto"/>
            <w:bottom w:val="none" w:sz="0" w:space="0" w:color="auto"/>
            <w:right w:val="none" w:sz="0" w:space="0" w:color="auto"/>
          </w:divBdr>
        </w:div>
        <w:div w:id="1598053501">
          <w:marLeft w:val="640"/>
          <w:marRight w:val="0"/>
          <w:marTop w:val="0"/>
          <w:marBottom w:val="0"/>
          <w:divBdr>
            <w:top w:val="none" w:sz="0" w:space="0" w:color="auto"/>
            <w:left w:val="none" w:sz="0" w:space="0" w:color="auto"/>
            <w:bottom w:val="none" w:sz="0" w:space="0" w:color="auto"/>
            <w:right w:val="none" w:sz="0" w:space="0" w:color="auto"/>
          </w:divBdr>
        </w:div>
        <w:div w:id="1553535354">
          <w:marLeft w:val="640"/>
          <w:marRight w:val="0"/>
          <w:marTop w:val="0"/>
          <w:marBottom w:val="0"/>
          <w:divBdr>
            <w:top w:val="none" w:sz="0" w:space="0" w:color="auto"/>
            <w:left w:val="none" w:sz="0" w:space="0" w:color="auto"/>
            <w:bottom w:val="none" w:sz="0" w:space="0" w:color="auto"/>
            <w:right w:val="none" w:sz="0" w:space="0" w:color="auto"/>
          </w:divBdr>
        </w:div>
        <w:div w:id="149520108">
          <w:marLeft w:val="640"/>
          <w:marRight w:val="0"/>
          <w:marTop w:val="0"/>
          <w:marBottom w:val="0"/>
          <w:divBdr>
            <w:top w:val="none" w:sz="0" w:space="0" w:color="auto"/>
            <w:left w:val="none" w:sz="0" w:space="0" w:color="auto"/>
            <w:bottom w:val="none" w:sz="0" w:space="0" w:color="auto"/>
            <w:right w:val="none" w:sz="0" w:space="0" w:color="auto"/>
          </w:divBdr>
        </w:div>
      </w:divsChild>
    </w:div>
    <w:div w:id="1307247104">
      <w:bodyDiv w:val="1"/>
      <w:marLeft w:val="0"/>
      <w:marRight w:val="0"/>
      <w:marTop w:val="0"/>
      <w:marBottom w:val="0"/>
      <w:divBdr>
        <w:top w:val="none" w:sz="0" w:space="0" w:color="auto"/>
        <w:left w:val="none" w:sz="0" w:space="0" w:color="auto"/>
        <w:bottom w:val="none" w:sz="0" w:space="0" w:color="auto"/>
        <w:right w:val="none" w:sz="0" w:space="0" w:color="auto"/>
      </w:divBdr>
      <w:divsChild>
        <w:div w:id="340006830">
          <w:marLeft w:val="640"/>
          <w:marRight w:val="0"/>
          <w:marTop w:val="0"/>
          <w:marBottom w:val="0"/>
          <w:divBdr>
            <w:top w:val="none" w:sz="0" w:space="0" w:color="auto"/>
            <w:left w:val="none" w:sz="0" w:space="0" w:color="auto"/>
            <w:bottom w:val="none" w:sz="0" w:space="0" w:color="auto"/>
            <w:right w:val="none" w:sz="0" w:space="0" w:color="auto"/>
          </w:divBdr>
        </w:div>
        <w:div w:id="1966620052">
          <w:marLeft w:val="640"/>
          <w:marRight w:val="0"/>
          <w:marTop w:val="0"/>
          <w:marBottom w:val="0"/>
          <w:divBdr>
            <w:top w:val="none" w:sz="0" w:space="0" w:color="auto"/>
            <w:left w:val="none" w:sz="0" w:space="0" w:color="auto"/>
            <w:bottom w:val="none" w:sz="0" w:space="0" w:color="auto"/>
            <w:right w:val="none" w:sz="0" w:space="0" w:color="auto"/>
          </w:divBdr>
        </w:div>
        <w:div w:id="2033073493">
          <w:marLeft w:val="640"/>
          <w:marRight w:val="0"/>
          <w:marTop w:val="0"/>
          <w:marBottom w:val="0"/>
          <w:divBdr>
            <w:top w:val="none" w:sz="0" w:space="0" w:color="auto"/>
            <w:left w:val="none" w:sz="0" w:space="0" w:color="auto"/>
            <w:bottom w:val="none" w:sz="0" w:space="0" w:color="auto"/>
            <w:right w:val="none" w:sz="0" w:space="0" w:color="auto"/>
          </w:divBdr>
        </w:div>
        <w:div w:id="2064399185">
          <w:marLeft w:val="640"/>
          <w:marRight w:val="0"/>
          <w:marTop w:val="0"/>
          <w:marBottom w:val="0"/>
          <w:divBdr>
            <w:top w:val="none" w:sz="0" w:space="0" w:color="auto"/>
            <w:left w:val="none" w:sz="0" w:space="0" w:color="auto"/>
            <w:bottom w:val="none" w:sz="0" w:space="0" w:color="auto"/>
            <w:right w:val="none" w:sz="0" w:space="0" w:color="auto"/>
          </w:divBdr>
        </w:div>
        <w:div w:id="635141957">
          <w:marLeft w:val="640"/>
          <w:marRight w:val="0"/>
          <w:marTop w:val="0"/>
          <w:marBottom w:val="0"/>
          <w:divBdr>
            <w:top w:val="none" w:sz="0" w:space="0" w:color="auto"/>
            <w:left w:val="none" w:sz="0" w:space="0" w:color="auto"/>
            <w:bottom w:val="none" w:sz="0" w:space="0" w:color="auto"/>
            <w:right w:val="none" w:sz="0" w:space="0" w:color="auto"/>
          </w:divBdr>
        </w:div>
        <w:div w:id="685904460">
          <w:marLeft w:val="640"/>
          <w:marRight w:val="0"/>
          <w:marTop w:val="0"/>
          <w:marBottom w:val="0"/>
          <w:divBdr>
            <w:top w:val="none" w:sz="0" w:space="0" w:color="auto"/>
            <w:left w:val="none" w:sz="0" w:space="0" w:color="auto"/>
            <w:bottom w:val="none" w:sz="0" w:space="0" w:color="auto"/>
            <w:right w:val="none" w:sz="0" w:space="0" w:color="auto"/>
          </w:divBdr>
        </w:div>
        <w:div w:id="181014725">
          <w:marLeft w:val="640"/>
          <w:marRight w:val="0"/>
          <w:marTop w:val="0"/>
          <w:marBottom w:val="0"/>
          <w:divBdr>
            <w:top w:val="none" w:sz="0" w:space="0" w:color="auto"/>
            <w:left w:val="none" w:sz="0" w:space="0" w:color="auto"/>
            <w:bottom w:val="none" w:sz="0" w:space="0" w:color="auto"/>
            <w:right w:val="none" w:sz="0" w:space="0" w:color="auto"/>
          </w:divBdr>
        </w:div>
        <w:div w:id="1358769471">
          <w:marLeft w:val="640"/>
          <w:marRight w:val="0"/>
          <w:marTop w:val="0"/>
          <w:marBottom w:val="0"/>
          <w:divBdr>
            <w:top w:val="none" w:sz="0" w:space="0" w:color="auto"/>
            <w:left w:val="none" w:sz="0" w:space="0" w:color="auto"/>
            <w:bottom w:val="none" w:sz="0" w:space="0" w:color="auto"/>
            <w:right w:val="none" w:sz="0" w:space="0" w:color="auto"/>
          </w:divBdr>
        </w:div>
        <w:div w:id="1390566542">
          <w:marLeft w:val="640"/>
          <w:marRight w:val="0"/>
          <w:marTop w:val="0"/>
          <w:marBottom w:val="0"/>
          <w:divBdr>
            <w:top w:val="none" w:sz="0" w:space="0" w:color="auto"/>
            <w:left w:val="none" w:sz="0" w:space="0" w:color="auto"/>
            <w:bottom w:val="none" w:sz="0" w:space="0" w:color="auto"/>
            <w:right w:val="none" w:sz="0" w:space="0" w:color="auto"/>
          </w:divBdr>
        </w:div>
        <w:div w:id="1573660514">
          <w:marLeft w:val="640"/>
          <w:marRight w:val="0"/>
          <w:marTop w:val="0"/>
          <w:marBottom w:val="0"/>
          <w:divBdr>
            <w:top w:val="none" w:sz="0" w:space="0" w:color="auto"/>
            <w:left w:val="none" w:sz="0" w:space="0" w:color="auto"/>
            <w:bottom w:val="none" w:sz="0" w:space="0" w:color="auto"/>
            <w:right w:val="none" w:sz="0" w:space="0" w:color="auto"/>
          </w:divBdr>
        </w:div>
        <w:div w:id="1932278664">
          <w:marLeft w:val="640"/>
          <w:marRight w:val="0"/>
          <w:marTop w:val="0"/>
          <w:marBottom w:val="0"/>
          <w:divBdr>
            <w:top w:val="none" w:sz="0" w:space="0" w:color="auto"/>
            <w:left w:val="none" w:sz="0" w:space="0" w:color="auto"/>
            <w:bottom w:val="none" w:sz="0" w:space="0" w:color="auto"/>
            <w:right w:val="none" w:sz="0" w:space="0" w:color="auto"/>
          </w:divBdr>
        </w:div>
        <w:div w:id="1511993554">
          <w:marLeft w:val="640"/>
          <w:marRight w:val="0"/>
          <w:marTop w:val="0"/>
          <w:marBottom w:val="0"/>
          <w:divBdr>
            <w:top w:val="none" w:sz="0" w:space="0" w:color="auto"/>
            <w:left w:val="none" w:sz="0" w:space="0" w:color="auto"/>
            <w:bottom w:val="none" w:sz="0" w:space="0" w:color="auto"/>
            <w:right w:val="none" w:sz="0" w:space="0" w:color="auto"/>
          </w:divBdr>
        </w:div>
        <w:div w:id="228349746">
          <w:marLeft w:val="640"/>
          <w:marRight w:val="0"/>
          <w:marTop w:val="0"/>
          <w:marBottom w:val="0"/>
          <w:divBdr>
            <w:top w:val="none" w:sz="0" w:space="0" w:color="auto"/>
            <w:left w:val="none" w:sz="0" w:space="0" w:color="auto"/>
            <w:bottom w:val="none" w:sz="0" w:space="0" w:color="auto"/>
            <w:right w:val="none" w:sz="0" w:space="0" w:color="auto"/>
          </w:divBdr>
        </w:div>
      </w:divsChild>
    </w:div>
    <w:div w:id="1337922190">
      <w:bodyDiv w:val="1"/>
      <w:marLeft w:val="0"/>
      <w:marRight w:val="0"/>
      <w:marTop w:val="0"/>
      <w:marBottom w:val="0"/>
      <w:divBdr>
        <w:top w:val="none" w:sz="0" w:space="0" w:color="auto"/>
        <w:left w:val="none" w:sz="0" w:space="0" w:color="auto"/>
        <w:bottom w:val="none" w:sz="0" w:space="0" w:color="auto"/>
        <w:right w:val="none" w:sz="0" w:space="0" w:color="auto"/>
      </w:divBdr>
      <w:divsChild>
        <w:div w:id="1137718311">
          <w:marLeft w:val="640"/>
          <w:marRight w:val="0"/>
          <w:marTop w:val="0"/>
          <w:marBottom w:val="0"/>
          <w:divBdr>
            <w:top w:val="none" w:sz="0" w:space="0" w:color="auto"/>
            <w:left w:val="none" w:sz="0" w:space="0" w:color="auto"/>
            <w:bottom w:val="none" w:sz="0" w:space="0" w:color="auto"/>
            <w:right w:val="none" w:sz="0" w:space="0" w:color="auto"/>
          </w:divBdr>
        </w:div>
        <w:div w:id="1606885302">
          <w:marLeft w:val="640"/>
          <w:marRight w:val="0"/>
          <w:marTop w:val="0"/>
          <w:marBottom w:val="0"/>
          <w:divBdr>
            <w:top w:val="none" w:sz="0" w:space="0" w:color="auto"/>
            <w:left w:val="none" w:sz="0" w:space="0" w:color="auto"/>
            <w:bottom w:val="none" w:sz="0" w:space="0" w:color="auto"/>
            <w:right w:val="none" w:sz="0" w:space="0" w:color="auto"/>
          </w:divBdr>
        </w:div>
        <w:div w:id="253518439">
          <w:marLeft w:val="640"/>
          <w:marRight w:val="0"/>
          <w:marTop w:val="0"/>
          <w:marBottom w:val="0"/>
          <w:divBdr>
            <w:top w:val="none" w:sz="0" w:space="0" w:color="auto"/>
            <w:left w:val="none" w:sz="0" w:space="0" w:color="auto"/>
            <w:bottom w:val="none" w:sz="0" w:space="0" w:color="auto"/>
            <w:right w:val="none" w:sz="0" w:space="0" w:color="auto"/>
          </w:divBdr>
        </w:div>
        <w:div w:id="798961153">
          <w:marLeft w:val="640"/>
          <w:marRight w:val="0"/>
          <w:marTop w:val="0"/>
          <w:marBottom w:val="0"/>
          <w:divBdr>
            <w:top w:val="none" w:sz="0" w:space="0" w:color="auto"/>
            <w:left w:val="none" w:sz="0" w:space="0" w:color="auto"/>
            <w:bottom w:val="none" w:sz="0" w:space="0" w:color="auto"/>
            <w:right w:val="none" w:sz="0" w:space="0" w:color="auto"/>
          </w:divBdr>
        </w:div>
        <w:div w:id="2024627732">
          <w:marLeft w:val="640"/>
          <w:marRight w:val="0"/>
          <w:marTop w:val="0"/>
          <w:marBottom w:val="0"/>
          <w:divBdr>
            <w:top w:val="none" w:sz="0" w:space="0" w:color="auto"/>
            <w:left w:val="none" w:sz="0" w:space="0" w:color="auto"/>
            <w:bottom w:val="none" w:sz="0" w:space="0" w:color="auto"/>
            <w:right w:val="none" w:sz="0" w:space="0" w:color="auto"/>
          </w:divBdr>
        </w:div>
        <w:div w:id="1203785154">
          <w:marLeft w:val="640"/>
          <w:marRight w:val="0"/>
          <w:marTop w:val="0"/>
          <w:marBottom w:val="0"/>
          <w:divBdr>
            <w:top w:val="none" w:sz="0" w:space="0" w:color="auto"/>
            <w:left w:val="none" w:sz="0" w:space="0" w:color="auto"/>
            <w:bottom w:val="none" w:sz="0" w:space="0" w:color="auto"/>
            <w:right w:val="none" w:sz="0" w:space="0" w:color="auto"/>
          </w:divBdr>
        </w:div>
        <w:div w:id="656687977">
          <w:marLeft w:val="640"/>
          <w:marRight w:val="0"/>
          <w:marTop w:val="0"/>
          <w:marBottom w:val="0"/>
          <w:divBdr>
            <w:top w:val="none" w:sz="0" w:space="0" w:color="auto"/>
            <w:left w:val="none" w:sz="0" w:space="0" w:color="auto"/>
            <w:bottom w:val="none" w:sz="0" w:space="0" w:color="auto"/>
            <w:right w:val="none" w:sz="0" w:space="0" w:color="auto"/>
          </w:divBdr>
        </w:div>
        <w:div w:id="639311286">
          <w:marLeft w:val="640"/>
          <w:marRight w:val="0"/>
          <w:marTop w:val="0"/>
          <w:marBottom w:val="0"/>
          <w:divBdr>
            <w:top w:val="none" w:sz="0" w:space="0" w:color="auto"/>
            <w:left w:val="none" w:sz="0" w:space="0" w:color="auto"/>
            <w:bottom w:val="none" w:sz="0" w:space="0" w:color="auto"/>
            <w:right w:val="none" w:sz="0" w:space="0" w:color="auto"/>
          </w:divBdr>
        </w:div>
      </w:divsChild>
    </w:div>
    <w:div w:id="1343048131">
      <w:bodyDiv w:val="1"/>
      <w:marLeft w:val="0"/>
      <w:marRight w:val="0"/>
      <w:marTop w:val="0"/>
      <w:marBottom w:val="0"/>
      <w:divBdr>
        <w:top w:val="none" w:sz="0" w:space="0" w:color="auto"/>
        <w:left w:val="none" w:sz="0" w:space="0" w:color="auto"/>
        <w:bottom w:val="none" w:sz="0" w:space="0" w:color="auto"/>
        <w:right w:val="none" w:sz="0" w:space="0" w:color="auto"/>
      </w:divBdr>
      <w:divsChild>
        <w:div w:id="796678399">
          <w:marLeft w:val="640"/>
          <w:marRight w:val="0"/>
          <w:marTop w:val="0"/>
          <w:marBottom w:val="0"/>
          <w:divBdr>
            <w:top w:val="none" w:sz="0" w:space="0" w:color="auto"/>
            <w:left w:val="none" w:sz="0" w:space="0" w:color="auto"/>
            <w:bottom w:val="none" w:sz="0" w:space="0" w:color="auto"/>
            <w:right w:val="none" w:sz="0" w:space="0" w:color="auto"/>
          </w:divBdr>
        </w:div>
      </w:divsChild>
    </w:div>
    <w:div w:id="1350370314">
      <w:bodyDiv w:val="1"/>
      <w:marLeft w:val="0"/>
      <w:marRight w:val="0"/>
      <w:marTop w:val="0"/>
      <w:marBottom w:val="0"/>
      <w:divBdr>
        <w:top w:val="none" w:sz="0" w:space="0" w:color="auto"/>
        <w:left w:val="none" w:sz="0" w:space="0" w:color="auto"/>
        <w:bottom w:val="none" w:sz="0" w:space="0" w:color="auto"/>
        <w:right w:val="none" w:sz="0" w:space="0" w:color="auto"/>
      </w:divBdr>
      <w:divsChild>
        <w:div w:id="1504324296">
          <w:marLeft w:val="640"/>
          <w:marRight w:val="0"/>
          <w:marTop w:val="0"/>
          <w:marBottom w:val="0"/>
          <w:divBdr>
            <w:top w:val="none" w:sz="0" w:space="0" w:color="auto"/>
            <w:left w:val="none" w:sz="0" w:space="0" w:color="auto"/>
            <w:bottom w:val="none" w:sz="0" w:space="0" w:color="auto"/>
            <w:right w:val="none" w:sz="0" w:space="0" w:color="auto"/>
          </w:divBdr>
        </w:div>
        <w:div w:id="1170021010">
          <w:marLeft w:val="640"/>
          <w:marRight w:val="0"/>
          <w:marTop w:val="0"/>
          <w:marBottom w:val="0"/>
          <w:divBdr>
            <w:top w:val="none" w:sz="0" w:space="0" w:color="auto"/>
            <w:left w:val="none" w:sz="0" w:space="0" w:color="auto"/>
            <w:bottom w:val="none" w:sz="0" w:space="0" w:color="auto"/>
            <w:right w:val="none" w:sz="0" w:space="0" w:color="auto"/>
          </w:divBdr>
        </w:div>
      </w:divsChild>
    </w:div>
    <w:div w:id="1355496237">
      <w:bodyDiv w:val="1"/>
      <w:marLeft w:val="0"/>
      <w:marRight w:val="0"/>
      <w:marTop w:val="0"/>
      <w:marBottom w:val="0"/>
      <w:divBdr>
        <w:top w:val="none" w:sz="0" w:space="0" w:color="auto"/>
        <w:left w:val="none" w:sz="0" w:space="0" w:color="auto"/>
        <w:bottom w:val="none" w:sz="0" w:space="0" w:color="auto"/>
        <w:right w:val="none" w:sz="0" w:space="0" w:color="auto"/>
      </w:divBdr>
      <w:divsChild>
        <w:div w:id="1535575939">
          <w:marLeft w:val="640"/>
          <w:marRight w:val="0"/>
          <w:marTop w:val="0"/>
          <w:marBottom w:val="0"/>
          <w:divBdr>
            <w:top w:val="none" w:sz="0" w:space="0" w:color="auto"/>
            <w:left w:val="none" w:sz="0" w:space="0" w:color="auto"/>
            <w:bottom w:val="none" w:sz="0" w:space="0" w:color="auto"/>
            <w:right w:val="none" w:sz="0" w:space="0" w:color="auto"/>
          </w:divBdr>
        </w:div>
        <w:div w:id="795178374">
          <w:marLeft w:val="640"/>
          <w:marRight w:val="0"/>
          <w:marTop w:val="0"/>
          <w:marBottom w:val="0"/>
          <w:divBdr>
            <w:top w:val="none" w:sz="0" w:space="0" w:color="auto"/>
            <w:left w:val="none" w:sz="0" w:space="0" w:color="auto"/>
            <w:bottom w:val="none" w:sz="0" w:space="0" w:color="auto"/>
            <w:right w:val="none" w:sz="0" w:space="0" w:color="auto"/>
          </w:divBdr>
        </w:div>
      </w:divsChild>
    </w:div>
    <w:div w:id="1360668975">
      <w:bodyDiv w:val="1"/>
      <w:marLeft w:val="0"/>
      <w:marRight w:val="0"/>
      <w:marTop w:val="0"/>
      <w:marBottom w:val="0"/>
      <w:divBdr>
        <w:top w:val="none" w:sz="0" w:space="0" w:color="auto"/>
        <w:left w:val="none" w:sz="0" w:space="0" w:color="auto"/>
        <w:bottom w:val="none" w:sz="0" w:space="0" w:color="auto"/>
        <w:right w:val="none" w:sz="0" w:space="0" w:color="auto"/>
      </w:divBdr>
      <w:divsChild>
        <w:div w:id="1164005085">
          <w:marLeft w:val="640"/>
          <w:marRight w:val="0"/>
          <w:marTop w:val="0"/>
          <w:marBottom w:val="0"/>
          <w:divBdr>
            <w:top w:val="none" w:sz="0" w:space="0" w:color="auto"/>
            <w:left w:val="none" w:sz="0" w:space="0" w:color="auto"/>
            <w:bottom w:val="none" w:sz="0" w:space="0" w:color="auto"/>
            <w:right w:val="none" w:sz="0" w:space="0" w:color="auto"/>
          </w:divBdr>
        </w:div>
        <w:div w:id="612593676">
          <w:marLeft w:val="640"/>
          <w:marRight w:val="0"/>
          <w:marTop w:val="0"/>
          <w:marBottom w:val="0"/>
          <w:divBdr>
            <w:top w:val="none" w:sz="0" w:space="0" w:color="auto"/>
            <w:left w:val="none" w:sz="0" w:space="0" w:color="auto"/>
            <w:bottom w:val="none" w:sz="0" w:space="0" w:color="auto"/>
            <w:right w:val="none" w:sz="0" w:space="0" w:color="auto"/>
          </w:divBdr>
        </w:div>
        <w:div w:id="685059620">
          <w:marLeft w:val="640"/>
          <w:marRight w:val="0"/>
          <w:marTop w:val="0"/>
          <w:marBottom w:val="0"/>
          <w:divBdr>
            <w:top w:val="none" w:sz="0" w:space="0" w:color="auto"/>
            <w:left w:val="none" w:sz="0" w:space="0" w:color="auto"/>
            <w:bottom w:val="none" w:sz="0" w:space="0" w:color="auto"/>
            <w:right w:val="none" w:sz="0" w:space="0" w:color="auto"/>
          </w:divBdr>
        </w:div>
        <w:div w:id="826166664">
          <w:marLeft w:val="640"/>
          <w:marRight w:val="0"/>
          <w:marTop w:val="0"/>
          <w:marBottom w:val="0"/>
          <w:divBdr>
            <w:top w:val="none" w:sz="0" w:space="0" w:color="auto"/>
            <w:left w:val="none" w:sz="0" w:space="0" w:color="auto"/>
            <w:bottom w:val="none" w:sz="0" w:space="0" w:color="auto"/>
            <w:right w:val="none" w:sz="0" w:space="0" w:color="auto"/>
          </w:divBdr>
        </w:div>
        <w:div w:id="1806580644">
          <w:marLeft w:val="640"/>
          <w:marRight w:val="0"/>
          <w:marTop w:val="0"/>
          <w:marBottom w:val="0"/>
          <w:divBdr>
            <w:top w:val="none" w:sz="0" w:space="0" w:color="auto"/>
            <w:left w:val="none" w:sz="0" w:space="0" w:color="auto"/>
            <w:bottom w:val="none" w:sz="0" w:space="0" w:color="auto"/>
            <w:right w:val="none" w:sz="0" w:space="0" w:color="auto"/>
          </w:divBdr>
        </w:div>
        <w:div w:id="218786651">
          <w:marLeft w:val="640"/>
          <w:marRight w:val="0"/>
          <w:marTop w:val="0"/>
          <w:marBottom w:val="0"/>
          <w:divBdr>
            <w:top w:val="none" w:sz="0" w:space="0" w:color="auto"/>
            <w:left w:val="none" w:sz="0" w:space="0" w:color="auto"/>
            <w:bottom w:val="none" w:sz="0" w:space="0" w:color="auto"/>
            <w:right w:val="none" w:sz="0" w:space="0" w:color="auto"/>
          </w:divBdr>
        </w:div>
        <w:div w:id="713577872">
          <w:marLeft w:val="640"/>
          <w:marRight w:val="0"/>
          <w:marTop w:val="0"/>
          <w:marBottom w:val="0"/>
          <w:divBdr>
            <w:top w:val="none" w:sz="0" w:space="0" w:color="auto"/>
            <w:left w:val="none" w:sz="0" w:space="0" w:color="auto"/>
            <w:bottom w:val="none" w:sz="0" w:space="0" w:color="auto"/>
            <w:right w:val="none" w:sz="0" w:space="0" w:color="auto"/>
          </w:divBdr>
        </w:div>
        <w:div w:id="469979201">
          <w:marLeft w:val="640"/>
          <w:marRight w:val="0"/>
          <w:marTop w:val="0"/>
          <w:marBottom w:val="0"/>
          <w:divBdr>
            <w:top w:val="none" w:sz="0" w:space="0" w:color="auto"/>
            <w:left w:val="none" w:sz="0" w:space="0" w:color="auto"/>
            <w:bottom w:val="none" w:sz="0" w:space="0" w:color="auto"/>
            <w:right w:val="none" w:sz="0" w:space="0" w:color="auto"/>
          </w:divBdr>
        </w:div>
        <w:div w:id="1804152049">
          <w:marLeft w:val="640"/>
          <w:marRight w:val="0"/>
          <w:marTop w:val="0"/>
          <w:marBottom w:val="0"/>
          <w:divBdr>
            <w:top w:val="none" w:sz="0" w:space="0" w:color="auto"/>
            <w:left w:val="none" w:sz="0" w:space="0" w:color="auto"/>
            <w:bottom w:val="none" w:sz="0" w:space="0" w:color="auto"/>
            <w:right w:val="none" w:sz="0" w:space="0" w:color="auto"/>
          </w:divBdr>
        </w:div>
        <w:div w:id="1005521825">
          <w:marLeft w:val="640"/>
          <w:marRight w:val="0"/>
          <w:marTop w:val="0"/>
          <w:marBottom w:val="0"/>
          <w:divBdr>
            <w:top w:val="none" w:sz="0" w:space="0" w:color="auto"/>
            <w:left w:val="none" w:sz="0" w:space="0" w:color="auto"/>
            <w:bottom w:val="none" w:sz="0" w:space="0" w:color="auto"/>
            <w:right w:val="none" w:sz="0" w:space="0" w:color="auto"/>
          </w:divBdr>
        </w:div>
        <w:div w:id="645012229">
          <w:marLeft w:val="640"/>
          <w:marRight w:val="0"/>
          <w:marTop w:val="0"/>
          <w:marBottom w:val="0"/>
          <w:divBdr>
            <w:top w:val="none" w:sz="0" w:space="0" w:color="auto"/>
            <w:left w:val="none" w:sz="0" w:space="0" w:color="auto"/>
            <w:bottom w:val="none" w:sz="0" w:space="0" w:color="auto"/>
            <w:right w:val="none" w:sz="0" w:space="0" w:color="auto"/>
          </w:divBdr>
        </w:div>
        <w:div w:id="282854167">
          <w:marLeft w:val="640"/>
          <w:marRight w:val="0"/>
          <w:marTop w:val="0"/>
          <w:marBottom w:val="0"/>
          <w:divBdr>
            <w:top w:val="none" w:sz="0" w:space="0" w:color="auto"/>
            <w:left w:val="none" w:sz="0" w:space="0" w:color="auto"/>
            <w:bottom w:val="none" w:sz="0" w:space="0" w:color="auto"/>
            <w:right w:val="none" w:sz="0" w:space="0" w:color="auto"/>
          </w:divBdr>
        </w:div>
        <w:div w:id="121657050">
          <w:marLeft w:val="640"/>
          <w:marRight w:val="0"/>
          <w:marTop w:val="0"/>
          <w:marBottom w:val="0"/>
          <w:divBdr>
            <w:top w:val="none" w:sz="0" w:space="0" w:color="auto"/>
            <w:left w:val="none" w:sz="0" w:space="0" w:color="auto"/>
            <w:bottom w:val="none" w:sz="0" w:space="0" w:color="auto"/>
            <w:right w:val="none" w:sz="0" w:space="0" w:color="auto"/>
          </w:divBdr>
        </w:div>
        <w:div w:id="259342409">
          <w:marLeft w:val="640"/>
          <w:marRight w:val="0"/>
          <w:marTop w:val="0"/>
          <w:marBottom w:val="0"/>
          <w:divBdr>
            <w:top w:val="none" w:sz="0" w:space="0" w:color="auto"/>
            <w:left w:val="none" w:sz="0" w:space="0" w:color="auto"/>
            <w:bottom w:val="none" w:sz="0" w:space="0" w:color="auto"/>
            <w:right w:val="none" w:sz="0" w:space="0" w:color="auto"/>
          </w:divBdr>
        </w:div>
      </w:divsChild>
    </w:div>
    <w:div w:id="1366832476">
      <w:bodyDiv w:val="1"/>
      <w:marLeft w:val="0"/>
      <w:marRight w:val="0"/>
      <w:marTop w:val="0"/>
      <w:marBottom w:val="0"/>
      <w:divBdr>
        <w:top w:val="none" w:sz="0" w:space="0" w:color="auto"/>
        <w:left w:val="none" w:sz="0" w:space="0" w:color="auto"/>
        <w:bottom w:val="none" w:sz="0" w:space="0" w:color="auto"/>
        <w:right w:val="none" w:sz="0" w:space="0" w:color="auto"/>
      </w:divBdr>
      <w:divsChild>
        <w:div w:id="616453190">
          <w:marLeft w:val="640"/>
          <w:marRight w:val="0"/>
          <w:marTop w:val="0"/>
          <w:marBottom w:val="0"/>
          <w:divBdr>
            <w:top w:val="none" w:sz="0" w:space="0" w:color="auto"/>
            <w:left w:val="none" w:sz="0" w:space="0" w:color="auto"/>
            <w:bottom w:val="none" w:sz="0" w:space="0" w:color="auto"/>
            <w:right w:val="none" w:sz="0" w:space="0" w:color="auto"/>
          </w:divBdr>
        </w:div>
        <w:div w:id="439302127">
          <w:marLeft w:val="640"/>
          <w:marRight w:val="0"/>
          <w:marTop w:val="0"/>
          <w:marBottom w:val="0"/>
          <w:divBdr>
            <w:top w:val="none" w:sz="0" w:space="0" w:color="auto"/>
            <w:left w:val="none" w:sz="0" w:space="0" w:color="auto"/>
            <w:bottom w:val="none" w:sz="0" w:space="0" w:color="auto"/>
            <w:right w:val="none" w:sz="0" w:space="0" w:color="auto"/>
          </w:divBdr>
        </w:div>
      </w:divsChild>
    </w:div>
    <w:div w:id="1396513019">
      <w:bodyDiv w:val="1"/>
      <w:marLeft w:val="0"/>
      <w:marRight w:val="0"/>
      <w:marTop w:val="0"/>
      <w:marBottom w:val="0"/>
      <w:divBdr>
        <w:top w:val="none" w:sz="0" w:space="0" w:color="auto"/>
        <w:left w:val="none" w:sz="0" w:space="0" w:color="auto"/>
        <w:bottom w:val="none" w:sz="0" w:space="0" w:color="auto"/>
        <w:right w:val="none" w:sz="0" w:space="0" w:color="auto"/>
      </w:divBdr>
      <w:divsChild>
        <w:div w:id="1575120912">
          <w:marLeft w:val="640"/>
          <w:marRight w:val="0"/>
          <w:marTop w:val="0"/>
          <w:marBottom w:val="0"/>
          <w:divBdr>
            <w:top w:val="none" w:sz="0" w:space="0" w:color="auto"/>
            <w:left w:val="none" w:sz="0" w:space="0" w:color="auto"/>
            <w:bottom w:val="none" w:sz="0" w:space="0" w:color="auto"/>
            <w:right w:val="none" w:sz="0" w:space="0" w:color="auto"/>
          </w:divBdr>
        </w:div>
        <w:div w:id="1117526486">
          <w:marLeft w:val="640"/>
          <w:marRight w:val="0"/>
          <w:marTop w:val="0"/>
          <w:marBottom w:val="0"/>
          <w:divBdr>
            <w:top w:val="none" w:sz="0" w:space="0" w:color="auto"/>
            <w:left w:val="none" w:sz="0" w:space="0" w:color="auto"/>
            <w:bottom w:val="none" w:sz="0" w:space="0" w:color="auto"/>
            <w:right w:val="none" w:sz="0" w:space="0" w:color="auto"/>
          </w:divBdr>
        </w:div>
        <w:div w:id="1210843485">
          <w:marLeft w:val="640"/>
          <w:marRight w:val="0"/>
          <w:marTop w:val="0"/>
          <w:marBottom w:val="0"/>
          <w:divBdr>
            <w:top w:val="none" w:sz="0" w:space="0" w:color="auto"/>
            <w:left w:val="none" w:sz="0" w:space="0" w:color="auto"/>
            <w:bottom w:val="none" w:sz="0" w:space="0" w:color="auto"/>
            <w:right w:val="none" w:sz="0" w:space="0" w:color="auto"/>
          </w:divBdr>
        </w:div>
      </w:divsChild>
    </w:div>
    <w:div w:id="1400863562">
      <w:bodyDiv w:val="1"/>
      <w:marLeft w:val="0"/>
      <w:marRight w:val="0"/>
      <w:marTop w:val="0"/>
      <w:marBottom w:val="0"/>
      <w:divBdr>
        <w:top w:val="none" w:sz="0" w:space="0" w:color="auto"/>
        <w:left w:val="none" w:sz="0" w:space="0" w:color="auto"/>
        <w:bottom w:val="none" w:sz="0" w:space="0" w:color="auto"/>
        <w:right w:val="none" w:sz="0" w:space="0" w:color="auto"/>
      </w:divBdr>
      <w:divsChild>
        <w:div w:id="547299152">
          <w:marLeft w:val="640"/>
          <w:marRight w:val="0"/>
          <w:marTop w:val="0"/>
          <w:marBottom w:val="0"/>
          <w:divBdr>
            <w:top w:val="none" w:sz="0" w:space="0" w:color="auto"/>
            <w:left w:val="none" w:sz="0" w:space="0" w:color="auto"/>
            <w:bottom w:val="none" w:sz="0" w:space="0" w:color="auto"/>
            <w:right w:val="none" w:sz="0" w:space="0" w:color="auto"/>
          </w:divBdr>
        </w:div>
        <w:div w:id="1077938437">
          <w:marLeft w:val="640"/>
          <w:marRight w:val="0"/>
          <w:marTop w:val="0"/>
          <w:marBottom w:val="0"/>
          <w:divBdr>
            <w:top w:val="none" w:sz="0" w:space="0" w:color="auto"/>
            <w:left w:val="none" w:sz="0" w:space="0" w:color="auto"/>
            <w:bottom w:val="none" w:sz="0" w:space="0" w:color="auto"/>
            <w:right w:val="none" w:sz="0" w:space="0" w:color="auto"/>
          </w:divBdr>
        </w:div>
        <w:div w:id="380520834">
          <w:marLeft w:val="640"/>
          <w:marRight w:val="0"/>
          <w:marTop w:val="0"/>
          <w:marBottom w:val="0"/>
          <w:divBdr>
            <w:top w:val="none" w:sz="0" w:space="0" w:color="auto"/>
            <w:left w:val="none" w:sz="0" w:space="0" w:color="auto"/>
            <w:bottom w:val="none" w:sz="0" w:space="0" w:color="auto"/>
            <w:right w:val="none" w:sz="0" w:space="0" w:color="auto"/>
          </w:divBdr>
        </w:div>
        <w:div w:id="514270913">
          <w:marLeft w:val="640"/>
          <w:marRight w:val="0"/>
          <w:marTop w:val="0"/>
          <w:marBottom w:val="0"/>
          <w:divBdr>
            <w:top w:val="none" w:sz="0" w:space="0" w:color="auto"/>
            <w:left w:val="none" w:sz="0" w:space="0" w:color="auto"/>
            <w:bottom w:val="none" w:sz="0" w:space="0" w:color="auto"/>
            <w:right w:val="none" w:sz="0" w:space="0" w:color="auto"/>
          </w:divBdr>
        </w:div>
      </w:divsChild>
    </w:div>
    <w:div w:id="1405835457">
      <w:bodyDiv w:val="1"/>
      <w:marLeft w:val="0"/>
      <w:marRight w:val="0"/>
      <w:marTop w:val="0"/>
      <w:marBottom w:val="0"/>
      <w:divBdr>
        <w:top w:val="none" w:sz="0" w:space="0" w:color="auto"/>
        <w:left w:val="none" w:sz="0" w:space="0" w:color="auto"/>
        <w:bottom w:val="none" w:sz="0" w:space="0" w:color="auto"/>
        <w:right w:val="none" w:sz="0" w:space="0" w:color="auto"/>
      </w:divBdr>
      <w:divsChild>
        <w:div w:id="313488278">
          <w:marLeft w:val="640"/>
          <w:marRight w:val="0"/>
          <w:marTop w:val="0"/>
          <w:marBottom w:val="0"/>
          <w:divBdr>
            <w:top w:val="none" w:sz="0" w:space="0" w:color="auto"/>
            <w:left w:val="none" w:sz="0" w:space="0" w:color="auto"/>
            <w:bottom w:val="none" w:sz="0" w:space="0" w:color="auto"/>
            <w:right w:val="none" w:sz="0" w:space="0" w:color="auto"/>
          </w:divBdr>
        </w:div>
        <w:div w:id="1990747213">
          <w:marLeft w:val="640"/>
          <w:marRight w:val="0"/>
          <w:marTop w:val="0"/>
          <w:marBottom w:val="0"/>
          <w:divBdr>
            <w:top w:val="none" w:sz="0" w:space="0" w:color="auto"/>
            <w:left w:val="none" w:sz="0" w:space="0" w:color="auto"/>
            <w:bottom w:val="none" w:sz="0" w:space="0" w:color="auto"/>
            <w:right w:val="none" w:sz="0" w:space="0" w:color="auto"/>
          </w:divBdr>
        </w:div>
        <w:div w:id="227346904">
          <w:marLeft w:val="640"/>
          <w:marRight w:val="0"/>
          <w:marTop w:val="0"/>
          <w:marBottom w:val="0"/>
          <w:divBdr>
            <w:top w:val="none" w:sz="0" w:space="0" w:color="auto"/>
            <w:left w:val="none" w:sz="0" w:space="0" w:color="auto"/>
            <w:bottom w:val="none" w:sz="0" w:space="0" w:color="auto"/>
            <w:right w:val="none" w:sz="0" w:space="0" w:color="auto"/>
          </w:divBdr>
        </w:div>
        <w:div w:id="779880293">
          <w:marLeft w:val="640"/>
          <w:marRight w:val="0"/>
          <w:marTop w:val="0"/>
          <w:marBottom w:val="0"/>
          <w:divBdr>
            <w:top w:val="none" w:sz="0" w:space="0" w:color="auto"/>
            <w:left w:val="none" w:sz="0" w:space="0" w:color="auto"/>
            <w:bottom w:val="none" w:sz="0" w:space="0" w:color="auto"/>
            <w:right w:val="none" w:sz="0" w:space="0" w:color="auto"/>
          </w:divBdr>
        </w:div>
        <w:div w:id="625476661">
          <w:marLeft w:val="640"/>
          <w:marRight w:val="0"/>
          <w:marTop w:val="0"/>
          <w:marBottom w:val="0"/>
          <w:divBdr>
            <w:top w:val="none" w:sz="0" w:space="0" w:color="auto"/>
            <w:left w:val="none" w:sz="0" w:space="0" w:color="auto"/>
            <w:bottom w:val="none" w:sz="0" w:space="0" w:color="auto"/>
            <w:right w:val="none" w:sz="0" w:space="0" w:color="auto"/>
          </w:divBdr>
        </w:div>
        <w:div w:id="1913656176">
          <w:marLeft w:val="640"/>
          <w:marRight w:val="0"/>
          <w:marTop w:val="0"/>
          <w:marBottom w:val="0"/>
          <w:divBdr>
            <w:top w:val="none" w:sz="0" w:space="0" w:color="auto"/>
            <w:left w:val="none" w:sz="0" w:space="0" w:color="auto"/>
            <w:bottom w:val="none" w:sz="0" w:space="0" w:color="auto"/>
            <w:right w:val="none" w:sz="0" w:space="0" w:color="auto"/>
          </w:divBdr>
        </w:div>
        <w:div w:id="1264344779">
          <w:marLeft w:val="640"/>
          <w:marRight w:val="0"/>
          <w:marTop w:val="0"/>
          <w:marBottom w:val="0"/>
          <w:divBdr>
            <w:top w:val="none" w:sz="0" w:space="0" w:color="auto"/>
            <w:left w:val="none" w:sz="0" w:space="0" w:color="auto"/>
            <w:bottom w:val="none" w:sz="0" w:space="0" w:color="auto"/>
            <w:right w:val="none" w:sz="0" w:space="0" w:color="auto"/>
          </w:divBdr>
        </w:div>
        <w:div w:id="1080180746">
          <w:marLeft w:val="640"/>
          <w:marRight w:val="0"/>
          <w:marTop w:val="0"/>
          <w:marBottom w:val="0"/>
          <w:divBdr>
            <w:top w:val="none" w:sz="0" w:space="0" w:color="auto"/>
            <w:left w:val="none" w:sz="0" w:space="0" w:color="auto"/>
            <w:bottom w:val="none" w:sz="0" w:space="0" w:color="auto"/>
            <w:right w:val="none" w:sz="0" w:space="0" w:color="auto"/>
          </w:divBdr>
        </w:div>
      </w:divsChild>
    </w:div>
    <w:div w:id="1415081028">
      <w:bodyDiv w:val="1"/>
      <w:marLeft w:val="0"/>
      <w:marRight w:val="0"/>
      <w:marTop w:val="0"/>
      <w:marBottom w:val="0"/>
      <w:divBdr>
        <w:top w:val="none" w:sz="0" w:space="0" w:color="auto"/>
        <w:left w:val="none" w:sz="0" w:space="0" w:color="auto"/>
        <w:bottom w:val="none" w:sz="0" w:space="0" w:color="auto"/>
        <w:right w:val="none" w:sz="0" w:space="0" w:color="auto"/>
      </w:divBdr>
      <w:divsChild>
        <w:div w:id="1989431945">
          <w:marLeft w:val="640"/>
          <w:marRight w:val="0"/>
          <w:marTop w:val="0"/>
          <w:marBottom w:val="0"/>
          <w:divBdr>
            <w:top w:val="none" w:sz="0" w:space="0" w:color="auto"/>
            <w:left w:val="none" w:sz="0" w:space="0" w:color="auto"/>
            <w:bottom w:val="none" w:sz="0" w:space="0" w:color="auto"/>
            <w:right w:val="none" w:sz="0" w:space="0" w:color="auto"/>
          </w:divBdr>
        </w:div>
        <w:div w:id="1973245937">
          <w:marLeft w:val="640"/>
          <w:marRight w:val="0"/>
          <w:marTop w:val="0"/>
          <w:marBottom w:val="0"/>
          <w:divBdr>
            <w:top w:val="none" w:sz="0" w:space="0" w:color="auto"/>
            <w:left w:val="none" w:sz="0" w:space="0" w:color="auto"/>
            <w:bottom w:val="none" w:sz="0" w:space="0" w:color="auto"/>
            <w:right w:val="none" w:sz="0" w:space="0" w:color="auto"/>
          </w:divBdr>
        </w:div>
      </w:divsChild>
    </w:div>
    <w:div w:id="1449082104">
      <w:bodyDiv w:val="1"/>
      <w:marLeft w:val="0"/>
      <w:marRight w:val="0"/>
      <w:marTop w:val="0"/>
      <w:marBottom w:val="0"/>
      <w:divBdr>
        <w:top w:val="none" w:sz="0" w:space="0" w:color="auto"/>
        <w:left w:val="none" w:sz="0" w:space="0" w:color="auto"/>
        <w:bottom w:val="none" w:sz="0" w:space="0" w:color="auto"/>
        <w:right w:val="none" w:sz="0" w:space="0" w:color="auto"/>
      </w:divBdr>
      <w:divsChild>
        <w:div w:id="910238092">
          <w:marLeft w:val="640"/>
          <w:marRight w:val="0"/>
          <w:marTop w:val="0"/>
          <w:marBottom w:val="0"/>
          <w:divBdr>
            <w:top w:val="none" w:sz="0" w:space="0" w:color="auto"/>
            <w:left w:val="none" w:sz="0" w:space="0" w:color="auto"/>
            <w:bottom w:val="none" w:sz="0" w:space="0" w:color="auto"/>
            <w:right w:val="none" w:sz="0" w:space="0" w:color="auto"/>
          </w:divBdr>
        </w:div>
        <w:div w:id="2074699664">
          <w:marLeft w:val="640"/>
          <w:marRight w:val="0"/>
          <w:marTop w:val="0"/>
          <w:marBottom w:val="0"/>
          <w:divBdr>
            <w:top w:val="none" w:sz="0" w:space="0" w:color="auto"/>
            <w:left w:val="none" w:sz="0" w:space="0" w:color="auto"/>
            <w:bottom w:val="none" w:sz="0" w:space="0" w:color="auto"/>
            <w:right w:val="none" w:sz="0" w:space="0" w:color="auto"/>
          </w:divBdr>
        </w:div>
        <w:div w:id="620770873">
          <w:marLeft w:val="640"/>
          <w:marRight w:val="0"/>
          <w:marTop w:val="0"/>
          <w:marBottom w:val="0"/>
          <w:divBdr>
            <w:top w:val="none" w:sz="0" w:space="0" w:color="auto"/>
            <w:left w:val="none" w:sz="0" w:space="0" w:color="auto"/>
            <w:bottom w:val="none" w:sz="0" w:space="0" w:color="auto"/>
            <w:right w:val="none" w:sz="0" w:space="0" w:color="auto"/>
          </w:divBdr>
        </w:div>
        <w:div w:id="1349258501">
          <w:marLeft w:val="640"/>
          <w:marRight w:val="0"/>
          <w:marTop w:val="0"/>
          <w:marBottom w:val="0"/>
          <w:divBdr>
            <w:top w:val="none" w:sz="0" w:space="0" w:color="auto"/>
            <w:left w:val="none" w:sz="0" w:space="0" w:color="auto"/>
            <w:bottom w:val="none" w:sz="0" w:space="0" w:color="auto"/>
            <w:right w:val="none" w:sz="0" w:space="0" w:color="auto"/>
          </w:divBdr>
        </w:div>
        <w:div w:id="271206067">
          <w:marLeft w:val="640"/>
          <w:marRight w:val="0"/>
          <w:marTop w:val="0"/>
          <w:marBottom w:val="0"/>
          <w:divBdr>
            <w:top w:val="none" w:sz="0" w:space="0" w:color="auto"/>
            <w:left w:val="none" w:sz="0" w:space="0" w:color="auto"/>
            <w:bottom w:val="none" w:sz="0" w:space="0" w:color="auto"/>
            <w:right w:val="none" w:sz="0" w:space="0" w:color="auto"/>
          </w:divBdr>
        </w:div>
        <w:div w:id="1621371811">
          <w:marLeft w:val="640"/>
          <w:marRight w:val="0"/>
          <w:marTop w:val="0"/>
          <w:marBottom w:val="0"/>
          <w:divBdr>
            <w:top w:val="none" w:sz="0" w:space="0" w:color="auto"/>
            <w:left w:val="none" w:sz="0" w:space="0" w:color="auto"/>
            <w:bottom w:val="none" w:sz="0" w:space="0" w:color="auto"/>
            <w:right w:val="none" w:sz="0" w:space="0" w:color="auto"/>
          </w:divBdr>
        </w:div>
        <w:div w:id="720054978">
          <w:marLeft w:val="640"/>
          <w:marRight w:val="0"/>
          <w:marTop w:val="0"/>
          <w:marBottom w:val="0"/>
          <w:divBdr>
            <w:top w:val="none" w:sz="0" w:space="0" w:color="auto"/>
            <w:left w:val="none" w:sz="0" w:space="0" w:color="auto"/>
            <w:bottom w:val="none" w:sz="0" w:space="0" w:color="auto"/>
            <w:right w:val="none" w:sz="0" w:space="0" w:color="auto"/>
          </w:divBdr>
        </w:div>
        <w:div w:id="2065634487">
          <w:marLeft w:val="640"/>
          <w:marRight w:val="0"/>
          <w:marTop w:val="0"/>
          <w:marBottom w:val="0"/>
          <w:divBdr>
            <w:top w:val="none" w:sz="0" w:space="0" w:color="auto"/>
            <w:left w:val="none" w:sz="0" w:space="0" w:color="auto"/>
            <w:bottom w:val="none" w:sz="0" w:space="0" w:color="auto"/>
            <w:right w:val="none" w:sz="0" w:space="0" w:color="auto"/>
          </w:divBdr>
        </w:div>
        <w:div w:id="897787600">
          <w:marLeft w:val="640"/>
          <w:marRight w:val="0"/>
          <w:marTop w:val="0"/>
          <w:marBottom w:val="0"/>
          <w:divBdr>
            <w:top w:val="none" w:sz="0" w:space="0" w:color="auto"/>
            <w:left w:val="none" w:sz="0" w:space="0" w:color="auto"/>
            <w:bottom w:val="none" w:sz="0" w:space="0" w:color="auto"/>
            <w:right w:val="none" w:sz="0" w:space="0" w:color="auto"/>
          </w:divBdr>
        </w:div>
        <w:div w:id="471990853">
          <w:marLeft w:val="640"/>
          <w:marRight w:val="0"/>
          <w:marTop w:val="0"/>
          <w:marBottom w:val="0"/>
          <w:divBdr>
            <w:top w:val="none" w:sz="0" w:space="0" w:color="auto"/>
            <w:left w:val="none" w:sz="0" w:space="0" w:color="auto"/>
            <w:bottom w:val="none" w:sz="0" w:space="0" w:color="auto"/>
            <w:right w:val="none" w:sz="0" w:space="0" w:color="auto"/>
          </w:divBdr>
        </w:div>
        <w:div w:id="259535267">
          <w:marLeft w:val="640"/>
          <w:marRight w:val="0"/>
          <w:marTop w:val="0"/>
          <w:marBottom w:val="0"/>
          <w:divBdr>
            <w:top w:val="none" w:sz="0" w:space="0" w:color="auto"/>
            <w:left w:val="none" w:sz="0" w:space="0" w:color="auto"/>
            <w:bottom w:val="none" w:sz="0" w:space="0" w:color="auto"/>
            <w:right w:val="none" w:sz="0" w:space="0" w:color="auto"/>
          </w:divBdr>
        </w:div>
        <w:div w:id="1278104873">
          <w:marLeft w:val="640"/>
          <w:marRight w:val="0"/>
          <w:marTop w:val="0"/>
          <w:marBottom w:val="0"/>
          <w:divBdr>
            <w:top w:val="none" w:sz="0" w:space="0" w:color="auto"/>
            <w:left w:val="none" w:sz="0" w:space="0" w:color="auto"/>
            <w:bottom w:val="none" w:sz="0" w:space="0" w:color="auto"/>
            <w:right w:val="none" w:sz="0" w:space="0" w:color="auto"/>
          </w:divBdr>
        </w:div>
        <w:div w:id="919871179">
          <w:marLeft w:val="640"/>
          <w:marRight w:val="0"/>
          <w:marTop w:val="0"/>
          <w:marBottom w:val="0"/>
          <w:divBdr>
            <w:top w:val="none" w:sz="0" w:space="0" w:color="auto"/>
            <w:left w:val="none" w:sz="0" w:space="0" w:color="auto"/>
            <w:bottom w:val="none" w:sz="0" w:space="0" w:color="auto"/>
            <w:right w:val="none" w:sz="0" w:space="0" w:color="auto"/>
          </w:divBdr>
        </w:div>
        <w:div w:id="1657762010">
          <w:marLeft w:val="640"/>
          <w:marRight w:val="0"/>
          <w:marTop w:val="0"/>
          <w:marBottom w:val="0"/>
          <w:divBdr>
            <w:top w:val="none" w:sz="0" w:space="0" w:color="auto"/>
            <w:left w:val="none" w:sz="0" w:space="0" w:color="auto"/>
            <w:bottom w:val="none" w:sz="0" w:space="0" w:color="auto"/>
            <w:right w:val="none" w:sz="0" w:space="0" w:color="auto"/>
          </w:divBdr>
        </w:div>
        <w:div w:id="1920286776">
          <w:marLeft w:val="640"/>
          <w:marRight w:val="0"/>
          <w:marTop w:val="0"/>
          <w:marBottom w:val="0"/>
          <w:divBdr>
            <w:top w:val="none" w:sz="0" w:space="0" w:color="auto"/>
            <w:left w:val="none" w:sz="0" w:space="0" w:color="auto"/>
            <w:bottom w:val="none" w:sz="0" w:space="0" w:color="auto"/>
            <w:right w:val="none" w:sz="0" w:space="0" w:color="auto"/>
          </w:divBdr>
        </w:div>
        <w:div w:id="854077515">
          <w:marLeft w:val="640"/>
          <w:marRight w:val="0"/>
          <w:marTop w:val="0"/>
          <w:marBottom w:val="0"/>
          <w:divBdr>
            <w:top w:val="none" w:sz="0" w:space="0" w:color="auto"/>
            <w:left w:val="none" w:sz="0" w:space="0" w:color="auto"/>
            <w:bottom w:val="none" w:sz="0" w:space="0" w:color="auto"/>
            <w:right w:val="none" w:sz="0" w:space="0" w:color="auto"/>
          </w:divBdr>
        </w:div>
      </w:divsChild>
    </w:div>
    <w:div w:id="1451703652">
      <w:bodyDiv w:val="1"/>
      <w:marLeft w:val="0"/>
      <w:marRight w:val="0"/>
      <w:marTop w:val="0"/>
      <w:marBottom w:val="0"/>
      <w:divBdr>
        <w:top w:val="none" w:sz="0" w:space="0" w:color="auto"/>
        <w:left w:val="none" w:sz="0" w:space="0" w:color="auto"/>
        <w:bottom w:val="none" w:sz="0" w:space="0" w:color="auto"/>
        <w:right w:val="none" w:sz="0" w:space="0" w:color="auto"/>
      </w:divBdr>
      <w:divsChild>
        <w:div w:id="1256748299">
          <w:marLeft w:val="640"/>
          <w:marRight w:val="0"/>
          <w:marTop w:val="0"/>
          <w:marBottom w:val="0"/>
          <w:divBdr>
            <w:top w:val="none" w:sz="0" w:space="0" w:color="auto"/>
            <w:left w:val="none" w:sz="0" w:space="0" w:color="auto"/>
            <w:bottom w:val="none" w:sz="0" w:space="0" w:color="auto"/>
            <w:right w:val="none" w:sz="0" w:space="0" w:color="auto"/>
          </w:divBdr>
        </w:div>
        <w:div w:id="1520847686">
          <w:marLeft w:val="640"/>
          <w:marRight w:val="0"/>
          <w:marTop w:val="0"/>
          <w:marBottom w:val="0"/>
          <w:divBdr>
            <w:top w:val="none" w:sz="0" w:space="0" w:color="auto"/>
            <w:left w:val="none" w:sz="0" w:space="0" w:color="auto"/>
            <w:bottom w:val="none" w:sz="0" w:space="0" w:color="auto"/>
            <w:right w:val="none" w:sz="0" w:space="0" w:color="auto"/>
          </w:divBdr>
        </w:div>
        <w:div w:id="1836921245">
          <w:marLeft w:val="640"/>
          <w:marRight w:val="0"/>
          <w:marTop w:val="0"/>
          <w:marBottom w:val="0"/>
          <w:divBdr>
            <w:top w:val="none" w:sz="0" w:space="0" w:color="auto"/>
            <w:left w:val="none" w:sz="0" w:space="0" w:color="auto"/>
            <w:bottom w:val="none" w:sz="0" w:space="0" w:color="auto"/>
            <w:right w:val="none" w:sz="0" w:space="0" w:color="auto"/>
          </w:divBdr>
        </w:div>
        <w:div w:id="1544514667">
          <w:marLeft w:val="640"/>
          <w:marRight w:val="0"/>
          <w:marTop w:val="0"/>
          <w:marBottom w:val="0"/>
          <w:divBdr>
            <w:top w:val="none" w:sz="0" w:space="0" w:color="auto"/>
            <w:left w:val="none" w:sz="0" w:space="0" w:color="auto"/>
            <w:bottom w:val="none" w:sz="0" w:space="0" w:color="auto"/>
            <w:right w:val="none" w:sz="0" w:space="0" w:color="auto"/>
          </w:divBdr>
        </w:div>
        <w:div w:id="1596471993">
          <w:marLeft w:val="640"/>
          <w:marRight w:val="0"/>
          <w:marTop w:val="0"/>
          <w:marBottom w:val="0"/>
          <w:divBdr>
            <w:top w:val="none" w:sz="0" w:space="0" w:color="auto"/>
            <w:left w:val="none" w:sz="0" w:space="0" w:color="auto"/>
            <w:bottom w:val="none" w:sz="0" w:space="0" w:color="auto"/>
            <w:right w:val="none" w:sz="0" w:space="0" w:color="auto"/>
          </w:divBdr>
        </w:div>
        <w:div w:id="1749115783">
          <w:marLeft w:val="640"/>
          <w:marRight w:val="0"/>
          <w:marTop w:val="0"/>
          <w:marBottom w:val="0"/>
          <w:divBdr>
            <w:top w:val="none" w:sz="0" w:space="0" w:color="auto"/>
            <w:left w:val="none" w:sz="0" w:space="0" w:color="auto"/>
            <w:bottom w:val="none" w:sz="0" w:space="0" w:color="auto"/>
            <w:right w:val="none" w:sz="0" w:space="0" w:color="auto"/>
          </w:divBdr>
        </w:div>
      </w:divsChild>
    </w:div>
    <w:div w:id="1502164927">
      <w:bodyDiv w:val="1"/>
      <w:marLeft w:val="0"/>
      <w:marRight w:val="0"/>
      <w:marTop w:val="0"/>
      <w:marBottom w:val="0"/>
      <w:divBdr>
        <w:top w:val="none" w:sz="0" w:space="0" w:color="auto"/>
        <w:left w:val="none" w:sz="0" w:space="0" w:color="auto"/>
        <w:bottom w:val="none" w:sz="0" w:space="0" w:color="auto"/>
        <w:right w:val="none" w:sz="0" w:space="0" w:color="auto"/>
      </w:divBdr>
      <w:divsChild>
        <w:div w:id="535896214">
          <w:marLeft w:val="640"/>
          <w:marRight w:val="0"/>
          <w:marTop w:val="0"/>
          <w:marBottom w:val="0"/>
          <w:divBdr>
            <w:top w:val="none" w:sz="0" w:space="0" w:color="auto"/>
            <w:left w:val="none" w:sz="0" w:space="0" w:color="auto"/>
            <w:bottom w:val="none" w:sz="0" w:space="0" w:color="auto"/>
            <w:right w:val="none" w:sz="0" w:space="0" w:color="auto"/>
          </w:divBdr>
        </w:div>
        <w:div w:id="980308242">
          <w:marLeft w:val="640"/>
          <w:marRight w:val="0"/>
          <w:marTop w:val="0"/>
          <w:marBottom w:val="0"/>
          <w:divBdr>
            <w:top w:val="none" w:sz="0" w:space="0" w:color="auto"/>
            <w:left w:val="none" w:sz="0" w:space="0" w:color="auto"/>
            <w:bottom w:val="none" w:sz="0" w:space="0" w:color="auto"/>
            <w:right w:val="none" w:sz="0" w:space="0" w:color="auto"/>
          </w:divBdr>
        </w:div>
        <w:div w:id="1041200044">
          <w:marLeft w:val="640"/>
          <w:marRight w:val="0"/>
          <w:marTop w:val="0"/>
          <w:marBottom w:val="0"/>
          <w:divBdr>
            <w:top w:val="none" w:sz="0" w:space="0" w:color="auto"/>
            <w:left w:val="none" w:sz="0" w:space="0" w:color="auto"/>
            <w:bottom w:val="none" w:sz="0" w:space="0" w:color="auto"/>
            <w:right w:val="none" w:sz="0" w:space="0" w:color="auto"/>
          </w:divBdr>
        </w:div>
        <w:div w:id="883712656">
          <w:marLeft w:val="640"/>
          <w:marRight w:val="0"/>
          <w:marTop w:val="0"/>
          <w:marBottom w:val="0"/>
          <w:divBdr>
            <w:top w:val="none" w:sz="0" w:space="0" w:color="auto"/>
            <w:left w:val="none" w:sz="0" w:space="0" w:color="auto"/>
            <w:bottom w:val="none" w:sz="0" w:space="0" w:color="auto"/>
            <w:right w:val="none" w:sz="0" w:space="0" w:color="auto"/>
          </w:divBdr>
        </w:div>
        <w:div w:id="1642494783">
          <w:marLeft w:val="640"/>
          <w:marRight w:val="0"/>
          <w:marTop w:val="0"/>
          <w:marBottom w:val="0"/>
          <w:divBdr>
            <w:top w:val="none" w:sz="0" w:space="0" w:color="auto"/>
            <w:left w:val="none" w:sz="0" w:space="0" w:color="auto"/>
            <w:bottom w:val="none" w:sz="0" w:space="0" w:color="auto"/>
            <w:right w:val="none" w:sz="0" w:space="0" w:color="auto"/>
          </w:divBdr>
        </w:div>
      </w:divsChild>
    </w:div>
    <w:div w:id="1577473939">
      <w:bodyDiv w:val="1"/>
      <w:marLeft w:val="0"/>
      <w:marRight w:val="0"/>
      <w:marTop w:val="0"/>
      <w:marBottom w:val="0"/>
      <w:divBdr>
        <w:top w:val="none" w:sz="0" w:space="0" w:color="auto"/>
        <w:left w:val="none" w:sz="0" w:space="0" w:color="auto"/>
        <w:bottom w:val="none" w:sz="0" w:space="0" w:color="auto"/>
        <w:right w:val="none" w:sz="0" w:space="0" w:color="auto"/>
      </w:divBdr>
      <w:divsChild>
        <w:div w:id="976373961">
          <w:marLeft w:val="640"/>
          <w:marRight w:val="0"/>
          <w:marTop w:val="0"/>
          <w:marBottom w:val="0"/>
          <w:divBdr>
            <w:top w:val="none" w:sz="0" w:space="0" w:color="auto"/>
            <w:left w:val="none" w:sz="0" w:space="0" w:color="auto"/>
            <w:bottom w:val="none" w:sz="0" w:space="0" w:color="auto"/>
            <w:right w:val="none" w:sz="0" w:space="0" w:color="auto"/>
          </w:divBdr>
        </w:div>
      </w:divsChild>
    </w:div>
    <w:div w:id="1611161846">
      <w:bodyDiv w:val="1"/>
      <w:marLeft w:val="0"/>
      <w:marRight w:val="0"/>
      <w:marTop w:val="0"/>
      <w:marBottom w:val="0"/>
      <w:divBdr>
        <w:top w:val="none" w:sz="0" w:space="0" w:color="auto"/>
        <w:left w:val="none" w:sz="0" w:space="0" w:color="auto"/>
        <w:bottom w:val="none" w:sz="0" w:space="0" w:color="auto"/>
        <w:right w:val="none" w:sz="0" w:space="0" w:color="auto"/>
      </w:divBdr>
      <w:divsChild>
        <w:div w:id="1436905856">
          <w:marLeft w:val="640"/>
          <w:marRight w:val="0"/>
          <w:marTop w:val="0"/>
          <w:marBottom w:val="0"/>
          <w:divBdr>
            <w:top w:val="none" w:sz="0" w:space="0" w:color="auto"/>
            <w:left w:val="none" w:sz="0" w:space="0" w:color="auto"/>
            <w:bottom w:val="none" w:sz="0" w:space="0" w:color="auto"/>
            <w:right w:val="none" w:sz="0" w:space="0" w:color="auto"/>
          </w:divBdr>
        </w:div>
        <w:div w:id="1996639382">
          <w:marLeft w:val="640"/>
          <w:marRight w:val="0"/>
          <w:marTop w:val="0"/>
          <w:marBottom w:val="0"/>
          <w:divBdr>
            <w:top w:val="none" w:sz="0" w:space="0" w:color="auto"/>
            <w:left w:val="none" w:sz="0" w:space="0" w:color="auto"/>
            <w:bottom w:val="none" w:sz="0" w:space="0" w:color="auto"/>
            <w:right w:val="none" w:sz="0" w:space="0" w:color="auto"/>
          </w:divBdr>
        </w:div>
        <w:div w:id="710037869">
          <w:marLeft w:val="640"/>
          <w:marRight w:val="0"/>
          <w:marTop w:val="0"/>
          <w:marBottom w:val="0"/>
          <w:divBdr>
            <w:top w:val="none" w:sz="0" w:space="0" w:color="auto"/>
            <w:left w:val="none" w:sz="0" w:space="0" w:color="auto"/>
            <w:bottom w:val="none" w:sz="0" w:space="0" w:color="auto"/>
            <w:right w:val="none" w:sz="0" w:space="0" w:color="auto"/>
          </w:divBdr>
        </w:div>
      </w:divsChild>
    </w:div>
    <w:div w:id="1659924453">
      <w:bodyDiv w:val="1"/>
      <w:marLeft w:val="0"/>
      <w:marRight w:val="0"/>
      <w:marTop w:val="0"/>
      <w:marBottom w:val="0"/>
      <w:divBdr>
        <w:top w:val="none" w:sz="0" w:space="0" w:color="auto"/>
        <w:left w:val="none" w:sz="0" w:space="0" w:color="auto"/>
        <w:bottom w:val="none" w:sz="0" w:space="0" w:color="auto"/>
        <w:right w:val="none" w:sz="0" w:space="0" w:color="auto"/>
      </w:divBdr>
      <w:divsChild>
        <w:div w:id="1026180583">
          <w:marLeft w:val="640"/>
          <w:marRight w:val="0"/>
          <w:marTop w:val="0"/>
          <w:marBottom w:val="0"/>
          <w:divBdr>
            <w:top w:val="none" w:sz="0" w:space="0" w:color="auto"/>
            <w:left w:val="none" w:sz="0" w:space="0" w:color="auto"/>
            <w:bottom w:val="none" w:sz="0" w:space="0" w:color="auto"/>
            <w:right w:val="none" w:sz="0" w:space="0" w:color="auto"/>
          </w:divBdr>
        </w:div>
        <w:div w:id="1505438573">
          <w:marLeft w:val="640"/>
          <w:marRight w:val="0"/>
          <w:marTop w:val="0"/>
          <w:marBottom w:val="0"/>
          <w:divBdr>
            <w:top w:val="none" w:sz="0" w:space="0" w:color="auto"/>
            <w:left w:val="none" w:sz="0" w:space="0" w:color="auto"/>
            <w:bottom w:val="none" w:sz="0" w:space="0" w:color="auto"/>
            <w:right w:val="none" w:sz="0" w:space="0" w:color="auto"/>
          </w:divBdr>
        </w:div>
        <w:div w:id="2051176126">
          <w:marLeft w:val="640"/>
          <w:marRight w:val="0"/>
          <w:marTop w:val="0"/>
          <w:marBottom w:val="0"/>
          <w:divBdr>
            <w:top w:val="none" w:sz="0" w:space="0" w:color="auto"/>
            <w:left w:val="none" w:sz="0" w:space="0" w:color="auto"/>
            <w:bottom w:val="none" w:sz="0" w:space="0" w:color="auto"/>
            <w:right w:val="none" w:sz="0" w:space="0" w:color="auto"/>
          </w:divBdr>
        </w:div>
        <w:div w:id="307823143">
          <w:marLeft w:val="640"/>
          <w:marRight w:val="0"/>
          <w:marTop w:val="0"/>
          <w:marBottom w:val="0"/>
          <w:divBdr>
            <w:top w:val="none" w:sz="0" w:space="0" w:color="auto"/>
            <w:left w:val="none" w:sz="0" w:space="0" w:color="auto"/>
            <w:bottom w:val="none" w:sz="0" w:space="0" w:color="auto"/>
            <w:right w:val="none" w:sz="0" w:space="0" w:color="auto"/>
          </w:divBdr>
        </w:div>
        <w:div w:id="202210108">
          <w:marLeft w:val="640"/>
          <w:marRight w:val="0"/>
          <w:marTop w:val="0"/>
          <w:marBottom w:val="0"/>
          <w:divBdr>
            <w:top w:val="none" w:sz="0" w:space="0" w:color="auto"/>
            <w:left w:val="none" w:sz="0" w:space="0" w:color="auto"/>
            <w:bottom w:val="none" w:sz="0" w:space="0" w:color="auto"/>
            <w:right w:val="none" w:sz="0" w:space="0" w:color="auto"/>
          </w:divBdr>
        </w:div>
        <w:div w:id="1448964877">
          <w:marLeft w:val="640"/>
          <w:marRight w:val="0"/>
          <w:marTop w:val="0"/>
          <w:marBottom w:val="0"/>
          <w:divBdr>
            <w:top w:val="none" w:sz="0" w:space="0" w:color="auto"/>
            <w:left w:val="none" w:sz="0" w:space="0" w:color="auto"/>
            <w:bottom w:val="none" w:sz="0" w:space="0" w:color="auto"/>
            <w:right w:val="none" w:sz="0" w:space="0" w:color="auto"/>
          </w:divBdr>
        </w:div>
        <w:div w:id="1458139433">
          <w:marLeft w:val="640"/>
          <w:marRight w:val="0"/>
          <w:marTop w:val="0"/>
          <w:marBottom w:val="0"/>
          <w:divBdr>
            <w:top w:val="none" w:sz="0" w:space="0" w:color="auto"/>
            <w:left w:val="none" w:sz="0" w:space="0" w:color="auto"/>
            <w:bottom w:val="none" w:sz="0" w:space="0" w:color="auto"/>
            <w:right w:val="none" w:sz="0" w:space="0" w:color="auto"/>
          </w:divBdr>
        </w:div>
      </w:divsChild>
    </w:div>
    <w:div w:id="1690253413">
      <w:bodyDiv w:val="1"/>
      <w:marLeft w:val="0"/>
      <w:marRight w:val="0"/>
      <w:marTop w:val="0"/>
      <w:marBottom w:val="0"/>
      <w:divBdr>
        <w:top w:val="none" w:sz="0" w:space="0" w:color="auto"/>
        <w:left w:val="none" w:sz="0" w:space="0" w:color="auto"/>
        <w:bottom w:val="none" w:sz="0" w:space="0" w:color="auto"/>
        <w:right w:val="none" w:sz="0" w:space="0" w:color="auto"/>
      </w:divBdr>
      <w:divsChild>
        <w:div w:id="184027249">
          <w:marLeft w:val="640"/>
          <w:marRight w:val="0"/>
          <w:marTop w:val="0"/>
          <w:marBottom w:val="0"/>
          <w:divBdr>
            <w:top w:val="none" w:sz="0" w:space="0" w:color="auto"/>
            <w:left w:val="none" w:sz="0" w:space="0" w:color="auto"/>
            <w:bottom w:val="none" w:sz="0" w:space="0" w:color="auto"/>
            <w:right w:val="none" w:sz="0" w:space="0" w:color="auto"/>
          </w:divBdr>
        </w:div>
        <w:div w:id="1733235948">
          <w:marLeft w:val="640"/>
          <w:marRight w:val="0"/>
          <w:marTop w:val="0"/>
          <w:marBottom w:val="0"/>
          <w:divBdr>
            <w:top w:val="none" w:sz="0" w:space="0" w:color="auto"/>
            <w:left w:val="none" w:sz="0" w:space="0" w:color="auto"/>
            <w:bottom w:val="none" w:sz="0" w:space="0" w:color="auto"/>
            <w:right w:val="none" w:sz="0" w:space="0" w:color="auto"/>
          </w:divBdr>
        </w:div>
        <w:div w:id="624501909">
          <w:marLeft w:val="640"/>
          <w:marRight w:val="0"/>
          <w:marTop w:val="0"/>
          <w:marBottom w:val="0"/>
          <w:divBdr>
            <w:top w:val="none" w:sz="0" w:space="0" w:color="auto"/>
            <w:left w:val="none" w:sz="0" w:space="0" w:color="auto"/>
            <w:bottom w:val="none" w:sz="0" w:space="0" w:color="auto"/>
            <w:right w:val="none" w:sz="0" w:space="0" w:color="auto"/>
          </w:divBdr>
        </w:div>
        <w:div w:id="1762918925">
          <w:marLeft w:val="640"/>
          <w:marRight w:val="0"/>
          <w:marTop w:val="0"/>
          <w:marBottom w:val="0"/>
          <w:divBdr>
            <w:top w:val="none" w:sz="0" w:space="0" w:color="auto"/>
            <w:left w:val="none" w:sz="0" w:space="0" w:color="auto"/>
            <w:bottom w:val="none" w:sz="0" w:space="0" w:color="auto"/>
            <w:right w:val="none" w:sz="0" w:space="0" w:color="auto"/>
          </w:divBdr>
        </w:div>
        <w:div w:id="937762262">
          <w:marLeft w:val="640"/>
          <w:marRight w:val="0"/>
          <w:marTop w:val="0"/>
          <w:marBottom w:val="0"/>
          <w:divBdr>
            <w:top w:val="none" w:sz="0" w:space="0" w:color="auto"/>
            <w:left w:val="none" w:sz="0" w:space="0" w:color="auto"/>
            <w:bottom w:val="none" w:sz="0" w:space="0" w:color="auto"/>
            <w:right w:val="none" w:sz="0" w:space="0" w:color="auto"/>
          </w:divBdr>
        </w:div>
        <w:div w:id="871963082">
          <w:marLeft w:val="640"/>
          <w:marRight w:val="0"/>
          <w:marTop w:val="0"/>
          <w:marBottom w:val="0"/>
          <w:divBdr>
            <w:top w:val="none" w:sz="0" w:space="0" w:color="auto"/>
            <w:left w:val="none" w:sz="0" w:space="0" w:color="auto"/>
            <w:bottom w:val="none" w:sz="0" w:space="0" w:color="auto"/>
            <w:right w:val="none" w:sz="0" w:space="0" w:color="auto"/>
          </w:divBdr>
        </w:div>
        <w:div w:id="2072728188">
          <w:marLeft w:val="640"/>
          <w:marRight w:val="0"/>
          <w:marTop w:val="0"/>
          <w:marBottom w:val="0"/>
          <w:divBdr>
            <w:top w:val="none" w:sz="0" w:space="0" w:color="auto"/>
            <w:left w:val="none" w:sz="0" w:space="0" w:color="auto"/>
            <w:bottom w:val="none" w:sz="0" w:space="0" w:color="auto"/>
            <w:right w:val="none" w:sz="0" w:space="0" w:color="auto"/>
          </w:divBdr>
        </w:div>
        <w:div w:id="267465261">
          <w:marLeft w:val="640"/>
          <w:marRight w:val="0"/>
          <w:marTop w:val="0"/>
          <w:marBottom w:val="0"/>
          <w:divBdr>
            <w:top w:val="none" w:sz="0" w:space="0" w:color="auto"/>
            <w:left w:val="none" w:sz="0" w:space="0" w:color="auto"/>
            <w:bottom w:val="none" w:sz="0" w:space="0" w:color="auto"/>
            <w:right w:val="none" w:sz="0" w:space="0" w:color="auto"/>
          </w:divBdr>
        </w:div>
        <w:div w:id="90012287">
          <w:marLeft w:val="640"/>
          <w:marRight w:val="0"/>
          <w:marTop w:val="0"/>
          <w:marBottom w:val="0"/>
          <w:divBdr>
            <w:top w:val="none" w:sz="0" w:space="0" w:color="auto"/>
            <w:left w:val="none" w:sz="0" w:space="0" w:color="auto"/>
            <w:bottom w:val="none" w:sz="0" w:space="0" w:color="auto"/>
            <w:right w:val="none" w:sz="0" w:space="0" w:color="auto"/>
          </w:divBdr>
        </w:div>
        <w:div w:id="16663319">
          <w:marLeft w:val="640"/>
          <w:marRight w:val="0"/>
          <w:marTop w:val="0"/>
          <w:marBottom w:val="0"/>
          <w:divBdr>
            <w:top w:val="none" w:sz="0" w:space="0" w:color="auto"/>
            <w:left w:val="none" w:sz="0" w:space="0" w:color="auto"/>
            <w:bottom w:val="none" w:sz="0" w:space="0" w:color="auto"/>
            <w:right w:val="none" w:sz="0" w:space="0" w:color="auto"/>
          </w:divBdr>
        </w:div>
        <w:div w:id="1418165128">
          <w:marLeft w:val="640"/>
          <w:marRight w:val="0"/>
          <w:marTop w:val="0"/>
          <w:marBottom w:val="0"/>
          <w:divBdr>
            <w:top w:val="none" w:sz="0" w:space="0" w:color="auto"/>
            <w:left w:val="none" w:sz="0" w:space="0" w:color="auto"/>
            <w:bottom w:val="none" w:sz="0" w:space="0" w:color="auto"/>
            <w:right w:val="none" w:sz="0" w:space="0" w:color="auto"/>
          </w:divBdr>
        </w:div>
        <w:div w:id="1018124281">
          <w:marLeft w:val="640"/>
          <w:marRight w:val="0"/>
          <w:marTop w:val="0"/>
          <w:marBottom w:val="0"/>
          <w:divBdr>
            <w:top w:val="none" w:sz="0" w:space="0" w:color="auto"/>
            <w:left w:val="none" w:sz="0" w:space="0" w:color="auto"/>
            <w:bottom w:val="none" w:sz="0" w:space="0" w:color="auto"/>
            <w:right w:val="none" w:sz="0" w:space="0" w:color="auto"/>
          </w:divBdr>
        </w:div>
        <w:div w:id="2085252037">
          <w:marLeft w:val="640"/>
          <w:marRight w:val="0"/>
          <w:marTop w:val="0"/>
          <w:marBottom w:val="0"/>
          <w:divBdr>
            <w:top w:val="none" w:sz="0" w:space="0" w:color="auto"/>
            <w:left w:val="none" w:sz="0" w:space="0" w:color="auto"/>
            <w:bottom w:val="none" w:sz="0" w:space="0" w:color="auto"/>
            <w:right w:val="none" w:sz="0" w:space="0" w:color="auto"/>
          </w:divBdr>
        </w:div>
        <w:div w:id="76899714">
          <w:marLeft w:val="640"/>
          <w:marRight w:val="0"/>
          <w:marTop w:val="0"/>
          <w:marBottom w:val="0"/>
          <w:divBdr>
            <w:top w:val="none" w:sz="0" w:space="0" w:color="auto"/>
            <w:left w:val="none" w:sz="0" w:space="0" w:color="auto"/>
            <w:bottom w:val="none" w:sz="0" w:space="0" w:color="auto"/>
            <w:right w:val="none" w:sz="0" w:space="0" w:color="auto"/>
          </w:divBdr>
        </w:div>
      </w:divsChild>
    </w:div>
    <w:div w:id="1710910176">
      <w:bodyDiv w:val="1"/>
      <w:marLeft w:val="0"/>
      <w:marRight w:val="0"/>
      <w:marTop w:val="0"/>
      <w:marBottom w:val="0"/>
      <w:divBdr>
        <w:top w:val="none" w:sz="0" w:space="0" w:color="auto"/>
        <w:left w:val="none" w:sz="0" w:space="0" w:color="auto"/>
        <w:bottom w:val="none" w:sz="0" w:space="0" w:color="auto"/>
        <w:right w:val="none" w:sz="0" w:space="0" w:color="auto"/>
      </w:divBdr>
      <w:divsChild>
        <w:div w:id="565452381">
          <w:marLeft w:val="640"/>
          <w:marRight w:val="0"/>
          <w:marTop w:val="0"/>
          <w:marBottom w:val="0"/>
          <w:divBdr>
            <w:top w:val="none" w:sz="0" w:space="0" w:color="auto"/>
            <w:left w:val="none" w:sz="0" w:space="0" w:color="auto"/>
            <w:bottom w:val="none" w:sz="0" w:space="0" w:color="auto"/>
            <w:right w:val="none" w:sz="0" w:space="0" w:color="auto"/>
          </w:divBdr>
        </w:div>
        <w:div w:id="2014258470">
          <w:marLeft w:val="640"/>
          <w:marRight w:val="0"/>
          <w:marTop w:val="0"/>
          <w:marBottom w:val="0"/>
          <w:divBdr>
            <w:top w:val="none" w:sz="0" w:space="0" w:color="auto"/>
            <w:left w:val="none" w:sz="0" w:space="0" w:color="auto"/>
            <w:bottom w:val="none" w:sz="0" w:space="0" w:color="auto"/>
            <w:right w:val="none" w:sz="0" w:space="0" w:color="auto"/>
          </w:divBdr>
        </w:div>
        <w:div w:id="856775922">
          <w:marLeft w:val="640"/>
          <w:marRight w:val="0"/>
          <w:marTop w:val="0"/>
          <w:marBottom w:val="0"/>
          <w:divBdr>
            <w:top w:val="none" w:sz="0" w:space="0" w:color="auto"/>
            <w:left w:val="none" w:sz="0" w:space="0" w:color="auto"/>
            <w:bottom w:val="none" w:sz="0" w:space="0" w:color="auto"/>
            <w:right w:val="none" w:sz="0" w:space="0" w:color="auto"/>
          </w:divBdr>
        </w:div>
        <w:div w:id="1392776180">
          <w:marLeft w:val="640"/>
          <w:marRight w:val="0"/>
          <w:marTop w:val="0"/>
          <w:marBottom w:val="0"/>
          <w:divBdr>
            <w:top w:val="none" w:sz="0" w:space="0" w:color="auto"/>
            <w:left w:val="none" w:sz="0" w:space="0" w:color="auto"/>
            <w:bottom w:val="none" w:sz="0" w:space="0" w:color="auto"/>
            <w:right w:val="none" w:sz="0" w:space="0" w:color="auto"/>
          </w:divBdr>
        </w:div>
        <w:div w:id="343678037">
          <w:marLeft w:val="640"/>
          <w:marRight w:val="0"/>
          <w:marTop w:val="0"/>
          <w:marBottom w:val="0"/>
          <w:divBdr>
            <w:top w:val="none" w:sz="0" w:space="0" w:color="auto"/>
            <w:left w:val="none" w:sz="0" w:space="0" w:color="auto"/>
            <w:bottom w:val="none" w:sz="0" w:space="0" w:color="auto"/>
            <w:right w:val="none" w:sz="0" w:space="0" w:color="auto"/>
          </w:divBdr>
        </w:div>
        <w:div w:id="1937204823">
          <w:marLeft w:val="640"/>
          <w:marRight w:val="0"/>
          <w:marTop w:val="0"/>
          <w:marBottom w:val="0"/>
          <w:divBdr>
            <w:top w:val="none" w:sz="0" w:space="0" w:color="auto"/>
            <w:left w:val="none" w:sz="0" w:space="0" w:color="auto"/>
            <w:bottom w:val="none" w:sz="0" w:space="0" w:color="auto"/>
            <w:right w:val="none" w:sz="0" w:space="0" w:color="auto"/>
          </w:divBdr>
        </w:div>
        <w:div w:id="1053121394">
          <w:marLeft w:val="640"/>
          <w:marRight w:val="0"/>
          <w:marTop w:val="0"/>
          <w:marBottom w:val="0"/>
          <w:divBdr>
            <w:top w:val="none" w:sz="0" w:space="0" w:color="auto"/>
            <w:left w:val="none" w:sz="0" w:space="0" w:color="auto"/>
            <w:bottom w:val="none" w:sz="0" w:space="0" w:color="auto"/>
            <w:right w:val="none" w:sz="0" w:space="0" w:color="auto"/>
          </w:divBdr>
        </w:div>
        <w:div w:id="1337994374">
          <w:marLeft w:val="640"/>
          <w:marRight w:val="0"/>
          <w:marTop w:val="0"/>
          <w:marBottom w:val="0"/>
          <w:divBdr>
            <w:top w:val="none" w:sz="0" w:space="0" w:color="auto"/>
            <w:left w:val="none" w:sz="0" w:space="0" w:color="auto"/>
            <w:bottom w:val="none" w:sz="0" w:space="0" w:color="auto"/>
            <w:right w:val="none" w:sz="0" w:space="0" w:color="auto"/>
          </w:divBdr>
        </w:div>
        <w:div w:id="782648773">
          <w:marLeft w:val="640"/>
          <w:marRight w:val="0"/>
          <w:marTop w:val="0"/>
          <w:marBottom w:val="0"/>
          <w:divBdr>
            <w:top w:val="none" w:sz="0" w:space="0" w:color="auto"/>
            <w:left w:val="none" w:sz="0" w:space="0" w:color="auto"/>
            <w:bottom w:val="none" w:sz="0" w:space="0" w:color="auto"/>
            <w:right w:val="none" w:sz="0" w:space="0" w:color="auto"/>
          </w:divBdr>
        </w:div>
        <w:div w:id="1074350322">
          <w:marLeft w:val="640"/>
          <w:marRight w:val="0"/>
          <w:marTop w:val="0"/>
          <w:marBottom w:val="0"/>
          <w:divBdr>
            <w:top w:val="none" w:sz="0" w:space="0" w:color="auto"/>
            <w:left w:val="none" w:sz="0" w:space="0" w:color="auto"/>
            <w:bottom w:val="none" w:sz="0" w:space="0" w:color="auto"/>
            <w:right w:val="none" w:sz="0" w:space="0" w:color="auto"/>
          </w:divBdr>
        </w:div>
        <w:div w:id="2126726182">
          <w:marLeft w:val="640"/>
          <w:marRight w:val="0"/>
          <w:marTop w:val="0"/>
          <w:marBottom w:val="0"/>
          <w:divBdr>
            <w:top w:val="none" w:sz="0" w:space="0" w:color="auto"/>
            <w:left w:val="none" w:sz="0" w:space="0" w:color="auto"/>
            <w:bottom w:val="none" w:sz="0" w:space="0" w:color="auto"/>
            <w:right w:val="none" w:sz="0" w:space="0" w:color="auto"/>
          </w:divBdr>
        </w:div>
        <w:div w:id="2034259906">
          <w:marLeft w:val="640"/>
          <w:marRight w:val="0"/>
          <w:marTop w:val="0"/>
          <w:marBottom w:val="0"/>
          <w:divBdr>
            <w:top w:val="none" w:sz="0" w:space="0" w:color="auto"/>
            <w:left w:val="none" w:sz="0" w:space="0" w:color="auto"/>
            <w:bottom w:val="none" w:sz="0" w:space="0" w:color="auto"/>
            <w:right w:val="none" w:sz="0" w:space="0" w:color="auto"/>
          </w:divBdr>
        </w:div>
        <w:div w:id="1181746670">
          <w:marLeft w:val="640"/>
          <w:marRight w:val="0"/>
          <w:marTop w:val="0"/>
          <w:marBottom w:val="0"/>
          <w:divBdr>
            <w:top w:val="none" w:sz="0" w:space="0" w:color="auto"/>
            <w:left w:val="none" w:sz="0" w:space="0" w:color="auto"/>
            <w:bottom w:val="none" w:sz="0" w:space="0" w:color="auto"/>
            <w:right w:val="none" w:sz="0" w:space="0" w:color="auto"/>
          </w:divBdr>
        </w:div>
        <w:div w:id="1992439648">
          <w:marLeft w:val="640"/>
          <w:marRight w:val="0"/>
          <w:marTop w:val="0"/>
          <w:marBottom w:val="0"/>
          <w:divBdr>
            <w:top w:val="none" w:sz="0" w:space="0" w:color="auto"/>
            <w:left w:val="none" w:sz="0" w:space="0" w:color="auto"/>
            <w:bottom w:val="none" w:sz="0" w:space="0" w:color="auto"/>
            <w:right w:val="none" w:sz="0" w:space="0" w:color="auto"/>
          </w:divBdr>
        </w:div>
      </w:divsChild>
    </w:div>
    <w:div w:id="1721320018">
      <w:bodyDiv w:val="1"/>
      <w:marLeft w:val="0"/>
      <w:marRight w:val="0"/>
      <w:marTop w:val="0"/>
      <w:marBottom w:val="0"/>
      <w:divBdr>
        <w:top w:val="none" w:sz="0" w:space="0" w:color="auto"/>
        <w:left w:val="none" w:sz="0" w:space="0" w:color="auto"/>
        <w:bottom w:val="none" w:sz="0" w:space="0" w:color="auto"/>
        <w:right w:val="none" w:sz="0" w:space="0" w:color="auto"/>
      </w:divBdr>
      <w:divsChild>
        <w:div w:id="1943144614">
          <w:marLeft w:val="640"/>
          <w:marRight w:val="0"/>
          <w:marTop w:val="0"/>
          <w:marBottom w:val="0"/>
          <w:divBdr>
            <w:top w:val="none" w:sz="0" w:space="0" w:color="auto"/>
            <w:left w:val="none" w:sz="0" w:space="0" w:color="auto"/>
            <w:bottom w:val="none" w:sz="0" w:space="0" w:color="auto"/>
            <w:right w:val="none" w:sz="0" w:space="0" w:color="auto"/>
          </w:divBdr>
        </w:div>
        <w:div w:id="1305623942">
          <w:marLeft w:val="640"/>
          <w:marRight w:val="0"/>
          <w:marTop w:val="0"/>
          <w:marBottom w:val="0"/>
          <w:divBdr>
            <w:top w:val="none" w:sz="0" w:space="0" w:color="auto"/>
            <w:left w:val="none" w:sz="0" w:space="0" w:color="auto"/>
            <w:bottom w:val="none" w:sz="0" w:space="0" w:color="auto"/>
            <w:right w:val="none" w:sz="0" w:space="0" w:color="auto"/>
          </w:divBdr>
        </w:div>
        <w:div w:id="1689523756">
          <w:marLeft w:val="640"/>
          <w:marRight w:val="0"/>
          <w:marTop w:val="0"/>
          <w:marBottom w:val="0"/>
          <w:divBdr>
            <w:top w:val="none" w:sz="0" w:space="0" w:color="auto"/>
            <w:left w:val="none" w:sz="0" w:space="0" w:color="auto"/>
            <w:bottom w:val="none" w:sz="0" w:space="0" w:color="auto"/>
            <w:right w:val="none" w:sz="0" w:space="0" w:color="auto"/>
          </w:divBdr>
        </w:div>
        <w:div w:id="584385265">
          <w:marLeft w:val="640"/>
          <w:marRight w:val="0"/>
          <w:marTop w:val="0"/>
          <w:marBottom w:val="0"/>
          <w:divBdr>
            <w:top w:val="none" w:sz="0" w:space="0" w:color="auto"/>
            <w:left w:val="none" w:sz="0" w:space="0" w:color="auto"/>
            <w:bottom w:val="none" w:sz="0" w:space="0" w:color="auto"/>
            <w:right w:val="none" w:sz="0" w:space="0" w:color="auto"/>
          </w:divBdr>
        </w:div>
        <w:div w:id="1780490322">
          <w:marLeft w:val="640"/>
          <w:marRight w:val="0"/>
          <w:marTop w:val="0"/>
          <w:marBottom w:val="0"/>
          <w:divBdr>
            <w:top w:val="none" w:sz="0" w:space="0" w:color="auto"/>
            <w:left w:val="none" w:sz="0" w:space="0" w:color="auto"/>
            <w:bottom w:val="none" w:sz="0" w:space="0" w:color="auto"/>
            <w:right w:val="none" w:sz="0" w:space="0" w:color="auto"/>
          </w:divBdr>
        </w:div>
        <w:div w:id="1758362827">
          <w:marLeft w:val="640"/>
          <w:marRight w:val="0"/>
          <w:marTop w:val="0"/>
          <w:marBottom w:val="0"/>
          <w:divBdr>
            <w:top w:val="none" w:sz="0" w:space="0" w:color="auto"/>
            <w:left w:val="none" w:sz="0" w:space="0" w:color="auto"/>
            <w:bottom w:val="none" w:sz="0" w:space="0" w:color="auto"/>
            <w:right w:val="none" w:sz="0" w:space="0" w:color="auto"/>
          </w:divBdr>
        </w:div>
        <w:div w:id="673147547">
          <w:marLeft w:val="640"/>
          <w:marRight w:val="0"/>
          <w:marTop w:val="0"/>
          <w:marBottom w:val="0"/>
          <w:divBdr>
            <w:top w:val="none" w:sz="0" w:space="0" w:color="auto"/>
            <w:left w:val="none" w:sz="0" w:space="0" w:color="auto"/>
            <w:bottom w:val="none" w:sz="0" w:space="0" w:color="auto"/>
            <w:right w:val="none" w:sz="0" w:space="0" w:color="auto"/>
          </w:divBdr>
        </w:div>
        <w:div w:id="1939563141">
          <w:marLeft w:val="640"/>
          <w:marRight w:val="0"/>
          <w:marTop w:val="0"/>
          <w:marBottom w:val="0"/>
          <w:divBdr>
            <w:top w:val="none" w:sz="0" w:space="0" w:color="auto"/>
            <w:left w:val="none" w:sz="0" w:space="0" w:color="auto"/>
            <w:bottom w:val="none" w:sz="0" w:space="0" w:color="auto"/>
            <w:right w:val="none" w:sz="0" w:space="0" w:color="auto"/>
          </w:divBdr>
        </w:div>
        <w:div w:id="856623611">
          <w:marLeft w:val="640"/>
          <w:marRight w:val="0"/>
          <w:marTop w:val="0"/>
          <w:marBottom w:val="0"/>
          <w:divBdr>
            <w:top w:val="none" w:sz="0" w:space="0" w:color="auto"/>
            <w:left w:val="none" w:sz="0" w:space="0" w:color="auto"/>
            <w:bottom w:val="none" w:sz="0" w:space="0" w:color="auto"/>
            <w:right w:val="none" w:sz="0" w:space="0" w:color="auto"/>
          </w:divBdr>
        </w:div>
        <w:div w:id="1919826420">
          <w:marLeft w:val="640"/>
          <w:marRight w:val="0"/>
          <w:marTop w:val="0"/>
          <w:marBottom w:val="0"/>
          <w:divBdr>
            <w:top w:val="none" w:sz="0" w:space="0" w:color="auto"/>
            <w:left w:val="none" w:sz="0" w:space="0" w:color="auto"/>
            <w:bottom w:val="none" w:sz="0" w:space="0" w:color="auto"/>
            <w:right w:val="none" w:sz="0" w:space="0" w:color="auto"/>
          </w:divBdr>
        </w:div>
      </w:divsChild>
    </w:div>
    <w:div w:id="1723750930">
      <w:bodyDiv w:val="1"/>
      <w:marLeft w:val="0"/>
      <w:marRight w:val="0"/>
      <w:marTop w:val="0"/>
      <w:marBottom w:val="0"/>
      <w:divBdr>
        <w:top w:val="none" w:sz="0" w:space="0" w:color="auto"/>
        <w:left w:val="none" w:sz="0" w:space="0" w:color="auto"/>
        <w:bottom w:val="none" w:sz="0" w:space="0" w:color="auto"/>
        <w:right w:val="none" w:sz="0" w:space="0" w:color="auto"/>
      </w:divBdr>
      <w:divsChild>
        <w:div w:id="516429663">
          <w:marLeft w:val="640"/>
          <w:marRight w:val="0"/>
          <w:marTop w:val="0"/>
          <w:marBottom w:val="0"/>
          <w:divBdr>
            <w:top w:val="none" w:sz="0" w:space="0" w:color="auto"/>
            <w:left w:val="none" w:sz="0" w:space="0" w:color="auto"/>
            <w:bottom w:val="none" w:sz="0" w:space="0" w:color="auto"/>
            <w:right w:val="none" w:sz="0" w:space="0" w:color="auto"/>
          </w:divBdr>
        </w:div>
        <w:div w:id="553932213">
          <w:marLeft w:val="640"/>
          <w:marRight w:val="0"/>
          <w:marTop w:val="0"/>
          <w:marBottom w:val="0"/>
          <w:divBdr>
            <w:top w:val="none" w:sz="0" w:space="0" w:color="auto"/>
            <w:left w:val="none" w:sz="0" w:space="0" w:color="auto"/>
            <w:bottom w:val="none" w:sz="0" w:space="0" w:color="auto"/>
            <w:right w:val="none" w:sz="0" w:space="0" w:color="auto"/>
          </w:divBdr>
        </w:div>
        <w:div w:id="807550271">
          <w:marLeft w:val="640"/>
          <w:marRight w:val="0"/>
          <w:marTop w:val="0"/>
          <w:marBottom w:val="0"/>
          <w:divBdr>
            <w:top w:val="none" w:sz="0" w:space="0" w:color="auto"/>
            <w:left w:val="none" w:sz="0" w:space="0" w:color="auto"/>
            <w:bottom w:val="none" w:sz="0" w:space="0" w:color="auto"/>
            <w:right w:val="none" w:sz="0" w:space="0" w:color="auto"/>
          </w:divBdr>
        </w:div>
        <w:div w:id="563488661">
          <w:marLeft w:val="640"/>
          <w:marRight w:val="0"/>
          <w:marTop w:val="0"/>
          <w:marBottom w:val="0"/>
          <w:divBdr>
            <w:top w:val="none" w:sz="0" w:space="0" w:color="auto"/>
            <w:left w:val="none" w:sz="0" w:space="0" w:color="auto"/>
            <w:bottom w:val="none" w:sz="0" w:space="0" w:color="auto"/>
            <w:right w:val="none" w:sz="0" w:space="0" w:color="auto"/>
          </w:divBdr>
        </w:div>
        <w:div w:id="517744302">
          <w:marLeft w:val="640"/>
          <w:marRight w:val="0"/>
          <w:marTop w:val="0"/>
          <w:marBottom w:val="0"/>
          <w:divBdr>
            <w:top w:val="none" w:sz="0" w:space="0" w:color="auto"/>
            <w:left w:val="none" w:sz="0" w:space="0" w:color="auto"/>
            <w:bottom w:val="none" w:sz="0" w:space="0" w:color="auto"/>
            <w:right w:val="none" w:sz="0" w:space="0" w:color="auto"/>
          </w:divBdr>
        </w:div>
      </w:divsChild>
    </w:div>
    <w:div w:id="1772623179">
      <w:bodyDiv w:val="1"/>
      <w:marLeft w:val="0"/>
      <w:marRight w:val="0"/>
      <w:marTop w:val="0"/>
      <w:marBottom w:val="0"/>
      <w:divBdr>
        <w:top w:val="none" w:sz="0" w:space="0" w:color="auto"/>
        <w:left w:val="none" w:sz="0" w:space="0" w:color="auto"/>
        <w:bottom w:val="none" w:sz="0" w:space="0" w:color="auto"/>
        <w:right w:val="none" w:sz="0" w:space="0" w:color="auto"/>
      </w:divBdr>
      <w:divsChild>
        <w:div w:id="2146510333">
          <w:marLeft w:val="640"/>
          <w:marRight w:val="0"/>
          <w:marTop w:val="0"/>
          <w:marBottom w:val="0"/>
          <w:divBdr>
            <w:top w:val="none" w:sz="0" w:space="0" w:color="auto"/>
            <w:left w:val="none" w:sz="0" w:space="0" w:color="auto"/>
            <w:bottom w:val="none" w:sz="0" w:space="0" w:color="auto"/>
            <w:right w:val="none" w:sz="0" w:space="0" w:color="auto"/>
          </w:divBdr>
        </w:div>
        <w:div w:id="1587958419">
          <w:marLeft w:val="640"/>
          <w:marRight w:val="0"/>
          <w:marTop w:val="0"/>
          <w:marBottom w:val="0"/>
          <w:divBdr>
            <w:top w:val="none" w:sz="0" w:space="0" w:color="auto"/>
            <w:left w:val="none" w:sz="0" w:space="0" w:color="auto"/>
            <w:bottom w:val="none" w:sz="0" w:space="0" w:color="auto"/>
            <w:right w:val="none" w:sz="0" w:space="0" w:color="auto"/>
          </w:divBdr>
        </w:div>
        <w:div w:id="2069526454">
          <w:marLeft w:val="640"/>
          <w:marRight w:val="0"/>
          <w:marTop w:val="0"/>
          <w:marBottom w:val="0"/>
          <w:divBdr>
            <w:top w:val="none" w:sz="0" w:space="0" w:color="auto"/>
            <w:left w:val="none" w:sz="0" w:space="0" w:color="auto"/>
            <w:bottom w:val="none" w:sz="0" w:space="0" w:color="auto"/>
            <w:right w:val="none" w:sz="0" w:space="0" w:color="auto"/>
          </w:divBdr>
        </w:div>
        <w:div w:id="770977379">
          <w:marLeft w:val="640"/>
          <w:marRight w:val="0"/>
          <w:marTop w:val="0"/>
          <w:marBottom w:val="0"/>
          <w:divBdr>
            <w:top w:val="none" w:sz="0" w:space="0" w:color="auto"/>
            <w:left w:val="none" w:sz="0" w:space="0" w:color="auto"/>
            <w:bottom w:val="none" w:sz="0" w:space="0" w:color="auto"/>
            <w:right w:val="none" w:sz="0" w:space="0" w:color="auto"/>
          </w:divBdr>
        </w:div>
        <w:div w:id="513346089">
          <w:marLeft w:val="640"/>
          <w:marRight w:val="0"/>
          <w:marTop w:val="0"/>
          <w:marBottom w:val="0"/>
          <w:divBdr>
            <w:top w:val="none" w:sz="0" w:space="0" w:color="auto"/>
            <w:left w:val="none" w:sz="0" w:space="0" w:color="auto"/>
            <w:bottom w:val="none" w:sz="0" w:space="0" w:color="auto"/>
            <w:right w:val="none" w:sz="0" w:space="0" w:color="auto"/>
          </w:divBdr>
        </w:div>
        <w:div w:id="1333873982">
          <w:marLeft w:val="640"/>
          <w:marRight w:val="0"/>
          <w:marTop w:val="0"/>
          <w:marBottom w:val="0"/>
          <w:divBdr>
            <w:top w:val="none" w:sz="0" w:space="0" w:color="auto"/>
            <w:left w:val="none" w:sz="0" w:space="0" w:color="auto"/>
            <w:bottom w:val="none" w:sz="0" w:space="0" w:color="auto"/>
            <w:right w:val="none" w:sz="0" w:space="0" w:color="auto"/>
          </w:divBdr>
        </w:div>
        <w:div w:id="1913154515">
          <w:marLeft w:val="640"/>
          <w:marRight w:val="0"/>
          <w:marTop w:val="0"/>
          <w:marBottom w:val="0"/>
          <w:divBdr>
            <w:top w:val="none" w:sz="0" w:space="0" w:color="auto"/>
            <w:left w:val="none" w:sz="0" w:space="0" w:color="auto"/>
            <w:bottom w:val="none" w:sz="0" w:space="0" w:color="auto"/>
            <w:right w:val="none" w:sz="0" w:space="0" w:color="auto"/>
          </w:divBdr>
        </w:div>
        <w:div w:id="557088349">
          <w:marLeft w:val="640"/>
          <w:marRight w:val="0"/>
          <w:marTop w:val="0"/>
          <w:marBottom w:val="0"/>
          <w:divBdr>
            <w:top w:val="none" w:sz="0" w:space="0" w:color="auto"/>
            <w:left w:val="none" w:sz="0" w:space="0" w:color="auto"/>
            <w:bottom w:val="none" w:sz="0" w:space="0" w:color="auto"/>
            <w:right w:val="none" w:sz="0" w:space="0" w:color="auto"/>
          </w:divBdr>
        </w:div>
        <w:div w:id="1590187625">
          <w:marLeft w:val="640"/>
          <w:marRight w:val="0"/>
          <w:marTop w:val="0"/>
          <w:marBottom w:val="0"/>
          <w:divBdr>
            <w:top w:val="none" w:sz="0" w:space="0" w:color="auto"/>
            <w:left w:val="none" w:sz="0" w:space="0" w:color="auto"/>
            <w:bottom w:val="none" w:sz="0" w:space="0" w:color="auto"/>
            <w:right w:val="none" w:sz="0" w:space="0" w:color="auto"/>
          </w:divBdr>
        </w:div>
        <w:div w:id="608657189">
          <w:marLeft w:val="640"/>
          <w:marRight w:val="0"/>
          <w:marTop w:val="0"/>
          <w:marBottom w:val="0"/>
          <w:divBdr>
            <w:top w:val="none" w:sz="0" w:space="0" w:color="auto"/>
            <w:left w:val="none" w:sz="0" w:space="0" w:color="auto"/>
            <w:bottom w:val="none" w:sz="0" w:space="0" w:color="auto"/>
            <w:right w:val="none" w:sz="0" w:space="0" w:color="auto"/>
          </w:divBdr>
        </w:div>
        <w:div w:id="1092821629">
          <w:marLeft w:val="640"/>
          <w:marRight w:val="0"/>
          <w:marTop w:val="0"/>
          <w:marBottom w:val="0"/>
          <w:divBdr>
            <w:top w:val="none" w:sz="0" w:space="0" w:color="auto"/>
            <w:left w:val="none" w:sz="0" w:space="0" w:color="auto"/>
            <w:bottom w:val="none" w:sz="0" w:space="0" w:color="auto"/>
            <w:right w:val="none" w:sz="0" w:space="0" w:color="auto"/>
          </w:divBdr>
        </w:div>
        <w:div w:id="537011708">
          <w:marLeft w:val="640"/>
          <w:marRight w:val="0"/>
          <w:marTop w:val="0"/>
          <w:marBottom w:val="0"/>
          <w:divBdr>
            <w:top w:val="none" w:sz="0" w:space="0" w:color="auto"/>
            <w:left w:val="none" w:sz="0" w:space="0" w:color="auto"/>
            <w:bottom w:val="none" w:sz="0" w:space="0" w:color="auto"/>
            <w:right w:val="none" w:sz="0" w:space="0" w:color="auto"/>
          </w:divBdr>
        </w:div>
        <w:div w:id="1509830956">
          <w:marLeft w:val="640"/>
          <w:marRight w:val="0"/>
          <w:marTop w:val="0"/>
          <w:marBottom w:val="0"/>
          <w:divBdr>
            <w:top w:val="none" w:sz="0" w:space="0" w:color="auto"/>
            <w:left w:val="none" w:sz="0" w:space="0" w:color="auto"/>
            <w:bottom w:val="none" w:sz="0" w:space="0" w:color="auto"/>
            <w:right w:val="none" w:sz="0" w:space="0" w:color="auto"/>
          </w:divBdr>
        </w:div>
      </w:divsChild>
    </w:div>
    <w:div w:id="1782601641">
      <w:bodyDiv w:val="1"/>
      <w:marLeft w:val="0"/>
      <w:marRight w:val="0"/>
      <w:marTop w:val="0"/>
      <w:marBottom w:val="0"/>
      <w:divBdr>
        <w:top w:val="none" w:sz="0" w:space="0" w:color="auto"/>
        <w:left w:val="none" w:sz="0" w:space="0" w:color="auto"/>
        <w:bottom w:val="none" w:sz="0" w:space="0" w:color="auto"/>
        <w:right w:val="none" w:sz="0" w:space="0" w:color="auto"/>
      </w:divBdr>
      <w:divsChild>
        <w:div w:id="430978000">
          <w:marLeft w:val="640"/>
          <w:marRight w:val="0"/>
          <w:marTop w:val="0"/>
          <w:marBottom w:val="0"/>
          <w:divBdr>
            <w:top w:val="none" w:sz="0" w:space="0" w:color="auto"/>
            <w:left w:val="none" w:sz="0" w:space="0" w:color="auto"/>
            <w:bottom w:val="none" w:sz="0" w:space="0" w:color="auto"/>
            <w:right w:val="none" w:sz="0" w:space="0" w:color="auto"/>
          </w:divBdr>
        </w:div>
        <w:div w:id="1002513343">
          <w:marLeft w:val="640"/>
          <w:marRight w:val="0"/>
          <w:marTop w:val="0"/>
          <w:marBottom w:val="0"/>
          <w:divBdr>
            <w:top w:val="none" w:sz="0" w:space="0" w:color="auto"/>
            <w:left w:val="none" w:sz="0" w:space="0" w:color="auto"/>
            <w:bottom w:val="none" w:sz="0" w:space="0" w:color="auto"/>
            <w:right w:val="none" w:sz="0" w:space="0" w:color="auto"/>
          </w:divBdr>
        </w:div>
      </w:divsChild>
    </w:div>
    <w:div w:id="1807896963">
      <w:bodyDiv w:val="1"/>
      <w:marLeft w:val="0"/>
      <w:marRight w:val="0"/>
      <w:marTop w:val="0"/>
      <w:marBottom w:val="0"/>
      <w:divBdr>
        <w:top w:val="none" w:sz="0" w:space="0" w:color="auto"/>
        <w:left w:val="none" w:sz="0" w:space="0" w:color="auto"/>
        <w:bottom w:val="none" w:sz="0" w:space="0" w:color="auto"/>
        <w:right w:val="none" w:sz="0" w:space="0" w:color="auto"/>
      </w:divBdr>
      <w:divsChild>
        <w:div w:id="711998600">
          <w:marLeft w:val="640"/>
          <w:marRight w:val="0"/>
          <w:marTop w:val="0"/>
          <w:marBottom w:val="0"/>
          <w:divBdr>
            <w:top w:val="none" w:sz="0" w:space="0" w:color="auto"/>
            <w:left w:val="none" w:sz="0" w:space="0" w:color="auto"/>
            <w:bottom w:val="none" w:sz="0" w:space="0" w:color="auto"/>
            <w:right w:val="none" w:sz="0" w:space="0" w:color="auto"/>
          </w:divBdr>
        </w:div>
        <w:div w:id="1509784615">
          <w:marLeft w:val="640"/>
          <w:marRight w:val="0"/>
          <w:marTop w:val="0"/>
          <w:marBottom w:val="0"/>
          <w:divBdr>
            <w:top w:val="none" w:sz="0" w:space="0" w:color="auto"/>
            <w:left w:val="none" w:sz="0" w:space="0" w:color="auto"/>
            <w:bottom w:val="none" w:sz="0" w:space="0" w:color="auto"/>
            <w:right w:val="none" w:sz="0" w:space="0" w:color="auto"/>
          </w:divBdr>
        </w:div>
        <w:div w:id="426121144">
          <w:marLeft w:val="640"/>
          <w:marRight w:val="0"/>
          <w:marTop w:val="0"/>
          <w:marBottom w:val="0"/>
          <w:divBdr>
            <w:top w:val="none" w:sz="0" w:space="0" w:color="auto"/>
            <w:left w:val="none" w:sz="0" w:space="0" w:color="auto"/>
            <w:bottom w:val="none" w:sz="0" w:space="0" w:color="auto"/>
            <w:right w:val="none" w:sz="0" w:space="0" w:color="auto"/>
          </w:divBdr>
        </w:div>
      </w:divsChild>
    </w:div>
    <w:div w:id="1829663102">
      <w:bodyDiv w:val="1"/>
      <w:marLeft w:val="0"/>
      <w:marRight w:val="0"/>
      <w:marTop w:val="0"/>
      <w:marBottom w:val="0"/>
      <w:divBdr>
        <w:top w:val="none" w:sz="0" w:space="0" w:color="auto"/>
        <w:left w:val="none" w:sz="0" w:space="0" w:color="auto"/>
        <w:bottom w:val="none" w:sz="0" w:space="0" w:color="auto"/>
        <w:right w:val="none" w:sz="0" w:space="0" w:color="auto"/>
      </w:divBdr>
      <w:divsChild>
        <w:div w:id="274942597">
          <w:marLeft w:val="640"/>
          <w:marRight w:val="0"/>
          <w:marTop w:val="0"/>
          <w:marBottom w:val="0"/>
          <w:divBdr>
            <w:top w:val="none" w:sz="0" w:space="0" w:color="auto"/>
            <w:left w:val="none" w:sz="0" w:space="0" w:color="auto"/>
            <w:bottom w:val="none" w:sz="0" w:space="0" w:color="auto"/>
            <w:right w:val="none" w:sz="0" w:space="0" w:color="auto"/>
          </w:divBdr>
        </w:div>
        <w:div w:id="1533028646">
          <w:marLeft w:val="640"/>
          <w:marRight w:val="0"/>
          <w:marTop w:val="0"/>
          <w:marBottom w:val="0"/>
          <w:divBdr>
            <w:top w:val="none" w:sz="0" w:space="0" w:color="auto"/>
            <w:left w:val="none" w:sz="0" w:space="0" w:color="auto"/>
            <w:bottom w:val="none" w:sz="0" w:space="0" w:color="auto"/>
            <w:right w:val="none" w:sz="0" w:space="0" w:color="auto"/>
          </w:divBdr>
        </w:div>
        <w:div w:id="799689254">
          <w:marLeft w:val="640"/>
          <w:marRight w:val="0"/>
          <w:marTop w:val="0"/>
          <w:marBottom w:val="0"/>
          <w:divBdr>
            <w:top w:val="none" w:sz="0" w:space="0" w:color="auto"/>
            <w:left w:val="none" w:sz="0" w:space="0" w:color="auto"/>
            <w:bottom w:val="none" w:sz="0" w:space="0" w:color="auto"/>
            <w:right w:val="none" w:sz="0" w:space="0" w:color="auto"/>
          </w:divBdr>
        </w:div>
        <w:div w:id="1092582559">
          <w:marLeft w:val="640"/>
          <w:marRight w:val="0"/>
          <w:marTop w:val="0"/>
          <w:marBottom w:val="0"/>
          <w:divBdr>
            <w:top w:val="none" w:sz="0" w:space="0" w:color="auto"/>
            <w:left w:val="none" w:sz="0" w:space="0" w:color="auto"/>
            <w:bottom w:val="none" w:sz="0" w:space="0" w:color="auto"/>
            <w:right w:val="none" w:sz="0" w:space="0" w:color="auto"/>
          </w:divBdr>
        </w:div>
        <w:div w:id="122232375">
          <w:marLeft w:val="640"/>
          <w:marRight w:val="0"/>
          <w:marTop w:val="0"/>
          <w:marBottom w:val="0"/>
          <w:divBdr>
            <w:top w:val="none" w:sz="0" w:space="0" w:color="auto"/>
            <w:left w:val="none" w:sz="0" w:space="0" w:color="auto"/>
            <w:bottom w:val="none" w:sz="0" w:space="0" w:color="auto"/>
            <w:right w:val="none" w:sz="0" w:space="0" w:color="auto"/>
          </w:divBdr>
        </w:div>
        <w:div w:id="923296718">
          <w:marLeft w:val="640"/>
          <w:marRight w:val="0"/>
          <w:marTop w:val="0"/>
          <w:marBottom w:val="0"/>
          <w:divBdr>
            <w:top w:val="none" w:sz="0" w:space="0" w:color="auto"/>
            <w:left w:val="none" w:sz="0" w:space="0" w:color="auto"/>
            <w:bottom w:val="none" w:sz="0" w:space="0" w:color="auto"/>
            <w:right w:val="none" w:sz="0" w:space="0" w:color="auto"/>
          </w:divBdr>
        </w:div>
        <w:div w:id="2130929971">
          <w:marLeft w:val="640"/>
          <w:marRight w:val="0"/>
          <w:marTop w:val="0"/>
          <w:marBottom w:val="0"/>
          <w:divBdr>
            <w:top w:val="none" w:sz="0" w:space="0" w:color="auto"/>
            <w:left w:val="none" w:sz="0" w:space="0" w:color="auto"/>
            <w:bottom w:val="none" w:sz="0" w:space="0" w:color="auto"/>
            <w:right w:val="none" w:sz="0" w:space="0" w:color="auto"/>
          </w:divBdr>
        </w:div>
        <w:div w:id="33312763">
          <w:marLeft w:val="640"/>
          <w:marRight w:val="0"/>
          <w:marTop w:val="0"/>
          <w:marBottom w:val="0"/>
          <w:divBdr>
            <w:top w:val="none" w:sz="0" w:space="0" w:color="auto"/>
            <w:left w:val="none" w:sz="0" w:space="0" w:color="auto"/>
            <w:bottom w:val="none" w:sz="0" w:space="0" w:color="auto"/>
            <w:right w:val="none" w:sz="0" w:space="0" w:color="auto"/>
          </w:divBdr>
        </w:div>
        <w:div w:id="1736664930">
          <w:marLeft w:val="640"/>
          <w:marRight w:val="0"/>
          <w:marTop w:val="0"/>
          <w:marBottom w:val="0"/>
          <w:divBdr>
            <w:top w:val="none" w:sz="0" w:space="0" w:color="auto"/>
            <w:left w:val="none" w:sz="0" w:space="0" w:color="auto"/>
            <w:bottom w:val="none" w:sz="0" w:space="0" w:color="auto"/>
            <w:right w:val="none" w:sz="0" w:space="0" w:color="auto"/>
          </w:divBdr>
        </w:div>
        <w:div w:id="873352595">
          <w:marLeft w:val="640"/>
          <w:marRight w:val="0"/>
          <w:marTop w:val="0"/>
          <w:marBottom w:val="0"/>
          <w:divBdr>
            <w:top w:val="none" w:sz="0" w:space="0" w:color="auto"/>
            <w:left w:val="none" w:sz="0" w:space="0" w:color="auto"/>
            <w:bottom w:val="none" w:sz="0" w:space="0" w:color="auto"/>
            <w:right w:val="none" w:sz="0" w:space="0" w:color="auto"/>
          </w:divBdr>
        </w:div>
        <w:div w:id="631596092">
          <w:marLeft w:val="640"/>
          <w:marRight w:val="0"/>
          <w:marTop w:val="0"/>
          <w:marBottom w:val="0"/>
          <w:divBdr>
            <w:top w:val="none" w:sz="0" w:space="0" w:color="auto"/>
            <w:left w:val="none" w:sz="0" w:space="0" w:color="auto"/>
            <w:bottom w:val="none" w:sz="0" w:space="0" w:color="auto"/>
            <w:right w:val="none" w:sz="0" w:space="0" w:color="auto"/>
          </w:divBdr>
        </w:div>
      </w:divsChild>
    </w:div>
    <w:div w:id="1838880480">
      <w:bodyDiv w:val="1"/>
      <w:marLeft w:val="0"/>
      <w:marRight w:val="0"/>
      <w:marTop w:val="0"/>
      <w:marBottom w:val="0"/>
      <w:divBdr>
        <w:top w:val="none" w:sz="0" w:space="0" w:color="auto"/>
        <w:left w:val="none" w:sz="0" w:space="0" w:color="auto"/>
        <w:bottom w:val="none" w:sz="0" w:space="0" w:color="auto"/>
        <w:right w:val="none" w:sz="0" w:space="0" w:color="auto"/>
      </w:divBdr>
      <w:divsChild>
        <w:div w:id="1674800400">
          <w:marLeft w:val="640"/>
          <w:marRight w:val="0"/>
          <w:marTop w:val="0"/>
          <w:marBottom w:val="0"/>
          <w:divBdr>
            <w:top w:val="none" w:sz="0" w:space="0" w:color="auto"/>
            <w:left w:val="none" w:sz="0" w:space="0" w:color="auto"/>
            <w:bottom w:val="none" w:sz="0" w:space="0" w:color="auto"/>
            <w:right w:val="none" w:sz="0" w:space="0" w:color="auto"/>
          </w:divBdr>
        </w:div>
        <w:div w:id="445198772">
          <w:marLeft w:val="640"/>
          <w:marRight w:val="0"/>
          <w:marTop w:val="0"/>
          <w:marBottom w:val="0"/>
          <w:divBdr>
            <w:top w:val="none" w:sz="0" w:space="0" w:color="auto"/>
            <w:left w:val="none" w:sz="0" w:space="0" w:color="auto"/>
            <w:bottom w:val="none" w:sz="0" w:space="0" w:color="auto"/>
            <w:right w:val="none" w:sz="0" w:space="0" w:color="auto"/>
          </w:divBdr>
        </w:div>
      </w:divsChild>
    </w:div>
    <w:div w:id="1849708995">
      <w:bodyDiv w:val="1"/>
      <w:marLeft w:val="0"/>
      <w:marRight w:val="0"/>
      <w:marTop w:val="0"/>
      <w:marBottom w:val="0"/>
      <w:divBdr>
        <w:top w:val="none" w:sz="0" w:space="0" w:color="auto"/>
        <w:left w:val="none" w:sz="0" w:space="0" w:color="auto"/>
        <w:bottom w:val="none" w:sz="0" w:space="0" w:color="auto"/>
        <w:right w:val="none" w:sz="0" w:space="0" w:color="auto"/>
      </w:divBdr>
      <w:divsChild>
        <w:div w:id="1447578344">
          <w:marLeft w:val="640"/>
          <w:marRight w:val="0"/>
          <w:marTop w:val="0"/>
          <w:marBottom w:val="0"/>
          <w:divBdr>
            <w:top w:val="none" w:sz="0" w:space="0" w:color="auto"/>
            <w:left w:val="none" w:sz="0" w:space="0" w:color="auto"/>
            <w:bottom w:val="none" w:sz="0" w:space="0" w:color="auto"/>
            <w:right w:val="none" w:sz="0" w:space="0" w:color="auto"/>
          </w:divBdr>
        </w:div>
        <w:div w:id="1238131881">
          <w:marLeft w:val="640"/>
          <w:marRight w:val="0"/>
          <w:marTop w:val="0"/>
          <w:marBottom w:val="0"/>
          <w:divBdr>
            <w:top w:val="none" w:sz="0" w:space="0" w:color="auto"/>
            <w:left w:val="none" w:sz="0" w:space="0" w:color="auto"/>
            <w:bottom w:val="none" w:sz="0" w:space="0" w:color="auto"/>
            <w:right w:val="none" w:sz="0" w:space="0" w:color="auto"/>
          </w:divBdr>
        </w:div>
        <w:div w:id="1506627490">
          <w:marLeft w:val="640"/>
          <w:marRight w:val="0"/>
          <w:marTop w:val="0"/>
          <w:marBottom w:val="0"/>
          <w:divBdr>
            <w:top w:val="none" w:sz="0" w:space="0" w:color="auto"/>
            <w:left w:val="none" w:sz="0" w:space="0" w:color="auto"/>
            <w:bottom w:val="none" w:sz="0" w:space="0" w:color="auto"/>
            <w:right w:val="none" w:sz="0" w:space="0" w:color="auto"/>
          </w:divBdr>
        </w:div>
        <w:div w:id="593443715">
          <w:marLeft w:val="640"/>
          <w:marRight w:val="0"/>
          <w:marTop w:val="0"/>
          <w:marBottom w:val="0"/>
          <w:divBdr>
            <w:top w:val="none" w:sz="0" w:space="0" w:color="auto"/>
            <w:left w:val="none" w:sz="0" w:space="0" w:color="auto"/>
            <w:bottom w:val="none" w:sz="0" w:space="0" w:color="auto"/>
            <w:right w:val="none" w:sz="0" w:space="0" w:color="auto"/>
          </w:divBdr>
        </w:div>
        <w:div w:id="412900508">
          <w:marLeft w:val="640"/>
          <w:marRight w:val="0"/>
          <w:marTop w:val="0"/>
          <w:marBottom w:val="0"/>
          <w:divBdr>
            <w:top w:val="none" w:sz="0" w:space="0" w:color="auto"/>
            <w:left w:val="none" w:sz="0" w:space="0" w:color="auto"/>
            <w:bottom w:val="none" w:sz="0" w:space="0" w:color="auto"/>
            <w:right w:val="none" w:sz="0" w:space="0" w:color="auto"/>
          </w:divBdr>
        </w:div>
        <w:div w:id="2108571108">
          <w:marLeft w:val="640"/>
          <w:marRight w:val="0"/>
          <w:marTop w:val="0"/>
          <w:marBottom w:val="0"/>
          <w:divBdr>
            <w:top w:val="none" w:sz="0" w:space="0" w:color="auto"/>
            <w:left w:val="none" w:sz="0" w:space="0" w:color="auto"/>
            <w:bottom w:val="none" w:sz="0" w:space="0" w:color="auto"/>
            <w:right w:val="none" w:sz="0" w:space="0" w:color="auto"/>
          </w:divBdr>
        </w:div>
        <w:div w:id="1574003109">
          <w:marLeft w:val="640"/>
          <w:marRight w:val="0"/>
          <w:marTop w:val="0"/>
          <w:marBottom w:val="0"/>
          <w:divBdr>
            <w:top w:val="none" w:sz="0" w:space="0" w:color="auto"/>
            <w:left w:val="none" w:sz="0" w:space="0" w:color="auto"/>
            <w:bottom w:val="none" w:sz="0" w:space="0" w:color="auto"/>
            <w:right w:val="none" w:sz="0" w:space="0" w:color="auto"/>
          </w:divBdr>
        </w:div>
        <w:div w:id="170415616">
          <w:marLeft w:val="640"/>
          <w:marRight w:val="0"/>
          <w:marTop w:val="0"/>
          <w:marBottom w:val="0"/>
          <w:divBdr>
            <w:top w:val="none" w:sz="0" w:space="0" w:color="auto"/>
            <w:left w:val="none" w:sz="0" w:space="0" w:color="auto"/>
            <w:bottom w:val="none" w:sz="0" w:space="0" w:color="auto"/>
            <w:right w:val="none" w:sz="0" w:space="0" w:color="auto"/>
          </w:divBdr>
        </w:div>
        <w:div w:id="1829203446">
          <w:marLeft w:val="640"/>
          <w:marRight w:val="0"/>
          <w:marTop w:val="0"/>
          <w:marBottom w:val="0"/>
          <w:divBdr>
            <w:top w:val="none" w:sz="0" w:space="0" w:color="auto"/>
            <w:left w:val="none" w:sz="0" w:space="0" w:color="auto"/>
            <w:bottom w:val="none" w:sz="0" w:space="0" w:color="auto"/>
            <w:right w:val="none" w:sz="0" w:space="0" w:color="auto"/>
          </w:divBdr>
        </w:div>
        <w:div w:id="505706403">
          <w:marLeft w:val="640"/>
          <w:marRight w:val="0"/>
          <w:marTop w:val="0"/>
          <w:marBottom w:val="0"/>
          <w:divBdr>
            <w:top w:val="none" w:sz="0" w:space="0" w:color="auto"/>
            <w:left w:val="none" w:sz="0" w:space="0" w:color="auto"/>
            <w:bottom w:val="none" w:sz="0" w:space="0" w:color="auto"/>
            <w:right w:val="none" w:sz="0" w:space="0" w:color="auto"/>
          </w:divBdr>
        </w:div>
        <w:div w:id="1295016567">
          <w:marLeft w:val="640"/>
          <w:marRight w:val="0"/>
          <w:marTop w:val="0"/>
          <w:marBottom w:val="0"/>
          <w:divBdr>
            <w:top w:val="none" w:sz="0" w:space="0" w:color="auto"/>
            <w:left w:val="none" w:sz="0" w:space="0" w:color="auto"/>
            <w:bottom w:val="none" w:sz="0" w:space="0" w:color="auto"/>
            <w:right w:val="none" w:sz="0" w:space="0" w:color="auto"/>
          </w:divBdr>
        </w:div>
        <w:div w:id="434207262">
          <w:marLeft w:val="640"/>
          <w:marRight w:val="0"/>
          <w:marTop w:val="0"/>
          <w:marBottom w:val="0"/>
          <w:divBdr>
            <w:top w:val="none" w:sz="0" w:space="0" w:color="auto"/>
            <w:left w:val="none" w:sz="0" w:space="0" w:color="auto"/>
            <w:bottom w:val="none" w:sz="0" w:space="0" w:color="auto"/>
            <w:right w:val="none" w:sz="0" w:space="0" w:color="auto"/>
          </w:divBdr>
        </w:div>
        <w:div w:id="2141797343">
          <w:marLeft w:val="640"/>
          <w:marRight w:val="0"/>
          <w:marTop w:val="0"/>
          <w:marBottom w:val="0"/>
          <w:divBdr>
            <w:top w:val="none" w:sz="0" w:space="0" w:color="auto"/>
            <w:left w:val="none" w:sz="0" w:space="0" w:color="auto"/>
            <w:bottom w:val="none" w:sz="0" w:space="0" w:color="auto"/>
            <w:right w:val="none" w:sz="0" w:space="0" w:color="auto"/>
          </w:divBdr>
        </w:div>
        <w:div w:id="1775174150">
          <w:marLeft w:val="640"/>
          <w:marRight w:val="0"/>
          <w:marTop w:val="0"/>
          <w:marBottom w:val="0"/>
          <w:divBdr>
            <w:top w:val="none" w:sz="0" w:space="0" w:color="auto"/>
            <w:left w:val="none" w:sz="0" w:space="0" w:color="auto"/>
            <w:bottom w:val="none" w:sz="0" w:space="0" w:color="auto"/>
            <w:right w:val="none" w:sz="0" w:space="0" w:color="auto"/>
          </w:divBdr>
        </w:div>
        <w:div w:id="653341028">
          <w:marLeft w:val="640"/>
          <w:marRight w:val="0"/>
          <w:marTop w:val="0"/>
          <w:marBottom w:val="0"/>
          <w:divBdr>
            <w:top w:val="none" w:sz="0" w:space="0" w:color="auto"/>
            <w:left w:val="none" w:sz="0" w:space="0" w:color="auto"/>
            <w:bottom w:val="none" w:sz="0" w:space="0" w:color="auto"/>
            <w:right w:val="none" w:sz="0" w:space="0" w:color="auto"/>
          </w:divBdr>
        </w:div>
      </w:divsChild>
    </w:div>
    <w:div w:id="1853759564">
      <w:bodyDiv w:val="1"/>
      <w:marLeft w:val="0"/>
      <w:marRight w:val="0"/>
      <w:marTop w:val="0"/>
      <w:marBottom w:val="0"/>
      <w:divBdr>
        <w:top w:val="none" w:sz="0" w:space="0" w:color="auto"/>
        <w:left w:val="none" w:sz="0" w:space="0" w:color="auto"/>
        <w:bottom w:val="none" w:sz="0" w:space="0" w:color="auto"/>
        <w:right w:val="none" w:sz="0" w:space="0" w:color="auto"/>
      </w:divBdr>
      <w:divsChild>
        <w:div w:id="761989996">
          <w:marLeft w:val="640"/>
          <w:marRight w:val="0"/>
          <w:marTop w:val="0"/>
          <w:marBottom w:val="0"/>
          <w:divBdr>
            <w:top w:val="none" w:sz="0" w:space="0" w:color="auto"/>
            <w:left w:val="none" w:sz="0" w:space="0" w:color="auto"/>
            <w:bottom w:val="none" w:sz="0" w:space="0" w:color="auto"/>
            <w:right w:val="none" w:sz="0" w:space="0" w:color="auto"/>
          </w:divBdr>
        </w:div>
        <w:div w:id="926227379">
          <w:marLeft w:val="640"/>
          <w:marRight w:val="0"/>
          <w:marTop w:val="0"/>
          <w:marBottom w:val="0"/>
          <w:divBdr>
            <w:top w:val="none" w:sz="0" w:space="0" w:color="auto"/>
            <w:left w:val="none" w:sz="0" w:space="0" w:color="auto"/>
            <w:bottom w:val="none" w:sz="0" w:space="0" w:color="auto"/>
            <w:right w:val="none" w:sz="0" w:space="0" w:color="auto"/>
          </w:divBdr>
        </w:div>
        <w:div w:id="527059749">
          <w:marLeft w:val="640"/>
          <w:marRight w:val="0"/>
          <w:marTop w:val="0"/>
          <w:marBottom w:val="0"/>
          <w:divBdr>
            <w:top w:val="none" w:sz="0" w:space="0" w:color="auto"/>
            <w:left w:val="none" w:sz="0" w:space="0" w:color="auto"/>
            <w:bottom w:val="none" w:sz="0" w:space="0" w:color="auto"/>
            <w:right w:val="none" w:sz="0" w:space="0" w:color="auto"/>
          </w:divBdr>
        </w:div>
        <w:div w:id="1522548446">
          <w:marLeft w:val="640"/>
          <w:marRight w:val="0"/>
          <w:marTop w:val="0"/>
          <w:marBottom w:val="0"/>
          <w:divBdr>
            <w:top w:val="none" w:sz="0" w:space="0" w:color="auto"/>
            <w:left w:val="none" w:sz="0" w:space="0" w:color="auto"/>
            <w:bottom w:val="none" w:sz="0" w:space="0" w:color="auto"/>
            <w:right w:val="none" w:sz="0" w:space="0" w:color="auto"/>
          </w:divBdr>
        </w:div>
        <w:div w:id="1862163082">
          <w:marLeft w:val="640"/>
          <w:marRight w:val="0"/>
          <w:marTop w:val="0"/>
          <w:marBottom w:val="0"/>
          <w:divBdr>
            <w:top w:val="none" w:sz="0" w:space="0" w:color="auto"/>
            <w:left w:val="none" w:sz="0" w:space="0" w:color="auto"/>
            <w:bottom w:val="none" w:sz="0" w:space="0" w:color="auto"/>
            <w:right w:val="none" w:sz="0" w:space="0" w:color="auto"/>
          </w:divBdr>
        </w:div>
        <w:div w:id="1919169886">
          <w:marLeft w:val="640"/>
          <w:marRight w:val="0"/>
          <w:marTop w:val="0"/>
          <w:marBottom w:val="0"/>
          <w:divBdr>
            <w:top w:val="none" w:sz="0" w:space="0" w:color="auto"/>
            <w:left w:val="none" w:sz="0" w:space="0" w:color="auto"/>
            <w:bottom w:val="none" w:sz="0" w:space="0" w:color="auto"/>
            <w:right w:val="none" w:sz="0" w:space="0" w:color="auto"/>
          </w:divBdr>
        </w:div>
        <w:div w:id="1908998157">
          <w:marLeft w:val="640"/>
          <w:marRight w:val="0"/>
          <w:marTop w:val="0"/>
          <w:marBottom w:val="0"/>
          <w:divBdr>
            <w:top w:val="none" w:sz="0" w:space="0" w:color="auto"/>
            <w:left w:val="none" w:sz="0" w:space="0" w:color="auto"/>
            <w:bottom w:val="none" w:sz="0" w:space="0" w:color="auto"/>
            <w:right w:val="none" w:sz="0" w:space="0" w:color="auto"/>
          </w:divBdr>
        </w:div>
        <w:div w:id="1738085558">
          <w:marLeft w:val="640"/>
          <w:marRight w:val="0"/>
          <w:marTop w:val="0"/>
          <w:marBottom w:val="0"/>
          <w:divBdr>
            <w:top w:val="none" w:sz="0" w:space="0" w:color="auto"/>
            <w:left w:val="none" w:sz="0" w:space="0" w:color="auto"/>
            <w:bottom w:val="none" w:sz="0" w:space="0" w:color="auto"/>
            <w:right w:val="none" w:sz="0" w:space="0" w:color="auto"/>
          </w:divBdr>
        </w:div>
        <w:div w:id="480000231">
          <w:marLeft w:val="640"/>
          <w:marRight w:val="0"/>
          <w:marTop w:val="0"/>
          <w:marBottom w:val="0"/>
          <w:divBdr>
            <w:top w:val="none" w:sz="0" w:space="0" w:color="auto"/>
            <w:left w:val="none" w:sz="0" w:space="0" w:color="auto"/>
            <w:bottom w:val="none" w:sz="0" w:space="0" w:color="auto"/>
            <w:right w:val="none" w:sz="0" w:space="0" w:color="auto"/>
          </w:divBdr>
        </w:div>
        <w:div w:id="281887463">
          <w:marLeft w:val="640"/>
          <w:marRight w:val="0"/>
          <w:marTop w:val="0"/>
          <w:marBottom w:val="0"/>
          <w:divBdr>
            <w:top w:val="none" w:sz="0" w:space="0" w:color="auto"/>
            <w:left w:val="none" w:sz="0" w:space="0" w:color="auto"/>
            <w:bottom w:val="none" w:sz="0" w:space="0" w:color="auto"/>
            <w:right w:val="none" w:sz="0" w:space="0" w:color="auto"/>
          </w:divBdr>
        </w:div>
        <w:div w:id="642008434">
          <w:marLeft w:val="640"/>
          <w:marRight w:val="0"/>
          <w:marTop w:val="0"/>
          <w:marBottom w:val="0"/>
          <w:divBdr>
            <w:top w:val="none" w:sz="0" w:space="0" w:color="auto"/>
            <w:left w:val="none" w:sz="0" w:space="0" w:color="auto"/>
            <w:bottom w:val="none" w:sz="0" w:space="0" w:color="auto"/>
            <w:right w:val="none" w:sz="0" w:space="0" w:color="auto"/>
          </w:divBdr>
        </w:div>
        <w:div w:id="830560179">
          <w:marLeft w:val="640"/>
          <w:marRight w:val="0"/>
          <w:marTop w:val="0"/>
          <w:marBottom w:val="0"/>
          <w:divBdr>
            <w:top w:val="none" w:sz="0" w:space="0" w:color="auto"/>
            <w:left w:val="none" w:sz="0" w:space="0" w:color="auto"/>
            <w:bottom w:val="none" w:sz="0" w:space="0" w:color="auto"/>
            <w:right w:val="none" w:sz="0" w:space="0" w:color="auto"/>
          </w:divBdr>
        </w:div>
        <w:div w:id="522091882">
          <w:marLeft w:val="640"/>
          <w:marRight w:val="0"/>
          <w:marTop w:val="0"/>
          <w:marBottom w:val="0"/>
          <w:divBdr>
            <w:top w:val="none" w:sz="0" w:space="0" w:color="auto"/>
            <w:left w:val="none" w:sz="0" w:space="0" w:color="auto"/>
            <w:bottom w:val="none" w:sz="0" w:space="0" w:color="auto"/>
            <w:right w:val="none" w:sz="0" w:space="0" w:color="auto"/>
          </w:divBdr>
        </w:div>
        <w:div w:id="2098161928">
          <w:marLeft w:val="640"/>
          <w:marRight w:val="0"/>
          <w:marTop w:val="0"/>
          <w:marBottom w:val="0"/>
          <w:divBdr>
            <w:top w:val="none" w:sz="0" w:space="0" w:color="auto"/>
            <w:left w:val="none" w:sz="0" w:space="0" w:color="auto"/>
            <w:bottom w:val="none" w:sz="0" w:space="0" w:color="auto"/>
            <w:right w:val="none" w:sz="0" w:space="0" w:color="auto"/>
          </w:divBdr>
        </w:div>
        <w:div w:id="65342561">
          <w:marLeft w:val="640"/>
          <w:marRight w:val="0"/>
          <w:marTop w:val="0"/>
          <w:marBottom w:val="0"/>
          <w:divBdr>
            <w:top w:val="none" w:sz="0" w:space="0" w:color="auto"/>
            <w:left w:val="none" w:sz="0" w:space="0" w:color="auto"/>
            <w:bottom w:val="none" w:sz="0" w:space="0" w:color="auto"/>
            <w:right w:val="none" w:sz="0" w:space="0" w:color="auto"/>
          </w:divBdr>
        </w:div>
      </w:divsChild>
    </w:div>
    <w:div w:id="1873692155">
      <w:bodyDiv w:val="1"/>
      <w:marLeft w:val="0"/>
      <w:marRight w:val="0"/>
      <w:marTop w:val="0"/>
      <w:marBottom w:val="0"/>
      <w:divBdr>
        <w:top w:val="none" w:sz="0" w:space="0" w:color="auto"/>
        <w:left w:val="none" w:sz="0" w:space="0" w:color="auto"/>
        <w:bottom w:val="none" w:sz="0" w:space="0" w:color="auto"/>
        <w:right w:val="none" w:sz="0" w:space="0" w:color="auto"/>
      </w:divBdr>
      <w:divsChild>
        <w:div w:id="575868536">
          <w:marLeft w:val="640"/>
          <w:marRight w:val="0"/>
          <w:marTop w:val="0"/>
          <w:marBottom w:val="0"/>
          <w:divBdr>
            <w:top w:val="none" w:sz="0" w:space="0" w:color="auto"/>
            <w:left w:val="none" w:sz="0" w:space="0" w:color="auto"/>
            <w:bottom w:val="none" w:sz="0" w:space="0" w:color="auto"/>
            <w:right w:val="none" w:sz="0" w:space="0" w:color="auto"/>
          </w:divBdr>
        </w:div>
        <w:div w:id="258947699">
          <w:marLeft w:val="640"/>
          <w:marRight w:val="0"/>
          <w:marTop w:val="0"/>
          <w:marBottom w:val="0"/>
          <w:divBdr>
            <w:top w:val="none" w:sz="0" w:space="0" w:color="auto"/>
            <w:left w:val="none" w:sz="0" w:space="0" w:color="auto"/>
            <w:bottom w:val="none" w:sz="0" w:space="0" w:color="auto"/>
            <w:right w:val="none" w:sz="0" w:space="0" w:color="auto"/>
          </w:divBdr>
        </w:div>
        <w:div w:id="1454640971">
          <w:marLeft w:val="640"/>
          <w:marRight w:val="0"/>
          <w:marTop w:val="0"/>
          <w:marBottom w:val="0"/>
          <w:divBdr>
            <w:top w:val="none" w:sz="0" w:space="0" w:color="auto"/>
            <w:left w:val="none" w:sz="0" w:space="0" w:color="auto"/>
            <w:bottom w:val="none" w:sz="0" w:space="0" w:color="auto"/>
            <w:right w:val="none" w:sz="0" w:space="0" w:color="auto"/>
          </w:divBdr>
        </w:div>
        <w:div w:id="1017657640">
          <w:marLeft w:val="640"/>
          <w:marRight w:val="0"/>
          <w:marTop w:val="0"/>
          <w:marBottom w:val="0"/>
          <w:divBdr>
            <w:top w:val="none" w:sz="0" w:space="0" w:color="auto"/>
            <w:left w:val="none" w:sz="0" w:space="0" w:color="auto"/>
            <w:bottom w:val="none" w:sz="0" w:space="0" w:color="auto"/>
            <w:right w:val="none" w:sz="0" w:space="0" w:color="auto"/>
          </w:divBdr>
        </w:div>
        <w:div w:id="1221987432">
          <w:marLeft w:val="640"/>
          <w:marRight w:val="0"/>
          <w:marTop w:val="0"/>
          <w:marBottom w:val="0"/>
          <w:divBdr>
            <w:top w:val="none" w:sz="0" w:space="0" w:color="auto"/>
            <w:left w:val="none" w:sz="0" w:space="0" w:color="auto"/>
            <w:bottom w:val="none" w:sz="0" w:space="0" w:color="auto"/>
            <w:right w:val="none" w:sz="0" w:space="0" w:color="auto"/>
          </w:divBdr>
        </w:div>
        <w:div w:id="6031385">
          <w:marLeft w:val="640"/>
          <w:marRight w:val="0"/>
          <w:marTop w:val="0"/>
          <w:marBottom w:val="0"/>
          <w:divBdr>
            <w:top w:val="none" w:sz="0" w:space="0" w:color="auto"/>
            <w:left w:val="none" w:sz="0" w:space="0" w:color="auto"/>
            <w:bottom w:val="none" w:sz="0" w:space="0" w:color="auto"/>
            <w:right w:val="none" w:sz="0" w:space="0" w:color="auto"/>
          </w:divBdr>
        </w:div>
        <w:div w:id="780106864">
          <w:marLeft w:val="640"/>
          <w:marRight w:val="0"/>
          <w:marTop w:val="0"/>
          <w:marBottom w:val="0"/>
          <w:divBdr>
            <w:top w:val="none" w:sz="0" w:space="0" w:color="auto"/>
            <w:left w:val="none" w:sz="0" w:space="0" w:color="auto"/>
            <w:bottom w:val="none" w:sz="0" w:space="0" w:color="auto"/>
            <w:right w:val="none" w:sz="0" w:space="0" w:color="auto"/>
          </w:divBdr>
        </w:div>
        <w:div w:id="233321896">
          <w:marLeft w:val="640"/>
          <w:marRight w:val="0"/>
          <w:marTop w:val="0"/>
          <w:marBottom w:val="0"/>
          <w:divBdr>
            <w:top w:val="none" w:sz="0" w:space="0" w:color="auto"/>
            <w:left w:val="none" w:sz="0" w:space="0" w:color="auto"/>
            <w:bottom w:val="none" w:sz="0" w:space="0" w:color="auto"/>
            <w:right w:val="none" w:sz="0" w:space="0" w:color="auto"/>
          </w:divBdr>
        </w:div>
        <w:div w:id="309793531">
          <w:marLeft w:val="640"/>
          <w:marRight w:val="0"/>
          <w:marTop w:val="0"/>
          <w:marBottom w:val="0"/>
          <w:divBdr>
            <w:top w:val="none" w:sz="0" w:space="0" w:color="auto"/>
            <w:left w:val="none" w:sz="0" w:space="0" w:color="auto"/>
            <w:bottom w:val="none" w:sz="0" w:space="0" w:color="auto"/>
            <w:right w:val="none" w:sz="0" w:space="0" w:color="auto"/>
          </w:divBdr>
        </w:div>
        <w:div w:id="973408813">
          <w:marLeft w:val="640"/>
          <w:marRight w:val="0"/>
          <w:marTop w:val="0"/>
          <w:marBottom w:val="0"/>
          <w:divBdr>
            <w:top w:val="none" w:sz="0" w:space="0" w:color="auto"/>
            <w:left w:val="none" w:sz="0" w:space="0" w:color="auto"/>
            <w:bottom w:val="none" w:sz="0" w:space="0" w:color="auto"/>
            <w:right w:val="none" w:sz="0" w:space="0" w:color="auto"/>
          </w:divBdr>
        </w:div>
        <w:div w:id="2029944796">
          <w:marLeft w:val="640"/>
          <w:marRight w:val="0"/>
          <w:marTop w:val="0"/>
          <w:marBottom w:val="0"/>
          <w:divBdr>
            <w:top w:val="none" w:sz="0" w:space="0" w:color="auto"/>
            <w:left w:val="none" w:sz="0" w:space="0" w:color="auto"/>
            <w:bottom w:val="none" w:sz="0" w:space="0" w:color="auto"/>
            <w:right w:val="none" w:sz="0" w:space="0" w:color="auto"/>
          </w:divBdr>
        </w:div>
        <w:div w:id="1373579053">
          <w:marLeft w:val="640"/>
          <w:marRight w:val="0"/>
          <w:marTop w:val="0"/>
          <w:marBottom w:val="0"/>
          <w:divBdr>
            <w:top w:val="none" w:sz="0" w:space="0" w:color="auto"/>
            <w:left w:val="none" w:sz="0" w:space="0" w:color="auto"/>
            <w:bottom w:val="none" w:sz="0" w:space="0" w:color="auto"/>
            <w:right w:val="none" w:sz="0" w:space="0" w:color="auto"/>
          </w:divBdr>
        </w:div>
      </w:divsChild>
    </w:div>
    <w:div w:id="1879928364">
      <w:bodyDiv w:val="1"/>
      <w:marLeft w:val="0"/>
      <w:marRight w:val="0"/>
      <w:marTop w:val="0"/>
      <w:marBottom w:val="0"/>
      <w:divBdr>
        <w:top w:val="none" w:sz="0" w:space="0" w:color="auto"/>
        <w:left w:val="none" w:sz="0" w:space="0" w:color="auto"/>
        <w:bottom w:val="none" w:sz="0" w:space="0" w:color="auto"/>
        <w:right w:val="none" w:sz="0" w:space="0" w:color="auto"/>
      </w:divBdr>
      <w:divsChild>
        <w:div w:id="2108041936">
          <w:marLeft w:val="640"/>
          <w:marRight w:val="0"/>
          <w:marTop w:val="0"/>
          <w:marBottom w:val="0"/>
          <w:divBdr>
            <w:top w:val="none" w:sz="0" w:space="0" w:color="auto"/>
            <w:left w:val="none" w:sz="0" w:space="0" w:color="auto"/>
            <w:bottom w:val="none" w:sz="0" w:space="0" w:color="auto"/>
            <w:right w:val="none" w:sz="0" w:space="0" w:color="auto"/>
          </w:divBdr>
        </w:div>
        <w:div w:id="273944449">
          <w:marLeft w:val="640"/>
          <w:marRight w:val="0"/>
          <w:marTop w:val="0"/>
          <w:marBottom w:val="0"/>
          <w:divBdr>
            <w:top w:val="none" w:sz="0" w:space="0" w:color="auto"/>
            <w:left w:val="none" w:sz="0" w:space="0" w:color="auto"/>
            <w:bottom w:val="none" w:sz="0" w:space="0" w:color="auto"/>
            <w:right w:val="none" w:sz="0" w:space="0" w:color="auto"/>
          </w:divBdr>
        </w:div>
        <w:div w:id="1109280818">
          <w:marLeft w:val="640"/>
          <w:marRight w:val="0"/>
          <w:marTop w:val="0"/>
          <w:marBottom w:val="0"/>
          <w:divBdr>
            <w:top w:val="none" w:sz="0" w:space="0" w:color="auto"/>
            <w:left w:val="none" w:sz="0" w:space="0" w:color="auto"/>
            <w:bottom w:val="none" w:sz="0" w:space="0" w:color="auto"/>
            <w:right w:val="none" w:sz="0" w:space="0" w:color="auto"/>
          </w:divBdr>
        </w:div>
        <w:div w:id="1395854491">
          <w:marLeft w:val="640"/>
          <w:marRight w:val="0"/>
          <w:marTop w:val="0"/>
          <w:marBottom w:val="0"/>
          <w:divBdr>
            <w:top w:val="none" w:sz="0" w:space="0" w:color="auto"/>
            <w:left w:val="none" w:sz="0" w:space="0" w:color="auto"/>
            <w:bottom w:val="none" w:sz="0" w:space="0" w:color="auto"/>
            <w:right w:val="none" w:sz="0" w:space="0" w:color="auto"/>
          </w:divBdr>
        </w:div>
        <w:div w:id="776297078">
          <w:marLeft w:val="640"/>
          <w:marRight w:val="0"/>
          <w:marTop w:val="0"/>
          <w:marBottom w:val="0"/>
          <w:divBdr>
            <w:top w:val="none" w:sz="0" w:space="0" w:color="auto"/>
            <w:left w:val="none" w:sz="0" w:space="0" w:color="auto"/>
            <w:bottom w:val="none" w:sz="0" w:space="0" w:color="auto"/>
            <w:right w:val="none" w:sz="0" w:space="0" w:color="auto"/>
          </w:divBdr>
        </w:div>
        <w:div w:id="1988969608">
          <w:marLeft w:val="640"/>
          <w:marRight w:val="0"/>
          <w:marTop w:val="0"/>
          <w:marBottom w:val="0"/>
          <w:divBdr>
            <w:top w:val="none" w:sz="0" w:space="0" w:color="auto"/>
            <w:left w:val="none" w:sz="0" w:space="0" w:color="auto"/>
            <w:bottom w:val="none" w:sz="0" w:space="0" w:color="auto"/>
            <w:right w:val="none" w:sz="0" w:space="0" w:color="auto"/>
          </w:divBdr>
        </w:div>
        <w:div w:id="960456776">
          <w:marLeft w:val="640"/>
          <w:marRight w:val="0"/>
          <w:marTop w:val="0"/>
          <w:marBottom w:val="0"/>
          <w:divBdr>
            <w:top w:val="none" w:sz="0" w:space="0" w:color="auto"/>
            <w:left w:val="none" w:sz="0" w:space="0" w:color="auto"/>
            <w:bottom w:val="none" w:sz="0" w:space="0" w:color="auto"/>
            <w:right w:val="none" w:sz="0" w:space="0" w:color="auto"/>
          </w:divBdr>
        </w:div>
        <w:div w:id="664015158">
          <w:marLeft w:val="640"/>
          <w:marRight w:val="0"/>
          <w:marTop w:val="0"/>
          <w:marBottom w:val="0"/>
          <w:divBdr>
            <w:top w:val="none" w:sz="0" w:space="0" w:color="auto"/>
            <w:left w:val="none" w:sz="0" w:space="0" w:color="auto"/>
            <w:bottom w:val="none" w:sz="0" w:space="0" w:color="auto"/>
            <w:right w:val="none" w:sz="0" w:space="0" w:color="auto"/>
          </w:divBdr>
        </w:div>
        <w:div w:id="1411730609">
          <w:marLeft w:val="640"/>
          <w:marRight w:val="0"/>
          <w:marTop w:val="0"/>
          <w:marBottom w:val="0"/>
          <w:divBdr>
            <w:top w:val="none" w:sz="0" w:space="0" w:color="auto"/>
            <w:left w:val="none" w:sz="0" w:space="0" w:color="auto"/>
            <w:bottom w:val="none" w:sz="0" w:space="0" w:color="auto"/>
            <w:right w:val="none" w:sz="0" w:space="0" w:color="auto"/>
          </w:divBdr>
        </w:div>
        <w:div w:id="875116933">
          <w:marLeft w:val="640"/>
          <w:marRight w:val="0"/>
          <w:marTop w:val="0"/>
          <w:marBottom w:val="0"/>
          <w:divBdr>
            <w:top w:val="none" w:sz="0" w:space="0" w:color="auto"/>
            <w:left w:val="none" w:sz="0" w:space="0" w:color="auto"/>
            <w:bottom w:val="none" w:sz="0" w:space="0" w:color="auto"/>
            <w:right w:val="none" w:sz="0" w:space="0" w:color="auto"/>
          </w:divBdr>
        </w:div>
        <w:div w:id="827017208">
          <w:marLeft w:val="640"/>
          <w:marRight w:val="0"/>
          <w:marTop w:val="0"/>
          <w:marBottom w:val="0"/>
          <w:divBdr>
            <w:top w:val="none" w:sz="0" w:space="0" w:color="auto"/>
            <w:left w:val="none" w:sz="0" w:space="0" w:color="auto"/>
            <w:bottom w:val="none" w:sz="0" w:space="0" w:color="auto"/>
            <w:right w:val="none" w:sz="0" w:space="0" w:color="auto"/>
          </w:divBdr>
        </w:div>
        <w:div w:id="566382926">
          <w:marLeft w:val="640"/>
          <w:marRight w:val="0"/>
          <w:marTop w:val="0"/>
          <w:marBottom w:val="0"/>
          <w:divBdr>
            <w:top w:val="none" w:sz="0" w:space="0" w:color="auto"/>
            <w:left w:val="none" w:sz="0" w:space="0" w:color="auto"/>
            <w:bottom w:val="none" w:sz="0" w:space="0" w:color="auto"/>
            <w:right w:val="none" w:sz="0" w:space="0" w:color="auto"/>
          </w:divBdr>
        </w:div>
        <w:div w:id="1335499538">
          <w:marLeft w:val="640"/>
          <w:marRight w:val="0"/>
          <w:marTop w:val="0"/>
          <w:marBottom w:val="0"/>
          <w:divBdr>
            <w:top w:val="none" w:sz="0" w:space="0" w:color="auto"/>
            <w:left w:val="none" w:sz="0" w:space="0" w:color="auto"/>
            <w:bottom w:val="none" w:sz="0" w:space="0" w:color="auto"/>
            <w:right w:val="none" w:sz="0" w:space="0" w:color="auto"/>
          </w:divBdr>
        </w:div>
        <w:div w:id="128864926">
          <w:marLeft w:val="640"/>
          <w:marRight w:val="0"/>
          <w:marTop w:val="0"/>
          <w:marBottom w:val="0"/>
          <w:divBdr>
            <w:top w:val="none" w:sz="0" w:space="0" w:color="auto"/>
            <w:left w:val="none" w:sz="0" w:space="0" w:color="auto"/>
            <w:bottom w:val="none" w:sz="0" w:space="0" w:color="auto"/>
            <w:right w:val="none" w:sz="0" w:space="0" w:color="auto"/>
          </w:divBdr>
        </w:div>
        <w:div w:id="615213893">
          <w:marLeft w:val="640"/>
          <w:marRight w:val="0"/>
          <w:marTop w:val="0"/>
          <w:marBottom w:val="0"/>
          <w:divBdr>
            <w:top w:val="none" w:sz="0" w:space="0" w:color="auto"/>
            <w:left w:val="none" w:sz="0" w:space="0" w:color="auto"/>
            <w:bottom w:val="none" w:sz="0" w:space="0" w:color="auto"/>
            <w:right w:val="none" w:sz="0" w:space="0" w:color="auto"/>
          </w:divBdr>
        </w:div>
      </w:divsChild>
    </w:div>
    <w:div w:id="1885025409">
      <w:bodyDiv w:val="1"/>
      <w:marLeft w:val="0"/>
      <w:marRight w:val="0"/>
      <w:marTop w:val="0"/>
      <w:marBottom w:val="0"/>
      <w:divBdr>
        <w:top w:val="none" w:sz="0" w:space="0" w:color="auto"/>
        <w:left w:val="none" w:sz="0" w:space="0" w:color="auto"/>
        <w:bottom w:val="none" w:sz="0" w:space="0" w:color="auto"/>
        <w:right w:val="none" w:sz="0" w:space="0" w:color="auto"/>
      </w:divBdr>
      <w:divsChild>
        <w:div w:id="633944679">
          <w:marLeft w:val="640"/>
          <w:marRight w:val="0"/>
          <w:marTop w:val="0"/>
          <w:marBottom w:val="0"/>
          <w:divBdr>
            <w:top w:val="none" w:sz="0" w:space="0" w:color="auto"/>
            <w:left w:val="none" w:sz="0" w:space="0" w:color="auto"/>
            <w:bottom w:val="none" w:sz="0" w:space="0" w:color="auto"/>
            <w:right w:val="none" w:sz="0" w:space="0" w:color="auto"/>
          </w:divBdr>
        </w:div>
        <w:div w:id="584266294">
          <w:marLeft w:val="640"/>
          <w:marRight w:val="0"/>
          <w:marTop w:val="0"/>
          <w:marBottom w:val="0"/>
          <w:divBdr>
            <w:top w:val="none" w:sz="0" w:space="0" w:color="auto"/>
            <w:left w:val="none" w:sz="0" w:space="0" w:color="auto"/>
            <w:bottom w:val="none" w:sz="0" w:space="0" w:color="auto"/>
            <w:right w:val="none" w:sz="0" w:space="0" w:color="auto"/>
          </w:divBdr>
        </w:div>
        <w:div w:id="1342927834">
          <w:marLeft w:val="640"/>
          <w:marRight w:val="0"/>
          <w:marTop w:val="0"/>
          <w:marBottom w:val="0"/>
          <w:divBdr>
            <w:top w:val="none" w:sz="0" w:space="0" w:color="auto"/>
            <w:left w:val="none" w:sz="0" w:space="0" w:color="auto"/>
            <w:bottom w:val="none" w:sz="0" w:space="0" w:color="auto"/>
            <w:right w:val="none" w:sz="0" w:space="0" w:color="auto"/>
          </w:divBdr>
        </w:div>
        <w:div w:id="761996567">
          <w:marLeft w:val="640"/>
          <w:marRight w:val="0"/>
          <w:marTop w:val="0"/>
          <w:marBottom w:val="0"/>
          <w:divBdr>
            <w:top w:val="none" w:sz="0" w:space="0" w:color="auto"/>
            <w:left w:val="none" w:sz="0" w:space="0" w:color="auto"/>
            <w:bottom w:val="none" w:sz="0" w:space="0" w:color="auto"/>
            <w:right w:val="none" w:sz="0" w:space="0" w:color="auto"/>
          </w:divBdr>
        </w:div>
      </w:divsChild>
    </w:div>
    <w:div w:id="1905482424">
      <w:bodyDiv w:val="1"/>
      <w:marLeft w:val="0"/>
      <w:marRight w:val="0"/>
      <w:marTop w:val="0"/>
      <w:marBottom w:val="0"/>
      <w:divBdr>
        <w:top w:val="none" w:sz="0" w:space="0" w:color="auto"/>
        <w:left w:val="none" w:sz="0" w:space="0" w:color="auto"/>
        <w:bottom w:val="none" w:sz="0" w:space="0" w:color="auto"/>
        <w:right w:val="none" w:sz="0" w:space="0" w:color="auto"/>
      </w:divBdr>
      <w:divsChild>
        <w:div w:id="1421872569">
          <w:marLeft w:val="640"/>
          <w:marRight w:val="0"/>
          <w:marTop w:val="0"/>
          <w:marBottom w:val="0"/>
          <w:divBdr>
            <w:top w:val="none" w:sz="0" w:space="0" w:color="auto"/>
            <w:left w:val="none" w:sz="0" w:space="0" w:color="auto"/>
            <w:bottom w:val="none" w:sz="0" w:space="0" w:color="auto"/>
            <w:right w:val="none" w:sz="0" w:space="0" w:color="auto"/>
          </w:divBdr>
        </w:div>
        <w:div w:id="2012176934">
          <w:marLeft w:val="640"/>
          <w:marRight w:val="0"/>
          <w:marTop w:val="0"/>
          <w:marBottom w:val="0"/>
          <w:divBdr>
            <w:top w:val="none" w:sz="0" w:space="0" w:color="auto"/>
            <w:left w:val="none" w:sz="0" w:space="0" w:color="auto"/>
            <w:bottom w:val="none" w:sz="0" w:space="0" w:color="auto"/>
            <w:right w:val="none" w:sz="0" w:space="0" w:color="auto"/>
          </w:divBdr>
        </w:div>
      </w:divsChild>
    </w:div>
    <w:div w:id="1930040448">
      <w:bodyDiv w:val="1"/>
      <w:marLeft w:val="0"/>
      <w:marRight w:val="0"/>
      <w:marTop w:val="0"/>
      <w:marBottom w:val="0"/>
      <w:divBdr>
        <w:top w:val="none" w:sz="0" w:space="0" w:color="auto"/>
        <w:left w:val="none" w:sz="0" w:space="0" w:color="auto"/>
        <w:bottom w:val="none" w:sz="0" w:space="0" w:color="auto"/>
        <w:right w:val="none" w:sz="0" w:space="0" w:color="auto"/>
      </w:divBdr>
      <w:divsChild>
        <w:div w:id="1384985927">
          <w:marLeft w:val="640"/>
          <w:marRight w:val="0"/>
          <w:marTop w:val="0"/>
          <w:marBottom w:val="0"/>
          <w:divBdr>
            <w:top w:val="none" w:sz="0" w:space="0" w:color="auto"/>
            <w:left w:val="none" w:sz="0" w:space="0" w:color="auto"/>
            <w:bottom w:val="none" w:sz="0" w:space="0" w:color="auto"/>
            <w:right w:val="none" w:sz="0" w:space="0" w:color="auto"/>
          </w:divBdr>
        </w:div>
        <w:div w:id="52890781">
          <w:marLeft w:val="640"/>
          <w:marRight w:val="0"/>
          <w:marTop w:val="0"/>
          <w:marBottom w:val="0"/>
          <w:divBdr>
            <w:top w:val="none" w:sz="0" w:space="0" w:color="auto"/>
            <w:left w:val="none" w:sz="0" w:space="0" w:color="auto"/>
            <w:bottom w:val="none" w:sz="0" w:space="0" w:color="auto"/>
            <w:right w:val="none" w:sz="0" w:space="0" w:color="auto"/>
          </w:divBdr>
        </w:div>
      </w:divsChild>
    </w:div>
    <w:div w:id="1938055473">
      <w:bodyDiv w:val="1"/>
      <w:marLeft w:val="0"/>
      <w:marRight w:val="0"/>
      <w:marTop w:val="0"/>
      <w:marBottom w:val="0"/>
      <w:divBdr>
        <w:top w:val="none" w:sz="0" w:space="0" w:color="auto"/>
        <w:left w:val="none" w:sz="0" w:space="0" w:color="auto"/>
        <w:bottom w:val="none" w:sz="0" w:space="0" w:color="auto"/>
        <w:right w:val="none" w:sz="0" w:space="0" w:color="auto"/>
      </w:divBdr>
      <w:divsChild>
        <w:div w:id="1294866807">
          <w:marLeft w:val="640"/>
          <w:marRight w:val="0"/>
          <w:marTop w:val="0"/>
          <w:marBottom w:val="0"/>
          <w:divBdr>
            <w:top w:val="none" w:sz="0" w:space="0" w:color="auto"/>
            <w:left w:val="none" w:sz="0" w:space="0" w:color="auto"/>
            <w:bottom w:val="none" w:sz="0" w:space="0" w:color="auto"/>
            <w:right w:val="none" w:sz="0" w:space="0" w:color="auto"/>
          </w:divBdr>
        </w:div>
        <w:div w:id="2140221648">
          <w:marLeft w:val="640"/>
          <w:marRight w:val="0"/>
          <w:marTop w:val="0"/>
          <w:marBottom w:val="0"/>
          <w:divBdr>
            <w:top w:val="none" w:sz="0" w:space="0" w:color="auto"/>
            <w:left w:val="none" w:sz="0" w:space="0" w:color="auto"/>
            <w:bottom w:val="none" w:sz="0" w:space="0" w:color="auto"/>
            <w:right w:val="none" w:sz="0" w:space="0" w:color="auto"/>
          </w:divBdr>
        </w:div>
        <w:div w:id="897326860">
          <w:marLeft w:val="640"/>
          <w:marRight w:val="0"/>
          <w:marTop w:val="0"/>
          <w:marBottom w:val="0"/>
          <w:divBdr>
            <w:top w:val="none" w:sz="0" w:space="0" w:color="auto"/>
            <w:left w:val="none" w:sz="0" w:space="0" w:color="auto"/>
            <w:bottom w:val="none" w:sz="0" w:space="0" w:color="auto"/>
            <w:right w:val="none" w:sz="0" w:space="0" w:color="auto"/>
          </w:divBdr>
        </w:div>
        <w:div w:id="620233557">
          <w:marLeft w:val="640"/>
          <w:marRight w:val="0"/>
          <w:marTop w:val="0"/>
          <w:marBottom w:val="0"/>
          <w:divBdr>
            <w:top w:val="none" w:sz="0" w:space="0" w:color="auto"/>
            <w:left w:val="none" w:sz="0" w:space="0" w:color="auto"/>
            <w:bottom w:val="none" w:sz="0" w:space="0" w:color="auto"/>
            <w:right w:val="none" w:sz="0" w:space="0" w:color="auto"/>
          </w:divBdr>
        </w:div>
        <w:div w:id="1395349900">
          <w:marLeft w:val="640"/>
          <w:marRight w:val="0"/>
          <w:marTop w:val="0"/>
          <w:marBottom w:val="0"/>
          <w:divBdr>
            <w:top w:val="none" w:sz="0" w:space="0" w:color="auto"/>
            <w:left w:val="none" w:sz="0" w:space="0" w:color="auto"/>
            <w:bottom w:val="none" w:sz="0" w:space="0" w:color="auto"/>
            <w:right w:val="none" w:sz="0" w:space="0" w:color="auto"/>
          </w:divBdr>
        </w:div>
        <w:div w:id="4981522">
          <w:marLeft w:val="640"/>
          <w:marRight w:val="0"/>
          <w:marTop w:val="0"/>
          <w:marBottom w:val="0"/>
          <w:divBdr>
            <w:top w:val="none" w:sz="0" w:space="0" w:color="auto"/>
            <w:left w:val="none" w:sz="0" w:space="0" w:color="auto"/>
            <w:bottom w:val="none" w:sz="0" w:space="0" w:color="auto"/>
            <w:right w:val="none" w:sz="0" w:space="0" w:color="auto"/>
          </w:divBdr>
        </w:div>
        <w:div w:id="1665088875">
          <w:marLeft w:val="640"/>
          <w:marRight w:val="0"/>
          <w:marTop w:val="0"/>
          <w:marBottom w:val="0"/>
          <w:divBdr>
            <w:top w:val="none" w:sz="0" w:space="0" w:color="auto"/>
            <w:left w:val="none" w:sz="0" w:space="0" w:color="auto"/>
            <w:bottom w:val="none" w:sz="0" w:space="0" w:color="auto"/>
            <w:right w:val="none" w:sz="0" w:space="0" w:color="auto"/>
          </w:divBdr>
        </w:div>
        <w:div w:id="1229607379">
          <w:marLeft w:val="640"/>
          <w:marRight w:val="0"/>
          <w:marTop w:val="0"/>
          <w:marBottom w:val="0"/>
          <w:divBdr>
            <w:top w:val="none" w:sz="0" w:space="0" w:color="auto"/>
            <w:left w:val="none" w:sz="0" w:space="0" w:color="auto"/>
            <w:bottom w:val="none" w:sz="0" w:space="0" w:color="auto"/>
            <w:right w:val="none" w:sz="0" w:space="0" w:color="auto"/>
          </w:divBdr>
        </w:div>
        <w:div w:id="860820074">
          <w:marLeft w:val="640"/>
          <w:marRight w:val="0"/>
          <w:marTop w:val="0"/>
          <w:marBottom w:val="0"/>
          <w:divBdr>
            <w:top w:val="none" w:sz="0" w:space="0" w:color="auto"/>
            <w:left w:val="none" w:sz="0" w:space="0" w:color="auto"/>
            <w:bottom w:val="none" w:sz="0" w:space="0" w:color="auto"/>
            <w:right w:val="none" w:sz="0" w:space="0" w:color="auto"/>
          </w:divBdr>
        </w:div>
        <w:div w:id="1740980354">
          <w:marLeft w:val="640"/>
          <w:marRight w:val="0"/>
          <w:marTop w:val="0"/>
          <w:marBottom w:val="0"/>
          <w:divBdr>
            <w:top w:val="none" w:sz="0" w:space="0" w:color="auto"/>
            <w:left w:val="none" w:sz="0" w:space="0" w:color="auto"/>
            <w:bottom w:val="none" w:sz="0" w:space="0" w:color="auto"/>
            <w:right w:val="none" w:sz="0" w:space="0" w:color="auto"/>
          </w:divBdr>
        </w:div>
        <w:div w:id="1211382231">
          <w:marLeft w:val="640"/>
          <w:marRight w:val="0"/>
          <w:marTop w:val="0"/>
          <w:marBottom w:val="0"/>
          <w:divBdr>
            <w:top w:val="none" w:sz="0" w:space="0" w:color="auto"/>
            <w:left w:val="none" w:sz="0" w:space="0" w:color="auto"/>
            <w:bottom w:val="none" w:sz="0" w:space="0" w:color="auto"/>
            <w:right w:val="none" w:sz="0" w:space="0" w:color="auto"/>
          </w:divBdr>
        </w:div>
        <w:div w:id="393551305">
          <w:marLeft w:val="640"/>
          <w:marRight w:val="0"/>
          <w:marTop w:val="0"/>
          <w:marBottom w:val="0"/>
          <w:divBdr>
            <w:top w:val="none" w:sz="0" w:space="0" w:color="auto"/>
            <w:left w:val="none" w:sz="0" w:space="0" w:color="auto"/>
            <w:bottom w:val="none" w:sz="0" w:space="0" w:color="auto"/>
            <w:right w:val="none" w:sz="0" w:space="0" w:color="auto"/>
          </w:divBdr>
        </w:div>
        <w:div w:id="632371157">
          <w:marLeft w:val="640"/>
          <w:marRight w:val="0"/>
          <w:marTop w:val="0"/>
          <w:marBottom w:val="0"/>
          <w:divBdr>
            <w:top w:val="none" w:sz="0" w:space="0" w:color="auto"/>
            <w:left w:val="none" w:sz="0" w:space="0" w:color="auto"/>
            <w:bottom w:val="none" w:sz="0" w:space="0" w:color="auto"/>
            <w:right w:val="none" w:sz="0" w:space="0" w:color="auto"/>
          </w:divBdr>
        </w:div>
      </w:divsChild>
    </w:div>
    <w:div w:id="2018923032">
      <w:bodyDiv w:val="1"/>
      <w:marLeft w:val="0"/>
      <w:marRight w:val="0"/>
      <w:marTop w:val="0"/>
      <w:marBottom w:val="0"/>
      <w:divBdr>
        <w:top w:val="none" w:sz="0" w:space="0" w:color="auto"/>
        <w:left w:val="none" w:sz="0" w:space="0" w:color="auto"/>
        <w:bottom w:val="none" w:sz="0" w:space="0" w:color="auto"/>
        <w:right w:val="none" w:sz="0" w:space="0" w:color="auto"/>
      </w:divBdr>
      <w:divsChild>
        <w:div w:id="589659715">
          <w:marLeft w:val="640"/>
          <w:marRight w:val="0"/>
          <w:marTop w:val="0"/>
          <w:marBottom w:val="0"/>
          <w:divBdr>
            <w:top w:val="none" w:sz="0" w:space="0" w:color="auto"/>
            <w:left w:val="none" w:sz="0" w:space="0" w:color="auto"/>
            <w:bottom w:val="none" w:sz="0" w:space="0" w:color="auto"/>
            <w:right w:val="none" w:sz="0" w:space="0" w:color="auto"/>
          </w:divBdr>
        </w:div>
        <w:div w:id="2008360964">
          <w:marLeft w:val="640"/>
          <w:marRight w:val="0"/>
          <w:marTop w:val="0"/>
          <w:marBottom w:val="0"/>
          <w:divBdr>
            <w:top w:val="none" w:sz="0" w:space="0" w:color="auto"/>
            <w:left w:val="none" w:sz="0" w:space="0" w:color="auto"/>
            <w:bottom w:val="none" w:sz="0" w:space="0" w:color="auto"/>
            <w:right w:val="none" w:sz="0" w:space="0" w:color="auto"/>
          </w:divBdr>
        </w:div>
        <w:div w:id="1041396774">
          <w:marLeft w:val="640"/>
          <w:marRight w:val="0"/>
          <w:marTop w:val="0"/>
          <w:marBottom w:val="0"/>
          <w:divBdr>
            <w:top w:val="none" w:sz="0" w:space="0" w:color="auto"/>
            <w:left w:val="none" w:sz="0" w:space="0" w:color="auto"/>
            <w:bottom w:val="none" w:sz="0" w:space="0" w:color="auto"/>
            <w:right w:val="none" w:sz="0" w:space="0" w:color="auto"/>
          </w:divBdr>
        </w:div>
        <w:div w:id="243954086">
          <w:marLeft w:val="640"/>
          <w:marRight w:val="0"/>
          <w:marTop w:val="0"/>
          <w:marBottom w:val="0"/>
          <w:divBdr>
            <w:top w:val="none" w:sz="0" w:space="0" w:color="auto"/>
            <w:left w:val="none" w:sz="0" w:space="0" w:color="auto"/>
            <w:bottom w:val="none" w:sz="0" w:space="0" w:color="auto"/>
            <w:right w:val="none" w:sz="0" w:space="0" w:color="auto"/>
          </w:divBdr>
        </w:div>
        <w:div w:id="425855124">
          <w:marLeft w:val="640"/>
          <w:marRight w:val="0"/>
          <w:marTop w:val="0"/>
          <w:marBottom w:val="0"/>
          <w:divBdr>
            <w:top w:val="none" w:sz="0" w:space="0" w:color="auto"/>
            <w:left w:val="none" w:sz="0" w:space="0" w:color="auto"/>
            <w:bottom w:val="none" w:sz="0" w:space="0" w:color="auto"/>
            <w:right w:val="none" w:sz="0" w:space="0" w:color="auto"/>
          </w:divBdr>
        </w:div>
        <w:div w:id="679703541">
          <w:marLeft w:val="640"/>
          <w:marRight w:val="0"/>
          <w:marTop w:val="0"/>
          <w:marBottom w:val="0"/>
          <w:divBdr>
            <w:top w:val="none" w:sz="0" w:space="0" w:color="auto"/>
            <w:left w:val="none" w:sz="0" w:space="0" w:color="auto"/>
            <w:bottom w:val="none" w:sz="0" w:space="0" w:color="auto"/>
            <w:right w:val="none" w:sz="0" w:space="0" w:color="auto"/>
          </w:divBdr>
        </w:div>
        <w:div w:id="468670393">
          <w:marLeft w:val="640"/>
          <w:marRight w:val="0"/>
          <w:marTop w:val="0"/>
          <w:marBottom w:val="0"/>
          <w:divBdr>
            <w:top w:val="none" w:sz="0" w:space="0" w:color="auto"/>
            <w:left w:val="none" w:sz="0" w:space="0" w:color="auto"/>
            <w:bottom w:val="none" w:sz="0" w:space="0" w:color="auto"/>
            <w:right w:val="none" w:sz="0" w:space="0" w:color="auto"/>
          </w:divBdr>
        </w:div>
        <w:div w:id="1951155608">
          <w:marLeft w:val="640"/>
          <w:marRight w:val="0"/>
          <w:marTop w:val="0"/>
          <w:marBottom w:val="0"/>
          <w:divBdr>
            <w:top w:val="none" w:sz="0" w:space="0" w:color="auto"/>
            <w:left w:val="none" w:sz="0" w:space="0" w:color="auto"/>
            <w:bottom w:val="none" w:sz="0" w:space="0" w:color="auto"/>
            <w:right w:val="none" w:sz="0" w:space="0" w:color="auto"/>
          </w:divBdr>
        </w:div>
      </w:divsChild>
    </w:div>
    <w:div w:id="2120834739">
      <w:bodyDiv w:val="1"/>
      <w:marLeft w:val="0"/>
      <w:marRight w:val="0"/>
      <w:marTop w:val="0"/>
      <w:marBottom w:val="0"/>
      <w:divBdr>
        <w:top w:val="none" w:sz="0" w:space="0" w:color="auto"/>
        <w:left w:val="none" w:sz="0" w:space="0" w:color="auto"/>
        <w:bottom w:val="none" w:sz="0" w:space="0" w:color="auto"/>
        <w:right w:val="none" w:sz="0" w:space="0" w:color="auto"/>
      </w:divBdr>
      <w:divsChild>
        <w:div w:id="815150500">
          <w:marLeft w:val="640"/>
          <w:marRight w:val="0"/>
          <w:marTop w:val="0"/>
          <w:marBottom w:val="0"/>
          <w:divBdr>
            <w:top w:val="none" w:sz="0" w:space="0" w:color="auto"/>
            <w:left w:val="none" w:sz="0" w:space="0" w:color="auto"/>
            <w:bottom w:val="none" w:sz="0" w:space="0" w:color="auto"/>
            <w:right w:val="none" w:sz="0" w:space="0" w:color="auto"/>
          </w:divBdr>
        </w:div>
        <w:div w:id="1788817511">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33111875-F816-4365-B19A-AB78AEBB7E34}"/>
      </w:docPartPr>
      <w:docPartBody>
        <w:p w:rsidR="00544088" w:rsidRDefault="005C406C">
          <w:r w:rsidRPr="00DD4C6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06C"/>
    <w:rsid w:val="000125A2"/>
    <w:rsid w:val="0029586B"/>
    <w:rsid w:val="00544088"/>
    <w:rsid w:val="005C40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C406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699A933-D91C-4CAD-91B7-B08AF717EFF6}">
  <we:reference id="wa104382081" version="1.46.0.0" store="en-US" storeType="OMEX"/>
  <we:alternateReferences>
    <we:reference id="WA104382081" version="1.46.0.0" store="" storeType="OMEX"/>
  </we:alternateReferences>
  <we:properties>
    <we:property name="MENDELEY_CITATIONS" value="[{&quot;citationID&quot;:&quot;MENDELEY_CITATION_0a251452-8d0b-4ecd-bde6-48fee98dcaed&quot;,&quot;properties&quot;:{&quot;noteIndex&quot;:0},&quot;isEdited&quot;:false,&quot;manualOverride&quot;:{&quot;isManuallyOverridden&quot;:false,&quot;citeprocText&quot;:&quot;[1]&quot;,&quot;manualOverrideText&quot;:&quot;&quot;},&quot;citationTag&quot;:&quot;MENDELEY_CITATION_v3_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&quot;,&quot;citationItems&quot;:[{&quot;id&quot;:&quot;a69601dd-6302-32b5-801d-9baf0cc47cc6&quot;,&quot;itemData&quot;:{&quot;type&quot;:&quot;article-journal&quot;,&quot;id&quot;:&quot;a69601dd-6302-32b5-801d-9baf0cc47cc6&quot;,&quot;title&quot;:&quot;Serum calcium and the risk of breast cancer: Findings from the Swedish AMORIS study and a meta-analysis of prospective studies&quot;,&quot;author&quot;:[{&quot;family&quot;:&quot;Wulaningsih&quot;,&quot;given&quot;:&quot;Wahyu&quot;,&quot;parse-names&quot;:false,&quot;dropping-particle&quot;:&quot;&quot;,&quot;non-dropping-particle&quot;:&quot;&quot;},{&quot;family&quot;:&quot;Sagoo&quot;,&quot;given&quot;:&quot;Harkiran K.&quot;,&quot;parse-names&quot;:false,&quot;dropping-particle&quot;:&quot;&quot;,&quot;non-dropping-particle&quot;:&quot;&quot;},{&quot;family&quot;:&quot;Hamza&quot;,&quot;given&quot;:&quot;Mustafa&quot;,&quot;parse-names&quot;:false,&quot;dropping-particle&quot;:&quot;&quot;,&quot;non-dropping-particle&quot;:&quot;&quot;},{&quot;family&quot;:&quot;Melvin&quot;,&quot;given&quot;:&quot;Jennifer&quot;,&quot;parse-names&quot;:false,&quot;dropping-particle&quot;:&quot;&quot;,&quot;non-dropping-particle&quot;:&quot;&quot;},{&quot;family&quot;:&quot;Holmberg&quot;,&quot;given&quot;:&quot;Lars&quot;,&quot;parse-names&quot;:false,&quot;dropping-particle&quot;:&quot;&quot;,&quot;non-dropping-particle&quot;:&quot;&quot;},{&quot;family&quot;:&quot;Garmo&quot;,&quot;given&quot;:&quot;Hans&quot;,&quot;parse-names&quot;:false,&quot;dropping-particle&quot;:&quot;&quot;,&quot;non-dropping-particle&quot;:&quot;&quot;},{&quot;family&quot;:&quot;Malmström&quot;,&quot;given&quot;:&quot;Håkan&quot;,&quot;parse-names&quot;:false,&quot;dropping-particle&quot;:&quot;&quot;,&quot;non-dropping-particle&quot;:&quot;&quot;},{&quot;family&quot;:&quot;Lambe&quot;,&quot;given&quot;:&quot;Mats&quot;,&quot;parse-names&quot;:false,&quot;dropping-particle&quot;:&quot;&quot;,&quot;non-dropping-particle&quot;:&quot;&quot;},{&quot;family&quot;:&quot;Hammar&quot;,&quot;given&quot;:&quot;Niklas&quot;,&quot;parse-names&quot;:false,&quot;dropping-particle&quot;:&quot;&quot;,&quot;non-dropping-particle&quot;:&quot;&quot;},{&quot;family&quot;:&quot;Walldius&quot;,&quot;given&quot;:&quot;Göran&quot;,&quot;parse-names&quot;:false,&quot;dropping-particle&quot;:&quot;&quot;,&quot;non-dropping-particle&quot;:&quot;&quot;},{&quot;family&quot;:&quot;Jungner&quot;,&quot;given&quot;:&quot;Ingmar&quot;,&quot;parse-names&quot;:false,&quot;dropping-particle&quot;:&quot;&quot;,&quot;non-dropping-particle&quot;:&quot;&quot;},{&quot;family&quot;:&quot;Hemelrijck&quot;,&quot;given&quot;:&quot;Mieke&quot;,&quot;parse-names&quot;:false,&quot;dropping-particle&quot;:&quot;&quot;,&quot;non-dropping-particle&quot;:&quot;van&quot;}],&quot;container-title&quot;:&quot;International Journal of Molecular Sciences&quot;,&quot;container-title-short&quot;:&quot;Int J Mol Sci&quot;,&quot;accessed&quot;:{&quot;date-parts&quot;:[[2020,8,20]]},&quot;DOI&quot;:&quot;10.3390/ijms17091487&quot;,&quot;ISSN&quot;:&quot;14220067&quot;,&quot;PMID&quot;:&quot;27608013&quot;,&quot;URL&quot;:&quot;https://doi.org/10.3390/ijms17091487&quot;,&quot;issued&quot;:{&quot;date-parts&quot;:[[2016]]},&quot;page&quot;:&quot;1487&quot;,&quot;abstract&quot;:&quot;To investigate the association between serum calcium and risk of breast cancer using a large cohort and a systematic review with meta-analysis. From the Swedish Apolipoprotein Mortality Risk (AMORIS) Study we included 229,674 women who had baseline measurements of serum total calcium and albumin. Multivariable Cox regression was used to assess the association between total and albumin-corrected calcium and breast cancer risk. For the systematic review, an electronic search of MEDLINE and EMBASE databases was performed to identify other prospective cohorts assessing the relationship between serum calcium and breast cancer risk. We pooled the results of our AMORIS cohort with other eligible studies in a meta-analysis using a random effects model. I2 test was used to assess heterogeneity. In the AMORIS study, 10,863 women were diagnosed with breast cancer (mean follow-up: 19 years). We found an inverse association between total serum calcium and breast cancer when comparing the fourth quartile to the first quartile (HR: 0.94, 95% CI: 0.88-0.99, p value for trend 0.04) and similar results using albumin-corrected calcium. In the systematic review, we identified another two prospective cohorts evaluating pre-diagnostic serum total calcium and breast cancer. Combining these studies and our findings in AMORIS in a meta-analysis showed a protective effect of serum calcium against breast cancer, with a summary RR of 0.80 (95% CI: 0.66-0.97). No substantial heterogeneity was observed. Our findings in AMORIS and the meta-analysis support an inverse association between serum calcium and breast cancer risk, which warrants mechanistic investigations.&quot;,&quot;issue&quot;:&quot;9&quot;,&quot;volume&quot;:&quot;17&quot;},&quot;isTemporary&quot;:false}]},{&quot;citationID&quot;:&quot;MENDELEY_CITATION_a8d06cbe-8364-4222-b34f-9388dffa2585&quot;,&quot;properties&quot;:{&quot;noteIndex&quot;:0},&quot;isEdited&quot;:false,&quot;manualOverride&quot;:{&quot;isManuallyOverridden&quot;:false,&quot;citeprocText&quot;:&quot;[2]&quot;,&quot;manualOverrideText&quot;:&quot;&quot;},&quot;citationTag&quot;:&quot;MENDELEY_CITATION_v3_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&quot;,&quot;citationItems&quot;:[{&quot;id&quot;:&quot;d535658d-29b0-3138-9626-bfb1b5a6fa45&quot;,&quot;itemData&quot;:{&quot;type&quot;:&quot;article-journal&quot;,&quot;id&quot;:&quot;d535658d-29b0-3138-9626-bfb1b5a6fa45&quot;,&quot;title&quot;:&quot;Genetically predicted circulating concentrations of micro‐nutrients and risk of breast cancer: A Mendelian randomization study&quot;,&quot;author&quot;:[{&quot;family&quot;:&quot;Papadimitriou&quot;,&quot;given&quot;:&quot;Nikos&quot;,&quot;parse-names&quot;:false,&quot;dropping-particle&quot;:&quot;&quot;,&quot;non-dropping-particle&quot;:&quot;&quot;},{&quot;family&quot;:&quot;Dimou&quot;,&quot;given&quot;:&quot;Niki&quot;,&quot;parse-names&quot;:false,&quot;dropping-particle&quot;:&quot;&quot;,&quot;non-dropping-particle&quot;:&quot;&quot;},{&quot;family&quot;:&quot;Gill&quot;,&quot;given&quot;:&quot;Dipender&quot;,&quot;parse-names&quot;:false,&quot;dropping-particle&quot;:&quot;&quot;,&quot;non-dropping-particle&quot;:&quot;&quot;},{&quot;family&quot;:&quot;Tzoulaki&quot;,&quot;given&quot;:&quot;Ioanna&quot;,&quot;parse-names&quot;:false,&quot;dropping-particle&quot;:&quot;&quot;,&quot;non-dropping-particle&quot;:&quot;&quot;},{&quot;family&quot;:&quot;Murphy&quot;,&quot;given&quot;:&quot;Neil&quot;,&quot;parse-names&quot;:false,&quot;dropping-particle&quot;:&quot;&quot;,&quot;non-dropping-particle&quot;:&quot;&quot;},{&quot;family&quot;:&quot;Riboli&quot;,&quot;given&quot;:&quot;Elio&quot;,&quot;parse-names&quot;:false,&quot;dropping-particle&quot;:&quot;&quot;,&quot;non-dropping-particle&quot;:&quot;&quot;},{&quot;family&quot;:&quot;Lewis&quot;,&quot;given&quot;:&quot;Sarah J&quot;,&quot;parse-names&quot;:false,&quot;dropping-particle&quot;:&quot;&quot;,&quot;non-dropping-particle&quot;:&quot;&quot;},{&quot;family&quot;:&quot;Martin&quot;,&quot;given&quot;:&quot;Richard M&quot;,&quot;parse-names&quot;:false,&quot;dropping-particle&quot;:&quot;&quot;,&quot;non-dropping-particle&quot;:&quot;&quot;},{&quot;family&quot;:&quot;Gunter&quot;,&quot;given&quot;:&quot;Marc J&quot;,&quot;parse-names&quot;:false,&quot;dropping-particle&quot;:&quot;&quot;,&quot;non-dropping-particle&quot;:&quot;&quot;},{&quot;family&quot;:&quot;Tsilidis&quot;,&quot;given&quot;:&quot;Konstantinos K&quot;,&quot;parse-names&quot;:false,&quot;dropping-particle&quot;:&quot;&quot;,&quot;non-dropping-particle&quot;:&quot;&quot;}],&quot;container-title&quot;:&quot;International Journal of Cancer&quot;,&quot;container-title-short&quot;:&quot;Int J Cancer&quot;,&quot;accessed&quot;:{&quot;date-parts&quot;:[[2020,8,22]]},&quot;DOI&quot;:&quot;10.1002/ijc.33246&quot;,&quot;ISSN&quot;:&quot;0020-7136&quot;,&quot;URL&quot;:&quot;https://doi.org/10.1101/668186&quot;,&quot;issued&quot;:{&quot;date-parts&quot;:[[2020,6,14]]},&quot;page&quot;:&quot;668186&quot;,&quot;abstract&quot;:&quot;Background The epidemiological literature reports inconsistent associations between consumption or circulating concentrations of micro-nutrients and breast cancer risk. We investigated associations between genetically determined concentrations of 11 micro-nutrients (beta-carotene, calcium, copper, folate, iron, magnesium, phosphorus, selenium, vitamin B6, vitamin B12 and zinc) and breast cancer risk using Mendelian randomization (MR).\n\nMaterials and methods A two-sample MR study was conducted using 122,977 women with breast cancer, of whom 69,501 were estrogen receptor positive (ER+ve) and 21,468 were ER−ve, and 105,974 controls from the Breast Cancer Association Consortium. MR analyses were conducted using the inverse variance weighted approach, and sensitivity analyses were conducted to assess the impact of potential violations of MR assumptions.\n\nResults One standard deviation (SD: 0.08 mmol/L) higher genetically determined concentration of magnesium was associated with a 17% (odds ratio [OR]: 1.17, 95% confidence interval [CI]: 1.10 to 1.25, P =9.1 × 10−7) and 20% (OR: 1.20, 95% CI: 1.11 to 1.30, P =3.17 × 10−6) higher risk of overall and ER+ve breast cancer, respectively. An inverse association was observed for a SD (0.5 mg/dL) higher genetically determined phosphorus concentration and ER−ve breast cancer (OR: 0.84, 95% CI: 0.72 to 0.98, P =0.03). A suggestive inverse association was observed for a SD (0.48 mg/dL) higher genetically determined calcium concentration with overall breast cancer (OR: 0.91, 95% CI: 0.83 to 1.00, P =0.06). There was little evidence that any of the other nutrients were associated with breast cancer. The results for magnesium were robust under all sensitivity analyses.\n\nConclusions Higher circulating concentrations of magnesium, phosphorus and calcium may affect breast cancer risk. Further work is required to replicate these findings and investigate underlying mechanisms.\n\nkey message We conducted a Mendelian randomization study to investigate whether concentrations of 11 micro-nutrients are associated with risk of breast cancer. An increased risk of overall and oestrogen-receptor positive disease was observed for genetically higher concentrations of magnesium and inverse associations were observed for phosphorus and calcium concentrations\n\nWhere authors are identified as personnel of the International Agency for Research on Cancer / World Health Organization, the authors alone are responsible for the views expressed in this article and they do not necessarily represent the decisions, policy or views of the International Agency for Research on Cancer / World Health Organization.&quot;,&quot;publisher&quot;:&quot;Cold Spring Harbor Laboratory&quot;},&quot;isTemporary&quot;:false}]},{&quot;citationID&quot;:&quot;MENDELEY_CITATION_b0e9ec7b-e44e-4289-b7a4-61d20301eeae&quot;,&quot;properties&quot;:{&quot;noteIndex&quot;:0},&quot;isEdited&quot;:false,&quot;manualOverride&quot;:{&quot;isManuallyOverridden&quot;:false,&quot;citeprocText&quot;:&quot;[3]&quot;,&quot;manualOverrideText&quot;:&quot;&quot;},&quot;citationTag&quot;:&quot;MENDELEY_CITATION_v3_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&quot;,&quot;citationItems&quot;:[{&quot;id&quot;:&quot;d6c7ed9d-9c0a-39f3-b802-39b85a311c09&quot;,&quot;itemData&quot;:{&quot;type&quot;:&quot;article-journal&quot;,&quot;id&quot;:&quot;d6c7ed9d-9c0a-39f3-b802-39b85a311c09&quot;,&quot;title&quot;:&quot;A comprehensive genetic and epidemiological association analysis of vitamin D with common diseases/traits in the UK Biobank&quot;,&quot;author&quot;:[{&quot;family&quot;:&quot;Ye&quot;,&quot;given&quot;:&quot;Yixuan&quot;,&quot;parse-names&quot;:false,&quot;dropping-particle&quot;:&quot;&quot;,&quot;non-dropping-particle&quot;:&quot;&quot;},{&quot;family&quot;:&quot;Yang&quot;,&quot;given&quot;:&quot;Hongxi&quot;,&quot;parse-names&quot;:false,&quot;dropping-particle&quot;:&quot;&quot;,&quot;non-dropping-particle&quot;:&quot;&quot;},{&quot;family&quot;:&quot;Wang&quot;,&quot;given&quot;:&quot;Yaogang&quot;,&quot;parse-names&quot;:false,&quot;dropping-particle&quot;:&quot;&quot;,&quot;non-dropping-particle&quot;:&quot;&quot;},{&quot;family&quot;:&quot;Zhao&quot;,&quot;given&quot;:&quot;Hongyu&quot;,&quot;parse-names&quot;:false,&quot;dropping-particle&quot;:&quot;&quot;,&quot;non-dropping-particle&quot;:&quot;&quot;}],&quot;container-title&quot;:&quot;Genetic Epidemiology&quot;,&quot;container-title-short&quot;:&quot;Genet Epidemiol&quot;,&quot;accessed&quot;:{&quot;date-parts&quot;:[[2022,4,25]]},&quot;DOI&quot;:&quot;10.1002/gepi.22357&quot;,&quot;ISSN&quot;:&quot;10982272&quot;,&quot;PMID&quot;:&quot;32918767&quot;,&quot;URL&quot;:&quot;https://pubmed.ncbi.nlm.nih.gov/32918767/&quot;,&quot;issued&quot;:{&quot;date-parts&quot;:[[2021,2,1]]},&quot;page&quot;:&quot;24-35&quot;,&quot;abstract&quot;:&quot;Vitamin D has been intensively studied for its association with human health, but the scope of such association and the causal role of vitamin D remain controversial. We aim to comprehensively investigate the links between vitamin D and human health through both epidemiological and Mendelian randomization (MR) analyses. We examined the epidemiological associations between serum 25-hydroxyvitamin D (25(OH)D) concentration and 90 diseases/traits in 326,409 UK Biobank (UKBB) Europeans. The causal relations between 25(OH)D and 106 diseases/traits were investigated by performing MR analysis using genome-wide significant 25(OH)D-associated variants (N = 143) from the largest UKBB GWAS to date. In epidemiological analysis, we found 25(OH)D was associated with 45 diseases/traits across cardiovascular/metabolic diseases, psychiatric/neurological diseases, autoimmune/inflammatory diseases, cancer, musculoskeletal diseases, and quantitative traits. In MR-analysis, we presented evidence suggesting potential causal role of 25(OH)D in increasing height (β =.064, 95% confidence interval [CI] = 0.019–0.11) and preventing the risk of ovarian cancer (odds ratio [OR] = 0.96, 95% CI = 0.93–0.99), multiple sclerosis (OR = 0.96, 95% CI = 0.94–0.98), leg fracture (OR = 0.60, 95% CI = 0.45–0.80) and femur fracture (OR = 0.53, 95% CI = 0.32–0.84). These findings confirmed associations of vitamin D with a broad spectrum of diseases/traits and supported the potential causal role of vitamin D in promoting health.&quot;,&quot;publisher&quot;:&quot;Genet Epidemiol&quot;,&quot;issue&quot;:&quot;1&quot;,&quot;volume&quot;:&quot;45&quot;},&quot;isTemporary&quot;:false}]},{&quot;citationID&quot;:&quot;MENDELEY_CITATION_86e8103c-4e97-4f54-b6f8-2b6e4e4f272d&quot;,&quot;properties&quot;:{&quot;noteIndex&quot;:0},&quot;isEdited&quot;:false,&quot;manualOverride&quot;:{&quot;isManuallyOverridden&quot;:false,&quot;citeprocText&quot;:&quot;[3]&quot;,&quot;manualOverrideText&quot;:&quot;&quot;},&quot;citationTag&quot;:&quot;MENDELEY_CITATION_v3_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&quot;,&quot;citationItems&quot;:[{&quot;id&quot;:&quot;d6c7ed9d-9c0a-39f3-b802-39b85a311c09&quot;,&quot;itemData&quot;:{&quot;type&quot;:&quot;article-journal&quot;,&quot;id&quot;:&quot;d6c7ed9d-9c0a-39f3-b802-39b85a311c09&quot;,&quot;title&quot;:&quot;A comprehensive genetic and epidemiological association analysis of vitamin D with common diseases/traits in the UK Biobank&quot;,&quot;author&quot;:[{&quot;family&quot;:&quot;Ye&quot;,&quot;given&quot;:&quot;Yixuan&quot;,&quot;parse-names&quot;:false,&quot;dropping-particle&quot;:&quot;&quot;,&quot;non-dropping-particle&quot;:&quot;&quot;},{&quot;family&quot;:&quot;Yang&quot;,&quot;given&quot;:&quot;Hongxi&quot;,&quot;parse-names&quot;:false,&quot;dropping-particle&quot;:&quot;&quot;,&quot;non-dropping-particle&quot;:&quot;&quot;},{&quot;family&quot;:&quot;Wang&quot;,&quot;given&quot;:&quot;Yaogang&quot;,&quot;parse-names&quot;:false,&quot;dropping-particle&quot;:&quot;&quot;,&quot;non-dropping-particle&quot;:&quot;&quot;},{&quot;family&quot;:&quot;Zhao&quot;,&quot;given&quot;:&quot;Hongyu&quot;,&quot;parse-names&quot;:false,&quot;dropping-particle&quot;:&quot;&quot;,&quot;non-dropping-particle&quot;:&quot;&quot;}],&quot;container-title&quot;:&quot;Genetic Epidemiology&quot;,&quot;container-title-short&quot;:&quot;Genet Epidemiol&quot;,&quot;accessed&quot;:{&quot;date-parts&quot;:[[2022,4,25]]},&quot;DOI&quot;:&quot;10.1002/gepi.22357&quot;,&quot;ISSN&quot;:&quot;10982272&quot;,&quot;PMID&quot;:&quot;32918767&quot;,&quot;URL&quot;:&quot;https://pubmed.ncbi.nlm.nih.gov/32918767/&quot;,&quot;issued&quot;:{&quot;date-parts&quot;:[[2021,2,1]]},&quot;page&quot;:&quot;24-35&quot;,&quot;abstract&quot;:&quot;Vitamin D has been intensively studied for its association with human health, but the scope of such association and the causal role of vitamin D remain controversial. We aim to comprehensively investigate the links between vitamin D and human health through both epidemiological and Mendelian randomization (MR) analyses. We examined the epidemiological associations between serum 25-hydroxyvitamin D (25(OH)D) concentration and 90 diseases/traits in 326,409 UK Biobank (UKBB) Europeans. The causal relations between 25(OH)D and 106 diseases/traits were investigated by performing MR analysis using genome-wide significant 25(OH)D-associated variants (N = 143) from the largest UKBB GWAS to date. In epidemiological analysis, we found 25(OH)D was associated with 45 diseases/traits across cardiovascular/metabolic diseases, psychiatric/neurological diseases, autoimmune/inflammatory diseases, cancer, musculoskeletal diseases, and quantitative traits. In MR-analysis, we presented evidence suggesting potential causal role of 25(OH)D in increasing height (β =.064, 95% confidence interval [CI] = 0.019–0.11) and preventing the risk of ovarian cancer (odds ratio [OR] = 0.96, 95% CI = 0.93–0.99), multiple sclerosis (OR = 0.96, 95% CI = 0.94–0.98), leg fracture (OR = 0.60, 95% CI = 0.45–0.80) and femur fracture (OR = 0.53, 95% CI = 0.32–0.84). These findings confirmed associations of vitamin D with a broad spectrum of diseases/traits and supported the potential causal role of vitamin D in promoting health.&quot;,&quot;publisher&quot;:&quot;Genet Epidemiol&quot;,&quot;issue&quot;:&quot;1&quot;,&quot;volume&quot;:&quot;45&quot;},&quot;isTemporary&quot;:false}]},{&quot;citationID&quot;:&quot;MENDELEY_CITATION_53231837-85bb-43bc-935e-af50f20e8594&quot;,&quot;properties&quot;:{&quot;noteIndex&quot;:0},&quot;isEdited&quot;:false,&quot;manualOverride&quot;:{&quot;isManuallyOverridden&quot;:false,&quot;citeprocText&quot;:&quot;[4]&quot;,&quot;manualOverrideText&quot;:&quot;&quot;},&quot;citationTag&quot;:&quot;MENDELEY_CITATION_v3_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&quot;,&quot;citationItems&quot;:[{&quot;id&quot;:&quot;f83668e5-619c-356d-95d7-84b4124f11d1&quot;,&quot;itemData&quot;:{&quot;type&quot;:&quot;article-journal&quot;,&quot;id&quot;:&quot;f83668e5-619c-356d-95d7-84b4124f11d1&quot;,&quot;title&quot;:&quot;Insulin-like growth factor-1, insulin-like growth factor-binding protein-3, and breast cancer risk: observational and Mendelian randomization analyses with ∼430 000 women&quot;,&quot;author&quot;:[{&quot;family&quot;:&quot;Murphy&quot;,&quot;given&quot;:&quot;N.&quot;,&quot;parse-names&quot;:false,&quot;dropping-particle&quot;:&quot;&quot;,&quot;non-dropping-particle&quot;:&quot;&quot;},{&quot;family&quot;:&quot;Knuppel&quot;,&quot;given&quot;:&quot;A.&quot;,&quot;parse-names&quot;:false,&quot;dropping-particle&quot;:&quot;&quot;,&quot;non-dropping-particle&quot;:&quot;&quot;},{&quot;family&quot;:&quot;Papadimitriou&quot;,&quot;given&quot;:&quot;N.&quot;,&quot;parse-names&quot;:false,&quot;dropping-particle&quot;:&quot;&quot;,&quot;non-dropping-particle&quot;:&quot;&quot;},{&quot;family&quot;:&quot;Martin&quot;,&quot;given&quot;:&quot;R. M.&quot;,&quot;parse-names&quot;:false,&quot;dropping-particle&quot;:&quot;&quot;,&quot;non-dropping-particle&quot;:&quot;&quot;},{&quot;family&quot;:&quot;Tsilidis&quot;,&quot;given&quot;:&quot;K. K.&quot;,&quot;parse-names&quot;:false,&quot;dropping-particle&quot;:&quot;&quot;,&quot;non-dropping-particle&quot;:&quot;&quot;},{&quot;family&quot;:&quot;Smith-Byrne&quot;,&quot;given&quot;:&quot;K.&quot;,&quot;parse-names&quot;:false,&quot;dropping-particle&quot;:&quot;&quot;,&quot;non-dropping-particle&quot;:&quot;&quot;},{&quot;family&quot;:&quot;Fensom&quot;,&quot;given&quot;:&quot;G.&quot;,&quot;parse-names&quot;:false,&quot;dropping-particle&quot;:&quot;&quot;,&quot;non-dropping-particle&quot;:&quot;&quot;},{&quot;family&quot;:&quot;Perez-Cornago&quot;,&quot;given&quot;:&quot;A.&quot;,&quot;parse-names&quot;:false,&quot;dropping-particle&quot;:&quot;&quot;,&quot;non-dropping-particle&quot;:&quot;&quot;},{&quot;family&quot;:&quot;Travis&quot;,&quot;given&quot;:&quot;R. C.&quot;,&quot;parse-names&quot;:false,&quot;dropping-particle&quot;:&quot;&quot;,&quot;non-dropping-particle&quot;:&quot;&quot;},{&quot;family&quot;:&quot;Key&quot;,&quot;given&quot;:&quot;T. J.&quot;,&quot;parse-names&quot;:false,&quot;dropping-particle&quot;:&quot;&quot;,&quot;non-dropping-particle&quot;:&quot;&quot;},{&quot;family&quot;:&quot;Gunter&quot;,&quot;given&quot;:&quot;M. J.&quot;,&quot;parse-names&quot;:false,&quot;dropping-particle&quot;:&quot;&quot;,&quot;non-dropping-particle&quot;:&quot;&quot;}],&quot;container-title&quot;:&quot;Annals of Oncology&quot;,&quot;accessed&quot;:{&quot;date-parts&quot;:[[2020,8,22]]},&quot;DOI&quot;:&quot;10.1016/j.annonc.2020.01.066&quot;,&quot;ISSN&quot;:&quot;15698041&quot;,&quot;PMID&quot;:&quot;32169310&quot;,&quot;URL&quot;:&quot;https://doi.org/10.1016/j.annonc.2020.01.066&quot;,&quot;issued&quot;:{&quot;date-parts&quot;:[[2020,5,1]]},&quot;page&quot;:&quot;641-649&quot;,&quot;abstract&quot;:&quot;Background: Epidemiological evidence supports a positive association between circulating insulin-like growth factor-1 (IGF-1) concentrations and breast cancer risk, but both the magnitude and causality of this relationship are uncertain. We conducted observational analyses with adjustment for regression dilution bias, and Mendelian randomization (MR) analyses allowed for causal inference. Patients and methods: We investigated the associations between circulating IGF-1 concentrations and incident breast cancer risk in 206 263 women in the UK Biobank. Multivariable hazard ratios (HRs) and 95% confidence intervals (CI) were estimated using Cox proportional hazards models. HRs were corrected for regression dilution using repeat IGF-1 measures available in a subsample of 6711 women. For the MR analyses, genetic variants associated with circulating IGF-1 and IGF-binding protein-3 (IGFBP-3) levels were identified and their association with breast cancer was examined with two-sample MR methods using genome-wide data from 122 977 cases and 105 974 controls. Results: In the UK Biobank, after a median follow-up of 7.1 years, 4360 incident breast cancer cases occurred. In the multivariable-adjusted models corrected for regression dilution, higher IGF-1 concentrations were associated with a greater risk of breast cancer (HR per 5 nmol/l increment of IGF-1 = 1.11, 95% CI = 1.07–1.16). Similar positive associations were found by follow-up time, menopausal status, body mass index, and other risk factors. In the MR analyses, a 5 nmol/l increment in genetically-predicted IGF-1 concentration was associated with a greater breast cancer risk (odds ratio = 1.05, 95% CI = 1.01–1.10; P = 0.02), with a similar effect estimate for estrogen-positive (ER+) tumours, but no effect found for estrogen-negative (ER−) tumours. Genetically-predicted IGFBP-3 concentrations were not associated with breast cancer risk (odds ratio per 1-standard deviation increment = 1.00, 95% CI = 0.97–1.04; P = 0.98). Conclusion: Our results support a probable causal relationship between circulating IGF-1 concentrations and breast cancer, suggesting that interventions targeting the IGF pathway may be beneficial in preventing breast tumorigenesis.&quot;,&quot;publisher&quot;:&quot;Elsevier Ltd&quot;,&quot;issue&quot;:&quot;5&quot;,&quot;volume&quot;:&quot;31&quot;,&quot;container-title-short&quot;:&quot;&quot;},&quot;isTemporary&quot;:false}]},{&quot;citationID&quot;:&quot;MENDELEY_CITATION_71395e51-fe06-41c0-b717-348c750350bb&quot;,&quot;properties&quot;:{&quot;noteIndex&quot;:0},&quot;isEdited&quot;:false,&quot;manualOverride&quot;:{&quot;isManuallyOverridden&quot;:false,&quot;citeprocText&quot;:&quot;[4]&quot;,&quot;manualOverrideText&quot;:&quot;&quot;},&quot;citationTag&quot;:&quot;MENDELEY_CITATION_v3_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&quot;,&quot;citationItems&quot;:[{&quot;id&quot;:&quot;f83668e5-619c-356d-95d7-84b4124f11d1&quot;,&quot;itemData&quot;:{&quot;type&quot;:&quot;article-journal&quot;,&quot;id&quot;:&quot;f83668e5-619c-356d-95d7-84b4124f11d1&quot;,&quot;title&quot;:&quot;Insulin-like growth factor-1, insulin-like growth factor-binding protein-3, and breast cancer risk: observational and Mendelian randomization analyses with ∼430 000 women&quot;,&quot;author&quot;:[{&quot;family&quot;:&quot;Murphy&quot;,&quot;given&quot;:&quot;N.&quot;,&quot;parse-names&quot;:false,&quot;dropping-particle&quot;:&quot;&quot;,&quot;non-dropping-particle&quot;:&quot;&quot;},{&quot;family&quot;:&quot;Knuppel&quot;,&quot;given&quot;:&quot;A.&quot;,&quot;parse-names&quot;:false,&quot;dropping-particle&quot;:&quot;&quot;,&quot;non-dropping-particle&quot;:&quot;&quot;},{&quot;family&quot;:&quot;Papadimitriou&quot;,&quot;given&quot;:&quot;N.&quot;,&quot;parse-names&quot;:false,&quot;dropping-particle&quot;:&quot;&quot;,&quot;non-dropping-particle&quot;:&quot;&quot;},{&quot;family&quot;:&quot;Martin&quot;,&quot;given&quot;:&quot;R. M.&quot;,&quot;parse-names&quot;:false,&quot;dropping-particle&quot;:&quot;&quot;,&quot;non-dropping-particle&quot;:&quot;&quot;},{&quot;family&quot;:&quot;Tsilidis&quot;,&quot;given&quot;:&quot;K. K.&quot;,&quot;parse-names&quot;:false,&quot;dropping-particle&quot;:&quot;&quot;,&quot;non-dropping-particle&quot;:&quot;&quot;},{&quot;family&quot;:&quot;Smith-Byrne&quot;,&quot;given&quot;:&quot;K.&quot;,&quot;parse-names&quot;:false,&quot;dropping-particle&quot;:&quot;&quot;,&quot;non-dropping-particle&quot;:&quot;&quot;},{&quot;family&quot;:&quot;Fensom&quot;,&quot;given&quot;:&quot;G.&quot;,&quot;parse-names&quot;:false,&quot;dropping-particle&quot;:&quot;&quot;,&quot;non-dropping-particle&quot;:&quot;&quot;},{&quot;family&quot;:&quot;Perez-Cornago&quot;,&quot;given&quot;:&quot;A.&quot;,&quot;parse-names&quot;:false,&quot;dropping-particle&quot;:&quot;&quot;,&quot;non-dropping-particle&quot;:&quot;&quot;},{&quot;family&quot;:&quot;Travis&quot;,&quot;given&quot;:&quot;R. C.&quot;,&quot;parse-names&quot;:false,&quot;dropping-particle&quot;:&quot;&quot;,&quot;non-dropping-particle&quot;:&quot;&quot;},{&quot;family&quot;:&quot;Key&quot;,&quot;given&quot;:&quot;T. J.&quot;,&quot;parse-names&quot;:false,&quot;dropping-particle&quot;:&quot;&quot;,&quot;non-dropping-particle&quot;:&quot;&quot;},{&quot;family&quot;:&quot;Gunter&quot;,&quot;given&quot;:&quot;M. J.&quot;,&quot;parse-names&quot;:false,&quot;dropping-particle&quot;:&quot;&quot;,&quot;non-dropping-particle&quot;:&quot;&quot;}],&quot;container-title&quot;:&quot;Annals of Oncology&quot;,&quot;accessed&quot;:{&quot;date-parts&quot;:[[2020,8,22]]},&quot;DOI&quot;:&quot;10.1016/j.annonc.2020.01.066&quot;,&quot;ISSN&quot;:&quot;15698041&quot;,&quot;PMID&quot;:&quot;32169310&quot;,&quot;URL&quot;:&quot;https://doi.org/10.1016/j.annonc.2020.01.066&quot;,&quot;issued&quot;:{&quot;date-parts&quot;:[[2020,5,1]]},&quot;page&quot;:&quot;641-649&quot;,&quot;abstract&quot;:&quot;Background: Epidemiological evidence supports a positive association between circulating insulin-like growth factor-1 (IGF-1) concentrations and breast cancer risk, but both the magnitude and causality of this relationship are uncertain. We conducted observational analyses with adjustment for regression dilution bias, and Mendelian randomization (MR) analyses allowed for causal inference. Patients and methods: We investigated the associations between circulating IGF-1 concentrations and incident breast cancer risk in 206 263 women in the UK Biobank. Multivariable hazard ratios (HRs) and 95% confidence intervals (CI) were estimated using Cox proportional hazards models. HRs were corrected for regression dilution using repeat IGF-1 measures available in a subsample of 6711 women. For the MR analyses, genetic variants associated with circulating IGF-1 and IGF-binding protein-3 (IGFBP-3) levels were identified and their association with breast cancer was examined with two-sample MR methods using genome-wide data from 122 977 cases and 105 974 controls. Results: In the UK Biobank, after a median follow-up of 7.1 years, 4360 incident breast cancer cases occurred. In the multivariable-adjusted models corrected for regression dilution, higher IGF-1 concentrations were associated with a greater risk of breast cancer (HR per 5 nmol/l increment of IGF-1 = 1.11, 95% CI = 1.07–1.16). Similar positive associations were found by follow-up time, menopausal status, body mass index, and other risk factors. In the MR analyses, a 5 nmol/l increment in genetically-predicted IGF-1 concentration was associated with a greater breast cancer risk (odds ratio = 1.05, 95% CI = 1.01–1.10; P = 0.02), with a similar effect estimate for estrogen-positive (ER+) tumours, but no effect found for estrogen-negative (ER−) tumours. Genetically-predicted IGFBP-3 concentrations were not associated with breast cancer risk (odds ratio per 1-standard deviation increment = 1.00, 95% CI = 0.97–1.04; P = 0.98). Conclusion: Our results support a probable causal relationship between circulating IGF-1 concentrations and breast cancer, suggesting that interventions targeting the IGF pathway may be beneficial in preventing breast tumorigenesis.&quot;,&quot;publisher&quot;:&quot;Elsevier Ltd&quot;,&quot;issue&quot;:&quot;5&quot;,&quot;volume&quot;:&quot;31&quot;,&quot;container-title-short&quot;:&quot;&quot;},&quot;isTemporary&quot;:false}]},{&quot;citationID&quot;:&quot;MENDELEY_CITATION_2539e760-0f62-4861-9dd9-4687b3ff8c21&quot;,&quot;properties&quot;:{&quot;noteIndex&quot;:0},&quot;isEdited&quot;:false,&quot;manualOverride&quot;:{&quot;isManuallyOverridden&quot;:false,&quot;citeprocText&quot;:&quot;[5]&quot;,&quot;manualOverrideText&quot;:&quot;&quot;},&quot;citationTag&quot;:&quot;MENDELEY_CITATION_v3_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&quot;,&quot;citationItems&quot;:[{&quot;id&quot;:&quot;5d639667-3663-3d38-add0-4ba65f03dc36&quot;,&quot;itemData&quot;:{&quot;type&quot;:&quot;article-journal&quot;,&quot;id&quot;:&quot;5d639667-3663-3d38-add0-4ba65f03dc36&quot;,&quot;title&quot;:&quot;Steroid hormone measurements from different types of assays in relation to body mass index and breast cancer risk in postmenopausal women: Reanalysis of eighteen prospective studies&quot;,&quot;author&quot;:[{&quot;family&quot;:&quot;Key&quot;,&quot;given&quot;:&quot;Tim&quot;,&quot;parse-names&quot;:false,&quot;dropping-particle&quot;:&quot;&quot;,&quot;non-dropping-particle&quot;:&quot;&quot;}],&quot;container-title&quot;:&quot;Steroids&quot;,&quot;container-title-short&quot;:&quot;Steroids&quot;,&quot;accessed&quot;:{&quot;date-parts&quot;:[[2021,1,13]]},&quot;DOI&quot;:&quot;10.1016/j.steroids.2014.09.001&quot;,&quot;ISSN&quot;:&quot;18785867&quot;,&quot;PMID&quot;:&quot;25304359&quot;,&quot;URL&quot;:&quot;/pmc/articles/PMC4502556/?report=abstract&quot;,&quot;issued&quot;:{&quot;date-parts&quot;:[[2015,7,1]]},&quot;page&quot;:&quot;49-55&quot;,&quot;abstract&quot;:&quot;Epidemiological studies have examined breast cancer risk in relation to sex hormone concentrations measured by different methods: \&quot;extraction\&quot; immunoassays (with prior purification by organic solvent extraction, with or without column chromatography), \&quot;direct\&quot; immunoassays (no prior extraction or column chromatography), and more recently with mass spectrometry-based assays. We describe the associations of estradiol, estrone and testosterone with both body mass index and breast cancer risk in postmenopausal women according to assay method, using data from a collaborative pooled analysis of 18 prospective studies. In general, hormone concentrations were highest in studies that used direct assays and lowest in studies that used mass spectrometry-based assays. Estradiol and estrone were strongly positively associated with body mass index, regardless of the assay method; testosterone was positively associated with body mass index for direct assays, but less clearly for extraction assays, and there were few data for mass spectrometry assays. The correlations of estradiol with body mass index, estrone and testosterone were lower for direct assays than for extraction and mass spectrometry assays, suggesting that the estimates from the direct assays were less precise. For breast cancer risk, all three hormones were strongly positively associated with risk regardless of assay method (except for testosterone by mass spectrometry where there were few data), with no statistically significant differences in the trends, but differences may emerge as new data accumulate. Future epidemiological and clinical research studies should continue to use the most accurate assays that are feasible within the design characteristics of each study.&quot;,&quot;publisher&quot;:&quot;Elsevier Inc.&quot;,&quot;issue&quot;:&quot;Part A&quot;,&quot;volume&quot;:&quot;99&quot;},&quot;isTemporary&quot;:false}]},{&quot;citationID&quot;:&quot;MENDELEY_CITATION_6d7a9a0c-22dd-40ce-a5aa-4cd61053a85b&quot;,&quot;properties&quot;:{&quot;noteIndex&quot;:0},&quot;isEdited&quot;:false,&quot;manualOverride&quot;:{&quot;isManuallyOverridden&quot;:false,&quot;citeprocText&quot;:&quot;[6]&quot;,&quot;manualOverrideText&quot;:&quot;&quot;},&quot;citationTag&quot;:&quot;MENDELEY_CITATION_v3_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&quot;,&quot;citationItems&quot;:[{&quot;id&quot;:&quot;966fd217-5006-3b63-a9b0-6c94a0acda30&quot;,&quot;itemData&quot;:{&quot;type&quot;:&quot;article-journal&quot;,&quot;id&quot;:&quot;966fd217-5006-3b63-a9b0-6c94a0acda30&quot;,&quot;title&quot;:&quot;Sex hormone binding globulin and risk of breast cancer in postmenopausal women: A meta-analysis of prospective studies&quot;,&quot;author&quot;:[{&quot;family&quot;:&quot;He&quot;,&quot;given&quot;:&quot;X. Y.&quot;,&quot;parse-names&quot;:false,&quot;dropping-particle&quot;:&quot;&quot;,&quot;non-dropping-particle&quot;:&quot;&quot;},{&quot;family&quot;:&quot;Liao&quot;,&quot;given&quot;:&quot;Y. D.&quot;,&quot;parse-names&quot;:false,&quot;dropping-particle&quot;:&quot;&quot;,&quot;non-dropping-particle&quot;:&quot;&quot;},{&quot;family&quot;:&quot;Yu&quot;,&quot;given&quot;:&quot;S.&quot;,&quot;parse-names&quot;:false,&quot;dropping-particle&quot;:&quot;&quot;,&quot;non-dropping-particle&quot;:&quot;&quot;},{&quot;family&quot;:&quot;Zhang&quot;,&quot;given&quot;:&quot;Y.&quot;,&quot;parse-names&quot;:false,&quot;dropping-particle&quot;:&quot;&quot;,&quot;non-dropping-particle&quot;:&quot;&quot;},{&quot;family&quot;:&quot;Wang&quot;,&quot;given&quot;:&quot;R.&quot;,&quot;parse-names&quot;:false,&quot;dropping-particle&quot;:&quot;&quot;,&quot;non-dropping-particle&quot;:&quot;&quot;}],&quot;container-title&quot;:&quot;Hormone and Metabolic Research&quot;,&quot;accessed&quot;:{&quot;date-parts&quot;:[[2020,8,21]]},&quot;DOI&quot;:&quot;10.1055/s-0034-1395606&quot;,&quot;ISSN&quot;:&quot;14394286&quot;,&quot;PMID&quot;:&quot;25565095&quot;,&quot;URL&quot;:&quot;https://doi.org/10.1055/s-0034-1395606&quot;,&quot;issued&quot;:{&quot;date-parts&quot;:[[2015,6,1]]},&quot;page&quot;:&quot;485-490&quot;,&quot;abstract&quot;:&quot;Previous studies on the association between sex hormone binding globulin (SHBG) level and risk of breast cancer in postmenopausal women reported conflicting results. A meta-analysis of prospective studies was performed to evaluate the association between SHBG level and risk of breast cancer in postmenopausal women. Pubmed (1980 to July 2014) and EMBASE (1988 to July 2014) were searched for eligible studies. Eligible studies were prospective cohort or nested case-control studies on the association between SHBG level and risk of breast cancer in postmenopausal women. Meta-analysis using random-effects model was performed to calculate the pooled risk ratios (RRs) with 95% confidence intervals (95% CIs). Of 946 studies identified, 26 prospective studies from 21 publications were finally included in the meta-analysis. In postmenopausal women, the pooled RR for breast cancer comparing highest with lowest categories of SHBG was 0.64 (95% CI 0.57-0.72, p&lt;0.001, I&lt;sup&gt;2&lt;/sup&gt;=6.5%). The pooled RRs were not obviously altered in the sensitivity analyses and subgroup analyses. In cumulative meta-analysis, a more significant association between SHBG level and risk of breast cancer in postmenopausal women was observed as evidence accumulated by publication year. There was no obvious risk of publication bias. High SHBG level is significantly associated with decreased risk of breast cancer in postmenopausal women, and it's a protective factor of breast cancer in postmenopausal women.&quot;,&quot;publisher&quot;:&quot;Georg Thieme Verlag&quot;,&quot;issue&quot;:&quot;7&quot;,&quot;volume&quot;:&quot;47&quot;,&quot;container-title-short&quot;:&quot;&quot;},&quot;isTemporary&quot;:false}]},{&quot;citationID&quot;:&quot;MENDELEY_CITATION_af4c463d-5a5a-4b3d-9e24-e285dcb8df2e&quot;,&quot;properties&quot;:{&quot;noteIndex&quot;:0},&quot;isEdited&quot;:false,&quot;manualOverride&quot;:{&quot;isManuallyOverridden&quot;:false,&quot;citeprocText&quot;:&quot;[7]&quot;,&quot;manualOverrideText&quot;:&quot;&quot;},&quot;citationTag&quot;:&quot;MENDELEY_CITATION_v3_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&quot;,&quot;citationItems&quot;:[{&quot;id&quot;:&quot;c4c8b1e3-6340-3380-985d-81b33d5ef603&quot;,&quot;itemData&quot;:{&quot;type&quot;:&quot;article-journal&quot;,&quot;id&quot;:&quot;c4c8b1e3-6340-3380-985d-81b33d5ef603&quot;,&quot;title&quot;:&quot;Sex hormone binding globulin and risk of breast cancer: A Mendelian randomization study&quot;,&quot;author&quot;:[{&quot;family&quot;:&quot;Dimou&quot;,&quot;given&quot;:&quot;Niki L.&quot;,&quot;parse-names&quot;:false,&quot;dropping-particle&quot;:&quot;&quot;,&quot;non-dropping-particle&quot;:&quot;&quot;},{&quot;family&quot;:&quot;Papadimitriou&quot;,&quot;given&quot;:&quot;Nikos&quot;,&quot;parse-names&quot;:false,&quot;dropping-particle&quot;:&quot;&quot;,&quot;non-dropping-particle&quot;:&quot;&quot;},{&quot;family&quot;:&quot;Gill&quot;,&quot;given&quot;:&quot;Dipender&quot;,&quot;parse-names&quot;:false,&quot;dropping-particle&quot;:&quot;&quot;,&quot;non-dropping-particle&quot;:&quot;&quot;},{&quot;family&quot;:&quot;Christakoudi&quot;,&quot;given&quot;:&quot;Sofia&quot;,&quot;parse-names&quot;:false,&quot;dropping-particle&quot;:&quot;&quot;,&quot;non-dropping-particle&quot;:&quot;&quot;},{&quot;family&quot;:&quot;Murphy&quot;,&quot;given&quot;:&quot;Neil&quot;,&quot;parse-names&quot;:false,&quot;dropping-particle&quot;:&quot;&quot;,&quot;non-dropping-particle&quot;:&quot;&quot;},{&quot;family&quot;:&quot;Gunter&quot;,&quot;given&quot;:&quot;Marc J.&quot;,&quot;parse-names&quot;:false,&quot;dropping-particle&quot;:&quot;&quot;,&quot;non-dropping-particle&quot;:&quot;&quot;},{&quot;family&quot;:&quot;Travis&quot;,&quot;given&quot;:&quot;Ruth C.&quot;,&quot;parse-names&quot;:false,&quot;dropping-particle&quot;:&quot;&quot;,&quot;non-dropping-particle&quot;:&quot;&quot;},{&quot;family&quot;:&quot;Key&quot;,&quot;given&quot;:&quot;Tim J.&quot;,&quot;parse-names&quot;:false,&quot;dropping-particle&quot;:&quot;&quot;,&quot;non-dropping-particle&quot;:&quot;&quot;},{&quot;family&quot;:&quot;Fortner&quot;,&quot;given&quot;:&quot;Renee T.&quot;,&quot;parse-names&quot;:false,&quot;dropping-particle&quot;:&quot;&quot;,&quot;non-dropping-particle&quot;:&quot;&quot;},{&quot;family&quot;:&quot;Haycock&quot;,&quot;given&quot;:&quot;Philip C.&quot;,&quot;parse-names&quot;:false,&quot;dropping-particle&quot;:&quot;&quot;,&quot;non-dropping-particle&quot;:&quot;&quot;},{&quot;family&quot;:&quot;Lewis&quot;,&quot;given&quot;:&quot;Sarah J.&quot;,&quot;parse-names&quot;:false,&quot;dropping-particle&quot;:&quot;&quot;,&quot;non-dropping-particle&quot;:&quot;&quot;},{&quot;family&quot;:&quot;Muir&quot;,&quot;given&quot;:&quot;Kenneth&quot;,&quot;parse-names&quot;:false,&quot;dropping-particle&quot;:&quot;&quot;,&quot;non-dropping-particle&quot;:&quot;&quot;},{&quot;family&quot;:&quot;Martin&quot;,&quot;given&quot;:&quot;Richard M.&quot;,&quot;parse-names&quot;:false,&quot;dropping-particle&quot;:&quot;&quot;,&quot;non-dropping-particle&quot;:&quot;&quot;},{&quot;family&quot;:&quot;Tsilidis&quot;,&quot;given&quot;:&quot;Konstantinos K.&quot;,&quot;parse-names&quot;:false,&quot;dropping-particle&quot;:&quot;&quot;,&quot;non-dropping-particle&quot;:&quot;&quot;}],&quot;container-title&quot;:&quot;International Journal of Epidemiology&quot;,&quot;container-title-short&quot;:&quot;Int J Epidemiol&quot;,&quot;accessed&quot;:{&quot;date-parts&quot;:[[2020,8,22]]},&quot;DOI&quot;:&quot;10.1093/ije/dyz107&quot;,&quot;ISSN&quot;:&quot;14643685&quot;,&quot;PMID&quot;:&quot;31143958&quot;,&quot;URL&quot;:&quot;https://doi.org/10.1093/ije/dyz107&quot;,&quot;issued&quot;:{&quot;date-parts&quot;:[[2019,6,1]]},&quot;page&quot;:&quot;807-816&quot;,&quot;abstract&quot;:&quot;Background: There are observational data suggesting an inverse association between circulating concentrations of sex hormone binding globulin (SHBG) and risk of postmenopausal breast cancer. However, causality is uncertain and few studies have investigated this association by tumour receptor status. We aimed to investigate these associations under the causal framework of Mendelian randomization (MR). Methods: We used summary association estimates extracted from published genome-wide association study (GWAS) meta-analyses for SHBG and breast cancer, to perform two-sample MR analyses. Summary statistics were available for 122 977 overall breast cancer cases, of which 69 501 were estrogen receptor positive (ER+ve) and 21 468 were ER-ve, and 105 974 controls. To control for potential horizontal pleiotropy acting via body mass index (BMI), we performed multivariable inverse-variance weighted (IVW) MR as the main analysis, with the robustness of this approach further tested in sensitivity analyses. Results: The multivariable IVW MR analysis indicated a lower risk of overall (odds ratio [OR]: 0.94; 95% confidence interval [CI]: 0.90, 0.98; P: 0.006) and ER+ve (OR: 0.92; 95% CI: 0.87, 0.97; P: 0.003) breast cancer, and a higher risk of ER-ve disease (OR: 1.09; 95% CI: 1.00, 1.18; P: 0.047) per 25 nmol/L higher SHBG levels. Sensitivity analyses were consistent with the findings of the main analysis. Conclusions: We corroborated the previous literature evidence coming from observational studies for a potentially causal inverse association between SHBG concentrations and risk of ER+ve breast cancer, but our findings also suggested a potential novel positive association with ER-ve disease that warrants further investigation, given the low prior probability of being true.&quot;,&quot;publisher&quot;:&quot;Oxford University Press&quot;,&quot;issue&quot;:&quot;3&quot;,&quot;volume&quot;:&quot;48&quot;},&quot;isTemporary&quot;:false}]},{&quot;citationID&quot;:&quot;MENDELEY_CITATION_c06c15f3-24cc-4132-91c9-0ee82a4a5ad5&quot;,&quot;properties&quot;:{&quot;noteIndex&quot;:0},&quot;isEdited&quot;:false,&quot;manualOverride&quot;:{&quot;isManuallyOverridden&quot;:false,&quot;citeprocText&quot;:&quot;[5]&quot;,&quot;manualOverrideText&quot;:&quot;&quot;},&quot;citationTag&quot;:&quot;MENDELEY_CITATION_v3_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&quot;,&quot;citationItems&quot;:[{&quot;id&quot;:&quot;5d639667-3663-3d38-add0-4ba65f03dc36&quot;,&quot;itemData&quot;:{&quot;type&quot;:&quot;article-journal&quot;,&quot;id&quot;:&quot;5d639667-3663-3d38-add0-4ba65f03dc36&quot;,&quot;title&quot;:&quot;Steroid hormone measurements from different types of assays in relation to body mass index and breast cancer risk in postmenopausal women: Reanalysis of eighteen prospective studies&quot;,&quot;author&quot;:[{&quot;family&quot;:&quot;Key&quot;,&quot;given&quot;:&quot;Tim&quot;,&quot;parse-names&quot;:false,&quot;dropping-particle&quot;:&quot;&quot;,&quot;non-dropping-particle&quot;:&quot;&quot;}],&quot;container-title&quot;:&quot;Steroids&quot;,&quot;container-title-short&quot;:&quot;Steroids&quot;,&quot;accessed&quot;:{&quot;date-parts&quot;:[[2021,1,13]]},&quot;DOI&quot;:&quot;10.1016/j.steroids.2014.09.001&quot;,&quot;ISSN&quot;:&quot;18785867&quot;,&quot;PMID&quot;:&quot;25304359&quot;,&quot;URL&quot;:&quot;/pmc/articles/PMC4502556/?report=abstract&quot;,&quot;issued&quot;:{&quot;date-parts&quot;:[[2015,7,1]]},&quot;page&quot;:&quot;49-55&quot;,&quot;abstract&quot;:&quot;Epidemiological studies have examined breast cancer risk in relation to sex hormone concentrations measured by different methods: \&quot;extraction\&quot; immunoassays (with prior purification by organic solvent extraction, with or without column chromatography), \&quot;direct\&quot; immunoassays (no prior extraction or column chromatography), and more recently with mass spectrometry-based assays. We describe the associations of estradiol, estrone and testosterone with both body mass index and breast cancer risk in postmenopausal women according to assay method, using data from a collaborative pooled analysis of 18 prospective studies. In general, hormone concentrations were highest in studies that used direct assays and lowest in studies that used mass spectrometry-based assays. Estradiol and estrone were strongly positively associated with body mass index, regardless of the assay method; testosterone was positively associated with body mass index for direct assays, but less clearly for extraction assays, and there were few data for mass spectrometry assays. The correlations of estradiol with body mass index, estrone and testosterone were lower for direct assays than for extraction and mass spectrometry assays, suggesting that the estimates from the direct assays were less precise. For breast cancer risk, all three hormones were strongly positively associated with risk regardless of assay method (except for testosterone by mass spectrometry where there were few data), with no statistically significant differences in the trends, but differences may emerge as new data accumulate. Future epidemiological and clinical research studies should continue to use the most accurate assays that are feasible within the design characteristics of each study.&quot;,&quot;publisher&quot;:&quot;Elsevier Inc.&quot;,&quot;issue&quot;:&quot;Part A&quot;,&quot;volume&quot;:&quot;99&quot;},&quot;isTemporary&quot;:false}]},{&quot;citationID&quot;:&quot;MENDELEY_CITATION_b12cb1e9-d263-4186-b9b6-16b0dd9d461b&quot;,&quot;properties&quot;:{&quot;noteIndex&quot;:0},&quot;isEdited&quot;:false,&quot;manualOverride&quot;:{&quot;isManuallyOverridden&quot;:false,&quot;citeprocText&quot;:&quot;[8]&quot;,&quot;manualOverrideText&quot;:&quot;&quot;},&quot;citationTag&quot;:&quot;MENDELEY_CITATION_v3_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&quot;,&quot;citationItems&quot;:[{&quot;id&quot;:&quot;e96a483b-b6fa-34fd-b551-c7892f8a0d43&quot;,&quot;itemData&quot;:{&quot;type&quot;:&quot;article-journal&quot;,&quot;id&quot;:&quot;e96a483b-b6fa-34fd-b551-c7892f8a0d43&quot;,&quot;title&quot;:&quot;Using human genetics to understand the disease impacts of testosterone in men and women&quot;,&quot;author&quot;:[{&quot;family&quot;:&quot;Ruth&quot;,&quot;given&quot;:&quot;Katherine S&quot;,&quot;parse-names&quot;:false,&quot;dropping-particle&quot;:&quot;&quot;,&quot;non-dropping-particle&quot;:&quot;&quot;},{&quot;family&quot;:&quot;Day&quot;,&quot;given&quot;:&quot;Felix R&quot;,&quot;parse-names&quot;:false,&quot;dropping-particle&quot;:&quot;&quot;,&quot;non-dropping-particle&quot;:&quot;&quot;},{&quot;family&quot;:&quot;Tyrrell&quot;,&quot;given&quot;:&quot;Jessica&quot;,&quot;parse-names&quot;:false,&quot;dropping-particle&quot;:&quot;&quot;,&quot;non-dropping-particle&quot;:&quot;&quot;},{&quot;family&quot;:&quot;Thompson&quot;,&quot;given&quot;:&quot;Deborah J&quot;,&quot;parse-names&quot;:false,&quot;dropping-particle&quot;:&quot;&quot;,&quot;non-dropping-particle&quot;:&quot;&quot;},{&quot;family&quot;:&quot;Wood&quot;,&quot;given&quot;:&quot;Andrew R&quot;,&quot;parse-names&quot;:false,&quot;dropping-particle&quot;:&quot;&quot;,&quot;non-dropping-particle&quot;:&quot;&quot;},{&quot;family&quot;:&quot;Mahajan&quot;,&quot;given&quot;:&quot;Anubha&quot;,&quot;parse-names&quot;:false,&quot;dropping-particle&quot;:&quot;&quot;,&quot;non-dropping-particle&quot;:&quot;&quot;},{&quot;family&quot;:&quot;Beaumont&quot;,&quot;given&quot;:&quot;Robin N&quot;,&quot;parse-names&quot;:false,&quot;dropping-particle&quot;:&quot;&quot;,&quot;non-dropping-particle&quot;:&quot;&quot;},{&quot;family&quot;:&quot;Wittemans&quot;,&quot;given&quot;:&quot;Laura&quot;,&quot;parse-names&quot;:false,&quot;dropping-particle&quot;:&quot;&quot;,&quot;non-dropping-particle&quot;:&quot;&quot;},{&quot;family&quot;:&quot;Martin&quot;,&quot;given&quot;:&quot;Susan&quot;,&quot;parse-names&quot;:false,&quot;dropping-particle&quot;:&quot;&quot;,&quot;non-dropping-particle&quot;:&quot;&quot;},{&quot;family&quot;:&quot;Busch&quot;,&quot;given&quot;:&quot;Alexander S.&quot;,&quot;parse-names&quot;:false,&quot;dropping-particle&quot;:&quot;&quot;,&quot;non-dropping-particle&quot;:&quot;&quot;},{&quot;family&quot;:&quot;Erzurumluoglu&quot;,&quot;given&quot;:&quot;A. Mesut&quot;,&quot;parse-names&quot;:false,&quot;dropping-particle&quot;:&quot;&quot;,&quot;non-dropping-particle&quot;:&quot;&quot;},{&quot;family&quot;:&quot;Hollis&quot;,&quot;given&quot;:&quot;Benjamin&quot;,&quot;parse-names&quot;:false,&quot;dropping-particle&quot;:&quot;&quot;,&quot;non-dropping-particle&quot;:&quot;&quot;},{&quot;family&quot;:&quot;O’Mara&quot;,&quot;given&quot;:&quot;Tracy A.&quot;,&quot;parse-names&quot;:false,&quot;dropping-particle&quot;:&quot;&quot;,&quot;non-dropping-particle&quot;:&quot;&quot;},{&quot;family&quot;:&quot;McCarthy&quot;,&quot;given&quot;:&quot;Mark I&quot;,&quot;parse-names&quot;:false,&quot;dropping-particle&quot;:&quot;&quot;,&quot;non-dropping-particle&quot;:&quot;&quot;},{&quot;family&quot;:&quot;Langenberg&quot;,&quot;given&quot;:&quot;Claudia&quot;,&quot;parse-names&quot;:false,&quot;dropping-particle&quot;:&quot;&quot;,&quot;non-dropping-particle&quot;:&quot;&quot;},{&quot;family&quot;:&quot;Easton&quot;,&quot;given&quot;:&quot;Douglas F&quot;,&quot;parse-names&quot;:false,&quot;dropping-particle&quot;:&quot;&quot;,&quot;non-dropping-particle&quot;:&quot;&quot;},{&quot;family&quot;:&quot;Wareham&quot;,&quot;given&quot;:&quot;Nicholas J&quot;,&quot;parse-names&quot;:false,&quot;dropping-particle&quot;:&quot;&quot;,&quot;non-dropping-particle&quot;:&quot;&quot;},{&quot;family&quot;:&quot;Burgess&quot;,&quot;given&quot;:&quot;Stephen&quot;,&quot;parse-names&quot;:false,&quot;dropping-particle&quot;:&quot;&quot;,&quot;non-dropping-particle&quot;:&quot;&quot;},{&quot;family&quot;:&quot;Murray&quot;,&quot;given&quot;:&quot;Anna&quot;,&quot;parse-names&quot;:false,&quot;dropping-particle&quot;:&quot;&quot;,&quot;non-dropping-particle&quot;:&quot;&quot;},{&quot;family&quot;:&quot;Ong&quot;,&quot;given&quot;:&quot;Ken K&quot;,&quot;parse-names&quot;:false,&quot;dropping-particle&quot;:&quot;&quot;,&quot;non-dropping-particle&quot;:&quot;&quot;},{&quot;family&quot;:&quot;Frayling&quot;,&quot;given&quot;:&quot;Timothy M&quot;,&quot;parse-names&quot;:false,&quot;dropping-particle&quot;:&quot;&quot;,&quot;non-dropping-particle&quot;:&quot;&quot;},{&quot;family&quot;:&quot;Perry&quot;,&quot;given&quot;:&quot;John R.B.&quot;,&quot;parse-names&quot;:false,&quot;dropping-particle&quot;:&quot;&quot;,&quot;non-dropping-particle&quot;:&quot;&quot;}],&quot;container-title&quot;:&quot;Nature Medicine&quot;,&quot;container-title-short&quot;:&quot;Nat Med&quot;,&quot;accessed&quot;:{&quot;date-parts&quot;:[[2021,7,15]]},&quot;DOI&quot;:&quot;10.1038/s41591-020-0751-5&quot;,&quot;ISSN&quot;:&quot;1546170X&quot;,&quot;PMID&quot;:&quot;32042192&quot;,&quot;URL&quot;:&quot;https://www.nature.com/articles/s41591-020-0751-5&quot;,&quot;issued&quot;:{&quot;date-parts&quot;:[[2020,2,10]]},&quot;page&quot;:&quot;252-258&quot;,&quot;abstract&quot;:&quot;Testosterone supplementation is commonly used for its effects on sexual function, bone health and body composition, yet its effects on disease outcomes are unknown. To better understand this, we identified genetic determinants of testosterone levels and related sex hormone traits in 425,097 UK Biobank study participants. Using 2,571 genome-wide significant associations, we demonstrate that the genetic determinants of testosterone levels are substantially different between sexes and that genetically higher testosterone is harmful for metabolic diseases in women but beneficial in men. For example, a genetically determined 1 s.d. higher testosterone increases the risks of type 2 diabetes (odds ratio (OR) = 1.37 (95% confidence interval (95% CI): 1.22–1.53)) and polycystic ovary syndrome (OR = 1.51 (95% CI: 1.33–1.72)) in women, but reduces type 2 diabetes risk in men (OR = 0.86 (95% CI: 0.76–0.98)). We also show adverse effects of higher testosterone on breast and endometrial cancers in women and prostate cancer in men. Our findings provide insights into the disease impacts of testosterone and highlight the importance of sex-specific genetic analyses.&quot;,&quot;publisher&quot;:&quot;Nature Publishing Group&quot;,&quot;issue&quot;:&quot;2&quot;,&quot;volume&quot;:&quot;26&quot;},&quot;isTemporary&quot;:false}]},{&quot;citationID&quot;:&quot;MENDELEY_CITATION_6d82cdaa-8afa-44c1-ba8f-01afb03c8706&quot;,&quot;properties&quot;:{&quot;noteIndex&quot;:0},&quot;isEdited&quot;:false,&quot;manualOverride&quot;:{&quot;isManuallyOverridden&quot;:false,&quot;citeprocText&quot;:&quot;[9]&quot;,&quot;manualOverrideText&quot;:&quot;&quot;},&quot;citationTag&quot;:&quot;MENDELEY_CITATION_v3_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&quot;,&quot;citationItems&quot;:[{&quot;id&quot;:&quot;f173f2f7-7d0d-3c74-b52e-a572dc039f9f&quot;,&quot;itemData&quot;:{&quot;type&quot;:&quot;article-journal&quot;,&quot;id&quot;:&quot;f173f2f7-7d0d-3c74-b52e-a572dc039f9f&quot;,&quot;title&quot;:&quot;Apolipoproteins, lipids and risk of cancer&quot;,&quot;author&quot;:[{&quot;family&quot;:&quot;Borgquist&quot;,&quot;given&quot;:&quot;Signe&quot;,&quot;parse-names&quot;:false,&quot;dropping-particle&quot;:&quot;&quot;,&quot;non-dropping-particle&quot;:&quot;&quot;},{&quot;family&quot;:&quot;Butt&quot;,&quot;given&quot;:&quot;Talha&quot;,&quot;parse-names&quot;:false,&quot;dropping-particle&quot;:&quot;&quot;,&quot;non-dropping-particle&quot;:&quot;&quot;},{&quot;family&quot;:&quot;Almgren&quot;,&quot;given&quot;:&quot;Peter&quot;,&quot;parse-names&quot;:false,&quot;dropping-particle&quot;:&quot;&quot;,&quot;non-dropping-particle&quot;:&quot;&quot;},{&quot;family&quot;:&quot;Shiffman&quot;,&quot;given&quot;:&quot;Dov&quot;,&quot;parse-names&quot;:false,&quot;dropping-particle&quot;:&quot;&quot;,&quot;non-dropping-particle&quot;:&quot;&quot;},{&quot;family&quot;:&quot;Stocks&quot;,&quot;given&quot;:&quot;Tanja&quot;,&quot;parse-names&quot;:false,&quot;dropping-particle&quot;:&quot;&quot;,&quot;non-dropping-particle&quot;:&quot;&quot;},{&quot;family&quot;:&quot;Orho-Melander&quot;,&quot;given&quot;:&quot;Marju&quot;,&quot;parse-names&quot;:false,&quot;dropping-particle&quot;:&quot;&quot;,&quot;non-dropping-particle&quot;:&quot;&quot;},{&quot;family&quot;:&quot;Manjer&quot;,&quot;given&quot;:&quot;Jonas&quot;,&quot;parse-names&quot;:false,&quot;dropping-particle&quot;:&quot;&quot;,&quot;non-dropping-particle&quot;:&quot;&quot;},{&quot;family&quot;:&quot;Melander&quot;,&quot;given&quot;:&quot;Olle&quot;,&quot;parse-names&quot;:false,&quot;dropping-particle&quot;:&quot;&quot;,&quot;non-dropping-particle&quot;:&quot;&quot;}],&quot;container-title&quot;:&quot;International Journal of Cancer&quot;,&quot;container-title-short&quot;:&quot;Int J Cancer&quot;,&quot;accessed&quot;:{&quot;date-parts&quot;:[[2020,8,21]]},&quot;DOI&quot;:&quot;10.1002/ijc.30013&quot;,&quot;ISSN&quot;:&quot;10970215&quot;,&quot;PMID&quot;:&quot;26804063&quot;,&quot;URL&quot;:&quot;http://doi.wiley.com/10.1002/ijc.30013&quot;,&quot;issued&quot;:{&quot;date-parts&quot;:[[2016,6,1]]},&quot;page&quot;:&quot;2648-2656&quot;,&quot;abstract&quot;:&quot;The epidemiological evidence for an obesity-cancer association is solid, whereas the association between obesity-associated lipoprotein levels and cancer is less evident. We investigated circulating levels of Apolipoprotein A1 (ApoA1), Apolipoprotein B (ApoB), LDL-cholesterol (LDL-C) and HDL-cholesterol (HDL-C) and association to risk of overall cancer and common cancer forms. The Malmö Diet and Cancer Study, a population-based prospective cohort study, enrolled 17,035 women and 11,063 men (1991-1996). Incident cancer cases were ascertained by record linkage with the Swedish Cancer Registry until end of follow-up, January 1, 2012. Baseline serum levels of ApoA1 and ApoB were analyzed for the entire cohort and HDL-C and LDL-C levels in 5,281 participants. Hazard ratios, with 95% confidence interval, were calculated using Cox's proportional hazards analysis. In the entire cohort, none of the exposures were related to overall cancer risk (HRadj ApoA1 = 0.98, 95%CI: 0.95,1.01; HRadj ApoB = 1.01, 95%CI: 0.98-1.04). Among men, ApoB was positively associated with cancer risk (HRadj ApoB = 1.06, 95%CI: 1.01,1.10). Female breast cancer risk was inversely associated with ApoB (HRadj = 0.92, 95%CI: 0.86,0.99). Among both genders, ApoA1 was inversely associated with lung cancer risk (HRadj = 0.88, 95%CI: 0.80,0.97), whereas high ApoB increased lung cancer risk (HRadj = 1.08, 95%CI: 0.99,1.18). Colorectal cancer risk was increased with high ApoB (HRadj = 1.08, 95%CI: 1.01,1.16) among both genders. Apolipoprotein levels were not associated with prostate cancer incidence. Circulating levels of apolipoproteins are associated with overall cancer risk in men and across both genders with breast, lung and colorectal cancer risk. Validation of these findings may facilitate future primary prevention strategies for cancer.&quot;,&quot;publisher&quot;:&quot;Wiley-Liss Inc.&quot;,&quot;issue&quot;:&quot;11&quot;,&quot;volume&quot;:&quot;138&quot;},&quot;isTemporary&quot;:false}]},{&quot;citationID&quot;:&quot;MENDELEY_CITATION_dc793037-3f50-4753-baa2-8106990ce3c7&quot;,&quot;properties&quot;:{&quot;noteIndex&quot;:0},&quot;isEdited&quot;:false,&quot;manualOverride&quot;:{&quot;isManuallyOverridden&quot;:false,&quot;citeprocText&quot;:&quot;[9]&quot;,&quot;manualOverrideText&quot;:&quot;&quot;},&quot;citationTag&quot;:&quot;MENDELEY_CITATION_v3_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&quot;,&quot;citationItems&quot;:[{&quot;id&quot;:&quot;f173f2f7-7d0d-3c74-b52e-a572dc039f9f&quot;,&quot;itemData&quot;:{&quot;type&quot;:&quot;article-journal&quot;,&quot;id&quot;:&quot;f173f2f7-7d0d-3c74-b52e-a572dc039f9f&quot;,&quot;title&quot;:&quot;Apolipoproteins, lipids and risk of cancer&quot;,&quot;author&quot;:[{&quot;family&quot;:&quot;Borgquist&quot;,&quot;given&quot;:&quot;Signe&quot;,&quot;parse-names&quot;:false,&quot;dropping-particle&quot;:&quot;&quot;,&quot;non-dropping-particle&quot;:&quot;&quot;},{&quot;family&quot;:&quot;Butt&quot;,&quot;given&quot;:&quot;Talha&quot;,&quot;parse-names&quot;:false,&quot;dropping-particle&quot;:&quot;&quot;,&quot;non-dropping-particle&quot;:&quot;&quot;},{&quot;family&quot;:&quot;Almgren&quot;,&quot;given&quot;:&quot;Peter&quot;,&quot;parse-names&quot;:false,&quot;dropping-particle&quot;:&quot;&quot;,&quot;non-dropping-particle&quot;:&quot;&quot;},{&quot;family&quot;:&quot;Shiffman&quot;,&quot;given&quot;:&quot;Dov&quot;,&quot;parse-names&quot;:false,&quot;dropping-particle&quot;:&quot;&quot;,&quot;non-dropping-particle&quot;:&quot;&quot;},{&quot;family&quot;:&quot;Stocks&quot;,&quot;given&quot;:&quot;Tanja&quot;,&quot;parse-names&quot;:false,&quot;dropping-particle&quot;:&quot;&quot;,&quot;non-dropping-particle&quot;:&quot;&quot;},{&quot;family&quot;:&quot;Orho-Melander&quot;,&quot;given&quot;:&quot;Marju&quot;,&quot;parse-names&quot;:false,&quot;dropping-particle&quot;:&quot;&quot;,&quot;non-dropping-particle&quot;:&quot;&quot;},{&quot;family&quot;:&quot;Manjer&quot;,&quot;given&quot;:&quot;Jonas&quot;,&quot;parse-names&quot;:false,&quot;dropping-particle&quot;:&quot;&quot;,&quot;non-dropping-particle&quot;:&quot;&quot;},{&quot;family&quot;:&quot;Melander&quot;,&quot;given&quot;:&quot;Olle&quot;,&quot;parse-names&quot;:false,&quot;dropping-particle&quot;:&quot;&quot;,&quot;non-dropping-particle&quot;:&quot;&quot;}],&quot;container-title&quot;:&quot;International Journal of Cancer&quot;,&quot;container-title-short&quot;:&quot;Int J Cancer&quot;,&quot;accessed&quot;:{&quot;date-parts&quot;:[[2020,8,21]]},&quot;DOI&quot;:&quot;10.1002/ijc.30013&quot;,&quot;ISSN&quot;:&quot;10970215&quot;,&quot;PMID&quot;:&quot;26804063&quot;,&quot;URL&quot;:&quot;http://doi.wiley.com/10.1002/ijc.30013&quot;,&quot;issued&quot;:{&quot;date-parts&quot;:[[2016,6,1]]},&quot;page&quot;:&quot;2648-2656&quot;,&quot;abstract&quot;:&quot;The epidemiological evidence for an obesity-cancer association is solid, whereas the association between obesity-associated lipoprotein levels and cancer is less evident. We investigated circulating levels of Apolipoprotein A1 (ApoA1), Apolipoprotein B (ApoB), LDL-cholesterol (LDL-C) and HDL-cholesterol (HDL-C) and association to risk of overall cancer and common cancer forms. The Malmö Diet and Cancer Study, a population-based prospective cohort study, enrolled 17,035 women and 11,063 men (1991-1996). Incident cancer cases were ascertained by record linkage with the Swedish Cancer Registry until end of follow-up, January 1, 2012. Baseline serum levels of ApoA1 and ApoB were analyzed for the entire cohort and HDL-C and LDL-C levels in 5,281 participants. Hazard ratios, with 95% confidence interval, were calculated using Cox's proportional hazards analysis. In the entire cohort, none of the exposures were related to overall cancer risk (HRadj ApoA1 = 0.98, 95%CI: 0.95,1.01; HRadj ApoB = 1.01, 95%CI: 0.98-1.04). Among men, ApoB was positively associated with cancer risk (HRadj ApoB = 1.06, 95%CI: 1.01,1.10). Female breast cancer risk was inversely associated with ApoB (HRadj = 0.92, 95%CI: 0.86,0.99). Among both genders, ApoA1 was inversely associated with lung cancer risk (HRadj = 0.88, 95%CI: 0.80,0.97), whereas high ApoB increased lung cancer risk (HRadj = 1.08, 95%CI: 0.99,1.18). Colorectal cancer risk was increased with high ApoB (HRadj = 1.08, 95%CI: 1.01,1.16) among both genders. Apolipoprotein levels were not associated with prostate cancer incidence. Circulating levels of apolipoproteins are associated with overall cancer risk in men and across both genders with breast, lung and colorectal cancer risk. Validation of these findings may facilitate future primary prevention strategies for cancer.&quot;,&quot;publisher&quot;:&quot;Wiley-Liss Inc.&quot;,&quot;issue&quot;:&quot;11&quot;,&quot;volume&quot;:&quot;138&quot;},&quot;isTemporary&quot;:false}]},{&quot;citationID&quot;:&quot;MENDELEY_CITATION_90700616-61c0-4d94-b52f-150d39a7d66a&quot;,&quot;properties&quot;:{&quot;noteIndex&quot;:0},&quot;isEdited&quot;:false,&quot;manualOverride&quot;:{&quot;isManuallyOverridden&quot;:false,&quot;citeprocText&quot;:&quot;[10]&quot;,&quot;manualOverrideText&quot;:&quot;&quot;},&quot;citationTag&quot;:&quot;MENDELEY_CITATION_v3_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&quot;,&quot;citationItems&quot;:[{&quot;id&quot;:&quot;db2ebe95-ceaa-3d7c-84aa-000d9c55d170&quot;,&quot;itemData&quot;:{&quot;type&quot;:&quot;article-journal&quot;,&quot;id&quot;:&quot;db2ebe95-ceaa-3d7c-84aa-000d9c55d170&quot;,&quot;title&quot;:&quot;C-reactive protein and risk of breast cancer: A systematic review and meta-analysis&quot;,&quot;author&quot;:[{&quot;family&quot;:&quot;Guo&quot;,&quot;given&quot;:&quot;Lanwei&quot;,&quot;parse-names&quot;:false,&quot;dropping-particle&quot;:&quot;&quot;,&quot;non-dropping-particle&quot;:&quot;&quot;},{&quot;family&quot;:&quot;Liu&quot;,&quot;given&quot;:&quot;Shuzheng&quot;,&quot;parse-names&quot;:false,&quot;dropping-particle&quot;:&quot;&quot;,&quot;non-dropping-particle&quot;:&quot;&quot;},{&quot;family&quot;:&quot;Zhang&quot;,&quot;given&quot;:&quot;Shaokai&quot;,&quot;parse-names&quot;:false,&quot;dropping-particle&quot;:&quot;&quot;,&quot;non-dropping-particle&quot;:&quot;&quot;},{&quot;family&quot;:&quot;Chen&quot;,&quot;given&quot;:&quot;Qiong&quot;,&quot;parse-names&quot;:false,&quot;dropping-particle&quot;:&quot;&quot;,&quot;non-dropping-particle&quot;:&quot;&quot;},{&quot;family&quot;:&quot;Zhang&quot;,&quot;given&quot;:&quot;Meng&quot;,&quot;parse-names&quot;:false,&quot;dropping-particle&quot;:&quot;&quot;,&quot;non-dropping-particle&quot;:&quot;&quot;},{&quot;family&quot;:&quot;Quan&quot;,&quot;given&quot;:&quot;Peiliang&quot;,&quot;parse-names&quot;:false,&quot;dropping-particle&quot;:&quot;&quot;,&quot;non-dropping-particle&quot;:&quot;&quot;},{&quot;family&quot;:&quot;Lu&quot;,&quot;given&quot;:&quot;Jianbang&quot;,&quot;parse-names&quot;:false,&quot;dropping-particle&quot;:&quot;&quot;,&quot;non-dropping-particle&quot;:&quot;&quot;},{&quot;family&quot;:&quot;Sun&quot;,&quot;given&quot;:&quot;Xibin&quot;,&quot;parse-names&quot;:false,&quot;dropping-particle&quot;:&quot;&quot;,&quot;non-dropping-particle&quot;:&quot;&quot;}],&quot;container-title&quot;:&quot;Scientific Reports&quot;,&quot;container-title-short&quot;:&quot;Sci Rep&quot;,&quot;accessed&quot;:{&quot;date-parts&quot;:[[2020,8,21]]},&quot;DOI&quot;:&quot;10.1038/srep10508&quot;,&quot;ISSN&quot;:&quot;20452322&quot;,&quot;PMID&quot;:&quot;26001129&quot;,&quot;URL&quot;:&quot;https://doi.org/10.1038/srep10508&quot;,&quot;issued&quot;:{&quot;date-parts&quot;:[[2015,5,22]]},&quot;page&quot;:&quot;1-8&quot;,&quot;abstract&quot;:&quot;Associations between elevated C-reactive protein (CRP) and breast cancer risk have been reported for many years, but the results remain controversial. To address this issue, a meta-analysis was therefore conducted. Eligible studies were identified by searching the PubMed and EMBASE up to December 2014. Study-specific risk estimates were combined using a random-effects model. Altogether fifteen cohort and case-control studies were included in this meta-analysis, involving a total of 5,286 breast cancer cases. The combined OR per natural log unit change in CRP for breast cancer was 1.16 (95% CI: 1.06-1.27). There was moderate heterogeneity among studies (I2 =45.9%). The association was stronger in Asian population (OR=1.57, 95% CI: 1.25-1.96) compared to European (OR=1.12, 95% CI: 1.02-1.23) and American (OR=1.08, 95% CI: 1.01-1.16). Prediagnostic high-sensitivity CRP concentrations (OR=1.22, 95% CI: 1.10-1.35) was superior to common CRP (OR=1.08, 95% CI: 1.01-1.15) in predicting breast cancer risk. The meta-analysis indicated that elevated CRP levels was associated with increased risk of breast cancer. Further research effort should be performed to identify whether CRP, as a marker of inflammation, plays a direct role in breast carcinogenesis.&quot;,&quot;publisher&quot;:&quot;Nature Publishing Group&quot;,&quot;issue&quot;:&quot;1&quot;,&quot;volume&quot;:&quot;5&quot;},&quot;isTemporary&quot;:false}]},{&quot;citationID&quot;:&quot;MENDELEY_CITATION_3fbac0b0-464d-4057-92a1-d0a5073d6404&quot;,&quot;properties&quot;:{&quot;noteIndex&quot;:0},&quot;isEdited&quot;:false,&quot;manualOverride&quot;:{&quot;isManuallyOverridden&quot;:false,&quot;citeprocText&quot;:&quot;[11]&quot;,&quot;manualOverrideText&quot;:&quot;&quot;},&quot;citationTag&quot;:&quot;MENDELEY_CITATION_v3_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&quot;,&quot;citationItems&quot;:[{&quot;id&quot;:&quot;f6002eba-a7e2-350e-9fc1-6f4b02f3330f&quot;,&quot;itemData&quot;:{&quot;type&quot;:&quot;article-journal&quot;,&quot;id&quot;:&quot;f6002eba-a7e2-350e-9fc1-6f4b02f3330f&quot;,&quot;title&quot;:&quot;Mendelian randomisation analysis of circulating adipokines and C-reactive protein on breast cancer risk&quot;,&quot;author&quot;:[{&quot;family&quot;:&quot;Robinson&quot;,&quot;given&quot;:&quot;Timothy&quot;,&quot;parse-names&quot;:false,&quot;dropping-particle&quot;:&quot;&quot;,&quot;non-dropping-particle&quot;:&quot;&quot;},{&quot;family&quot;:&quot;Martin&quot;,&quot;given&quot;:&quot;Richard M.&quot;,&quot;parse-names&quot;:false,&quot;dropping-particle&quot;:&quot;&quot;,&quot;non-dropping-particle&quot;:&quot;&quot;},{&quot;family&quot;:&quot;Yarmolinsky&quot;,&quot;given&quot;:&quot;James&quot;,&quot;parse-names&quot;:false,&quot;dropping-particle&quot;:&quot;&quot;,&quot;non-dropping-particle&quot;:&quot;&quot;}],&quot;container-title&quot;:&quot;International Journal of Cancer&quot;,&quot;container-title-short&quot;:&quot;Int J Cancer&quot;,&quot;accessed&quot;:{&quot;date-parts&quot;:[[2020,8,22]]},&quot;DOI&quot;:&quot;10.1002/ijc.32947&quot;,&quot;ISSN&quot;:&quot;10970215&quot;,&quot;PMID&quot;:&quot;32134113&quot;,&quot;URL&quot;:&quot;https://doi.org/10.1002/ijc.32947&quot;,&quot;issued&quot;:{&quot;date-parts&quot;:[[2020,9,15]]},&quot;page&quot;:&quot;1597-1603&quot;,&quot;abstract&quot;:&quot;Circulating adipokines and C-reactive protein (CRP) have been linked to breast cancer risk in observational epidemiological studies. The causal nature of these associations is unclear because of the susceptibility of conventional observational designs to residual confounding, reverse causation and other forms of bias. Mendelian randomisation (MR) uses genetic variants as proxies for risk factors to strengthen causal inference in observational settings. We performed a MR analysis to evaluate the causal relevance of six previously reported circulating adipokines [adiponectin, hepatocyte growth factor (HGF), interleukin-6, leptin receptor, plasminogen activator inhibitor-1 and resistin] and CRP in risk of overall and oestrogen receptor-stratified breast cancer in up to 122,977 cases and 105,974 controls of European ancestry. Genetic instruments were constructed from single-nucleotide polymorphisms robustly (p &lt; 5 × 10−8) associated with risk factors in genome-wide association studies. Colocalisation was performed as a sensitivity analysis to examine whether findings reflected shared causal variants or genomic confounding. In MR analyses, there was evidence for an association of HGF with oestrogen receptor-negative cancer (odds ratio per standard deviation increase: 1.17, 95% confidence interval: 1.01–1.35; p = 0.035) but little evidence for associations of other adipokines or CRP with overall or oestrogen receptor-stratified breast cancer. Colocalisation analysis suggested that the association of HGF with oestrogen receptor-negative breast cancer was unlikely to reflect a causal association. Collectively, these findings do not support an important aetiological role of various adipokines or CRP in overall or oestrogen receptor-specific breast cancer risk.&quot;,&quot;publisher&quot;:&quot;Wiley-Liss Inc.&quot;,&quot;issue&quot;:&quot;6&quot;,&quot;volume&quot;:&quot;147&quot;},&quot;isTemporary&quot;:false}]},{&quot;citationID&quot;:&quot;MENDELEY_CITATION_2abad5bf-2f8d-473a-bcbe-00a908097692&quot;,&quot;properties&quot;:{&quot;noteIndex&quot;:0},&quot;isEdited&quot;:false,&quot;manualOverride&quot;:{&quot;isManuallyOverridden&quot;:false,&quot;citeprocText&quot;:&quot;[12]&quot;,&quot;manualOverrideText&quot;:&quot;&quot;},&quot;citationTag&quot;:&quot;MENDELEY_CITATION_v3_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&quot;,&quot;citationItems&quot;:[{&quot;id&quot;:&quot;7146bc02-3108-392a-89a2-bb0700214e2f&quot;,&quot;itemData&quot;:{&quot;type&quot;:&quot;article-journal&quot;,&quot;id&quot;:&quot;7146bc02-3108-392a-89a2-bb0700214e2f&quot;,&quot;title&quot;:&quot;Serum lipids and breast cancer risk: A meta-Analysis of prospective cohort studies&quot;,&quot;author&quot;:[{&quot;family&quot;:&quot;Ni&quot;,&quot;given&quot;:&quot;Haibo&quot;,&quot;parse-names&quot;:false,&quot;dropping-particle&quot;:&quot;&quot;,&quot;non-dropping-particle&quot;:&quot;&quot;},{&quot;family&quot;:&quot;Liu&quot;,&quot;given&quot;:&quot;Huixiang&quot;,&quot;parse-names&quot;:false,&quot;dropping-particle&quot;:&quot;&quot;,&quot;non-dropping-particle&quot;:&quot;&quot;},{&quot;family&quot;:&quot;Gao&quot;,&quot;given&quot;:&quot;Rong&quot;,&quot;parse-names&quot;:false,&quot;dropping-particle&quot;:&quot;&quot;,&quot;non-dropping-particle&quot;:&quot;&quot;}],&quot;container-title&quot;:&quot;PLoS ONE&quot;,&quot;container-title-short&quot;:&quot;PLoS One&quot;,&quot;accessed&quot;:{&quot;date-parts&quot;:[[2020,8,21]]},&quot;editor&quot;:[{&quot;family&quot;:&quot;Singh&quot;,&quot;given&quot;:&quot;Seema&quot;,&quot;parse-names&quot;:false,&quot;dropping-particle&quot;:&quot;&quot;,&quot;non-dropping-particle&quot;:&quot;&quot;}],&quot;DOI&quot;:&quot;10.1371/journal.pone.0142669&quot;,&quot;ISSN&quot;:&quot;19326203&quot;,&quot;PMID&quot;:&quot;26554382&quot;,&quot;URL&quot;:&quot;https://doi.org/10.1371/journal.pone.0142669&quot;,&quot;issued&quot;:{&quot;date-parts&quot;:[[2015,11,10]]},&quot;page&quot;:&quot;e0142669&quot;,&quot;abstract&quot;:&quot;Purpose Epidemiologic studies exploring causal associations between serum lipids and breast cancer risk have reported contradictory results. We conducted a meta-Analysis of prospective cohort studies to evaluate these associations. Methods Relevant studies were identified by searching PubMed and EMBASE through April 2015. We included prospective cohort studies that reported relative risk (RR) estimates with 95% confidence intervals (CIs) for the associations of specific lipid components (i.e., total cholesterol [TC], high-density lipoprotein cholesterol [HDL-C], low-density lipoprotein cholesterol [LDL-C], and triglycerides [TG]) with breast cancer risk. Either a fixed-or a random-effects model was used to calculate pooled RRs. Results Fifteen prospective cohort studies involving 1,189,635 participants and 23,369 breast cancer cases were included in the meta-Analysis. The pooled RRs of breast cancer for the highest versus lowest categories were 0.96 (95% CI: 0.86-1.07) for TC, 0.92 (95% CI: 0.73- 1.16) for HDL-C, 0.90 (95% CI: 0.77-1.06) for LDL-C, and 0.93 (95% CI: 0.86-1.00) for TG. Notably, for HDL-C, a significant reduction of breast cancer risk was observed among postmenopausal women (RR = 0.77, 95% CI: 0.64-0.93) but not among premenopausal women. Similar trends of the associations were observed in the dose-response analysis. Conclusions Our findings suggest that serum levels of TG but not TC and LDL-C may be inversely associated with breast cancer risk. Serum HDL-C may also protect against breast carcinogenesis among postmenopausal women.&quot;,&quot;publisher&quot;:&quot;Public Library of Science&quot;,&quot;issue&quot;:&quot;11&quot;,&quot;volume&quot;:&quot;10&quot;},&quot;isTemporary&quot;:false}]},{&quot;citationID&quot;:&quot;MENDELEY_CITATION_35bddc1e-812b-479d-ac8f-0f99ddaa73cb&quot;,&quot;properties&quot;:{&quot;noteIndex&quot;:0},&quot;isEdited&quot;:false,&quot;manualOverride&quot;:{&quot;isManuallyOverridden&quot;:false,&quot;citeprocText&quot;:&quot;[13]&quot;,&quot;manualOverrideText&quot;:&quot;&quot;},&quot;citationTag&quot;:&quot;MENDELEY_CITATION_v3_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&quot;,&quot;citationItems&quot;:[{&quot;id&quot;:&quot;9f9270d5-284f-3966-ac20-25ee33ef1005&quot;,&quot;itemData&quot;:{&quot;type&quot;:&quot;article-journal&quot;,&quot;id&quot;:&quot;9f9270d5-284f-3966-ac20-25ee33ef1005&quot;,&quot;title&quot;:&quot;A Mendelian randomization analysis of circulating lipid traits and breast cancer risk&quot;,&quot;author&quot;:[{&quot;family&quot;:&quot;Beeghly-Fadiel&quot;,&quot;given&quot;:&quot;Alicia&quot;,&quot;parse-names&quot;:false,&quot;dropping-particle&quot;:&quot;&quot;,&quot;non-dropping-particle&quot;:&quot;&quot;},{&quot;family&quot;:&quot;Khankari&quot;,&quot;given&quot;:&quot;Nikhil K&quot;,&quot;parse-names&quot;:false,&quot;dropping-particle&quot;:&quot;&quot;,&quot;non-dropping-particle&quot;:&quot;&quot;},{&quot;family&quot;:&quot;Delahanty&quot;,&quot;given&quot;:&quot;Ryan J&quot;,&quot;parse-names&quot;:false,&quot;dropping-particle&quot;:&quot;&quot;,&quot;non-dropping-particle&quot;:&quot;&quot;},{&quot;family&quot;:&quot;Shu&quot;,&quot;given&quot;:&quot;Xiao-Ou&quot;,&quot;parse-names&quot;:false,&quot;dropping-particle&quot;:&quot;&quot;,&quot;non-dropping-particle&quot;:&quot;&quot;},{&quot;family&quot;:&quot;Lu&quot;,&quot;given&quot;:&quot;Yingchang&quot;,&quot;parse-names&quot;:false,&quot;dropping-particle&quot;:&quot;&quot;,&quot;non-dropping-particle&quot;:&quot;&quot;},{&quot;family&quot;:&quot;Schmidt&quot;,&quot;given&quot;:&quot;Marjanka K&quot;,&quot;parse-names&quot;:false,&quot;dropping-particle&quot;:&quot;&quot;,&quot;non-dropping-particle&quot;:&quot;&quot;},{&quot;family&quot;:&quot;Bolla&quot;,&quot;given&quot;:&quot;Manjeet K&quot;,&quot;parse-names&quot;:false,&quot;dropping-particle&quot;:&quot;&quot;,&quot;non-dropping-particle&quot;:&quot;&quot;},{&quot;family&quot;:&quot;Michailidou&quot;,&quot;given&quot;:&quot;Kyriaki&quot;,&quot;parse-names&quot;:false,&quot;dropping-particle&quot;:&quot;&quot;,&quot;non-dropping-particle&quot;:&quot;&quot;},{&quot;family&quot;:&quot;Wang&quot;,&quot;given&quot;:&quot;Qin&quot;,&quot;parse-names&quot;:false,&quot;dropping-particle&quot;:&quot;&quot;,&quot;non-dropping-particle&quot;:&quot;&quot;},{&quot;family&quot;:&quot;Dennis&quot;,&quot;given&quot;:&quot;Joe&quot;,&quot;parse-names&quot;:false,&quot;dropping-particle&quot;:&quot;&quot;,&quot;non-dropping-particle&quot;:&quot;&quot;},{&quot;family&quot;:&quot;Yannoukakos&quot;,&quot;given&quot;:&quot;Drakoulis&quot;,&quot;parse-names&quot;:false,&quot;dropping-particle&quot;:&quot;&quot;,&quot;non-dropping-particle&quot;:&quot;&quot;},{&quot;family&quot;:&quot;Dunning&quot;,&quot;given&quot;:&quot;Alison M&quot;,&quot;parse-names&quot;:false,&quot;dropping-particle&quot;:&quot;&quot;,&quot;non-dropping-particle&quot;:&quot;&quot;},{&quot;family&quot;:&quot;Pharoah&quot;,&quot;given&quot;:&quot;Paul D P&quot;,&quot;parse-names&quot;:false,&quot;dropping-particle&quot;:&quot;&quot;,&quot;non-dropping-particle&quot;:&quot;&quot;},{&quot;family&quot;:&quot;Chenevix-Trench&quot;,&quot;given&quot;:&quot;Georgia&quot;,&quot;parse-names&quot;:false,&quot;dropping-particle&quot;:&quot;&quot;,&quot;non-dropping-particle&quot;:&quot;&quot;},{&quot;family&quot;:&quot;Milne&quot;,&quot;given&quot;:&quot;Roger L&quot;,&quot;parse-names&quot;:false,&quot;dropping-particle&quot;:&quot;&quot;,&quot;non-dropping-particle&quot;:&quot;&quot;},{&quot;family&quot;:&quot;Hunter&quot;,&quot;given&quot;:&quot;David J&quot;,&quot;parse-names&quot;:false,&quot;dropping-particle&quot;:&quot;&quot;,&quot;non-dropping-particle&quot;:&quot;&quot;},{&quot;family&quot;:&quot;Per&quot;,&quot;given&quot;:&quot;Hall&quot;,&quot;parse-names&quot;:false,&quot;dropping-particle&quot;:&quot;&quot;,&quot;non-dropping-particle&quot;:&quot;&quot;},{&quot;family&quot;:&quot;Kraft&quot;,&quot;given&quot;:&quot;Peter&quot;,&quot;parse-names&quot;:false,&quot;dropping-particle&quot;:&quot;&quot;,&quot;non-dropping-particle&quot;:&quot;&quot;},{&quot;family&quot;:&quot;Simard&quot;,&quot;given&quot;:&quot;Jacques&quot;,&quot;parse-names&quot;:false,&quot;dropping-particle&quot;:&quot;&quot;,&quot;non-dropping-particle&quot;:&quot;&quot;},{&quot;family&quot;:&quot;Easton&quot;,&quot;given&quot;:&quot;Douglas F&quot;,&quot;parse-names&quot;:false,&quot;dropping-particle&quot;:&quot;&quot;,&quot;non-dropping-particle&quot;:&quot;&quot;},{&quot;family&quot;:&quot;Zheng&quot;,&quot;given&quot;:&quot;Wei&quot;,&quot;parse-names&quot;:false,&quot;dropping-particle&quot;:&quot;&quot;,&quot;non-dropping-particle&quot;:&quot;&quot;}],&quot;container-title&quot;:&quot;International Journal of Epidemiology&quot;,&quot;container-title-short&quot;:&quot;Int J Epidemiol&quot;,&quot;accessed&quot;:{&quot;date-parts&quot;:[[2020,8,22]]},&quot;DOI&quot;:&quot;10.1093/ije/dyz242&quot;,&quot;ISSN&quot;:&quot;0300-5771&quot;,&quot;URL&quot;:&quot;https://doi.org/10.1093/ije/dyz242&quot;,&quot;issued&quot;:{&quot;date-parts&quot;:[[2019,12,23]]},&quot;abstract&quot;:&quot;BACKGROUND: Conventional epidemiologic studies have evaluated associations between circulating lipid levels and breast cancer risk, but results have been inconsistent. As Mendelian randomization analyses may provide evidence for causal inference, we sought to evaluate potentially unbiased associations between breast cancer risk and four genetically predicted lipid traits. METHODS: Previous genome-wide association studies (GWAS) have identified 164 discrete variants associated with high density lipoprotein-cholesterol (HDL-C), low density lipoprotein-cholesterol (LDL-C), triglycerides and total cholesterol. We used 162 of these unique variants to construct weighted genetic scores (wGSs) for a total of 101 424 breast cancer cases and 80 253 controls of European ancestry from the Breast Cancer Association Consortium (BCAC). Unconditional logistic regression was used to estimate odds ratios (OR) and 95% confidence intervals (CI) for associations between per standard deviation increase in genetically predicted lipid traits and breast cancer risk. Additional Mendelian randomization analysis approaches and sensitivity analyses were conducted to assess pleiotropy and instrument validity. RESULTS: Corresponding to approximately 15 mg/dL, one standard deviation increase in genetically predicted HDL-C was associated with a 12% increased breast cancer risk (OR: 1.12, 95% CI: 1.08-1.16). Findings were consistent after adjustment for breast cancer risk factors and were robust in several sensitivity analyses. Associations with genetically predicted triglycerides and total cholesterol were inconsistent, and no association for genetically predicted LDL-C was observed. CONCLUSIONS: This study provides strong evidence that circulating HDL-C may be associated with an increased risk of breast cancer, whereas LDL-C may not be related to breast cancer risk.&quot;,&quot;publisher&quot;:&quot;Oxford University Press (OUP)&quot;},&quot;isTemporary&quot;:false}]},{&quot;citationID&quot;:&quot;MENDELEY_CITATION_f3eefa2f-9007-4fbe-a97e-88ab512f6a1e&quot;,&quot;properties&quot;:{&quot;noteIndex&quot;:0},&quot;isEdited&quot;:false,&quot;manualOverride&quot;:{&quot;isManuallyOverridden&quot;:false,&quot;citeprocText&quot;:&quot;[12]&quot;,&quot;manualOverrideText&quot;:&quot;&quot;},&quot;citationTag&quot;:&quot;MENDELEY_CITATION_v3_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&quot;,&quot;citationItems&quot;:[{&quot;id&quot;:&quot;7146bc02-3108-392a-89a2-bb0700214e2f&quot;,&quot;itemData&quot;:{&quot;type&quot;:&quot;article-journal&quot;,&quot;id&quot;:&quot;7146bc02-3108-392a-89a2-bb0700214e2f&quot;,&quot;title&quot;:&quot;Serum lipids and breast cancer risk: A meta-Analysis of prospective cohort studies&quot;,&quot;author&quot;:[{&quot;family&quot;:&quot;Ni&quot;,&quot;given&quot;:&quot;Haibo&quot;,&quot;parse-names&quot;:false,&quot;dropping-particle&quot;:&quot;&quot;,&quot;non-dropping-particle&quot;:&quot;&quot;},{&quot;family&quot;:&quot;Liu&quot;,&quot;given&quot;:&quot;Huixiang&quot;,&quot;parse-names&quot;:false,&quot;dropping-particle&quot;:&quot;&quot;,&quot;non-dropping-particle&quot;:&quot;&quot;},{&quot;family&quot;:&quot;Gao&quot;,&quot;given&quot;:&quot;Rong&quot;,&quot;parse-names&quot;:false,&quot;dropping-particle&quot;:&quot;&quot;,&quot;non-dropping-particle&quot;:&quot;&quot;}],&quot;container-title&quot;:&quot;PLoS ONE&quot;,&quot;container-title-short&quot;:&quot;PLoS One&quot;,&quot;accessed&quot;:{&quot;date-parts&quot;:[[2020,8,21]]},&quot;editor&quot;:[{&quot;family&quot;:&quot;Singh&quot;,&quot;given&quot;:&quot;Seema&quot;,&quot;parse-names&quot;:false,&quot;dropping-particle&quot;:&quot;&quot;,&quot;non-dropping-particle&quot;:&quot;&quot;}],&quot;DOI&quot;:&quot;10.1371/journal.pone.0142669&quot;,&quot;ISSN&quot;:&quot;19326203&quot;,&quot;PMID&quot;:&quot;26554382&quot;,&quot;URL&quot;:&quot;https://doi.org/10.1371/journal.pone.0142669&quot;,&quot;issued&quot;:{&quot;date-parts&quot;:[[2015,11,10]]},&quot;page&quot;:&quot;e0142669&quot;,&quot;abstract&quot;:&quot;Purpose Epidemiologic studies exploring causal associations between serum lipids and breast cancer risk have reported contradictory results. We conducted a meta-Analysis of prospective cohort studies to evaluate these associations. Methods Relevant studies were identified by searching PubMed and EMBASE through April 2015. We included prospective cohort studies that reported relative risk (RR) estimates with 95% confidence intervals (CIs) for the associations of specific lipid components (i.e., total cholesterol [TC], high-density lipoprotein cholesterol [HDL-C], low-density lipoprotein cholesterol [LDL-C], and triglycerides [TG]) with breast cancer risk. Either a fixed-or a random-effects model was used to calculate pooled RRs. Results Fifteen prospective cohort studies involving 1,189,635 participants and 23,369 breast cancer cases were included in the meta-Analysis. The pooled RRs of breast cancer for the highest versus lowest categories were 0.96 (95% CI: 0.86-1.07) for TC, 0.92 (95% CI: 0.73- 1.16) for HDL-C, 0.90 (95% CI: 0.77-1.06) for LDL-C, and 0.93 (95% CI: 0.86-1.00) for TG. Notably, for HDL-C, a significant reduction of breast cancer risk was observed among postmenopausal women (RR = 0.77, 95% CI: 0.64-0.93) but not among premenopausal women. Similar trends of the associations were observed in the dose-response analysis. Conclusions Our findings suggest that serum levels of TG but not TC and LDL-C may be inversely associated with breast cancer risk. Serum HDL-C may also protect against breast carcinogenesis among postmenopausal women.&quot;,&quot;publisher&quot;:&quot;Public Library of Science&quot;,&quot;issue&quot;:&quot;11&quot;,&quot;volume&quot;:&quot;10&quot;},&quot;isTemporary&quot;:false}]},{&quot;citationID&quot;:&quot;MENDELEY_CITATION_f60daca6-5a36-467d-a838-825db6738d8e&quot;,&quot;properties&quot;:{&quot;noteIndex&quot;:0},&quot;isEdited&quot;:false,&quot;manualOverride&quot;:{&quot;isManuallyOverridden&quot;:false,&quot;citeprocText&quot;:&quot;[13]&quot;,&quot;manualOverrideText&quot;:&quot;&quot;},&quot;citationTag&quot;:&quot;MENDELEY_CITATION_v3_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&quot;,&quot;citationItems&quot;:[{&quot;id&quot;:&quot;9f9270d5-284f-3966-ac20-25ee33ef1005&quot;,&quot;itemData&quot;:{&quot;type&quot;:&quot;article-journal&quot;,&quot;id&quot;:&quot;9f9270d5-284f-3966-ac20-25ee33ef1005&quot;,&quot;title&quot;:&quot;A Mendelian randomization analysis of circulating lipid traits and breast cancer risk&quot;,&quot;author&quot;:[{&quot;family&quot;:&quot;Beeghly-Fadiel&quot;,&quot;given&quot;:&quot;Alicia&quot;,&quot;parse-names&quot;:false,&quot;dropping-particle&quot;:&quot;&quot;,&quot;non-dropping-particle&quot;:&quot;&quot;},{&quot;family&quot;:&quot;Khankari&quot;,&quot;given&quot;:&quot;Nikhil K&quot;,&quot;parse-names&quot;:false,&quot;dropping-particle&quot;:&quot;&quot;,&quot;non-dropping-particle&quot;:&quot;&quot;},{&quot;family&quot;:&quot;Delahanty&quot;,&quot;given&quot;:&quot;Ryan J&quot;,&quot;parse-names&quot;:false,&quot;dropping-particle&quot;:&quot;&quot;,&quot;non-dropping-particle&quot;:&quot;&quot;},{&quot;family&quot;:&quot;Shu&quot;,&quot;given&quot;:&quot;Xiao-Ou&quot;,&quot;parse-names&quot;:false,&quot;dropping-particle&quot;:&quot;&quot;,&quot;non-dropping-particle&quot;:&quot;&quot;},{&quot;family&quot;:&quot;Lu&quot;,&quot;given&quot;:&quot;Yingchang&quot;,&quot;parse-names&quot;:false,&quot;dropping-particle&quot;:&quot;&quot;,&quot;non-dropping-particle&quot;:&quot;&quot;},{&quot;family&quot;:&quot;Schmidt&quot;,&quot;given&quot;:&quot;Marjanka K&quot;,&quot;parse-names&quot;:false,&quot;dropping-particle&quot;:&quot;&quot;,&quot;non-dropping-particle&quot;:&quot;&quot;},{&quot;family&quot;:&quot;Bolla&quot;,&quot;given&quot;:&quot;Manjeet K&quot;,&quot;parse-names&quot;:false,&quot;dropping-particle&quot;:&quot;&quot;,&quot;non-dropping-particle&quot;:&quot;&quot;},{&quot;family&quot;:&quot;Michailidou&quot;,&quot;given&quot;:&quot;Kyriaki&quot;,&quot;parse-names&quot;:false,&quot;dropping-particle&quot;:&quot;&quot;,&quot;non-dropping-particle&quot;:&quot;&quot;},{&quot;family&quot;:&quot;Wang&quot;,&quot;given&quot;:&quot;Qin&quot;,&quot;parse-names&quot;:false,&quot;dropping-particle&quot;:&quot;&quot;,&quot;non-dropping-particle&quot;:&quot;&quot;},{&quot;family&quot;:&quot;Dennis&quot;,&quot;given&quot;:&quot;Joe&quot;,&quot;parse-names&quot;:false,&quot;dropping-particle&quot;:&quot;&quot;,&quot;non-dropping-particle&quot;:&quot;&quot;},{&quot;family&quot;:&quot;Yannoukakos&quot;,&quot;given&quot;:&quot;Drakoulis&quot;,&quot;parse-names&quot;:false,&quot;dropping-particle&quot;:&quot;&quot;,&quot;non-dropping-particle&quot;:&quot;&quot;},{&quot;family&quot;:&quot;Dunning&quot;,&quot;given&quot;:&quot;Alison M&quot;,&quot;parse-names&quot;:false,&quot;dropping-particle&quot;:&quot;&quot;,&quot;non-dropping-particle&quot;:&quot;&quot;},{&quot;family&quot;:&quot;Pharoah&quot;,&quot;given&quot;:&quot;Paul D P&quot;,&quot;parse-names&quot;:false,&quot;dropping-particle&quot;:&quot;&quot;,&quot;non-dropping-particle&quot;:&quot;&quot;},{&quot;family&quot;:&quot;Chenevix-Trench&quot;,&quot;given&quot;:&quot;Georgia&quot;,&quot;parse-names&quot;:false,&quot;dropping-particle&quot;:&quot;&quot;,&quot;non-dropping-particle&quot;:&quot;&quot;},{&quot;family&quot;:&quot;Milne&quot;,&quot;given&quot;:&quot;Roger L&quot;,&quot;parse-names&quot;:false,&quot;dropping-particle&quot;:&quot;&quot;,&quot;non-dropping-particle&quot;:&quot;&quot;},{&quot;family&quot;:&quot;Hunter&quot;,&quot;given&quot;:&quot;David J&quot;,&quot;parse-names&quot;:false,&quot;dropping-particle&quot;:&quot;&quot;,&quot;non-dropping-particle&quot;:&quot;&quot;},{&quot;family&quot;:&quot;Per&quot;,&quot;given&quot;:&quot;Hall&quot;,&quot;parse-names&quot;:false,&quot;dropping-particle&quot;:&quot;&quot;,&quot;non-dropping-particle&quot;:&quot;&quot;},{&quot;family&quot;:&quot;Kraft&quot;,&quot;given&quot;:&quot;Peter&quot;,&quot;parse-names&quot;:false,&quot;dropping-particle&quot;:&quot;&quot;,&quot;non-dropping-particle&quot;:&quot;&quot;},{&quot;family&quot;:&quot;Simard&quot;,&quot;given&quot;:&quot;Jacques&quot;,&quot;parse-names&quot;:false,&quot;dropping-particle&quot;:&quot;&quot;,&quot;non-dropping-particle&quot;:&quot;&quot;},{&quot;family&quot;:&quot;Easton&quot;,&quot;given&quot;:&quot;Douglas F&quot;,&quot;parse-names&quot;:false,&quot;dropping-particle&quot;:&quot;&quot;,&quot;non-dropping-particle&quot;:&quot;&quot;},{&quot;family&quot;:&quot;Zheng&quot;,&quot;given&quot;:&quot;Wei&quot;,&quot;parse-names&quot;:false,&quot;dropping-particle&quot;:&quot;&quot;,&quot;non-dropping-particle&quot;:&quot;&quot;}],&quot;container-title&quot;:&quot;International Journal of Epidemiology&quot;,&quot;container-title-short&quot;:&quot;Int J Epidemiol&quot;,&quot;accessed&quot;:{&quot;date-parts&quot;:[[2020,8,22]]},&quot;DOI&quot;:&quot;10.1093/ije/dyz242&quot;,&quot;ISSN&quot;:&quot;0300-5771&quot;,&quot;URL&quot;:&quot;https://doi.org/10.1093/ije/dyz242&quot;,&quot;issued&quot;:{&quot;date-parts&quot;:[[2019,12,23]]},&quot;abstract&quot;:&quot;BACKGROUND: Conventional epidemiologic studies have evaluated associations between circulating lipid levels and breast cancer risk, but results have been inconsistent. As Mendelian randomization analyses may provide evidence for causal inference, we sought to evaluate potentially unbiased associations between breast cancer risk and four genetically predicted lipid traits. METHODS: Previous genome-wide association studies (GWAS) have identified 164 discrete variants associated with high density lipoprotein-cholesterol (HDL-C), low density lipoprotein-cholesterol (LDL-C), triglycerides and total cholesterol. We used 162 of these unique variants to construct weighted genetic scores (wGSs) for a total of 101 424 breast cancer cases and 80 253 controls of European ancestry from the Breast Cancer Association Consortium (BCAC). Unconditional logistic regression was used to estimate odds ratios (OR) and 95% confidence intervals (CI) for associations between per standard deviation increase in genetically predicted lipid traits and breast cancer risk. Additional Mendelian randomization analysis approaches and sensitivity analyses were conducted to assess pleiotropy and instrument validity. RESULTS: Corresponding to approximately 15 mg/dL, one standard deviation increase in genetically predicted HDL-C was associated with a 12% increased breast cancer risk (OR: 1.12, 95% CI: 1.08-1.16). Findings were consistent after adjustment for breast cancer risk factors and were robust in several sensitivity analyses. Associations with genetically predicted triglycerides and total cholesterol were inconsistent, and no association for genetically predicted LDL-C was observed. CONCLUSIONS: This study provides strong evidence that circulating HDL-C may be associated with an increased risk of breast cancer, whereas LDL-C may not be related to breast cancer risk.&quot;,&quot;publisher&quot;:&quot;Oxford University Press (OUP)&quot;},&quot;isTemporary&quot;:false}]},{&quot;citationID&quot;:&quot;MENDELEY_CITATION_baa981ca-cccc-490a-a04d-4685dce4f29f&quot;,&quot;properties&quot;:{&quot;noteIndex&quot;:0},&quot;isEdited&quot;:false,&quot;manualOverride&quot;:{&quot;isManuallyOverridden&quot;:false,&quot;citeprocText&quot;:&quot;[12]&quot;,&quot;manualOverrideText&quot;:&quot;&quot;},&quot;citationTag&quot;:&quot;MENDELEY_CITATION_v3_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&quot;,&quot;citationItems&quot;:[{&quot;id&quot;:&quot;7146bc02-3108-392a-89a2-bb0700214e2f&quot;,&quot;itemData&quot;:{&quot;type&quot;:&quot;article-journal&quot;,&quot;id&quot;:&quot;7146bc02-3108-392a-89a2-bb0700214e2f&quot;,&quot;title&quot;:&quot;Serum lipids and breast cancer risk: A meta-Analysis of prospective cohort studies&quot;,&quot;author&quot;:[{&quot;family&quot;:&quot;Ni&quot;,&quot;given&quot;:&quot;Haibo&quot;,&quot;parse-names&quot;:false,&quot;dropping-particle&quot;:&quot;&quot;,&quot;non-dropping-particle&quot;:&quot;&quot;},{&quot;family&quot;:&quot;Liu&quot;,&quot;given&quot;:&quot;Huixiang&quot;,&quot;parse-names&quot;:false,&quot;dropping-particle&quot;:&quot;&quot;,&quot;non-dropping-particle&quot;:&quot;&quot;},{&quot;family&quot;:&quot;Gao&quot;,&quot;given&quot;:&quot;Rong&quot;,&quot;parse-names&quot;:false,&quot;dropping-particle&quot;:&quot;&quot;,&quot;non-dropping-particle&quot;:&quot;&quot;}],&quot;container-title&quot;:&quot;PLoS ONE&quot;,&quot;container-title-short&quot;:&quot;PLoS One&quot;,&quot;accessed&quot;:{&quot;date-parts&quot;:[[2020,8,21]]},&quot;editor&quot;:[{&quot;family&quot;:&quot;Singh&quot;,&quot;given&quot;:&quot;Seema&quot;,&quot;parse-names&quot;:false,&quot;dropping-particle&quot;:&quot;&quot;,&quot;non-dropping-particle&quot;:&quot;&quot;}],&quot;DOI&quot;:&quot;10.1371/journal.pone.0142669&quot;,&quot;ISSN&quot;:&quot;19326203&quot;,&quot;PMID&quot;:&quot;26554382&quot;,&quot;URL&quot;:&quot;https://doi.org/10.1371/journal.pone.0142669&quot;,&quot;issued&quot;:{&quot;date-parts&quot;:[[2015,11,10]]},&quot;page&quot;:&quot;e0142669&quot;,&quot;abstract&quot;:&quot;Purpose Epidemiologic studies exploring causal associations between serum lipids and breast cancer risk have reported contradictory results. We conducted a meta-Analysis of prospective cohort studies to evaluate these associations. Methods Relevant studies were identified by searching PubMed and EMBASE through April 2015. We included prospective cohort studies that reported relative risk (RR) estimates with 95% confidence intervals (CIs) for the associations of specific lipid components (i.e., total cholesterol [TC], high-density lipoprotein cholesterol [HDL-C], low-density lipoprotein cholesterol [LDL-C], and triglycerides [TG]) with breast cancer risk. Either a fixed-or a random-effects model was used to calculate pooled RRs. Results Fifteen prospective cohort studies involving 1,189,635 participants and 23,369 breast cancer cases were included in the meta-Analysis. The pooled RRs of breast cancer for the highest versus lowest categories were 0.96 (95% CI: 0.86-1.07) for TC, 0.92 (95% CI: 0.73- 1.16) for HDL-C, 0.90 (95% CI: 0.77-1.06) for LDL-C, and 0.93 (95% CI: 0.86-1.00) for TG. Notably, for HDL-C, a significant reduction of breast cancer risk was observed among postmenopausal women (RR = 0.77, 95% CI: 0.64-0.93) but not among premenopausal women. Similar trends of the associations were observed in the dose-response analysis. Conclusions Our findings suggest that serum levels of TG but not TC and LDL-C may be inversely associated with breast cancer risk. Serum HDL-C may also protect against breast carcinogenesis among postmenopausal women.&quot;,&quot;publisher&quot;:&quot;Public Library of Science&quot;,&quot;issue&quot;:&quot;11&quot;,&quot;volume&quot;:&quot;10&quot;},&quot;isTemporary&quot;:false}]},{&quot;citationID&quot;:&quot;MENDELEY_CITATION_3fae4738-c265-4649-ac29-8287829c1943&quot;,&quot;properties&quot;:{&quot;noteIndex&quot;:0},&quot;isEdited&quot;:false,&quot;manualOverride&quot;:{&quot;isManuallyOverridden&quot;:false,&quot;citeprocText&quot;:&quot;[13]&quot;,&quot;manualOverrideText&quot;:&quot;&quot;},&quot;citationTag&quot;:&quot;MENDELEY_CITATION_v3_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&quot;,&quot;citationItems&quot;:[{&quot;id&quot;:&quot;9f9270d5-284f-3966-ac20-25ee33ef1005&quot;,&quot;itemData&quot;:{&quot;type&quot;:&quot;article-journal&quot;,&quot;id&quot;:&quot;9f9270d5-284f-3966-ac20-25ee33ef1005&quot;,&quot;title&quot;:&quot;A Mendelian randomization analysis of circulating lipid traits and breast cancer risk&quot;,&quot;author&quot;:[{&quot;family&quot;:&quot;Beeghly-Fadiel&quot;,&quot;given&quot;:&quot;Alicia&quot;,&quot;parse-names&quot;:false,&quot;dropping-particle&quot;:&quot;&quot;,&quot;non-dropping-particle&quot;:&quot;&quot;},{&quot;family&quot;:&quot;Khankari&quot;,&quot;given&quot;:&quot;Nikhil K&quot;,&quot;parse-names&quot;:false,&quot;dropping-particle&quot;:&quot;&quot;,&quot;non-dropping-particle&quot;:&quot;&quot;},{&quot;family&quot;:&quot;Delahanty&quot;,&quot;given&quot;:&quot;Ryan J&quot;,&quot;parse-names&quot;:false,&quot;dropping-particle&quot;:&quot;&quot;,&quot;non-dropping-particle&quot;:&quot;&quot;},{&quot;family&quot;:&quot;Shu&quot;,&quot;given&quot;:&quot;Xiao-Ou&quot;,&quot;parse-names&quot;:false,&quot;dropping-particle&quot;:&quot;&quot;,&quot;non-dropping-particle&quot;:&quot;&quot;},{&quot;family&quot;:&quot;Lu&quot;,&quot;given&quot;:&quot;Yingchang&quot;,&quot;parse-names&quot;:false,&quot;dropping-particle&quot;:&quot;&quot;,&quot;non-dropping-particle&quot;:&quot;&quot;},{&quot;family&quot;:&quot;Schmidt&quot;,&quot;given&quot;:&quot;Marjanka K&quot;,&quot;parse-names&quot;:false,&quot;dropping-particle&quot;:&quot;&quot;,&quot;non-dropping-particle&quot;:&quot;&quot;},{&quot;family&quot;:&quot;Bolla&quot;,&quot;given&quot;:&quot;Manjeet K&quot;,&quot;parse-names&quot;:false,&quot;dropping-particle&quot;:&quot;&quot;,&quot;non-dropping-particle&quot;:&quot;&quot;},{&quot;family&quot;:&quot;Michailidou&quot;,&quot;given&quot;:&quot;Kyriaki&quot;,&quot;parse-names&quot;:false,&quot;dropping-particle&quot;:&quot;&quot;,&quot;non-dropping-particle&quot;:&quot;&quot;},{&quot;family&quot;:&quot;Wang&quot;,&quot;given&quot;:&quot;Qin&quot;,&quot;parse-names&quot;:false,&quot;dropping-particle&quot;:&quot;&quot;,&quot;non-dropping-particle&quot;:&quot;&quot;},{&quot;family&quot;:&quot;Dennis&quot;,&quot;given&quot;:&quot;Joe&quot;,&quot;parse-names&quot;:false,&quot;dropping-particle&quot;:&quot;&quot;,&quot;non-dropping-particle&quot;:&quot;&quot;},{&quot;family&quot;:&quot;Yannoukakos&quot;,&quot;given&quot;:&quot;Drakoulis&quot;,&quot;parse-names&quot;:false,&quot;dropping-particle&quot;:&quot;&quot;,&quot;non-dropping-particle&quot;:&quot;&quot;},{&quot;family&quot;:&quot;Dunning&quot;,&quot;given&quot;:&quot;Alison M&quot;,&quot;parse-names&quot;:false,&quot;dropping-particle&quot;:&quot;&quot;,&quot;non-dropping-particle&quot;:&quot;&quot;},{&quot;family&quot;:&quot;Pharoah&quot;,&quot;given&quot;:&quot;Paul D P&quot;,&quot;parse-names&quot;:false,&quot;dropping-particle&quot;:&quot;&quot;,&quot;non-dropping-particle&quot;:&quot;&quot;},{&quot;family&quot;:&quot;Chenevix-Trench&quot;,&quot;given&quot;:&quot;Georgia&quot;,&quot;parse-names&quot;:false,&quot;dropping-particle&quot;:&quot;&quot;,&quot;non-dropping-particle&quot;:&quot;&quot;},{&quot;family&quot;:&quot;Milne&quot;,&quot;given&quot;:&quot;Roger L&quot;,&quot;parse-names&quot;:false,&quot;dropping-particle&quot;:&quot;&quot;,&quot;non-dropping-particle&quot;:&quot;&quot;},{&quot;family&quot;:&quot;Hunter&quot;,&quot;given&quot;:&quot;David J&quot;,&quot;parse-names&quot;:false,&quot;dropping-particle&quot;:&quot;&quot;,&quot;non-dropping-particle&quot;:&quot;&quot;},{&quot;family&quot;:&quot;Per&quot;,&quot;given&quot;:&quot;Hall&quot;,&quot;parse-names&quot;:false,&quot;dropping-particle&quot;:&quot;&quot;,&quot;non-dropping-particle&quot;:&quot;&quot;},{&quot;family&quot;:&quot;Kraft&quot;,&quot;given&quot;:&quot;Peter&quot;,&quot;parse-names&quot;:false,&quot;dropping-particle&quot;:&quot;&quot;,&quot;non-dropping-particle&quot;:&quot;&quot;},{&quot;family&quot;:&quot;Simard&quot;,&quot;given&quot;:&quot;Jacques&quot;,&quot;parse-names&quot;:false,&quot;dropping-particle&quot;:&quot;&quot;,&quot;non-dropping-particle&quot;:&quot;&quot;},{&quot;family&quot;:&quot;Easton&quot;,&quot;given&quot;:&quot;Douglas F&quot;,&quot;parse-names&quot;:false,&quot;dropping-particle&quot;:&quot;&quot;,&quot;non-dropping-particle&quot;:&quot;&quot;},{&quot;family&quot;:&quot;Zheng&quot;,&quot;given&quot;:&quot;Wei&quot;,&quot;parse-names&quot;:false,&quot;dropping-particle&quot;:&quot;&quot;,&quot;non-dropping-particle&quot;:&quot;&quot;}],&quot;container-title&quot;:&quot;International Journal of Epidemiology&quot;,&quot;container-title-short&quot;:&quot;Int J Epidemiol&quot;,&quot;accessed&quot;:{&quot;date-parts&quot;:[[2020,8,22]]},&quot;DOI&quot;:&quot;10.1093/ije/dyz242&quot;,&quot;ISSN&quot;:&quot;0300-5771&quot;,&quot;URL&quot;:&quot;https://doi.org/10.1093/ije/dyz242&quot;,&quot;issued&quot;:{&quot;date-parts&quot;:[[2019,12,23]]},&quot;abstract&quot;:&quot;BACKGROUND: Conventional epidemiologic studies have evaluated associations between circulating lipid levels and breast cancer risk, but results have been inconsistent. As Mendelian randomization analyses may provide evidence for causal inference, we sought to evaluate potentially unbiased associations between breast cancer risk and four genetically predicted lipid traits. METHODS: Previous genome-wide association studies (GWAS) have identified 164 discrete variants associated with high density lipoprotein-cholesterol (HDL-C), low density lipoprotein-cholesterol (LDL-C), triglycerides and total cholesterol. We used 162 of these unique variants to construct weighted genetic scores (wGSs) for a total of 101 424 breast cancer cases and 80 253 controls of European ancestry from the Breast Cancer Association Consortium (BCAC). Unconditional logistic regression was used to estimate odds ratios (OR) and 95% confidence intervals (CI) for associations between per standard deviation increase in genetically predicted lipid traits and breast cancer risk. Additional Mendelian randomization analysis approaches and sensitivity analyses were conducted to assess pleiotropy and instrument validity. RESULTS: Corresponding to approximately 15 mg/dL, one standard deviation increase in genetically predicted HDL-C was associated with a 12% increased breast cancer risk (OR: 1.12, 95% CI: 1.08-1.16). Findings were consistent after adjustment for breast cancer risk factors and were robust in several sensitivity analyses. Associations with genetically predicted triglycerides and total cholesterol were inconsistent, and no association for genetically predicted LDL-C was observed. CONCLUSIONS: This study provides strong evidence that circulating HDL-C may be associated with an increased risk of breast cancer, whereas LDL-C may not be related to breast cancer risk.&quot;,&quot;publisher&quot;:&quot;Oxford University Press (OUP)&quot;},&quot;isTemporary&quot;:false}]},{&quot;citationID&quot;:&quot;MENDELEY_CITATION_5eef8a60-5530-49ca-bc99-6f5cf0b13bd7&quot;,&quot;properties&quot;:{&quot;noteIndex&quot;:0},&quot;isEdited&quot;:false,&quot;manualOverride&quot;:{&quot;isManuallyOverridden&quot;:false,&quot;citeprocText&quot;:&quot;[12]&quot;,&quot;manualOverrideText&quot;:&quot;&quot;},&quot;citationTag&quot;:&quot;MENDELEY_CITATION_v3_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&quot;,&quot;citationItems&quot;:[{&quot;id&quot;:&quot;7146bc02-3108-392a-89a2-bb0700214e2f&quot;,&quot;itemData&quot;:{&quot;type&quot;:&quot;article-journal&quot;,&quot;id&quot;:&quot;7146bc02-3108-392a-89a2-bb0700214e2f&quot;,&quot;title&quot;:&quot;Serum lipids and breast cancer risk: A meta-Analysis of prospective cohort studies&quot;,&quot;author&quot;:[{&quot;family&quot;:&quot;Ni&quot;,&quot;given&quot;:&quot;Haibo&quot;,&quot;parse-names&quot;:false,&quot;dropping-particle&quot;:&quot;&quot;,&quot;non-dropping-particle&quot;:&quot;&quot;},{&quot;family&quot;:&quot;Liu&quot;,&quot;given&quot;:&quot;Huixiang&quot;,&quot;parse-names&quot;:false,&quot;dropping-particle&quot;:&quot;&quot;,&quot;non-dropping-particle&quot;:&quot;&quot;},{&quot;family&quot;:&quot;Gao&quot;,&quot;given&quot;:&quot;Rong&quot;,&quot;parse-names&quot;:false,&quot;dropping-particle&quot;:&quot;&quot;,&quot;non-dropping-particle&quot;:&quot;&quot;}],&quot;container-title&quot;:&quot;PLoS ONE&quot;,&quot;container-title-short&quot;:&quot;PLoS One&quot;,&quot;accessed&quot;:{&quot;date-parts&quot;:[[2020,8,21]]},&quot;editor&quot;:[{&quot;family&quot;:&quot;Singh&quot;,&quot;given&quot;:&quot;Seema&quot;,&quot;parse-names&quot;:false,&quot;dropping-particle&quot;:&quot;&quot;,&quot;non-dropping-particle&quot;:&quot;&quot;}],&quot;DOI&quot;:&quot;10.1371/journal.pone.0142669&quot;,&quot;ISSN&quot;:&quot;19326203&quot;,&quot;PMID&quot;:&quot;26554382&quot;,&quot;URL&quot;:&quot;https://doi.org/10.1371/journal.pone.0142669&quot;,&quot;issued&quot;:{&quot;date-parts&quot;:[[2015,11,10]]},&quot;page&quot;:&quot;e0142669&quot;,&quot;abstract&quot;:&quot;Purpose Epidemiologic studies exploring causal associations between serum lipids and breast cancer risk have reported contradictory results. We conducted a meta-Analysis of prospective cohort studies to evaluate these associations. Methods Relevant studies were identified by searching PubMed and EMBASE through April 2015. We included prospective cohort studies that reported relative risk (RR) estimates with 95% confidence intervals (CIs) for the associations of specific lipid components (i.e., total cholesterol [TC], high-density lipoprotein cholesterol [HDL-C], low-density lipoprotein cholesterol [LDL-C], and triglycerides [TG]) with breast cancer risk. Either a fixed-or a random-effects model was used to calculate pooled RRs. Results Fifteen prospective cohort studies involving 1,189,635 participants and 23,369 breast cancer cases were included in the meta-Analysis. The pooled RRs of breast cancer for the highest versus lowest categories were 0.96 (95% CI: 0.86-1.07) for TC, 0.92 (95% CI: 0.73- 1.16) for HDL-C, 0.90 (95% CI: 0.77-1.06) for LDL-C, and 0.93 (95% CI: 0.86-1.00) for TG. Notably, for HDL-C, a significant reduction of breast cancer risk was observed among postmenopausal women (RR = 0.77, 95% CI: 0.64-0.93) but not among premenopausal women. Similar trends of the associations were observed in the dose-response analysis. Conclusions Our findings suggest that serum levels of TG but not TC and LDL-C may be inversely associated with breast cancer risk. Serum HDL-C may also protect against breast carcinogenesis among postmenopausal women.&quot;,&quot;publisher&quot;:&quot;Public Library of Science&quot;,&quot;issue&quot;:&quot;11&quot;,&quot;volume&quot;:&quot;10&quot;},&quot;isTemporary&quot;:false}]},{&quot;citationID&quot;:&quot;MENDELEY_CITATION_c9b84123-a438-4279-bbe6-8896778264b5&quot;,&quot;properties&quot;:{&quot;noteIndex&quot;:0},&quot;isEdited&quot;:false,&quot;manualOverride&quot;:{&quot;isManuallyOverridden&quot;:false,&quot;citeprocText&quot;:&quot;[13]&quot;,&quot;manualOverrideText&quot;:&quot;&quot;},&quot;citationTag&quot;:&quot;MENDELEY_CITATION_v3_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&quot;,&quot;citationItems&quot;:[{&quot;id&quot;:&quot;9f9270d5-284f-3966-ac20-25ee33ef1005&quot;,&quot;itemData&quot;:{&quot;type&quot;:&quot;article-journal&quot;,&quot;id&quot;:&quot;9f9270d5-284f-3966-ac20-25ee33ef1005&quot;,&quot;title&quot;:&quot;A Mendelian randomization analysis of circulating lipid traits and breast cancer risk&quot;,&quot;author&quot;:[{&quot;family&quot;:&quot;Beeghly-Fadiel&quot;,&quot;given&quot;:&quot;Alicia&quot;,&quot;parse-names&quot;:false,&quot;dropping-particle&quot;:&quot;&quot;,&quot;non-dropping-particle&quot;:&quot;&quot;},{&quot;family&quot;:&quot;Khankari&quot;,&quot;given&quot;:&quot;Nikhil K&quot;,&quot;parse-names&quot;:false,&quot;dropping-particle&quot;:&quot;&quot;,&quot;non-dropping-particle&quot;:&quot;&quot;},{&quot;family&quot;:&quot;Delahanty&quot;,&quot;given&quot;:&quot;Ryan J&quot;,&quot;parse-names&quot;:false,&quot;dropping-particle&quot;:&quot;&quot;,&quot;non-dropping-particle&quot;:&quot;&quot;},{&quot;family&quot;:&quot;Shu&quot;,&quot;given&quot;:&quot;Xiao-Ou&quot;,&quot;parse-names&quot;:false,&quot;dropping-particle&quot;:&quot;&quot;,&quot;non-dropping-particle&quot;:&quot;&quot;},{&quot;family&quot;:&quot;Lu&quot;,&quot;given&quot;:&quot;Yingchang&quot;,&quot;parse-names&quot;:false,&quot;dropping-particle&quot;:&quot;&quot;,&quot;non-dropping-particle&quot;:&quot;&quot;},{&quot;family&quot;:&quot;Schmidt&quot;,&quot;given&quot;:&quot;Marjanka K&quot;,&quot;parse-names&quot;:false,&quot;dropping-particle&quot;:&quot;&quot;,&quot;non-dropping-particle&quot;:&quot;&quot;},{&quot;family&quot;:&quot;Bolla&quot;,&quot;given&quot;:&quot;Manjeet K&quot;,&quot;parse-names&quot;:false,&quot;dropping-particle&quot;:&quot;&quot;,&quot;non-dropping-particle&quot;:&quot;&quot;},{&quot;family&quot;:&quot;Michailidou&quot;,&quot;given&quot;:&quot;Kyriaki&quot;,&quot;parse-names&quot;:false,&quot;dropping-particle&quot;:&quot;&quot;,&quot;non-dropping-particle&quot;:&quot;&quot;},{&quot;family&quot;:&quot;Wang&quot;,&quot;given&quot;:&quot;Qin&quot;,&quot;parse-names&quot;:false,&quot;dropping-particle&quot;:&quot;&quot;,&quot;non-dropping-particle&quot;:&quot;&quot;},{&quot;family&quot;:&quot;Dennis&quot;,&quot;given&quot;:&quot;Joe&quot;,&quot;parse-names&quot;:false,&quot;dropping-particle&quot;:&quot;&quot;,&quot;non-dropping-particle&quot;:&quot;&quot;},{&quot;family&quot;:&quot;Yannoukakos&quot;,&quot;given&quot;:&quot;Drakoulis&quot;,&quot;parse-names&quot;:false,&quot;dropping-particle&quot;:&quot;&quot;,&quot;non-dropping-particle&quot;:&quot;&quot;},{&quot;family&quot;:&quot;Dunning&quot;,&quot;given&quot;:&quot;Alison M&quot;,&quot;parse-names&quot;:false,&quot;dropping-particle&quot;:&quot;&quot;,&quot;non-dropping-particle&quot;:&quot;&quot;},{&quot;family&quot;:&quot;Pharoah&quot;,&quot;given&quot;:&quot;Paul D P&quot;,&quot;parse-names&quot;:false,&quot;dropping-particle&quot;:&quot;&quot;,&quot;non-dropping-particle&quot;:&quot;&quot;},{&quot;family&quot;:&quot;Chenevix-Trench&quot;,&quot;given&quot;:&quot;Georgia&quot;,&quot;parse-names&quot;:false,&quot;dropping-particle&quot;:&quot;&quot;,&quot;non-dropping-particle&quot;:&quot;&quot;},{&quot;family&quot;:&quot;Milne&quot;,&quot;given&quot;:&quot;Roger L&quot;,&quot;parse-names&quot;:false,&quot;dropping-particle&quot;:&quot;&quot;,&quot;non-dropping-particle&quot;:&quot;&quot;},{&quot;family&quot;:&quot;Hunter&quot;,&quot;given&quot;:&quot;David J&quot;,&quot;parse-names&quot;:false,&quot;dropping-particle&quot;:&quot;&quot;,&quot;non-dropping-particle&quot;:&quot;&quot;},{&quot;family&quot;:&quot;Per&quot;,&quot;given&quot;:&quot;Hall&quot;,&quot;parse-names&quot;:false,&quot;dropping-particle&quot;:&quot;&quot;,&quot;non-dropping-particle&quot;:&quot;&quot;},{&quot;family&quot;:&quot;Kraft&quot;,&quot;given&quot;:&quot;Peter&quot;,&quot;parse-names&quot;:false,&quot;dropping-particle&quot;:&quot;&quot;,&quot;non-dropping-particle&quot;:&quot;&quot;},{&quot;family&quot;:&quot;Simard&quot;,&quot;given&quot;:&quot;Jacques&quot;,&quot;parse-names&quot;:false,&quot;dropping-particle&quot;:&quot;&quot;,&quot;non-dropping-particle&quot;:&quot;&quot;},{&quot;family&quot;:&quot;Easton&quot;,&quot;given&quot;:&quot;Douglas F&quot;,&quot;parse-names&quot;:false,&quot;dropping-particle&quot;:&quot;&quot;,&quot;non-dropping-particle&quot;:&quot;&quot;},{&quot;family&quot;:&quot;Zheng&quot;,&quot;given&quot;:&quot;Wei&quot;,&quot;parse-names&quot;:false,&quot;dropping-particle&quot;:&quot;&quot;,&quot;non-dropping-particle&quot;:&quot;&quot;}],&quot;container-title&quot;:&quot;International Journal of Epidemiology&quot;,&quot;container-title-short&quot;:&quot;Int J Epidemiol&quot;,&quot;accessed&quot;:{&quot;date-parts&quot;:[[2020,8,22]]},&quot;DOI&quot;:&quot;10.1093/ije/dyz242&quot;,&quot;ISSN&quot;:&quot;0300-5771&quot;,&quot;URL&quot;:&quot;https://doi.org/10.1093/ije/dyz242&quot;,&quot;issued&quot;:{&quot;date-parts&quot;:[[2019,12,23]]},&quot;abstract&quot;:&quot;BACKGROUND: Conventional epidemiologic studies have evaluated associations between circulating lipid levels and breast cancer risk, but results have been inconsistent. As Mendelian randomization analyses may provide evidence for causal inference, we sought to evaluate potentially unbiased associations between breast cancer risk and four genetically predicted lipid traits. METHODS: Previous genome-wide association studies (GWAS) have identified 164 discrete variants associated with high density lipoprotein-cholesterol (HDL-C), low density lipoprotein-cholesterol (LDL-C), triglycerides and total cholesterol. We used 162 of these unique variants to construct weighted genetic scores (wGSs) for a total of 101 424 breast cancer cases and 80 253 controls of European ancestry from the Breast Cancer Association Consortium (BCAC). Unconditional logistic regression was used to estimate odds ratios (OR) and 95% confidence intervals (CI) for associations between per standard deviation increase in genetically predicted lipid traits and breast cancer risk. Additional Mendelian randomization analysis approaches and sensitivity analyses were conducted to assess pleiotropy and instrument validity. RESULTS: Corresponding to approximately 15 mg/dL, one standard deviation increase in genetically predicted HDL-C was associated with a 12% increased breast cancer risk (OR: 1.12, 95% CI: 1.08-1.16). Findings were consistent after adjustment for breast cancer risk factors and were robust in several sensitivity analyses. Associations with genetically predicted triglycerides and total cholesterol were inconsistent, and no association for genetically predicted LDL-C was observed. CONCLUSIONS: This study provides strong evidence that circulating HDL-C may be associated with an increased risk of breast cancer, whereas LDL-C may not be related to breast cancer risk.&quot;,&quot;publisher&quot;:&quot;Oxford University Press (OUP)&quot;},&quot;isTemporary&quot;:false}]},{&quot;citationID&quot;:&quot;MENDELEY_CITATION_47380bd1-819b-4db3-817c-20b7d8fe5ca3&quot;,&quot;properties&quot;:{&quot;noteIndex&quot;:0},&quot;isEdited&quot;:false,&quot;manualOverride&quot;:{&quot;isManuallyOverridden&quot;:false,&quot;citeprocText&quot;:&quot;[14]&quot;,&quot;manualOverrideText&quot;:&quot;&quot;},&quot;citationTag&quot;:&quot;MENDELEY_CITATION_v3_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&quot;,&quot;citationItems&quot;:[{&quot;id&quot;:&quot;bfcf3272-ea65-36f7-9ebe-cfa6383a60d3&quot;,&quot;itemData&quot;:{&quot;type&quot;:&quot;article-journal&quot;,&quot;id&quot;:&quot;bfcf3272-ea65-36f7-9ebe-cfa6383a60d3&quot;,&quot;title&quot;:&quot;Blood glucose concentrations and breast cancer risk in women without diabetes: A meta-analysis&quot;,&quot;author&quot;:[{&quot;family&quot;:&quot;Boyle&quot;,&quot;given&quot;:&quot;Peter&quot;,&quot;parse-names&quot;:false,&quot;dropping-particle&quot;:&quot;&quot;,&quot;non-dropping-particle&quot;:&quot;&quot;},{&quot;family&quot;:&quot;Koechlin&quot;,&quot;given&quot;:&quot;Alice&quot;,&quot;parse-names&quot;:false,&quot;dropping-particle&quot;:&quot;&quot;,&quot;non-dropping-particle&quot;:&quot;&quot;},{&quot;family&quot;:&quot;Pizot&quot;,&quot;given&quot;:&quot;Cécile&quot;,&quot;parse-names&quot;:false,&quot;dropping-particle&quot;:&quot;&quot;,&quot;non-dropping-particle&quot;:&quot;&quot;},{&quot;family&quot;:&quot;Boniol&quot;,&quot;given&quot;:&quot;Mathieu&quot;,&quot;parse-names&quot;:false,&quot;dropping-particle&quot;:&quot;&quot;,&quot;non-dropping-particle&quot;:&quot;&quot;},{&quot;family&quot;:&quot;Robertson&quot;,&quot;given&quot;:&quot;Chris&quot;,&quot;parse-names&quot;:false,&quot;dropping-particle&quot;:&quot;&quot;,&quot;non-dropping-particle&quot;:&quot;&quot;},{&quot;family&quot;:&quot;Mullie&quot;,&quot;given&quot;:&quot;Patrick&quot;,&quot;parse-names&quot;:false,&quot;dropping-particle&quot;:&quot;&quot;,&quot;non-dropping-particle&quot;:&quot;&quot;},{&quot;family&quot;:&quot;Bolli&quot;,&quot;given&quot;:&quot;Geremia&quot;,&quot;parse-names&quot;:false,&quot;dropping-particle&quot;:&quot;&quot;,&quot;non-dropping-particle&quot;:&quot;&quot;},{&quot;family&quot;:&quot;Rosenstock&quot;,&quot;given&quot;:&quot;Julio&quot;,&quot;parse-names&quot;:false,&quot;dropping-particle&quot;:&quot;&quot;,&quot;non-dropping-particle&quot;:&quot;&quot;},{&quot;family&quot;:&quot;Autier&quot;,&quot;given&quot;:&quot;Philippe&quot;,&quot;parse-names&quot;:false,&quot;dropping-particle&quot;:&quot;&quot;,&quot;non-dropping-particle&quot;:&quot;&quot;}],&quot;container-title&quot;:&quot;European Journal of Nutrition&quot;,&quot;container-title-short&quot;:&quot;Eur J Nutr&quot;,&quot;accessed&quot;:{&quot;date-parts&quot;:[[2020,8,22]]},&quot;DOI&quot;:&quot;10.1007/s00394-012-0460-z&quot;,&quot;ISSN&quot;:&quot;14366207&quot;,&quot;PMID&quot;:&quot;23124254&quot;,&quot;URL&quot;:&quot;https://doi.org/10.1007/s00394-012-0460-z&quot;,&quot;issued&quot;:{&quot;date-parts&quot;:[[2013]]},&quot;page&quot;:&quot;1533-1540&quot;,&quot;abstract&quot;:&quot;Purpose: Some studies have suggested an increased risk of breast cancer associated with elevated fasting serum glucose in nondiabetic subjects. Given how common both breast cancer and impaired glucose tolerance are in our aging societies, this is an important issue for public health. Methods: We performed a systematic review of prospective cohort studies that examined the association between elevated serum glucose levels in nondiabetic subjects (levels below 7.0 mml/L) and the subsequent risk of breast cancer. We performed a systematic literature search and extracted relevant data in a standard way. We then computed summary relative risks (SRR) and 95 % confidence intervals using a random effects model applied on the risk of highest versus lowest quantile of serum glucose concentrations. Results: Ten cohort studies were retrieved. The SRR for all studies was 1.11 (1.00-1.23), with no evidence of heterogeneity or publication bias. The SRR was not affected when the analysis was restricted to the 8 studies that reported results for fasting subjects (SRR = 1.11; 95 % CI 0.98-1.25). Three studies provided BMI-unadjusted and BMI-adjusted SRRs of 1.24 (95 % CI 0.60-2.56) and 1.20 (95 % CI 0.63-2.27), respectively. Similar magnitudes of associations were observed in sensitivity analyses, but statistical significance was lost. Conclusion: In nondiabetic subjects, the risk of breast cancer associated with fasting serum glucose levels seems to be small. Potential limitations to this meta-analysis include the fact that not all studies reported risks adjusted for adiposity and that serum glucose levels of comparison groups were variable across studies. © 2012 Springer-Verlag Berlin Heidelberg.&quot;,&quot;issue&quot;:&quot;5&quot;,&quot;volume&quot;:&quot;52&quot;},&quot;isTemporary&quot;:false}]},{&quot;citationID&quot;:&quot;MENDELEY_CITATION_f5d72b4c-e996-477a-ab18-c759be15184c&quot;,&quot;properties&quot;:{&quot;noteIndex&quot;:0},&quot;isEdited&quot;:false,&quot;manualOverride&quot;:{&quot;isManuallyOverridden&quot;:false,&quot;citeprocText&quot;:&quot;[15]&quot;,&quot;manualOverrideText&quot;:&quot;&quot;},&quot;citationTag&quot;:&quot;MENDELEY_CITATION_v3_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&quot;,&quot;citationItems&quot;:[{&quot;id&quot;:&quot;9e018118-2499-3e39-803b-0209293149a0&quot;,&quot;itemData&quot;:{&quot;type&quot;:&quot;article-journal&quot;,&quot;id&quot;:&quot;9e018118-2499-3e39-803b-0209293149a0&quot;,&quot;title&quot;:&quot;Associations of obesity and circulating insulin and glucose with breast cancer risk: A Mendelian randomization analysis&quot;,&quot;author&quot;:[{&quot;family&quot;:&quot;Shu&quot;,&quot;given&quot;:&quot;Xiang&quot;,&quot;parse-names&quot;:false,&quot;dropping-particle&quot;:&quot;&quot;,&quot;non-dropping-particle&quot;:&quot;&quot;},{&quot;family&quot;:&quot;Wu&quot;,&quot;given&quot;:&quot;Lang&quot;,&quot;parse-names&quot;:false,&quot;dropping-particle&quot;:&quot;&quot;,&quot;non-dropping-particle&quot;:&quot;&quot;},{&quot;family&quot;:&quot;Khankari&quot;,&quot;given&quot;:&quot;Nikhil K.&quot;,&quot;parse-names&quot;:false,&quot;dropping-particle&quot;:&quot;&quot;,&quot;non-dropping-particle&quot;:&quot;&quot;},{&quot;family&quot;:&quot;Shu&quot;,&quot;given&quot;:&quot;Xiao Ou&quot;,&quot;parse-names&quot;:false,&quot;dropping-particle&quot;:&quot;&quot;,&quot;non-dropping-particle&quot;:&quot;&quot;},{&quot;family&quot;:&quot;Wang&quot;,&quot;given&quot;:&quot;Thomas J.&quot;,&quot;parse-names&quot;:false,&quot;dropping-particle&quot;:&quot;&quot;,&quot;non-dropping-particle&quot;:&quot;&quot;},{&quot;family&quot;:&quot;Michailidou&quot;,&quot;given&quot;:&quot;Kyriaki&quot;,&quot;parse-names&quot;:false,&quot;dropping-particle&quot;:&quot;&quot;,&quot;non-dropping-particle&quot;:&quot;&quot;},{&quot;family&quot;:&quot;Bolla&quot;,&quot;given&quot;:&quot;Manjeet K.&quot;,&quot;parse-names&quot;:false,&quot;dropping-particle&quot;:&quot;&quot;,&quot;non-dropping-particle&quot;:&quot;&quot;},{&quot;family&quot;:&quot;Wang&quot;,&quot;given&quot;:&quot;Qin&quot;,&quot;parse-names&quot;:false,&quot;dropping-particle&quot;:&quot;&quot;,&quot;non-dropping-particle&quot;:&quot;&quot;},{&quot;family&quot;:&quot;Dennis&quot;,&quot;given&quot;:&quot;Joe&quot;,&quot;parse-names&quot;:false,&quot;dropping-particle&quot;:&quot;&quot;,&quot;non-dropping-particle&quot;:&quot;&quot;},{&quot;family&quot;:&quot;Milne&quot;,&quot;given&quot;:&quot;Roger L.&quot;,&quot;parse-names&quot;:false,&quot;dropping-particle&quot;:&quot;&quot;,&quot;non-dropping-particle&quot;:&quot;&quot;},{&quot;family&quot;:&quot;Schmidt&quot;,&quot;given&quot;:&quot;Marjanka K.&quot;,&quot;parse-names&quot;:false,&quot;dropping-particle&quot;:&quot;&quot;,&quot;non-dropping-particle&quot;:&quot;&quot;},{&quot;family&quot;:&quot;Pharoah&quot;,&quot;given&quot;:&quot;Paul D.P.&quot;,&quot;parse-names&quot;:false,&quot;dropping-particle&quot;:&quot;&quot;,&quot;non-dropping-particle&quot;:&quot;&quot;},{&quot;family&quot;:&quot;Andrulis&quot;,&quot;given&quot;:&quot;Irene L.&quot;,&quot;parse-names&quot;:false,&quot;dropping-particle&quot;:&quot;&quot;,&quot;non-dropping-particle&quot;:&quot;&quot;},{&quot;family&quot;:&quot;Hunter&quot;,&quot;given&quot;:&quot;David J.&quot;,&quot;parse-names&quot;:false,&quot;dropping-particle&quot;:&quot;&quot;,&quot;non-dropping-particle&quot;:&quot;&quot;},{&quot;family&quot;:&quot;Simard&quot;,&quot;given&quot;:&quot;Jacques&quot;,&quot;parse-names&quot;:false,&quot;dropping-particle&quot;:&quot;&quot;,&quot;non-dropping-particle&quot;:&quot;&quot;},{&quot;family&quot;:&quot;Easton&quot;,&quot;given&quot;:&quot;Douglas F.&quot;,&quot;parse-names&quot;:false,&quot;dropping-particle&quot;:&quot;&quot;,&quot;non-dropping-particle&quot;:&quot;&quot;},{&quot;family&quot;:&quot;Zheng&quot;,&quot;given&quot;:&quot;Wei&quot;,&quot;parse-names&quot;:false,&quot;dropping-particle&quot;:&quot;&quot;,&quot;non-dropping-particle&quot;:&quot;&quot;}],&quot;container-title&quot;:&quot;International Journal of Epidemiology&quot;,&quot;container-title-short&quot;:&quot;Int J Epidemiol&quot;,&quot;accessed&quot;:{&quot;date-parts&quot;:[[2020,8,22]]},&quot;DOI&quot;:&quot;10.1093/ije/dyy201&quot;,&quot;ISSN&quot;:&quot;14643685&quot;,&quot;PMID&quot;:&quot;30277539&quot;,&quot;URL&quot;:&quot;https://doi.org/10.1093/ije/dyy201&quot;,&quot;issued&quot;:{&quot;date-parts&quot;:[[2019,6,1]]},&quot;page&quot;:&quot;795-806&quot;,&quot;abstract&quot;:&quot;Background: In addition to the established association between general obesity and breast cancer risk, central obesity and circulating fasting insulin and glucose have been linked to the development of this common malignancy. Findings from previous studies, however, have been inconsistent, and the nature of the associations is unclear. Methods: We conducted Mendelian randomization analyses to evaluate the association of breast cancer risk, using genetic instruments, with fasting insulin, fasting glucose, 2-h glucose, body mass index (BMI) and BMI-adjusted waist-hip-ratio (WHRadj BMI). We first confirmed the association of these instruments with type 2 diabetes risk in a large diabetes genome-wide association study consortium. We then investigated their associations with breast cancer risk using individual-level data obtained from 98 842 cases and 83 464 controls of European descent in the Breast Cancer Association Consortium. Results: All sets of instruments were associated with risk of type 2 diabetes. Associations with breast cancer risk were found for genetically predicted fasting insulin [odds ratio (OR) = 1.71 per standard deviation (SD) increase, 95% confidence interval (CI) = 1.26-2.31, p = 5.09 × 10-4], 2-h glucose (OR = 1.80 per SD increase, 95% CI = 1.3 0-2.49, p = 4.02 × 10-4), BMI (OR = 0.70 per 5-unit increase, 95% CI = 0.65-0.76, p = 5.05 × 10-19) and WHRadj BMI (OR = 0.85, 95% CI = 0.79-0.91, p = 9.22 × 10-6). Stratified analyses showed that genetically predicted fasting insulin was more closely related to risk of estrogen-receptor [ER]-positive cancer, whereas the associations with instruments of 2-h glucose, BMI and WHRadj BMI were consistent regardless of age, menopausal status, estrogen receptor status and family history of breast cancer. Conclusions: We confirmed the previously reported inverse association of genetically predicted BMI with breast cancer risk, and showed a positive association of genetically predicted fasting insulin and 2-h glucose and an inverse association of WHRadj BMI with breast cancer risk. Our study suggests that genetically determined obesity and glucose/insulin-related traits have an important role in the aetiology of breast cancer.&quot;,&quot;publisher&quot;:&quot;Oxford University Press&quot;,&quot;issue&quot;:&quot;3&quot;,&quot;volume&quot;:&quot;48&quot;},&quot;isTemporary&quot;:false}]},{&quot;citationID&quot;:&quot;MENDELEY_CITATION_0bd927c0-1d56-4d4e-8ee4-5891146f1258&quot;,&quot;properties&quot;:{&quot;noteIndex&quot;:0},&quot;isEdited&quot;:false,&quot;manualOverride&quot;:{&quot;isManuallyOverridden&quot;:false,&quot;citeprocText&quot;:&quot;[16]&quot;,&quot;manualOverrideText&quot;:&quot;&quot;},&quot;citationTag&quot;:&quot;MENDELEY_CITATION_v3_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&quot;,&quot;citationItems&quot;:[{&quot;id&quot;:&quot;330beb39-9240-3fed-ade4-49e0ce3b89bd&quot;,&quot;itemData&quot;:{&quot;type&quot;:&quot;article&quot;,&quot;id&quot;:&quot;330beb39-9240-3fed-ade4-49e0ce3b89bd&quot;,&quot;title&quot;:&quot;Albumin, bilirubin, uric acid and cancer risk: Results from a prospective population-based study&quot;,&quot;author&quot;:[{&quot;family&quot;:&quot;Kühn&quot;,&quot;given&quot;:&quot;Tilman&quot;,&quot;parse-names&quot;:false,&quot;dropping-particle&quot;:&quot;&quot;,&quot;non-dropping-particle&quot;:&quot;&quot;},{&quot;family&quot;:&quot;Sookthai&quot;,&quot;given&quot;:&quot;Disorn&quot;,&quot;parse-names&quot;:false,&quot;dropping-particle&quot;:&quot;&quot;,&quot;non-dropping-particle&quot;:&quot;&quot;},{&quot;family&quot;:&quot;Graf&quot;,&quot;given&quot;:&quot;Mirja E.&quot;,&quot;parse-names&quot;:false,&quot;dropping-particle&quot;:&quot;&quot;,&quot;non-dropping-particle&quot;:&quot;&quot;},{&quot;family&quot;:&quot;Schübel&quot;,&quot;given&quot;:&quot;Ruth&quot;,&quot;parse-names&quot;:false,&quot;dropping-particle&quot;:&quot;&quot;,&quot;non-dropping-particle&quot;:&quot;&quot;},{&quot;family&quot;:&quot;Freisling&quot;,&quot;given&quot;:&quot;Heinz&quot;,&quot;parse-names&quot;:false,&quot;dropping-particle&quot;:&quot;&quot;,&quot;non-dropping-particle&quot;:&quot;&quot;},{&quot;family&quot;:&quot;Johnson&quot;,&quot;given&quot;:&quot;Theron&quot;,&quot;parse-names&quot;:false,&quot;dropping-particle&quot;:&quot;&quot;,&quot;non-dropping-particle&quot;:&quot;&quot;},{&quot;family&quot;:&quot;Katzke&quot;,&quot;given&quot;:&quot;Verena&quot;,&quot;parse-names&quot;:false,&quot;dropping-particle&quot;:&quot;&quot;,&quot;non-dropping-particle&quot;:&quot;&quot;},{&quot;family&quot;:&quot;Kaaks&quot;,&quot;given&quot;:&quot;Rudolf&quot;,&quot;parse-names&quot;:false,&quot;dropping-particle&quot;:&quot;&quot;,&quot;non-dropping-particle&quot;:&quot;&quot;}],&quot;container-title&quot;:&quot;British Journal of Cancer&quot;,&quot;container-title-short&quot;:&quot;Br J Cancer&quot;,&quot;accessed&quot;:{&quot;date-parts&quot;:[[2020,8,22]]},&quot;DOI&quot;:&quot;10.1038/bjc.2017.313&quot;,&quot;ISSN&quot;:&quot;15321827&quot;,&quot;PMID&quot;:&quot;28898231&quot;,&quot;URL&quot;:&quot;https://doi.org/10.1038/bjc.2017.313&quot;,&quot;issued&quot;:{&quot;date-parts&quot;:[[2017,11,7]]},&quot;page&quot;:&quot;1572-1579&quot;,&quot;abstract&quot;:&quot;Background:It has long been proposed that albumin, bilirubin and uric acid may inhibit cancer development due to their anti-oxidative properties. However, there is a lack of population-based studies on blood levels of these molecules and cancer risk.Methods:Associations between pre-diagnostic serum albumin, bilirubin and uric acid and the risks of common cancers as well as cancer death in the EPIC-Heidelberg cohort were evaluated by multivariable Cox regression analyses. A case-cohort sample including a random subcohort (n=2739) and all incident cases of breast (n=627), prostate (n=554), colorectal (n=256), and lung cancer (n=195) as well as cancer death (n=761) that occurred between baseline (1994-1998) and 2009 was used.Results:Albumin levels were inversely associated with breast cancer risk (hazard ratio Quartile 4 vs Quartile 1 (95% CI): 0.71 (0.51, 0.99), P linear trend =0.004) and overall cancer mortality (HR Q4 vs Q1 (95% CI): 0.64 (0.48, 0.86), P linear trend &lt;0.001) after multivariable adjustment. Uric acid levels were also inversely associated with breast cancer risk (HR Q4 vs Q1 (95% CI): 0.72 (0.53, 0.99), P linear trend =0.043) and cancer mortality (HR Q4 vs Q1 (95% CI): 0.75 (0.58, 0.98), P linear trend =0.09). There were no significant associations between albumin or uric acid and prostate, lung and colorectal cancer. Serum bilirubin was not associated with any cancer end point.Conclusions:The present findings indicate that higher levels of albumin and uric acid are related to lower risks of breast cancer and cancer mortality. Further studies are needed to assess whether the observed associations are causal.&quot;,&quot;publisher&quot;:&quot;Nature Publishing Group&quot;,&quot;issue&quot;:&quot;10&quot;,&quot;volume&quot;:&quot;117&quot;},&quot;isTemporary&quot;:false}]},{&quot;citationID&quot;:&quot;MENDELEY_CITATION_6a51e8e3-8411-4bc3-9746-ba4d77870d0e&quot;,&quot;properties&quot;:{&quot;noteIndex&quot;:0},&quot;isEdited&quot;:false,&quot;manualOverride&quot;:{&quot;isManuallyOverridden&quot;:false,&quot;citeprocText&quot;:&quot;[17]&quot;,&quot;manualOverrideText&quot;:&quot;&quot;},&quot;citationTag&quot;:&quot;MENDELEY_CITATION_v3_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&quot;,&quot;citationItems&quot;:[{&quot;id&quot;:&quot;8f6fe816-356a-3270-946d-8db04210b030&quot;,&quot;itemData&quot;:{&quot;type&quot;:&quot;article-journal&quot;,&quot;id&quot;:&quot;8f6fe816-356a-3270-946d-8db04210b030&quot;,&quot;title&quot;:&quot;Gamma glutamyltransferase, alanine aminotransferase and risk of cancer: Systematic review and meta-analysis&quot;,&quot;author&quot;:[{&quot;family&quot;:&quot;Kunutsor&quot;,&quot;given&quot;:&quot;Setor K.&quot;,&quot;parse-names&quot;:false,&quot;dropping-particle&quot;:&quot;&quot;,&quot;non-dropping-particle&quot;:&quot;&quot;},{&quot;family&quot;:&quot;Apekey&quot;,&quot;given&quot;:&quot;Tanefa A.&quot;,&quot;parse-names&quot;:false,&quot;dropping-particle&quot;:&quot;&quot;,&quot;non-dropping-particle&quot;:&quot;&quot;},{&quot;family&quot;:&quot;Hemelrijck&quot;,&quot;given&quot;:&quot;Mieke&quot;,&quot;parse-names&quot;:false,&quot;dropping-particle&quot;:&quot;&quot;,&quot;non-dropping-particle&quot;:&quot;van&quot;},{&quot;family&quot;:&quot;Calori&quot;,&quot;given&quot;:&quot;Giliola&quot;,&quot;parse-names&quot;:false,&quot;dropping-particle&quot;:&quot;&quot;,&quot;non-dropping-particle&quot;:&quot;&quot;},{&quot;family&quot;:&quot;Perseghin&quot;,&quot;given&quot;:&quot;Gianluca&quot;,&quot;parse-names&quot;:false,&quot;dropping-particle&quot;:&quot;&quot;,&quot;non-dropping-particle&quot;:&quot;&quot;}],&quot;container-title&quot;:&quot;International Journal of Cancer&quot;,&quot;container-title-short&quot;:&quot;Int J Cancer&quot;,&quot;accessed&quot;:{&quot;date-parts&quot;:[[2020,8,21]]},&quot;DOI&quot;:&quot;10.1002/ijc.29084&quot;,&quot;ISSN&quot;:&quot;10970215&quot;,&quot;PMID&quot;:&quot;25043373&quot;,&quot;URL&quot;:&quot;http://doi.wiley.com/10.1002/ijc.29084&quot;,&quot;issued&quot;:{&quot;date-parts&quot;:[[2015,3,1]]},&quot;page&quot;:&quot;1162-1170&quot;,&quot;abstract&quot;:&quot;The prospective evidence for the associations of gamma glutamyltransferase (GGT) and alanine aminotransferase (ALT) with risk of cancer in the general population is uncertain. We conducted a systematic review and meta-analysis of published prospective observational studies evaluating the associations of baseline levels of GGT and ALT with risk of overall (incidence and/or mortality) and site-specific cancers. Relevant studies were identified in a literature search of MEDLINE, EMBASE, Web of Science, reference lists of relevant studies to April 2014 and email contact with investigators. Study specific relative risks (RRs) were meta-analyzed using random effects models. Fourteen cohort studies with data on 1.79 million participants and 57,534 cancer outcomes were included. Comparing top versus bottom thirds of baseline circulating GGT levels, pooled RRs (95% confidence intervals) were 1.32 (1.15-1.52) for overall cancer, 1.09 (0.95-1.24) for cancers of the breast and female genital organs, 1.09 (1.02-1.16) for cancers of male genital organs, 1.94 (1.35-2.79) for cancers of digestive organs and 1.33 (0.94-1.89) for cancers of respiratory and intrathoracic organs. For ALT, corresponding RRs for overall cancer were 0.96 (0.94-0.99) and 1.65 (1.52-1.79) in European and Asian populations, respectively. There was an increased risk of cancers of the digestive organs 2.44 (1.23-4.84). The pooled RR for overall cancer per 5 U/L increment in GGT levels was 1.04 (1.03-1.05). Available observational data indicate a positive log-linear association of GGT levels with overall cancer risk. The positive association was generally evident for site-specific cancers. There are geographical variations in the association of ALT and overall cancer.&quot;,&quot;publisher&quot;:&quot;Wiley-Liss Inc.&quot;,&quot;issue&quot;:&quot;5&quot;,&quot;volume&quot;:&quot;136&quot;},&quot;isTemporary&quot;:false}]},{&quot;citationID&quot;:&quot;MENDELEY_CITATION_5bf6518f-5810-4d30-9631-5902c768f165&quot;,&quot;properties&quot;:{&quot;noteIndex&quot;:0},&quot;isEdited&quot;:false,&quot;manualOverride&quot;:{&quot;isManuallyOverridden&quot;:false,&quot;citeprocText&quot;:&quot;[16]&quot;,&quot;manualOverrideText&quot;:&quot;&quot;},&quot;citationTag&quot;:&quot;MENDELEY_CITATION_v3_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&quot;,&quot;citationItems&quot;:[{&quot;id&quot;:&quot;330beb39-9240-3fed-ade4-49e0ce3b89bd&quot;,&quot;itemData&quot;:{&quot;type&quot;:&quot;article&quot;,&quot;id&quot;:&quot;330beb39-9240-3fed-ade4-49e0ce3b89bd&quot;,&quot;title&quot;:&quot;Albumin, bilirubin, uric acid and cancer risk: Results from a prospective population-based study&quot;,&quot;author&quot;:[{&quot;family&quot;:&quot;Kühn&quot;,&quot;given&quot;:&quot;Tilman&quot;,&quot;parse-names&quot;:false,&quot;dropping-particle&quot;:&quot;&quot;,&quot;non-dropping-particle&quot;:&quot;&quot;},{&quot;family&quot;:&quot;Sookthai&quot;,&quot;given&quot;:&quot;Disorn&quot;,&quot;parse-names&quot;:false,&quot;dropping-particle&quot;:&quot;&quot;,&quot;non-dropping-particle&quot;:&quot;&quot;},{&quot;family&quot;:&quot;Graf&quot;,&quot;given&quot;:&quot;Mirja E.&quot;,&quot;parse-names&quot;:false,&quot;dropping-particle&quot;:&quot;&quot;,&quot;non-dropping-particle&quot;:&quot;&quot;},{&quot;family&quot;:&quot;Schübel&quot;,&quot;given&quot;:&quot;Ruth&quot;,&quot;parse-names&quot;:false,&quot;dropping-particle&quot;:&quot;&quot;,&quot;non-dropping-particle&quot;:&quot;&quot;},{&quot;family&quot;:&quot;Freisling&quot;,&quot;given&quot;:&quot;Heinz&quot;,&quot;parse-names&quot;:false,&quot;dropping-particle&quot;:&quot;&quot;,&quot;non-dropping-particle&quot;:&quot;&quot;},{&quot;family&quot;:&quot;Johnson&quot;,&quot;given&quot;:&quot;Theron&quot;,&quot;parse-names&quot;:false,&quot;dropping-particle&quot;:&quot;&quot;,&quot;non-dropping-particle&quot;:&quot;&quot;},{&quot;family&quot;:&quot;Katzke&quot;,&quot;given&quot;:&quot;Verena&quot;,&quot;parse-names&quot;:false,&quot;dropping-particle&quot;:&quot;&quot;,&quot;non-dropping-particle&quot;:&quot;&quot;},{&quot;family&quot;:&quot;Kaaks&quot;,&quot;given&quot;:&quot;Rudolf&quot;,&quot;parse-names&quot;:false,&quot;dropping-particle&quot;:&quot;&quot;,&quot;non-dropping-particle&quot;:&quot;&quot;}],&quot;container-title&quot;:&quot;British Journal of Cancer&quot;,&quot;container-title-short&quot;:&quot;Br J Cancer&quot;,&quot;accessed&quot;:{&quot;date-parts&quot;:[[2020,8,22]]},&quot;DOI&quot;:&quot;10.1038/bjc.2017.313&quot;,&quot;ISSN&quot;:&quot;15321827&quot;,&quot;PMID&quot;:&quot;28898231&quot;,&quot;URL&quot;:&quot;https://doi.org/10.1038/bjc.2017.313&quot;,&quot;issued&quot;:{&quot;date-parts&quot;:[[2017,11,7]]},&quot;page&quot;:&quot;1572-1579&quot;,&quot;abstract&quot;:&quot;Background:It has long been proposed that albumin, bilirubin and uric acid may inhibit cancer development due to their anti-oxidative properties. However, there is a lack of population-based studies on blood levels of these molecules and cancer risk.Methods:Associations between pre-diagnostic serum albumin, bilirubin and uric acid and the risks of common cancers as well as cancer death in the EPIC-Heidelberg cohort were evaluated by multivariable Cox regression analyses. A case-cohort sample including a random subcohort (n=2739) and all incident cases of breast (n=627), prostate (n=554), colorectal (n=256), and lung cancer (n=195) as well as cancer death (n=761) that occurred between baseline (1994-1998) and 2009 was used.Results:Albumin levels were inversely associated with breast cancer risk (hazard ratio Quartile 4 vs Quartile 1 (95% CI): 0.71 (0.51, 0.99), P linear trend =0.004) and overall cancer mortality (HR Q4 vs Q1 (95% CI): 0.64 (0.48, 0.86), P linear trend &lt;0.001) after multivariable adjustment. Uric acid levels were also inversely associated with breast cancer risk (HR Q4 vs Q1 (95% CI): 0.72 (0.53, 0.99), P linear trend =0.043) and cancer mortality (HR Q4 vs Q1 (95% CI): 0.75 (0.58, 0.98), P linear trend =0.09). There were no significant associations between albumin or uric acid and prostate, lung and colorectal cancer. Serum bilirubin was not associated with any cancer end point.Conclusions:The present findings indicate that higher levels of albumin and uric acid are related to lower risks of breast cancer and cancer mortality. Further studies are needed to assess whether the observed associations are causal.&quot;,&quot;publisher&quot;:&quot;Nature Publishing Group&quot;,&quot;issue&quot;:&quot;10&quot;,&quot;volume&quot;:&quot;117&quot;},&quot;isTemporary&quot;:false}]},{&quot;citationID&quot;:&quot;MENDELEY_CITATION_8fcb9a71-8b6e-4f5f-9605-6fff97f24efb&quot;,&quot;properties&quot;:{&quot;noteIndex&quot;:0},&quot;isEdited&quot;:false,&quot;manualOverride&quot;:{&quot;isManuallyOverridden&quot;:false,&quot;citeprocText&quot;:&quot;[16]&quot;,&quot;manualOverrideText&quot;:&quot;&quot;},&quot;citationTag&quot;:&quot;MENDELEY_CITATION_v3_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&quot;,&quot;citationItems&quot;:[{&quot;id&quot;:&quot;330beb39-9240-3fed-ade4-49e0ce3b89bd&quot;,&quot;itemData&quot;:{&quot;type&quot;:&quot;article&quot;,&quot;id&quot;:&quot;330beb39-9240-3fed-ade4-49e0ce3b89bd&quot;,&quot;title&quot;:&quot;Albumin, bilirubin, uric acid and cancer risk: Results from a prospective population-based study&quot;,&quot;author&quot;:[{&quot;family&quot;:&quot;Kühn&quot;,&quot;given&quot;:&quot;Tilman&quot;,&quot;parse-names&quot;:false,&quot;dropping-particle&quot;:&quot;&quot;,&quot;non-dropping-particle&quot;:&quot;&quot;},{&quot;family&quot;:&quot;Sookthai&quot;,&quot;given&quot;:&quot;Disorn&quot;,&quot;parse-names&quot;:false,&quot;dropping-particle&quot;:&quot;&quot;,&quot;non-dropping-particle&quot;:&quot;&quot;},{&quot;family&quot;:&quot;Graf&quot;,&quot;given&quot;:&quot;Mirja E.&quot;,&quot;parse-names&quot;:false,&quot;dropping-particle&quot;:&quot;&quot;,&quot;non-dropping-particle&quot;:&quot;&quot;},{&quot;family&quot;:&quot;Schübel&quot;,&quot;given&quot;:&quot;Ruth&quot;,&quot;parse-names&quot;:false,&quot;dropping-particle&quot;:&quot;&quot;,&quot;non-dropping-particle&quot;:&quot;&quot;},{&quot;family&quot;:&quot;Freisling&quot;,&quot;given&quot;:&quot;Heinz&quot;,&quot;parse-names&quot;:false,&quot;dropping-particle&quot;:&quot;&quot;,&quot;non-dropping-particle&quot;:&quot;&quot;},{&quot;family&quot;:&quot;Johnson&quot;,&quot;given&quot;:&quot;Theron&quot;,&quot;parse-names&quot;:false,&quot;dropping-particle&quot;:&quot;&quot;,&quot;non-dropping-particle&quot;:&quot;&quot;},{&quot;family&quot;:&quot;Katzke&quot;,&quot;given&quot;:&quot;Verena&quot;,&quot;parse-names&quot;:false,&quot;dropping-particle&quot;:&quot;&quot;,&quot;non-dropping-particle&quot;:&quot;&quot;},{&quot;family&quot;:&quot;Kaaks&quot;,&quot;given&quot;:&quot;Rudolf&quot;,&quot;parse-names&quot;:false,&quot;dropping-particle&quot;:&quot;&quot;,&quot;non-dropping-particle&quot;:&quot;&quot;}],&quot;container-title&quot;:&quot;British Journal of Cancer&quot;,&quot;container-title-short&quot;:&quot;Br J Cancer&quot;,&quot;accessed&quot;:{&quot;date-parts&quot;:[[2020,8,22]]},&quot;DOI&quot;:&quot;10.1038/bjc.2017.313&quot;,&quot;ISSN&quot;:&quot;15321827&quot;,&quot;PMID&quot;:&quot;28898231&quot;,&quot;URL&quot;:&quot;https://doi.org/10.1038/bjc.2017.313&quot;,&quot;issued&quot;:{&quot;date-parts&quot;:[[2017,11,7]]},&quot;page&quot;:&quot;1572-1579&quot;,&quot;abstract&quot;:&quot;Background:It has long been proposed that albumin, bilirubin and uric acid may inhibit cancer development due to their anti-oxidative properties. However, there is a lack of population-based studies on blood levels of these molecules and cancer risk.Methods:Associations between pre-diagnostic serum albumin, bilirubin and uric acid and the risks of common cancers as well as cancer death in the EPIC-Heidelberg cohort were evaluated by multivariable Cox regression analyses. A case-cohort sample including a random subcohort (n=2739) and all incident cases of breast (n=627), prostate (n=554), colorectal (n=256), and lung cancer (n=195) as well as cancer death (n=761) that occurred between baseline (1994-1998) and 2009 was used.Results:Albumin levels were inversely associated with breast cancer risk (hazard ratio Quartile 4 vs Quartile 1 (95% CI): 0.71 (0.51, 0.99), P linear trend =0.004) and overall cancer mortality (HR Q4 vs Q1 (95% CI): 0.64 (0.48, 0.86), P linear trend &lt;0.001) after multivariable adjustment. Uric acid levels were also inversely associated with breast cancer risk (HR Q4 vs Q1 (95% CI): 0.72 (0.53, 0.99), P linear trend =0.043) and cancer mortality (HR Q4 vs Q1 (95% CI): 0.75 (0.58, 0.98), P linear trend =0.09). There were no significant associations between albumin or uric acid and prostate, lung and colorectal cancer. Serum bilirubin was not associated with any cancer end point.Conclusions:The present findings indicate that higher levels of albumin and uric acid are related to lower risks of breast cancer and cancer mortality. Further studies are needed to assess whether the observed associations are causal.&quot;,&quot;publisher&quot;:&quot;Nature Publishing Group&quot;,&quot;issue&quot;:&quot;10&quot;,&quot;volume&quot;:&quot;117&quot;},&quot;isTemporary&quot;:false}]}]"/>
    <we:property name="MENDELEY_CITATIONS_LOCALE_CODE" value="&quot;en-US&quot;"/>
    <we:property name="MENDELEY_CITATIONS_STYLE" value="{&quot;id&quot;:&quot;https://www.zotero.org/styles/springer-vancouver&quot;,&quot;title&quot;:&quot;Springer - Vancouver&quot;,&quot;format&quot;:&quot;numeric&quot;,&quot;defaultLocale&quot;:&quot;en-US&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FB27E1-68A7-4FB3-9747-7D5AC5EFA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1247</TotalTime>
  <Pages>3</Pages>
  <Words>1163</Words>
  <Characters>6634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Tang, Sonja</dc:creator>
  <cp:keywords/>
  <dc:description/>
  <cp:lastModifiedBy>Tang, Sonja</cp:lastModifiedBy>
  <cp:revision>114</cp:revision>
  <dcterms:created xsi:type="dcterms:W3CDTF">2022-07-07T16:03:00Z</dcterms:created>
  <dcterms:modified xsi:type="dcterms:W3CDTF">2022-11-21T09:53:00Z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10548a50eb4009d3f7de22ea97051150a44ae0cc6013dbdc013f30fdfb926f8d</vt:lpwstr>
  </property>
</Properties>
</file>