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E876D" w14:textId="423848FC" w:rsidR="00860A87" w:rsidRDefault="00F947C0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ADDITIONAL FILE 1</w:t>
      </w:r>
    </w:p>
    <w:p w14:paraId="1CE4963F" w14:textId="77777777" w:rsidR="008C59E9" w:rsidRDefault="008C59E9" w:rsidP="008C59E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1714A2B4" wp14:editId="0DB28705">
            <wp:extent cx="9153525" cy="32004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49E2C" w14:textId="5E6561A9" w:rsidR="008C59E9" w:rsidRPr="00ED68CC" w:rsidRDefault="009C7C37" w:rsidP="008C59E9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</w:t>
      </w:r>
      <w:r w:rsidR="008C59E9" w:rsidRPr="00ED68C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8C59E9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EA5B1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8C59E9" w:rsidRPr="00ED68CC">
        <w:rPr>
          <w:rFonts w:ascii="Times New Roman" w:hAnsi="Times New Roman" w:cs="Times New Roman"/>
          <w:b/>
          <w:bCs/>
          <w:sz w:val="24"/>
          <w:szCs w:val="24"/>
          <w:lang w:val="en-GB"/>
        </w:rPr>
        <w:t>Mefloquine concentration and IC</w:t>
      </w:r>
      <w:r w:rsidR="008C59E9" w:rsidRPr="00D339DD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GB"/>
        </w:rPr>
        <w:t>50</w:t>
      </w:r>
      <w:r w:rsidR="008C59E9" w:rsidRPr="00ED68C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(A) 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Mefloquine plasma concentrations were measured in cohort A participants 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 xml:space="preserve">on day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7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after immunization 1 (I1+7), 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 xml:space="preserve">day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6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after immunization 2 (I2+6) and 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 xml:space="preserve">day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7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after immunization 3 (I3+7). Dashed line indicates the measured IC</w:t>
      </w:r>
      <w:r w:rsidR="008C59E9" w:rsidRPr="00ED68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50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C59E9" w:rsidRPr="00ED68CC">
        <w:rPr>
          <w:rFonts w:ascii="Times New Roman" w:hAnsi="Times New Roman" w:cs="Times New Roman"/>
          <w:i/>
          <w:iCs/>
          <w:sz w:val="24"/>
          <w:szCs w:val="24"/>
          <w:lang w:val="en-GB"/>
        </w:rPr>
        <w:t>in vitro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for mefloquine of NF135 (44 ng/mL). </w:t>
      </w:r>
      <w:r w:rsidR="008C59E9" w:rsidRPr="00ED68CC">
        <w:rPr>
          <w:rFonts w:ascii="Times New Roman" w:hAnsi="Times New Roman" w:cs="Times New Roman"/>
          <w:b/>
          <w:bCs/>
          <w:sz w:val="24"/>
          <w:szCs w:val="24"/>
          <w:lang w:val="en-GB"/>
        </w:rPr>
        <w:t>(B)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>he IC</w:t>
      </w:r>
      <w:r w:rsidR="008C59E9" w:rsidRPr="00ED68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50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of NF135 parasites isolated from 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>five participants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 xml:space="preserve">(P1-5) 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>was determined. Samples were collected after first detection of parasitaemia. Dashed line represents the previously measured</w:t>
      </w:r>
      <w:r w:rsidR="008C59E9" w:rsidRPr="00ED68C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in vitro 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>IC</w:t>
      </w:r>
      <w:r w:rsidR="008C59E9" w:rsidRPr="00ED68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50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(44 ng/mL). 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 xml:space="preserve">I: Immunization. P: participant. </w:t>
      </w:r>
    </w:p>
    <w:p w14:paraId="1136EB97" w14:textId="77777777" w:rsidR="008C59E9" w:rsidRPr="00ED68CC" w:rsidRDefault="008C59E9" w:rsidP="008C59E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52DA6">
        <w:rPr>
          <w:rFonts w:ascii="Times New Roman" w:hAnsi="Times New Roman" w:cs="Times New Roman"/>
          <w:b/>
          <w:bCs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19D3B7C0" wp14:editId="6A3D1379">
            <wp:extent cx="4121625" cy="3842017"/>
            <wp:effectExtent l="0" t="0" r="6350" b="0"/>
            <wp:docPr id="14" name="Picture 1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, scatter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39416" cy="3858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8B210" w14:textId="100EF36D" w:rsidR="008C59E9" w:rsidRDefault="009C7C37" w:rsidP="008C59E9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</w:t>
      </w:r>
      <w:r w:rsidR="008C59E9" w:rsidRPr="00ED68C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8C59E9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EA5B1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8C59E9" w:rsidRPr="00ED68C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Atovaquone plasma concentrations. 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Atovaquone plasma concentration measured in participants of cohort A one day prior to immunization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(I2-1) and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3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(I3-1). The dashed line indicates the estimated IC</w:t>
      </w:r>
      <w:r w:rsidR="008C59E9" w:rsidRPr="00ED68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50 </w:t>
      </w:r>
      <w:r w:rsidR="008C59E9" w:rsidRPr="00ED68CC">
        <w:rPr>
          <w:rFonts w:ascii="Times New Roman" w:hAnsi="Times New Roman" w:cs="Times New Roman"/>
          <w:i/>
          <w:iCs/>
          <w:sz w:val="24"/>
          <w:szCs w:val="24"/>
          <w:lang w:val="en-GB"/>
        </w:rPr>
        <w:t>in vitro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for liver stage infection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C59E9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C59E9">
        <w:rPr>
          <w:rFonts w:ascii="Times New Roman" w:hAnsi="Times New Roman" w:cs="Times New Roman"/>
          <w:sz w:val="24"/>
          <w:szCs w:val="24"/>
          <w:lang w:val="en-GB"/>
        </w:rPr>
        <w:t xml:space="preserve">I: immunization. </w:t>
      </w:r>
    </w:p>
    <w:p w14:paraId="4762B60C" w14:textId="4367FB36" w:rsidR="00973961" w:rsidRPr="00ED68CC" w:rsidRDefault="006E41CA" w:rsidP="0097396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w:lastRenderedPageBreak/>
        <w:drawing>
          <wp:inline distT="0" distB="0" distL="0" distR="0" wp14:anchorId="0A5B1FA8" wp14:editId="48CA6A95">
            <wp:extent cx="4908659" cy="300037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376" cy="300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EC6D2" w14:textId="4DA6BE20" w:rsidR="00973961" w:rsidRDefault="009C7C37" w:rsidP="0097396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</w:t>
      </w:r>
      <w:r w:rsidR="00973961" w:rsidRPr="00AF4A9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8C59E9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="00EA5B1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973961" w:rsidRPr="00ED68CC">
        <w:rPr>
          <w:rFonts w:ascii="Times New Roman" w:hAnsi="Times New Roman" w:cs="Times New Roman"/>
          <w:b/>
          <w:bCs/>
          <w:sz w:val="24"/>
          <w:szCs w:val="24"/>
          <w:lang w:val="en-GB"/>
        </w:rPr>
        <w:t>Comparison of parasite density after NF135 and NF54 immunization.</w:t>
      </w:r>
      <w:r w:rsidR="00973961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3961">
        <w:rPr>
          <w:rFonts w:ascii="Times New Roman" w:hAnsi="Times New Roman" w:cs="Times New Roman"/>
          <w:sz w:val="24"/>
          <w:szCs w:val="24"/>
          <w:lang w:val="en-GB"/>
        </w:rPr>
        <w:t>Median p</w:t>
      </w:r>
      <w:r w:rsidR="00973961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arasitaemia on day 7 after immunization in Cohort A and B participants immunized with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fifteen</w:t>
      </w:r>
      <w:r w:rsidR="00973961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3961" w:rsidRPr="00ED68CC">
        <w:rPr>
          <w:rFonts w:ascii="Times New Roman" w:hAnsi="Times New Roman" w:cs="Times New Roman"/>
          <w:i/>
          <w:iCs/>
          <w:sz w:val="24"/>
          <w:szCs w:val="24"/>
          <w:lang w:val="en-GB"/>
        </w:rPr>
        <w:t>Pf</w:t>
      </w:r>
      <w:r w:rsidR="00973961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NF135-infected mosquitoes, under mefloquine prophylaxis or presumptive treatment with A/L on day 7, versus participants from a previous CPS trial (BMGF2b) immunized with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fifteen</w:t>
      </w:r>
      <w:r w:rsidR="00973961"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3961" w:rsidRPr="00ED68CC">
        <w:rPr>
          <w:rFonts w:ascii="Times New Roman" w:hAnsi="Times New Roman" w:cs="Times New Roman"/>
          <w:i/>
          <w:iCs/>
          <w:sz w:val="24"/>
          <w:szCs w:val="24"/>
          <w:lang w:val="en-GB"/>
        </w:rPr>
        <w:t>Pf</w:t>
      </w:r>
      <w:r w:rsidR="00973961" w:rsidRPr="00ED68CC">
        <w:rPr>
          <w:rFonts w:ascii="Times New Roman" w:hAnsi="Times New Roman" w:cs="Times New Roman"/>
          <w:sz w:val="24"/>
          <w:szCs w:val="24"/>
          <w:lang w:val="en-GB"/>
        </w:rPr>
        <w:t>NF54-infected mosquitoes under chloroquine prophylaxis. Dots represent individual parasites densities</w:t>
      </w:r>
      <w:r w:rsidR="0097396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4D262E52" w14:textId="77777777" w:rsidR="00973961" w:rsidRDefault="0097396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886CDFB" w14:textId="77777777" w:rsidR="00092EEA" w:rsidRPr="00A454D1" w:rsidRDefault="00092EEA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A454D1">
        <w:rPr>
          <w:rFonts w:ascii="Times New Roman" w:hAnsi="Times New Roman" w:cs="Times New Roman"/>
          <w:noProof/>
          <w:sz w:val="24"/>
          <w:szCs w:val="24"/>
          <w:lang w:val="en-US"/>
        </w:rPr>
        <w:br w:type="page"/>
      </w:r>
    </w:p>
    <w:p w14:paraId="7F1F584D" w14:textId="7403CD05" w:rsidR="00394608" w:rsidRDefault="009C7C3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S</w:t>
      </w:r>
      <w:r w:rsidR="00394608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EA5B1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39460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Registered DASS and CAPE scores in cohort 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1"/>
        <w:gridCol w:w="580"/>
        <w:gridCol w:w="580"/>
        <w:gridCol w:w="690"/>
        <w:gridCol w:w="1467"/>
        <w:gridCol w:w="3678"/>
      </w:tblGrid>
      <w:tr w:rsidR="00394608" w:rsidRPr="00394608" w14:paraId="4591E131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294E2C9F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PARTICIPANT</w:t>
            </w:r>
          </w:p>
        </w:tc>
        <w:tc>
          <w:tcPr>
            <w:tcW w:w="0" w:type="auto"/>
            <w:gridSpan w:val="3"/>
            <w:shd w:val="clear" w:color="auto" w:fill="auto"/>
            <w:noWrap/>
            <w:vAlign w:val="center"/>
            <w:hideMark/>
          </w:tcPr>
          <w:p w14:paraId="37128E1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DASS SCORE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E25A14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CAPE SCORE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A69AE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411B6FD2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0878FB02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4225E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B53F9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55B642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3DEE78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F27266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7BB1BAEA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549DB10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9DC01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(0-9)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DF5565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(0-7)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DC0D7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(0-14)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FE296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867E8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lang w:eastAsia="nl-NL"/>
              </w:rPr>
            </w:pPr>
          </w:p>
        </w:tc>
      </w:tr>
      <w:tr w:rsidR="00394608" w:rsidRPr="00394608" w14:paraId="4A413B53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6C5C9F16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50076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38D05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9E4060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186C8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086616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69ED74EE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438DB71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B6DD2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4FFB0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5E737D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817FD8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1237A5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1D5C9158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55ABACF2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169BA1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5D2F8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F619AD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43D971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F9847D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5003519A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03409FF5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453C50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27BFC1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F40ECD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E8B77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D27C9D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0E8D1B84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2A5E4E20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E7D88B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6B522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3C1741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551E6F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7D720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1E413DFB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566552A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21616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A2B338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C2160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D4DF18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7F648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A46D0" w14:paraId="29020125" w14:textId="77777777" w:rsidTr="00394608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47F387F8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B4215D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70D8A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357AA2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27AE503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&gt;50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487D76" w14:textId="22BB6EFF" w:rsidR="00394608" w:rsidRPr="00394608" w:rsidRDefault="00394608" w:rsidP="00394608">
            <w:pPr>
              <w:spacing w:after="0" w:line="240" w:lineRule="auto"/>
              <w:rPr>
                <w:rFonts w:ascii="Times" w:eastAsia="Times New Roman" w:hAnsi="Times" w:cs="Calibri"/>
                <w:color w:val="000000"/>
                <w:lang w:val="en-US"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val="en-US" w:eastAsia="nl-NL"/>
              </w:rPr>
              <w:t>Score unrelated to MQ intake</w:t>
            </w:r>
          </w:p>
        </w:tc>
      </w:tr>
      <w:tr w:rsidR="00394608" w:rsidRPr="00394608" w14:paraId="0ECD026B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4CF2A3C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822A7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A3E5E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B7C47B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F97C4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2252B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0C1B2077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69E2699B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FA5BF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A7DC56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BCD0D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A5B7C8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88330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2734CAAA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07B92530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D45F81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60B320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C4B59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77D320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EB47F8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65236764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2F4F9FD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B4E5C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DF22B5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4374C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E4269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A9A4C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5D990D10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1A426656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5CA02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78A06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AE7E04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252536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116694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78AEC6E2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5396FBB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43CB0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D1088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40672D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C2FE2B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9D82C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402B222B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6410CDF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B9DB3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1C8595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3D777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1D4EB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60F88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2595E1E3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51CA9E44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267DF4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0BADF06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0A9370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C71A9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54B44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A46D0" w14:paraId="6477A953" w14:textId="77777777" w:rsidTr="00394608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02079B3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16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78DAF122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61A93B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A5FAFF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9AFC2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C93EB7" w14:textId="26F86806" w:rsidR="00394608" w:rsidRPr="00394608" w:rsidRDefault="00394608" w:rsidP="00394608">
            <w:pPr>
              <w:spacing w:after="0" w:line="240" w:lineRule="auto"/>
              <w:rPr>
                <w:rFonts w:ascii="Times" w:eastAsia="Times New Roman" w:hAnsi="Times" w:cs="Calibri"/>
                <w:color w:val="000000"/>
                <w:lang w:val="en-US"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val="en-US" w:eastAsia="nl-NL"/>
              </w:rPr>
              <w:t>Score unrelated to MQ intake</w:t>
            </w:r>
          </w:p>
        </w:tc>
      </w:tr>
      <w:tr w:rsidR="00394608" w:rsidRPr="00394608" w14:paraId="6D38CB31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5DA7D3DB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775852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83FA8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2E3A5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80479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48141F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4636AE1F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36D8002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8A9AA2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5AF0C0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D2BC8F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988660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67F535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20F1E1E0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3AC2BA1F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6B0F7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3CA6F7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DE12B1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7FFCA6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0C38F4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73F11D46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7A73242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3F5EA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1E64F6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1411B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F8D6AC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  <w:r w:rsidRPr="00394608">
              <w:rPr>
                <w:rFonts w:ascii="Times" w:eastAsia="Times New Roman" w:hAnsi="Times" w:cs="Calibri"/>
                <w:color w:val="000000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5076F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color w:val="000000"/>
                <w:lang w:eastAsia="nl-NL"/>
              </w:rPr>
            </w:pPr>
          </w:p>
        </w:tc>
      </w:tr>
      <w:tr w:rsidR="00394608" w:rsidRPr="00394608" w14:paraId="3A36F7EC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03FCF913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EBFE15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7F3D9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6B0BD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B24192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8A71A7" w14:textId="4C88BABD" w:rsidR="00394608" w:rsidRPr="00394608" w:rsidRDefault="00394608" w:rsidP="00394608">
            <w:pPr>
              <w:spacing w:after="0" w:line="240" w:lineRule="auto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 xml:space="preserve">Reserve </w:t>
            </w:r>
            <w:r w:rsidR="00284B0C">
              <w:rPr>
                <w:rFonts w:ascii="Times" w:eastAsia="Times New Roman" w:hAnsi="Times" w:cs="Calibri"/>
                <w:lang w:eastAsia="nl-NL"/>
              </w:rPr>
              <w:t>participant</w:t>
            </w:r>
            <w:r w:rsidRPr="00394608">
              <w:rPr>
                <w:rFonts w:ascii="Times" w:eastAsia="Times New Roman" w:hAnsi="Times" w:cs="Calibri"/>
                <w:lang w:eastAsia="nl-NL"/>
              </w:rPr>
              <w:t>, excluded</w:t>
            </w:r>
          </w:p>
        </w:tc>
      </w:tr>
      <w:tr w:rsidR="00394608" w:rsidRPr="00394608" w14:paraId="68428B40" w14:textId="77777777" w:rsidTr="00394608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69D1F3EB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8780BF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62FB54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7B50741E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83A25A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F82F7C" w14:textId="5EDF327F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 xml:space="preserve">Reserve </w:t>
            </w:r>
            <w:r w:rsidR="00284B0C">
              <w:rPr>
                <w:rFonts w:ascii="Times" w:eastAsia="Times New Roman" w:hAnsi="Times" w:cs="Calibri"/>
                <w:lang w:eastAsia="nl-NL"/>
              </w:rPr>
              <w:t>participant</w:t>
            </w:r>
            <w:r w:rsidRPr="00394608">
              <w:rPr>
                <w:rFonts w:ascii="Times" w:eastAsia="Times New Roman" w:hAnsi="Times" w:cs="Calibri"/>
                <w:lang w:eastAsia="nl-NL"/>
              </w:rPr>
              <w:t xml:space="preserve">. </w:t>
            </w:r>
            <w:r>
              <w:rPr>
                <w:rFonts w:ascii="Times" w:eastAsia="Times New Roman" w:hAnsi="Times" w:cs="Calibri"/>
                <w:lang w:eastAsia="nl-NL"/>
              </w:rPr>
              <w:t>I</w:t>
            </w:r>
            <w:r w:rsidRPr="00394608">
              <w:rPr>
                <w:rFonts w:ascii="Times" w:eastAsia="Times New Roman" w:hAnsi="Times" w:cs="Calibri"/>
                <w:lang w:eastAsia="nl-NL"/>
              </w:rPr>
              <w:t>nsomnia, excluded</w:t>
            </w:r>
          </w:p>
        </w:tc>
      </w:tr>
      <w:tr w:rsidR="00394608" w:rsidRPr="00394608" w14:paraId="63EDA1B1" w14:textId="77777777" w:rsidTr="00F23442">
        <w:trPr>
          <w:trHeight w:val="300"/>
        </w:trPr>
        <w:tc>
          <w:tcPr>
            <w:tcW w:w="0" w:type="auto"/>
            <w:shd w:val="clear" w:color="auto" w:fill="auto"/>
            <w:vAlign w:val="center"/>
          </w:tcPr>
          <w:p w14:paraId="5BE502F8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AFD36F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4F4662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4BD739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8C7354" w14:textId="77777777" w:rsidR="00394608" w:rsidRPr="00394608" w:rsidRDefault="00394608" w:rsidP="00F23442">
            <w:pPr>
              <w:spacing w:after="0" w:line="240" w:lineRule="auto"/>
              <w:jc w:val="center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>&lt;50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31649C" w14:textId="069E93A7" w:rsidR="00394608" w:rsidRPr="00394608" w:rsidRDefault="00394608" w:rsidP="00394608">
            <w:pPr>
              <w:spacing w:after="0" w:line="240" w:lineRule="auto"/>
              <w:rPr>
                <w:rFonts w:ascii="Times" w:eastAsia="Times New Roman" w:hAnsi="Times" w:cs="Calibri"/>
                <w:lang w:eastAsia="nl-NL"/>
              </w:rPr>
            </w:pPr>
            <w:r w:rsidRPr="00394608">
              <w:rPr>
                <w:rFonts w:ascii="Times" w:eastAsia="Times New Roman" w:hAnsi="Times" w:cs="Calibri"/>
                <w:lang w:eastAsia="nl-NL"/>
              </w:rPr>
              <w:t xml:space="preserve">Reserve </w:t>
            </w:r>
            <w:r w:rsidR="00284B0C">
              <w:rPr>
                <w:rFonts w:ascii="Times" w:eastAsia="Times New Roman" w:hAnsi="Times" w:cs="Calibri"/>
                <w:lang w:eastAsia="nl-NL"/>
              </w:rPr>
              <w:t>participant</w:t>
            </w:r>
            <w:r w:rsidRPr="00394608">
              <w:rPr>
                <w:rFonts w:ascii="Times" w:eastAsia="Times New Roman" w:hAnsi="Times" w:cs="Calibri"/>
                <w:lang w:eastAsia="nl-NL"/>
              </w:rPr>
              <w:t>, excluded</w:t>
            </w:r>
          </w:p>
        </w:tc>
      </w:tr>
    </w:tbl>
    <w:p w14:paraId="0FEE9D5E" w14:textId="4ADA0A96" w:rsidR="00394608" w:rsidRDefault="0039460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DASS and CAPE scores per participant in cohort A. In order to detect mefloquine-induced side-effects, twenty-three participants were assessed ten days after commencing prophylaxis, including three reserve participants (participant number 21-23). Two participants scored high on the DASS questionnaire: the first case (participant 16) was unrelated to mefloquine-intake, the second case (participant 22) was excluded due to insomnia. Participant 7 scored high on the CAPE questionnaire, but this was considered unrelated to mefloquine-intake. DASS: Depression Anxiety Stress Scale. CAPE: Community Assessment of Psychic Experience.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009AC55E" w14:textId="05F9ACD9" w:rsidR="006A6FA6" w:rsidRPr="00ED68CC" w:rsidRDefault="009C7C37" w:rsidP="006A6FA6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S</w:t>
      </w:r>
      <w:r w:rsidR="00394608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="00EA5B1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6A6FA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Summarized safety data per cohort.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72"/>
        <w:gridCol w:w="788"/>
        <w:gridCol w:w="827"/>
        <w:gridCol w:w="1546"/>
        <w:gridCol w:w="788"/>
        <w:gridCol w:w="826"/>
        <w:gridCol w:w="1634"/>
        <w:gridCol w:w="787"/>
        <w:gridCol w:w="826"/>
        <w:gridCol w:w="1456"/>
        <w:gridCol w:w="1456"/>
        <w:gridCol w:w="826"/>
        <w:gridCol w:w="1456"/>
      </w:tblGrid>
      <w:tr w:rsidR="006A6FA6" w:rsidRPr="00ED68CC" w14:paraId="4E7284BF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24EEF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EB11F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Cohort A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1D590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Cohort A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ECED4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Cohort B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58B70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Controls</w:t>
            </w:r>
          </w:p>
        </w:tc>
      </w:tr>
      <w:tr w:rsidR="006A6FA6" w:rsidRPr="00ED68CC" w14:paraId="624A73DE" w14:textId="77777777" w:rsidTr="00F23442">
        <w:trPr>
          <w:trHeight w:val="1099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B813C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79993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Immunization 3x5 (N=10)</w:t>
            </w: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Challenge 1 x 5mosq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F7923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Immunization 3x15 (N=10)</w:t>
            </w: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br/>
              <w:t>Challenge 1 x 5mosq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B153D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Immunization 1 x 15 mosq (n=20)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EB709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Challenge 1 x 5mosq</w:t>
            </w:r>
          </w:p>
        </w:tc>
      </w:tr>
      <w:tr w:rsidR="006A6FA6" w:rsidRPr="003A46D0" w14:paraId="217D55F6" w14:textId="77777777" w:rsidTr="00F23442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BFBE4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B376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 of subjects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9B25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 of episodes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B0BA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Median duration in days (Range)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B801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 of subjects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D5AC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 of episodes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F6FA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Median duration in days (Range)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A8BA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 of subjects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CF59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 of episodes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66CD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Median duration in days (Range)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B06F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 of subjects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62F4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 of episodes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0ADE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Median duration in days (Range)</w:t>
            </w:r>
          </w:p>
        </w:tc>
      </w:tr>
      <w:tr w:rsidR="006A6FA6" w:rsidRPr="00ED68CC" w14:paraId="78E13086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77151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SYSTEMIC SOLICITED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1E0C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823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5036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0447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F25A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3654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71A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54A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E93D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956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4D65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FF6F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4ED5EEB2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F6EA0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Headache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3EA5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1A29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80B7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1,02 (0,00 - 20,13)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BE70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C11B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FE58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0,5 (0,01 - 5,00)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572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092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CCC9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1,10 (0,01 - 4,54)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BC8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0,27 (0,08 - 0,46)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C74E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EC70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2942F4B6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30161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Fever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88A2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7EE0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45DB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0,41 (0,02 - 1,46)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AF12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2DC5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C71D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0,58 (0,02 - 2,93)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21F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B03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7140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0,29 (0,04 - 1,88)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739D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3A26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A68C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32478F1C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2B01B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Nausea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AA1F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3AC3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271A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0,96 (0,02 - 4,48)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EEC0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0E87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3BC2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0,63 (0,02 - 5,96)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2B1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2B07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8143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0,33 (0,08 - 2,54)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CD6D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449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3DF3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1,01 (0,06 - 1,07)</w:t>
            </w:r>
          </w:p>
        </w:tc>
      </w:tr>
      <w:tr w:rsidR="006A6FA6" w:rsidRPr="00ED68CC" w14:paraId="602B5A31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9F33F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Myalgia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5B31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384B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65B5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2,17 (0,08-7,39)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AAE5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EE6A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313C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1,46 (0,08 - 7,00)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3F8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615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A8E9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1,46 (0,38 - 4,38)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08F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3BA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377E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0,75</w:t>
            </w:r>
          </w:p>
        </w:tc>
      </w:tr>
      <w:tr w:rsidR="006A6FA6" w:rsidRPr="00ED68CC" w14:paraId="76A2E05C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FE702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Malaise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E366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AF9C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DC6C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1,79 (0,65 - 4,46)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0691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C36D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0219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0,67 (0,17 - 3,96)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1E4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8739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87A1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 (0,08 - 3,00)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E02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7FDC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0B16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7BF86231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613BE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Fatigue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056A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8734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BFA9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1,75 (0,58 - 5,38)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8128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B589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2CF1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0,90 (0,21 - 2,96)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28E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07D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8D31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1,37 (0,15 - 5,2)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DDF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1B6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C5A1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1,02 (1,00 - 1,04)</w:t>
            </w:r>
          </w:p>
        </w:tc>
      </w:tr>
      <w:tr w:rsidR="006A6FA6" w:rsidRPr="00ED68CC" w14:paraId="67F80400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BE319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DBC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FC6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A7C4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0,67 (0,17 - 0,79)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E566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4B5F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649D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C311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698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593F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0,15 (0,04 - 1,75)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AF9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2E0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8D95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02D9BAE6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E62D2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Sweats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DE9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371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1719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EEB8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F16D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C7D7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0B9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57F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FED8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0,5 (0,29 - 4,06)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60D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7B0D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7B2F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3947BAD3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3C51F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Dizziness 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E1F9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FA36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D5AD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3,21 (0,02 - 31,00)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21C6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88DC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32C5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99F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883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CB13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1,02 (0,13 - 1,90)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718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8E3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70BA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4316245E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6F584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Abdominal pain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79A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FE6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5274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0,16 (0,06 - 0,25)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1023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005D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D434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0,17 (0,00 - 0,33)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C94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5564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B9F1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0,87 (0,08 - 1,42)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2D8C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E0B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1188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1,04 (0,54 - 1,54)</w:t>
            </w:r>
          </w:p>
        </w:tc>
      </w:tr>
      <w:tr w:rsidR="006A6FA6" w:rsidRPr="00ED68CC" w14:paraId="5BD79D60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E0EA1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Vomiting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4003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933F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C745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0,01 (0,00 - 0,01)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7D1C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84EA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F65A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1FB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C48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4BA5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E8DC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0E44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2565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56C086B5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D4E2D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Diarrhoea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208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224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DD70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1,40 (0,25 - 2,54)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F34A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305D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2EA0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1D3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4E1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AF8B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347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8FD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D50C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451242DF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CB23C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Chest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E718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617B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7BE5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EC03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FD97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57C0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3BFF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E24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1D56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AF0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6F5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96DB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5370D688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C2C7E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C28D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B80D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A042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F375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B149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2CF9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6D5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266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4078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291E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280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1727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5A1C5995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30C0E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3719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94E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4F4B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D4DC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C91D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3F62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9C4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2FC4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5EBC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2973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111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C7FB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2B4A59B8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59B9F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LOCAL SOLICITED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EB38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8F9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59D2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ACB9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050D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9454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AF7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B5E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4502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4CD9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6A9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8720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2BD9230B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0BB03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Pruritus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353C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1020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6D9F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4F7C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3654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19E5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1,79 (0,01 - 6,91)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4ADB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87F0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ED31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4EA2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C67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95C5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3DCEDFAA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22CDF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Erythema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0329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2957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BD2C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3,42 (2,79 - 5)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3495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11E9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E6E9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2,46 (1,92 - 3,00)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E03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6DE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2EFF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ACD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A2F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F507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5817C8F7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74EF4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Swelling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CCA7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F4F2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C7FE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3,42 (2,79 - 5)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3C11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493E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C113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D394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51E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0EC9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647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6D5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6A3D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56124C31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59A7A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Tenderness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3FFA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29E0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4500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ED0E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19FF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1887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F62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3E3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7589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4A7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4DC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3E55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4E082100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1CADF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0830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FC8A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2C84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B0D0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EFA2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0017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F9F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F94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D3CF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823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FB9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951E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28709745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6D02C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Induration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CF34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E266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483C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F556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B7B8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EA53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DBA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9060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97C1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124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C607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ECA3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39E8FA0F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7EC24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CBC9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CC6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5F82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E22F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F86E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69EA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9E5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A35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DAAC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E59D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093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14B7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61E6E27F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DE598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DD163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7C4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AD4A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C3C1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94F1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BE2F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E439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3E45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C2B2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9A6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3669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299E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1691B634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C0916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80DD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D591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02AD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83F4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FE04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BF60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775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F036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341F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903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993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8B98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68D2C8BA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793AC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Insomnia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922D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9BD8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821A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0,27 (0,04 - 1,15)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0066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30F4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E4A4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3,5 (2,00 - 5,02)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32DD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CB4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E314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1E4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471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EE0C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61B2627A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B7783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Decreased appetite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C4A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9932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E765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EAC2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FA8D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C206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38,50 (1,00 - 76,00)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5195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90DD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4F40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2,08 (0,50 - 3,13)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B0B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3AF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3F17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5E265B05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8C7C7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Vivid dreams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4CE8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3AB1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87FD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34,54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CD15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8C57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C103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31,58 (8,14 - 56,10)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F6D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D4E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25A6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2469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7C7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2474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2ACC8889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EA703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Back pain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9C98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5E72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2EDE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E51D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6C6E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85F7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1F9E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D88F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CF28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0,94 (0,38 - 1,88)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193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A22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DBB71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03857BBE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EC93D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Common cold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D7F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CF2E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F7AA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0763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3DBE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7B7C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0,91 (0,88 - 0,94)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5A7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51C7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0B7C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60A0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A11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07E9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4B99886B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8D86E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Arthralgia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3B47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F6ED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CACC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D841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0735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5B16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1,33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4089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93E5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A40E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8A84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59E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56ED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65E285B4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33CB2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Sadness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C71F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D3A3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F4B3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12,96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6354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6E7F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ED73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16,54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079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DE9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5D2D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84B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DE3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36C6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1E76A23E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045F3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Restlessness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42E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B0F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2040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033E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46F8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7478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16,54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52A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468E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97B6C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09CCD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C31A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98A9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34782202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AE0C4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Aften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D9A8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E8A1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41B53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3,04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914D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2810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DF25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ED6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A2C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E4BC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D5CC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CBEB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E5C5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182361DB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D825C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Pyrosis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093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794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24B09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5A0B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35D7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5F8B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39E28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7534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2901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F0FF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41407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12B36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6A6FA6" w:rsidRPr="00ED68CC" w14:paraId="2444F981" w14:textId="77777777" w:rsidTr="00F23442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DBA9E" w14:textId="77777777" w:rsidR="006A6FA6" w:rsidRPr="00ED68CC" w:rsidRDefault="006A6FA6" w:rsidP="00F234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Herpes simplex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D11B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97C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109B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E0D84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9539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8FBD5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1FFC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D861A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E5802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FFEB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0C73F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86C70" w14:textId="77777777" w:rsidR="006A6FA6" w:rsidRPr="00ED68CC" w:rsidRDefault="006A6FA6" w:rsidP="00F234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ED68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624B314B" w14:textId="6C448306" w:rsidR="00791A98" w:rsidRDefault="006A6FA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D68CC">
        <w:rPr>
          <w:rFonts w:ascii="Times New Roman" w:hAnsi="Times New Roman" w:cs="Times New Roman"/>
          <w:sz w:val="24"/>
          <w:szCs w:val="24"/>
          <w:lang w:val="en-GB"/>
        </w:rPr>
        <w:t>Systemic and local solicited adverse events in cohort 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cohort B and control subjects </w:t>
      </w:r>
      <w:r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throughout study inclusion. Participants in cohort A were immunized three times with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fifteen</w:t>
      </w:r>
      <w:r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or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five</w:t>
      </w:r>
      <w:r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mosquitoes and challenged with 5 mosquitoes. Participants in cohort B were immunized once with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fifteen</w:t>
      </w:r>
      <w:r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 mosquitoes.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Control participants were challenged with </w:t>
      </w:r>
      <w:r w:rsidR="003A46D0">
        <w:rPr>
          <w:rFonts w:ascii="Times New Roman" w:hAnsi="Times New Roman" w:cs="Times New Roman"/>
          <w:sz w:val="24"/>
          <w:szCs w:val="24"/>
          <w:lang w:val="en-GB"/>
        </w:rPr>
        <w:t>five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mosquitoes. </w:t>
      </w:r>
      <w:r w:rsidRPr="00ED68CC">
        <w:rPr>
          <w:rFonts w:ascii="Times New Roman" w:hAnsi="Times New Roman" w:cs="Times New Roman"/>
          <w:sz w:val="24"/>
          <w:szCs w:val="24"/>
          <w:lang w:val="en-GB"/>
        </w:rPr>
        <w:t xml:space="preserve">Only possibly or probably related adverse events are depicted. </w:t>
      </w:r>
      <w:r>
        <w:rPr>
          <w:rFonts w:ascii="Times New Roman" w:hAnsi="Times New Roman" w:cs="Times New Roman"/>
          <w:sz w:val="24"/>
          <w:szCs w:val="24"/>
          <w:lang w:val="en-GB"/>
        </w:rPr>
        <w:t>Mosq: mosquitoes. NA: not applicable</w:t>
      </w:r>
      <w:r w:rsidR="0097396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7F29DBBE" w14:textId="77777777" w:rsidR="00791A98" w:rsidRDefault="00791A98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24E5AEC0" w14:textId="561291EE" w:rsidR="00070BB8" w:rsidRDefault="00791A9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91A98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Supplementary information </w:t>
      </w:r>
      <w:r w:rsidR="009C7C37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791A98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="009C7C3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Cardiac Serious Adverse Event</w:t>
      </w:r>
    </w:p>
    <w:p w14:paraId="79D41CA5" w14:textId="03C88903" w:rsidR="00F701D7" w:rsidRDefault="00207DFE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791A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84B0C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284B0C" w:rsidRPr="00791A98">
        <w:rPr>
          <w:rFonts w:ascii="Times New Roman" w:hAnsi="Times New Roman" w:cs="Times New Roman"/>
          <w:sz w:val="24"/>
          <w:szCs w:val="24"/>
          <w:lang w:val="en-GB"/>
        </w:rPr>
        <w:t>3-year-old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healthy female participant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was enrolled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>in</w:t>
      </w:r>
      <w:r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cohort B of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the CPS135 trial in 2020. </w:t>
      </w:r>
      <w:r w:rsidR="0021379B">
        <w:rPr>
          <w:rFonts w:ascii="Times New Roman" w:hAnsi="Times New Roman" w:cs="Times New Roman"/>
          <w:sz w:val="24"/>
          <w:szCs w:val="24"/>
          <w:lang w:val="en-GB"/>
        </w:rPr>
        <w:t>Her</w:t>
      </w:r>
      <w:r w:rsidR="0021379B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only known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potential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cardiovascular risk factor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at enrolment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>was 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self-limiti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episode of tachycardia at the age of 17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unknown cause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A1EE7">
        <w:rPr>
          <w:rFonts w:ascii="Times New Roman" w:hAnsi="Times New Roman" w:cs="Times New Roman"/>
          <w:sz w:val="24"/>
          <w:szCs w:val="24"/>
          <w:lang w:val="en-GB"/>
        </w:rPr>
        <w:t>The participant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underwent her first immunization by the bites of 15 mosquitoes infected with the NF135 strain of </w:t>
      </w:r>
      <w:r w:rsidR="00B93C7E" w:rsidRPr="00B93C7E">
        <w:rPr>
          <w:rFonts w:ascii="Times New Roman" w:hAnsi="Times New Roman" w:cs="Times New Roman"/>
          <w:i/>
          <w:iCs/>
          <w:sz w:val="24"/>
          <w:szCs w:val="24"/>
          <w:lang w:val="en-GB"/>
        </w:rPr>
        <w:t>Plasmodium falciparum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B93C7E" w:rsidRPr="00B93C7E">
        <w:rPr>
          <w:rFonts w:ascii="Times New Roman" w:hAnsi="Times New Roman" w:cs="Times New Roman"/>
          <w:i/>
          <w:iCs/>
          <w:sz w:val="24"/>
          <w:szCs w:val="24"/>
          <w:lang w:val="en-GB"/>
        </w:rPr>
        <w:t>Pf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>). On day 7 after the inoculation, she started presumptive treatment with artemether/lumefantrine (AL) in the morning, as per protocol, according to the standard schedule (80/480mg at t=0, t=8, t=</w:t>
      </w:r>
      <w:r w:rsidR="00284B0C" w:rsidRPr="00B93C7E">
        <w:rPr>
          <w:rFonts w:ascii="Times New Roman" w:hAnsi="Times New Roman" w:cs="Times New Roman"/>
          <w:sz w:val="24"/>
          <w:szCs w:val="24"/>
          <w:lang w:val="en-GB"/>
        </w:rPr>
        <w:t>24,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t=36, t=48 and t=60 hours). At the time of the start of the AL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her </w:t>
      </w:r>
      <w:r w:rsidR="00B93C7E" w:rsidRPr="00B93C7E">
        <w:rPr>
          <w:rFonts w:ascii="Times New Roman" w:hAnsi="Times New Roman" w:cs="Times New Roman"/>
          <w:i/>
          <w:iCs/>
          <w:sz w:val="24"/>
          <w:szCs w:val="24"/>
          <w:lang w:val="en-GB"/>
        </w:rPr>
        <w:t>Pf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633B6" w:rsidRPr="00B93C7E">
        <w:rPr>
          <w:rFonts w:ascii="Times New Roman" w:hAnsi="Times New Roman" w:cs="Times New Roman"/>
          <w:sz w:val="24"/>
          <w:szCs w:val="24"/>
          <w:lang w:val="en-GB"/>
        </w:rPr>
        <w:t>parasitaemia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01D7">
        <w:rPr>
          <w:rFonts w:ascii="Times New Roman" w:hAnsi="Times New Roman" w:cs="Times New Roman"/>
          <w:sz w:val="24"/>
          <w:szCs w:val="24"/>
          <w:lang w:val="en-GB"/>
        </w:rPr>
        <w:t>was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72,968 parasites/mL (measured by qPCR on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venous 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whole blood). After starting treatment with </w:t>
      </w:r>
      <w:r w:rsidR="00284B0C" w:rsidRPr="00B93C7E">
        <w:rPr>
          <w:rFonts w:ascii="Times New Roman" w:hAnsi="Times New Roman" w:cs="Times New Roman"/>
          <w:sz w:val="24"/>
          <w:szCs w:val="24"/>
          <w:lang w:val="en-GB"/>
        </w:rPr>
        <w:t>AL,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she developed a fever up to 39.5°C (grade 3) the same day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with grade 1 headache, fatigue, myalgia, dizziness and nausea. </w:t>
      </w:r>
      <w:r>
        <w:rPr>
          <w:rFonts w:ascii="Times New Roman" w:hAnsi="Times New Roman" w:cs="Times New Roman"/>
          <w:sz w:val="24"/>
          <w:szCs w:val="24"/>
          <w:lang w:val="en-GB"/>
        </w:rPr>
        <w:t>In addition to AL, she received symptomatic treatment with</w:t>
      </w:r>
      <w:r w:rsidR="00556D79">
        <w:rPr>
          <w:rFonts w:ascii="Times New Roman" w:hAnsi="Times New Roman" w:cs="Times New Roman"/>
          <w:sz w:val="24"/>
          <w:szCs w:val="24"/>
          <w:lang w:val="en-GB"/>
        </w:rPr>
        <w:t xml:space="preserve"> oral or rectal paracetamol as needed up to 1000mg four times daily from day 7 through day 9 and oral domperidone as need up 10mg three times daily from day 8 through day 9.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The complaints decreased in the course of </w:t>
      </w:r>
      <w:r w:rsidR="00B93C7E">
        <w:rPr>
          <w:rFonts w:ascii="Times New Roman" w:hAnsi="Times New Roman" w:cs="Times New Roman"/>
          <w:sz w:val="24"/>
          <w:szCs w:val="24"/>
          <w:lang w:val="en-GB"/>
        </w:rPr>
        <w:t>day 8 after the inoculation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and the next morning she was fever-free (36.5°C), with </w:t>
      </w:r>
      <w:r w:rsidR="0021379B">
        <w:rPr>
          <w:rFonts w:ascii="Times New Roman" w:hAnsi="Times New Roman" w:cs="Times New Roman"/>
          <w:sz w:val="24"/>
          <w:szCs w:val="24"/>
          <w:lang w:val="en-GB"/>
        </w:rPr>
        <w:t xml:space="preserve">still 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grade 1 headache, myalgia and nausea. The qPCR on her blood was negative for </w:t>
      </w:r>
      <w:r w:rsidR="00B93C7E" w:rsidRPr="00F701D7">
        <w:rPr>
          <w:rFonts w:ascii="Times New Roman" w:hAnsi="Times New Roman" w:cs="Times New Roman"/>
          <w:i/>
          <w:iCs/>
          <w:sz w:val="24"/>
          <w:szCs w:val="24"/>
          <w:lang w:val="en-GB"/>
        </w:rPr>
        <w:t>P. falciparum</w:t>
      </w:r>
      <w:r w:rsidR="00B43C6D" w:rsidRPr="00B43C6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43C6D">
        <w:rPr>
          <w:rFonts w:ascii="Times New Roman" w:hAnsi="Times New Roman" w:cs="Times New Roman"/>
          <w:sz w:val="24"/>
          <w:szCs w:val="24"/>
          <w:lang w:val="en-GB"/>
        </w:rPr>
        <w:t xml:space="preserve">from day </w:t>
      </w:r>
      <w:r w:rsidR="00556D79">
        <w:rPr>
          <w:rFonts w:ascii="Times New Roman" w:hAnsi="Times New Roman" w:cs="Times New Roman"/>
          <w:sz w:val="24"/>
          <w:szCs w:val="24"/>
          <w:lang w:val="en-GB"/>
        </w:rPr>
        <w:t>9</w:t>
      </w:r>
      <w:r w:rsidR="00B43C6D">
        <w:rPr>
          <w:rFonts w:ascii="Times New Roman" w:hAnsi="Times New Roman" w:cs="Times New Roman"/>
          <w:sz w:val="24"/>
          <w:szCs w:val="24"/>
          <w:lang w:val="en-GB"/>
        </w:rPr>
        <w:t xml:space="preserve"> onwards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. During the routine follow-up visit on the morning of </w:t>
      </w:r>
      <w:r w:rsidR="00B93C7E">
        <w:rPr>
          <w:rFonts w:ascii="Times New Roman" w:hAnsi="Times New Roman" w:cs="Times New Roman"/>
          <w:sz w:val="24"/>
          <w:szCs w:val="24"/>
          <w:lang w:val="en-GB"/>
        </w:rPr>
        <w:t>day 10 after inoculation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(around 08:45), she reported good recovery, no fever (35.8°C, tympanic), with only residual mild headache and myalgia. The qPCR on her blood was again negative for </w:t>
      </w:r>
      <w:r w:rsidR="00B93C7E" w:rsidRPr="00F701D7">
        <w:rPr>
          <w:rFonts w:ascii="Times New Roman" w:hAnsi="Times New Roman" w:cs="Times New Roman"/>
          <w:i/>
          <w:iCs/>
          <w:sz w:val="24"/>
          <w:szCs w:val="24"/>
          <w:lang w:val="en-GB"/>
        </w:rPr>
        <w:t>Pf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>. Troponin T was measured per protocol: the concentration on the morning of day 10 after the malaria</w:t>
      </w:r>
      <w:r w:rsidR="00F701D7">
        <w:rPr>
          <w:rFonts w:ascii="Times New Roman" w:hAnsi="Times New Roman" w:cs="Times New Roman"/>
          <w:sz w:val="24"/>
          <w:szCs w:val="24"/>
          <w:lang w:val="en-GB"/>
        </w:rPr>
        <w:t xml:space="preserve"> infection</w:t>
      </w:r>
      <w:r w:rsidR="00B93C7E" w:rsidRPr="00B93C7E">
        <w:rPr>
          <w:rFonts w:ascii="Times New Roman" w:hAnsi="Times New Roman" w:cs="Times New Roman"/>
          <w:sz w:val="24"/>
          <w:szCs w:val="24"/>
          <w:lang w:val="en-GB"/>
        </w:rPr>
        <w:t xml:space="preserve"> was not elevated (5ng/L; normal value &lt;14 ng/L).</w:t>
      </w:r>
      <w:r w:rsidR="00F701D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0D260DE" w14:textId="71458E44" w:rsidR="00452569" w:rsidRPr="003633B6" w:rsidRDefault="0021379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Later that morning (10 days post-CHMI), </w:t>
      </w:r>
      <w:r w:rsidRPr="000B4814">
        <w:rPr>
          <w:rFonts w:ascii="Times New Roman" w:hAnsi="Times New Roman" w:cs="Times New Roman"/>
          <w:sz w:val="24"/>
          <w:szCs w:val="24"/>
          <w:lang w:val="en-GB"/>
        </w:rPr>
        <w:t xml:space="preserve">on her way home from the </w:t>
      </w:r>
      <w:r>
        <w:rPr>
          <w:rFonts w:ascii="Times New Roman" w:hAnsi="Times New Roman" w:cs="Times New Roman"/>
          <w:sz w:val="24"/>
          <w:szCs w:val="24"/>
          <w:lang w:val="en-GB"/>
        </w:rPr>
        <w:t>routine follow-up visit, t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he participant </w:t>
      </w:r>
      <w:r>
        <w:rPr>
          <w:rFonts w:ascii="Times New Roman" w:hAnsi="Times New Roman" w:cs="Times New Roman"/>
          <w:sz w:val="24"/>
          <w:szCs w:val="24"/>
          <w:lang w:val="en-GB"/>
        </w:rPr>
        <w:t>developed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acute chest pain</w:t>
      </w:r>
      <w:r w:rsidR="000B481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over </w:t>
      </w:r>
      <w:r w:rsidR="000B4814">
        <w:rPr>
          <w:rFonts w:ascii="Times New Roman" w:hAnsi="Times New Roman" w:cs="Times New Roman"/>
          <w:sz w:val="24"/>
          <w:szCs w:val="24"/>
          <w:lang w:val="en-GB"/>
        </w:rPr>
        <w:t>the heart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She returned to the study centre and presented with elevated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>troponin (max. 331 ng/L)</w:t>
      </w:r>
      <w:r w:rsidR="00FD51A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elevated </w:t>
      </w:r>
      <w:r w:rsidR="00FD51AC">
        <w:rPr>
          <w:rFonts w:ascii="Times New Roman" w:hAnsi="Times New Roman" w:cs="Times New Roman"/>
          <w:sz w:val="24"/>
          <w:szCs w:val="24"/>
          <w:lang w:val="en-GB"/>
        </w:rPr>
        <w:t>creatinine kinase (max. 230 U/L; normal value &lt; 145 U/L)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and a dynamic </w:t>
      </w:r>
      <w:r>
        <w:rPr>
          <w:rFonts w:ascii="Times New Roman" w:hAnsi="Times New Roman" w:cs="Times New Roman"/>
          <w:sz w:val="24"/>
          <w:szCs w:val="24"/>
          <w:lang w:val="en-GB"/>
        </w:rPr>
        <w:t>electrocardiogram (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>ECG</w:t>
      </w:r>
      <w:r w:rsidR="00284B0C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284B0C" w:rsidRPr="00791A9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6537B">
        <w:rPr>
          <w:rFonts w:ascii="Times New Roman" w:hAnsi="Times New Roman" w:cs="Times New Roman"/>
          <w:sz w:val="24"/>
          <w:szCs w:val="24"/>
          <w:lang w:val="en-GB"/>
        </w:rPr>
        <w:t>She was admitted to hospital for further observation, thus categorising this as a serious adverse event (SAE)</w:t>
      </w:r>
      <w:r w:rsidR="00556D79">
        <w:rPr>
          <w:rFonts w:ascii="Times New Roman" w:hAnsi="Times New Roman" w:cs="Times New Roman"/>
          <w:sz w:val="24"/>
          <w:szCs w:val="24"/>
          <w:lang w:val="en-GB"/>
        </w:rPr>
        <w:t>. She</w:t>
      </w:r>
      <w:r w:rsidR="00A6537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F2DEB">
        <w:rPr>
          <w:rFonts w:ascii="Times New Roman" w:hAnsi="Times New Roman" w:cs="Times New Roman"/>
          <w:sz w:val="24"/>
          <w:szCs w:val="24"/>
          <w:lang w:val="en-GB"/>
        </w:rPr>
        <w:t xml:space="preserve">received </w:t>
      </w:r>
      <w:r w:rsidR="009F2DEB" w:rsidRPr="009F2DEB">
        <w:rPr>
          <w:rFonts w:ascii="Times New Roman" w:hAnsi="Times New Roman" w:cs="Times New Roman"/>
          <w:sz w:val="24"/>
          <w:szCs w:val="24"/>
          <w:lang w:val="en-GB"/>
        </w:rPr>
        <w:t>a stat dose of 10mg metoprolol i.v. (prior to CT)</w:t>
      </w:r>
      <w:r w:rsidR="009F2DEB">
        <w:rPr>
          <w:rFonts w:ascii="Times New Roman" w:hAnsi="Times New Roman" w:cs="Times New Roman"/>
          <w:sz w:val="24"/>
          <w:szCs w:val="24"/>
          <w:lang w:val="en-GB"/>
        </w:rPr>
        <w:t xml:space="preserve"> and was offered</w:t>
      </w:r>
      <w:r w:rsidR="009F2DEB" w:rsidRPr="009F2DEB">
        <w:rPr>
          <w:rFonts w:ascii="Times New Roman" w:hAnsi="Times New Roman" w:cs="Times New Roman"/>
          <w:sz w:val="24"/>
          <w:szCs w:val="24"/>
          <w:lang w:val="en-GB"/>
        </w:rPr>
        <w:t xml:space="preserve"> nitro-glycerine sublingually as needed and oral paracetamol as needed. </w:t>
      </w:r>
      <w:r>
        <w:rPr>
          <w:rFonts w:ascii="Times New Roman" w:hAnsi="Times New Roman" w:cs="Times New Roman"/>
          <w:sz w:val="24"/>
          <w:szCs w:val="24"/>
          <w:lang w:val="en-GB"/>
        </w:rPr>
        <w:t>Her c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hest pain decreased spontaneously within one </w:t>
      </w:r>
      <w:r w:rsidR="00284B0C" w:rsidRPr="00791A98">
        <w:rPr>
          <w:rFonts w:ascii="Times New Roman" w:hAnsi="Times New Roman" w:cs="Times New Roman"/>
          <w:sz w:val="24"/>
          <w:szCs w:val="24"/>
          <w:lang w:val="en-GB"/>
        </w:rPr>
        <w:t>hour but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remained present to a varying degree for three days. </w:t>
      </w:r>
      <w:r w:rsidR="00556D79">
        <w:rPr>
          <w:rFonts w:ascii="Times New Roman" w:hAnsi="Times New Roman" w:cs="Times New Roman"/>
          <w:sz w:val="24"/>
          <w:szCs w:val="24"/>
          <w:lang w:val="en-GB"/>
        </w:rPr>
        <w:t xml:space="preserve">She was started on isosorbide mononitrate 30mg orally once daily, but this was discontinued after one day. </w:t>
      </w:r>
      <w:r w:rsidR="00556D79" w:rsidRPr="009F2DEB">
        <w:rPr>
          <w:rFonts w:ascii="Times New Roman" w:hAnsi="Times New Roman" w:cs="Times New Roman"/>
          <w:sz w:val="24"/>
          <w:szCs w:val="24"/>
          <w:lang w:val="en-GB"/>
        </w:rPr>
        <w:t>No anticoagulation was prescribed</w:t>
      </w:r>
      <w:r w:rsidR="00556D7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Troponin </w:t>
      </w:r>
      <w:r w:rsidR="00FD51AC">
        <w:rPr>
          <w:rFonts w:ascii="Times New Roman" w:hAnsi="Times New Roman" w:cs="Times New Roman"/>
          <w:sz w:val="24"/>
          <w:szCs w:val="24"/>
          <w:lang w:val="en-GB"/>
        </w:rPr>
        <w:t xml:space="preserve">and creatinine kinase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decreased gradually over the course of three days.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Cardiac </w:t>
      </w:r>
      <w:r w:rsidR="00F701D7" w:rsidRPr="00F701D7">
        <w:rPr>
          <w:rFonts w:ascii="Times New Roman" w:hAnsi="Times New Roman" w:cs="Times New Roman"/>
          <w:sz w:val="24"/>
          <w:szCs w:val="24"/>
          <w:lang w:val="en-GB"/>
        </w:rPr>
        <w:t xml:space="preserve">MRI, 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F701D7" w:rsidRPr="00F701D7">
        <w:rPr>
          <w:rFonts w:ascii="Times New Roman" w:hAnsi="Times New Roman" w:cs="Times New Roman"/>
          <w:sz w:val="24"/>
          <w:szCs w:val="24"/>
          <w:lang w:val="en-GB"/>
        </w:rPr>
        <w:t xml:space="preserve">oronary </w:t>
      </w:r>
      <w:r>
        <w:rPr>
          <w:rFonts w:ascii="Times New Roman" w:hAnsi="Times New Roman" w:cs="Times New Roman"/>
          <w:sz w:val="24"/>
          <w:szCs w:val="24"/>
          <w:lang w:val="en-GB"/>
        </w:rPr>
        <w:t>computed tomography angiography (</w:t>
      </w:r>
      <w:r w:rsidR="00F701D7" w:rsidRPr="00F701D7">
        <w:rPr>
          <w:rFonts w:ascii="Times New Roman" w:hAnsi="Times New Roman" w:cs="Times New Roman"/>
          <w:sz w:val="24"/>
          <w:szCs w:val="24"/>
          <w:lang w:val="en-GB"/>
        </w:rPr>
        <w:t>CT-A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F701D7" w:rsidRPr="00F701D7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coronary angiography (</w:t>
      </w:r>
      <w:r w:rsidR="00F701D7" w:rsidRPr="00F701D7">
        <w:rPr>
          <w:rFonts w:ascii="Times New Roman" w:hAnsi="Times New Roman" w:cs="Times New Roman"/>
          <w:sz w:val="24"/>
          <w:szCs w:val="24"/>
          <w:lang w:val="en-GB"/>
        </w:rPr>
        <w:t>CAG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F701D7" w:rsidRPr="00F701D7">
        <w:rPr>
          <w:rFonts w:ascii="Times New Roman" w:hAnsi="Times New Roman" w:cs="Times New Roman"/>
          <w:sz w:val="24"/>
          <w:szCs w:val="24"/>
          <w:lang w:val="en-GB"/>
        </w:rPr>
        <w:t xml:space="preserve"> and echocardiography show</w:t>
      </w:r>
      <w:r w:rsidR="00F701D7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="00F701D7" w:rsidRPr="00F701D7">
        <w:rPr>
          <w:rFonts w:ascii="Times New Roman" w:hAnsi="Times New Roman" w:cs="Times New Roman"/>
          <w:sz w:val="24"/>
          <w:szCs w:val="24"/>
          <w:lang w:val="en-GB"/>
        </w:rPr>
        <w:t xml:space="preserve"> no evidence of myocarditis, Tako Tsubo or coronary occlusion / dissection.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It was concluded the symptoms were probably caused by an inflammatory reaction after CHMI, without signs of myocarditis on MRI. </w:t>
      </w:r>
      <w:r>
        <w:rPr>
          <w:rFonts w:ascii="Times New Roman" w:hAnsi="Times New Roman" w:cs="Times New Roman"/>
          <w:sz w:val="24"/>
          <w:szCs w:val="24"/>
          <w:lang w:val="en-GB"/>
        </w:rPr>
        <w:t>The d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ifferential diagnosis </w:t>
      </w:r>
      <w:r>
        <w:rPr>
          <w:rFonts w:ascii="Times New Roman" w:hAnsi="Times New Roman" w:cs="Times New Roman"/>
          <w:sz w:val="24"/>
          <w:szCs w:val="24"/>
          <w:lang w:val="en-GB"/>
        </w:rPr>
        <w:t>included</w:t>
      </w:r>
      <w:r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microvascular dysfunction. </w:t>
      </w:r>
      <w:r w:rsidR="00A6537B">
        <w:rPr>
          <w:rFonts w:ascii="Times New Roman" w:hAnsi="Times New Roman" w:cs="Times New Roman"/>
          <w:sz w:val="24"/>
          <w:szCs w:val="24"/>
          <w:lang w:val="en-GB"/>
        </w:rPr>
        <w:t xml:space="preserve">She was discharged from </w:t>
      </w:r>
      <w:r w:rsidR="009F2DEB">
        <w:rPr>
          <w:rFonts w:ascii="Times New Roman" w:hAnsi="Times New Roman" w:cs="Times New Roman"/>
          <w:sz w:val="24"/>
          <w:szCs w:val="24"/>
          <w:lang w:val="en-GB"/>
        </w:rPr>
        <w:t>hospital and was followed up as an outpatient by the cardiologist over the course of a year, d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uring </w:t>
      </w:r>
      <w:r w:rsidR="009F2DEB">
        <w:rPr>
          <w:rFonts w:ascii="Times New Roman" w:hAnsi="Times New Roman" w:cs="Times New Roman"/>
          <w:sz w:val="24"/>
          <w:szCs w:val="24"/>
          <w:lang w:val="en-GB"/>
        </w:rPr>
        <w:t>which she reported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sporadic episodes of chest pain during exercise. The cardiologist concluded further follow-up </w:t>
      </w:r>
      <w:r>
        <w:rPr>
          <w:rFonts w:ascii="Times New Roman" w:hAnsi="Times New Roman" w:cs="Times New Roman"/>
          <w:sz w:val="24"/>
          <w:szCs w:val="24"/>
          <w:lang w:val="en-GB"/>
        </w:rPr>
        <w:t>was</w:t>
      </w:r>
      <w:r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not </w:t>
      </w:r>
      <w:r>
        <w:rPr>
          <w:rFonts w:ascii="Times New Roman" w:hAnsi="Times New Roman" w:cs="Times New Roman"/>
          <w:sz w:val="24"/>
          <w:szCs w:val="24"/>
          <w:lang w:val="en-GB"/>
        </w:rPr>
        <w:t>indicated</w:t>
      </w:r>
      <w:r w:rsidR="00791A98" w:rsidRPr="00791A98">
        <w:rPr>
          <w:rFonts w:ascii="Times New Roman" w:hAnsi="Times New Roman" w:cs="Times New Roman"/>
          <w:sz w:val="24"/>
          <w:szCs w:val="24"/>
          <w:lang w:val="en-GB"/>
        </w:rPr>
        <w:t xml:space="preserve"> after this follow-up period.</w:t>
      </w:r>
      <w:r w:rsidR="00F97072" w:rsidRPr="00ED68CC">
        <w:rPr>
          <w:rFonts w:ascii="Times New Roman" w:hAnsi="Times New Roman" w:cs="Times New Roman"/>
          <w:noProof/>
          <w:sz w:val="24"/>
          <w:szCs w:val="24"/>
          <w:lang w:val="en-GB"/>
        </w:rPr>
        <w:fldChar w:fldCharType="begin"/>
      </w:r>
      <w:r w:rsidR="00F97072" w:rsidRPr="00ED68CC">
        <w:rPr>
          <w:rFonts w:ascii="Times New Roman" w:hAnsi="Times New Roman" w:cs="Times New Roman"/>
          <w:sz w:val="24"/>
          <w:szCs w:val="24"/>
          <w:lang w:val="en-GB"/>
        </w:rPr>
        <w:instrText xml:space="preserve"> ADDIN EN.REFLIST </w:instrText>
      </w:r>
      <w:r w:rsidR="004A40F3">
        <w:rPr>
          <w:rFonts w:ascii="Times New Roman" w:hAnsi="Times New Roman" w:cs="Times New Roman"/>
          <w:noProof/>
          <w:sz w:val="24"/>
          <w:szCs w:val="24"/>
          <w:lang w:val="en-GB"/>
        </w:rPr>
        <w:fldChar w:fldCharType="separate"/>
      </w:r>
      <w:r w:rsidR="00F97072" w:rsidRPr="00ED68CC">
        <w:rPr>
          <w:rFonts w:ascii="Times New Roman" w:hAnsi="Times New Roman" w:cs="Times New Roman"/>
          <w:sz w:val="24"/>
          <w:szCs w:val="24"/>
          <w:lang w:val="en-GB"/>
        </w:rPr>
        <w:fldChar w:fldCharType="end"/>
      </w:r>
    </w:p>
    <w:sectPr w:rsidR="00452569" w:rsidRPr="003633B6" w:rsidSect="00AF4A99">
      <w:pgSz w:w="16838" w:h="11906" w:orient="landscape"/>
      <w:pgMar w:top="720" w:right="720" w:bottom="720" w:left="72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D3B6D"/>
    <w:multiLevelType w:val="hybridMultilevel"/>
    <w:tmpl w:val="EE5E27C4"/>
    <w:lvl w:ilvl="0" w:tplc="D11C9C9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E1786"/>
    <w:multiLevelType w:val="hybridMultilevel"/>
    <w:tmpl w:val="A634C22E"/>
    <w:lvl w:ilvl="0" w:tplc="FDD448C8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zsxv9ptn92fsoevw9pp0txnxwz9aap5pwar&quot;&gt;My EndNote Library-Converted&lt;record-ids&gt;&lt;item&gt;9&lt;/item&gt;&lt;/record-ids&gt;&lt;/item&gt;&lt;/Libraries&gt;"/>
  </w:docVars>
  <w:rsids>
    <w:rsidRoot w:val="006269BB"/>
    <w:rsid w:val="000046CE"/>
    <w:rsid w:val="00013042"/>
    <w:rsid w:val="00034987"/>
    <w:rsid w:val="00037287"/>
    <w:rsid w:val="00041095"/>
    <w:rsid w:val="00054C0D"/>
    <w:rsid w:val="00055097"/>
    <w:rsid w:val="000620D4"/>
    <w:rsid w:val="0006673A"/>
    <w:rsid w:val="00070BB8"/>
    <w:rsid w:val="000730E0"/>
    <w:rsid w:val="00073B69"/>
    <w:rsid w:val="00083994"/>
    <w:rsid w:val="00092EEA"/>
    <w:rsid w:val="00096AD7"/>
    <w:rsid w:val="000A3DBE"/>
    <w:rsid w:val="000A7EA3"/>
    <w:rsid w:val="000B4814"/>
    <w:rsid w:val="000C6EF9"/>
    <w:rsid w:val="000D4240"/>
    <w:rsid w:val="000D7C81"/>
    <w:rsid w:val="000E328A"/>
    <w:rsid w:val="000E7A55"/>
    <w:rsid w:val="000F3982"/>
    <w:rsid w:val="001122AF"/>
    <w:rsid w:val="00112EE7"/>
    <w:rsid w:val="00123EF3"/>
    <w:rsid w:val="00130DA8"/>
    <w:rsid w:val="001869D2"/>
    <w:rsid w:val="00193828"/>
    <w:rsid w:val="001A574D"/>
    <w:rsid w:val="001A5C61"/>
    <w:rsid w:val="001B0DD1"/>
    <w:rsid w:val="001B1616"/>
    <w:rsid w:val="001B39F5"/>
    <w:rsid w:val="001B4E0D"/>
    <w:rsid w:val="001C1E85"/>
    <w:rsid w:val="001D0649"/>
    <w:rsid w:val="001D528B"/>
    <w:rsid w:val="001E3E59"/>
    <w:rsid w:val="001E6C9B"/>
    <w:rsid w:val="001F4EF3"/>
    <w:rsid w:val="002002A2"/>
    <w:rsid w:val="00200E54"/>
    <w:rsid w:val="002022C4"/>
    <w:rsid w:val="00206ECD"/>
    <w:rsid w:val="00207DFE"/>
    <w:rsid w:val="0021379B"/>
    <w:rsid w:val="00226131"/>
    <w:rsid w:val="00230E07"/>
    <w:rsid w:val="002336EB"/>
    <w:rsid w:val="00240CE3"/>
    <w:rsid w:val="00244DBA"/>
    <w:rsid w:val="00273C4B"/>
    <w:rsid w:val="002820E2"/>
    <w:rsid w:val="00283D83"/>
    <w:rsid w:val="00284B0C"/>
    <w:rsid w:val="002A0B31"/>
    <w:rsid w:val="002B445A"/>
    <w:rsid w:val="002B490B"/>
    <w:rsid w:val="002C1084"/>
    <w:rsid w:val="00303420"/>
    <w:rsid w:val="0030539C"/>
    <w:rsid w:val="003102F0"/>
    <w:rsid w:val="00341E05"/>
    <w:rsid w:val="00343200"/>
    <w:rsid w:val="003633B6"/>
    <w:rsid w:val="003752BE"/>
    <w:rsid w:val="0038015D"/>
    <w:rsid w:val="003853FF"/>
    <w:rsid w:val="00385859"/>
    <w:rsid w:val="0039133E"/>
    <w:rsid w:val="00394608"/>
    <w:rsid w:val="003A163F"/>
    <w:rsid w:val="003A3B19"/>
    <w:rsid w:val="003A46D0"/>
    <w:rsid w:val="003A72D2"/>
    <w:rsid w:val="003A75EC"/>
    <w:rsid w:val="003B09CA"/>
    <w:rsid w:val="003C547C"/>
    <w:rsid w:val="003E0EC5"/>
    <w:rsid w:val="003E57A8"/>
    <w:rsid w:val="003E78C5"/>
    <w:rsid w:val="00412481"/>
    <w:rsid w:val="00432187"/>
    <w:rsid w:val="00436AF7"/>
    <w:rsid w:val="0044576B"/>
    <w:rsid w:val="00451EA2"/>
    <w:rsid w:val="00452569"/>
    <w:rsid w:val="00462513"/>
    <w:rsid w:val="004724A6"/>
    <w:rsid w:val="004730AA"/>
    <w:rsid w:val="004733EC"/>
    <w:rsid w:val="0047618B"/>
    <w:rsid w:val="00483947"/>
    <w:rsid w:val="00490E80"/>
    <w:rsid w:val="00493962"/>
    <w:rsid w:val="00493CB7"/>
    <w:rsid w:val="00494F73"/>
    <w:rsid w:val="004A1EE7"/>
    <w:rsid w:val="004A40F3"/>
    <w:rsid w:val="004A60B5"/>
    <w:rsid w:val="004B2FD0"/>
    <w:rsid w:val="004C0D27"/>
    <w:rsid w:val="004C1D47"/>
    <w:rsid w:val="004D5F52"/>
    <w:rsid w:val="004D63B8"/>
    <w:rsid w:val="004E6260"/>
    <w:rsid w:val="004F06BA"/>
    <w:rsid w:val="004F6A42"/>
    <w:rsid w:val="00500604"/>
    <w:rsid w:val="005023D4"/>
    <w:rsid w:val="0050760D"/>
    <w:rsid w:val="005106E5"/>
    <w:rsid w:val="0051271E"/>
    <w:rsid w:val="005322FD"/>
    <w:rsid w:val="00532FE2"/>
    <w:rsid w:val="005339FB"/>
    <w:rsid w:val="00534EBD"/>
    <w:rsid w:val="005361D3"/>
    <w:rsid w:val="00551D0F"/>
    <w:rsid w:val="00552DA6"/>
    <w:rsid w:val="00556D79"/>
    <w:rsid w:val="00580E9F"/>
    <w:rsid w:val="00595F4D"/>
    <w:rsid w:val="005B608D"/>
    <w:rsid w:val="005C0B4B"/>
    <w:rsid w:val="005C2813"/>
    <w:rsid w:val="005C73E7"/>
    <w:rsid w:val="005C7512"/>
    <w:rsid w:val="005D38CF"/>
    <w:rsid w:val="005D6FF7"/>
    <w:rsid w:val="005E039E"/>
    <w:rsid w:val="005F39B8"/>
    <w:rsid w:val="00614727"/>
    <w:rsid w:val="0062144D"/>
    <w:rsid w:val="006232B8"/>
    <w:rsid w:val="006269BB"/>
    <w:rsid w:val="00636921"/>
    <w:rsid w:val="00640E68"/>
    <w:rsid w:val="006416F1"/>
    <w:rsid w:val="00654656"/>
    <w:rsid w:val="006634E3"/>
    <w:rsid w:val="00664437"/>
    <w:rsid w:val="00676CD0"/>
    <w:rsid w:val="006809F7"/>
    <w:rsid w:val="00682B82"/>
    <w:rsid w:val="006845CD"/>
    <w:rsid w:val="006879AE"/>
    <w:rsid w:val="006A6FA6"/>
    <w:rsid w:val="006B1115"/>
    <w:rsid w:val="006B2690"/>
    <w:rsid w:val="006E41CA"/>
    <w:rsid w:val="006F73FE"/>
    <w:rsid w:val="006F7D53"/>
    <w:rsid w:val="00700E95"/>
    <w:rsid w:val="007060FC"/>
    <w:rsid w:val="007564F9"/>
    <w:rsid w:val="00764051"/>
    <w:rsid w:val="00773D6E"/>
    <w:rsid w:val="00791A98"/>
    <w:rsid w:val="00794680"/>
    <w:rsid w:val="007B5209"/>
    <w:rsid w:val="007C0229"/>
    <w:rsid w:val="007C0BEB"/>
    <w:rsid w:val="007C3886"/>
    <w:rsid w:val="007D1C8F"/>
    <w:rsid w:val="007D4546"/>
    <w:rsid w:val="007F79DE"/>
    <w:rsid w:val="00804E9D"/>
    <w:rsid w:val="00812505"/>
    <w:rsid w:val="00837A3B"/>
    <w:rsid w:val="00860A87"/>
    <w:rsid w:val="00863BF2"/>
    <w:rsid w:val="00867E92"/>
    <w:rsid w:val="0087332D"/>
    <w:rsid w:val="0088670D"/>
    <w:rsid w:val="00892316"/>
    <w:rsid w:val="008928AE"/>
    <w:rsid w:val="008A1334"/>
    <w:rsid w:val="008B1690"/>
    <w:rsid w:val="008B2BD9"/>
    <w:rsid w:val="008B7F47"/>
    <w:rsid w:val="008C2A76"/>
    <w:rsid w:val="008C506C"/>
    <w:rsid w:val="008C59E9"/>
    <w:rsid w:val="008D4553"/>
    <w:rsid w:val="008F6D9C"/>
    <w:rsid w:val="00916DA4"/>
    <w:rsid w:val="00942E9D"/>
    <w:rsid w:val="00951B53"/>
    <w:rsid w:val="009541D4"/>
    <w:rsid w:val="00973961"/>
    <w:rsid w:val="00976CE6"/>
    <w:rsid w:val="0098160D"/>
    <w:rsid w:val="0099441A"/>
    <w:rsid w:val="0099683C"/>
    <w:rsid w:val="009A284D"/>
    <w:rsid w:val="009A3E3F"/>
    <w:rsid w:val="009A6D8F"/>
    <w:rsid w:val="009C4C8D"/>
    <w:rsid w:val="009C7C37"/>
    <w:rsid w:val="009F2DEB"/>
    <w:rsid w:val="009F3BCF"/>
    <w:rsid w:val="009F438A"/>
    <w:rsid w:val="00A05E02"/>
    <w:rsid w:val="00A07C7B"/>
    <w:rsid w:val="00A14BF8"/>
    <w:rsid w:val="00A17BFA"/>
    <w:rsid w:val="00A20EC2"/>
    <w:rsid w:val="00A27749"/>
    <w:rsid w:val="00A454D1"/>
    <w:rsid w:val="00A478E7"/>
    <w:rsid w:val="00A614EC"/>
    <w:rsid w:val="00A6537B"/>
    <w:rsid w:val="00A75E84"/>
    <w:rsid w:val="00A87CB6"/>
    <w:rsid w:val="00A973C9"/>
    <w:rsid w:val="00A97DDE"/>
    <w:rsid w:val="00AB6795"/>
    <w:rsid w:val="00AC1D73"/>
    <w:rsid w:val="00AC4B38"/>
    <w:rsid w:val="00AC6D45"/>
    <w:rsid w:val="00AD349E"/>
    <w:rsid w:val="00AF05BA"/>
    <w:rsid w:val="00AF4A99"/>
    <w:rsid w:val="00B07A83"/>
    <w:rsid w:val="00B20286"/>
    <w:rsid w:val="00B231EF"/>
    <w:rsid w:val="00B302B8"/>
    <w:rsid w:val="00B43AA7"/>
    <w:rsid w:val="00B43C6D"/>
    <w:rsid w:val="00B529E3"/>
    <w:rsid w:val="00B542D8"/>
    <w:rsid w:val="00B561A4"/>
    <w:rsid w:val="00B56C45"/>
    <w:rsid w:val="00B64923"/>
    <w:rsid w:val="00B77E51"/>
    <w:rsid w:val="00B861B2"/>
    <w:rsid w:val="00B93C7E"/>
    <w:rsid w:val="00BA6589"/>
    <w:rsid w:val="00BC1197"/>
    <w:rsid w:val="00BD184E"/>
    <w:rsid w:val="00BF46DF"/>
    <w:rsid w:val="00C0405D"/>
    <w:rsid w:val="00C04F73"/>
    <w:rsid w:val="00C21099"/>
    <w:rsid w:val="00C21D28"/>
    <w:rsid w:val="00C54022"/>
    <w:rsid w:val="00C66C8A"/>
    <w:rsid w:val="00C72658"/>
    <w:rsid w:val="00C75B67"/>
    <w:rsid w:val="00C77BE2"/>
    <w:rsid w:val="00C8790C"/>
    <w:rsid w:val="00CA19F3"/>
    <w:rsid w:val="00CA4BEE"/>
    <w:rsid w:val="00CA76D2"/>
    <w:rsid w:val="00CB0BEF"/>
    <w:rsid w:val="00CB55C5"/>
    <w:rsid w:val="00CC607F"/>
    <w:rsid w:val="00CF2D3D"/>
    <w:rsid w:val="00D25372"/>
    <w:rsid w:val="00D26873"/>
    <w:rsid w:val="00D32BCB"/>
    <w:rsid w:val="00D339DD"/>
    <w:rsid w:val="00D356DF"/>
    <w:rsid w:val="00D365B0"/>
    <w:rsid w:val="00D41ADE"/>
    <w:rsid w:val="00D56904"/>
    <w:rsid w:val="00D57F5E"/>
    <w:rsid w:val="00D64561"/>
    <w:rsid w:val="00D66F1C"/>
    <w:rsid w:val="00D83B12"/>
    <w:rsid w:val="00D84975"/>
    <w:rsid w:val="00D925F2"/>
    <w:rsid w:val="00DA4C4E"/>
    <w:rsid w:val="00DC0CF2"/>
    <w:rsid w:val="00DC35D7"/>
    <w:rsid w:val="00DD6B53"/>
    <w:rsid w:val="00E0059F"/>
    <w:rsid w:val="00E0471A"/>
    <w:rsid w:val="00E06CF5"/>
    <w:rsid w:val="00E1070F"/>
    <w:rsid w:val="00E63A09"/>
    <w:rsid w:val="00E659EB"/>
    <w:rsid w:val="00E77676"/>
    <w:rsid w:val="00E77CF2"/>
    <w:rsid w:val="00E81BEF"/>
    <w:rsid w:val="00E84DE0"/>
    <w:rsid w:val="00EA0860"/>
    <w:rsid w:val="00EA5B19"/>
    <w:rsid w:val="00EA634E"/>
    <w:rsid w:val="00EB4A87"/>
    <w:rsid w:val="00EB57A9"/>
    <w:rsid w:val="00EC4815"/>
    <w:rsid w:val="00ED32DA"/>
    <w:rsid w:val="00ED68CC"/>
    <w:rsid w:val="00ED6C1D"/>
    <w:rsid w:val="00EE2043"/>
    <w:rsid w:val="00F00B43"/>
    <w:rsid w:val="00F05BC6"/>
    <w:rsid w:val="00F22E9E"/>
    <w:rsid w:val="00F23442"/>
    <w:rsid w:val="00F265D8"/>
    <w:rsid w:val="00F26F54"/>
    <w:rsid w:val="00F42201"/>
    <w:rsid w:val="00F47200"/>
    <w:rsid w:val="00F5010E"/>
    <w:rsid w:val="00F613DE"/>
    <w:rsid w:val="00F67B01"/>
    <w:rsid w:val="00F701D7"/>
    <w:rsid w:val="00F7295E"/>
    <w:rsid w:val="00F73AAA"/>
    <w:rsid w:val="00F7443D"/>
    <w:rsid w:val="00F80713"/>
    <w:rsid w:val="00F82B1B"/>
    <w:rsid w:val="00F83313"/>
    <w:rsid w:val="00F87CB1"/>
    <w:rsid w:val="00F947C0"/>
    <w:rsid w:val="00F97072"/>
    <w:rsid w:val="00FB22A1"/>
    <w:rsid w:val="00FC266D"/>
    <w:rsid w:val="00FD51AC"/>
    <w:rsid w:val="00FD6353"/>
    <w:rsid w:val="00FE2009"/>
    <w:rsid w:val="00FF063C"/>
    <w:rsid w:val="00FF0A09"/>
    <w:rsid w:val="00FF45CD"/>
    <w:rsid w:val="00FF6F97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17BDB"/>
  <w15:docId w15:val="{0868202A-07B4-4E14-8569-7847442D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69B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6269B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269B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269BB"/>
    <w:rPr>
      <w:sz w:val="20"/>
      <w:szCs w:val="20"/>
    </w:rPr>
  </w:style>
  <w:style w:type="table" w:styleId="Tabelraster">
    <w:name w:val="Table Grid"/>
    <w:basedOn w:val="Standaardtabel"/>
    <w:uiPriority w:val="59"/>
    <w:rsid w:val="00626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26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9BB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125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12505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CF2D3D"/>
    <w:pPr>
      <w:spacing w:after="0" w:line="240" w:lineRule="auto"/>
    </w:pPr>
  </w:style>
  <w:style w:type="paragraph" w:customStyle="1" w:styleId="EndNoteBibliographyTitle">
    <w:name w:val="EndNote Bibliography Title"/>
    <w:basedOn w:val="Standaard"/>
    <w:link w:val="EndNoteBibliographyTitleChar"/>
    <w:rsid w:val="00F97072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F97072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F97072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F97072"/>
    <w:rPr>
      <w:rFonts w:ascii="Calibri" w:hAnsi="Calibri" w:cs="Calibri"/>
      <w:noProof/>
      <w:lang w:val="en-US"/>
    </w:rPr>
  </w:style>
  <w:style w:type="character" w:styleId="Regelnummer">
    <w:name w:val="line number"/>
    <w:basedOn w:val="Standaardalinea-lettertype"/>
    <w:uiPriority w:val="99"/>
    <w:semiHidden/>
    <w:unhideWhenUsed/>
    <w:rsid w:val="00ED6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1392</Words>
  <Characters>7656</Characters>
  <Application>Microsoft Office Word</Application>
  <DocSecurity>0</DocSecurity>
  <Lines>63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Boor, Saskia van der</dc:creator>
  <cp:lastModifiedBy>Boor, Saskia van der</cp:lastModifiedBy>
  <cp:revision>2</cp:revision>
  <cp:lastPrinted>2021-12-20T14:47:00Z</cp:lastPrinted>
  <dcterms:created xsi:type="dcterms:W3CDTF">2023-02-23T11:51:00Z</dcterms:created>
  <dcterms:modified xsi:type="dcterms:W3CDTF">2023-02-23T11:51:00Z</dcterms:modified>
</cp:coreProperties>
</file>