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F322F" w14:textId="77777777" w:rsidR="00D31C58" w:rsidRPr="00D37AA1" w:rsidRDefault="00D31C58" w:rsidP="00D31C5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5: Tab. S4</w:t>
      </w:r>
      <w:r w:rsidRPr="00D37AA1">
        <w:rPr>
          <w:rFonts w:ascii="Times New Roman" w:hAnsi="Times New Roman" w:cs="Times New Roman"/>
          <w:b/>
        </w:rPr>
        <w:t>. KEGG pathway analyses of all GLMM-identified and yet unannotated metabolites (n=48)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1350"/>
        <w:gridCol w:w="1260"/>
        <w:gridCol w:w="1800"/>
        <w:gridCol w:w="1080"/>
        <w:gridCol w:w="2340"/>
        <w:gridCol w:w="1640"/>
      </w:tblGrid>
      <w:tr w:rsidR="00D31C58" w:rsidRPr="00D37AA1" w14:paraId="19EF87CF" w14:textId="77777777" w:rsidTr="004940EE"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51402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 xml:space="preserve">Pathway Name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D6FE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KEGG ID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A252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Total Hits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0A3F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Significant Hits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ED6D4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P value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94784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Compound Hits m/z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D71FE6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AA1">
              <w:rPr>
                <w:rFonts w:ascii="Times New Roman" w:hAnsi="Times New Roman" w:cs="Times New Roman"/>
                <w:b/>
                <w:lang w:val="en-US"/>
              </w:rPr>
              <w:t>Annotated in this study</w:t>
            </w:r>
          </w:p>
        </w:tc>
      </w:tr>
      <w:tr w:rsidR="00D31C58" w:rsidRPr="00D37AA1" w14:paraId="381281E9" w14:textId="77777777" w:rsidTr="004940EE">
        <w:tc>
          <w:tcPr>
            <w:tcW w:w="4500" w:type="dxa"/>
            <w:tcBorders>
              <w:top w:val="single" w:sz="4" w:space="0" w:color="auto"/>
            </w:tcBorders>
            <w:vAlign w:val="center"/>
          </w:tcPr>
          <w:p w14:paraId="1539CE1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Arginine biosynthesis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5A4238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map00220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4F46782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F33C22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FAC9A3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0.15 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BA57C29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177.1041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99099D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0A6B3758" w14:textId="77777777" w:rsidTr="004940EE">
        <w:tc>
          <w:tcPr>
            <w:tcW w:w="4500" w:type="dxa"/>
            <w:vAlign w:val="center"/>
          </w:tcPr>
          <w:p w14:paraId="390E9220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Galactose metabolism</w:t>
            </w:r>
          </w:p>
        </w:tc>
        <w:tc>
          <w:tcPr>
            <w:tcW w:w="1350" w:type="dxa"/>
            <w:vAlign w:val="center"/>
          </w:tcPr>
          <w:p w14:paraId="7F089E3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map00052</w:t>
            </w:r>
          </w:p>
        </w:tc>
        <w:tc>
          <w:tcPr>
            <w:tcW w:w="1260" w:type="dxa"/>
            <w:vAlign w:val="center"/>
          </w:tcPr>
          <w:p w14:paraId="08AB17A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800" w:type="dxa"/>
            <w:vAlign w:val="center"/>
          </w:tcPr>
          <w:p w14:paraId="26B7097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56F29249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0.28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32E2F0F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384.1509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4743ADB1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648168C9" w14:textId="77777777" w:rsidTr="004940EE">
        <w:tc>
          <w:tcPr>
            <w:tcW w:w="4500" w:type="dxa"/>
            <w:vAlign w:val="center"/>
          </w:tcPr>
          <w:p w14:paraId="4E36EED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Arginine and </w:t>
            </w:r>
            <w:proofErr w:type="spellStart"/>
            <w:r w:rsidRPr="00D37AA1">
              <w:rPr>
                <w:rFonts w:ascii="Times New Roman" w:eastAsia="DengXian" w:hAnsi="Times New Roman" w:cs="Times New Roman"/>
                <w:color w:val="000000"/>
              </w:rPr>
              <w:t>proline</w:t>
            </w:r>
            <w:proofErr w:type="spellEnd"/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 metabolism</w:t>
            </w:r>
          </w:p>
        </w:tc>
        <w:tc>
          <w:tcPr>
            <w:tcW w:w="1350" w:type="dxa"/>
            <w:vAlign w:val="center"/>
          </w:tcPr>
          <w:p w14:paraId="2C7610C4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map00330</w:t>
            </w:r>
          </w:p>
        </w:tc>
        <w:tc>
          <w:tcPr>
            <w:tcW w:w="1260" w:type="dxa"/>
            <w:vAlign w:val="center"/>
          </w:tcPr>
          <w:p w14:paraId="486DF470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800" w:type="dxa"/>
            <w:vAlign w:val="center"/>
          </w:tcPr>
          <w:p w14:paraId="3D47403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7178059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0.28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247AD90E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207.997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17E5C348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66B925FF" w14:textId="77777777" w:rsidTr="004940EE">
        <w:tc>
          <w:tcPr>
            <w:tcW w:w="4500" w:type="dxa"/>
            <w:vAlign w:val="center"/>
          </w:tcPr>
          <w:p w14:paraId="539DD9B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Tryptophan metabolism</w:t>
            </w:r>
          </w:p>
        </w:tc>
        <w:tc>
          <w:tcPr>
            <w:tcW w:w="1350" w:type="dxa"/>
            <w:vAlign w:val="center"/>
          </w:tcPr>
          <w:p w14:paraId="69B6DEA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map00380</w:t>
            </w:r>
          </w:p>
        </w:tc>
        <w:tc>
          <w:tcPr>
            <w:tcW w:w="1260" w:type="dxa"/>
            <w:vAlign w:val="center"/>
          </w:tcPr>
          <w:p w14:paraId="2788B94F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800" w:type="dxa"/>
            <w:vAlign w:val="center"/>
          </w:tcPr>
          <w:p w14:paraId="4339E33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1ECE94D1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0.28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762FD59D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103.1021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2422D103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76A03CE1" w14:textId="77777777" w:rsidTr="004940EE">
        <w:tc>
          <w:tcPr>
            <w:tcW w:w="4500" w:type="dxa"/>
            <w:vAlign w:val="center"/>
          </w:tcPr>
          <w:p w14:paraId="67F3938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Mannose type O-glycan biosynthesis</w:t>
            </w:r>
          </w:p>
        </w:tc>
        <w:tc>
          <w:tcPr>
            <w:tcW w:w="1350" w:type="dxa"/>
            <w:vAlign w:val="center"/>
          </w:tcPr>
          <w:p w14:paraId="066FB7D4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map00515</w:t>
            </w:r>
          </w:p>
        </w:tc>
        <w:tc>
          <w:tcPr>
            <w:tcW w:w="1260" w:type="dxa"/>
            <w:vAlign w:val="center"/>
          </w:tcPr>
          <w:p w14:paraId="06EBF751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800" w:type="dxa"/>
            <w:vAlign w:val="center"/>
          </w:tcPr>
          <w:p w14:paraId="257B93D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10E3D93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0.28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1011676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791.5823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06B8B263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79E13DD0" w14:textId="77777777" w:rsidTr="004940EE">
        <w:tc>
          <w:tcPr>
            <w:tcW w:w="4500" w:type="dxa"/>
            <w:vAlign w:val="center"/>
          </w:tcPr>
          <w:p w14:paraId="7C4C776D" w14:textId="77777777" w:rsidR="00D31C58" w:rsidRPr="00D37AA1" w:rsidRDefault="00D31C58" w:rsidP="004940EE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Glycosylphosphatidylinositol (GPI)-anchor biosynthesis</w:t>
            </w:r>
          </w:p>
        </w:tc>
        <w:tc>
          <w:tcPr>
            <w:tcW w:w="1350" w:type="dxa"/>
            <w:vAlign w:val="center"/>
          </w:tcPr>
          <w:p w14:paraId="1C8E7BD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map00563</w:t>
            </w:r>
          </w:p>
        </w:tc>
        <w:tc>
          <w:tcPr>
            <w:tcW w:w="1260" w:type="dxa"/>
            <w:vAlign w:val="center"/>
          </w:tcPr>
          <w:p w14:paraId="2130FE6F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1800" w:type="dxa"/>
            <w:vAlign w:val="center"/>
          </w:tcPr>
          <w:p w14:paraId="6F9DA550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0DDBE8B9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0.39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487BC20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410.2964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4ECF183A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1CA7E705" w14:textId="77777777" w:rsidTr="004940EE">
        <w:tc>
          <w:tcPr>
            <w:tcW w:w="4500" w:type="dxa"/>
            <w:vAlign w:val="center"/>
          </w:tcPr>
          <w:p w14:paraId="510D3F1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Lysine degradation</w:t>
            </w:r>
          </w:p>
        </w:tc>
        <w:tc>
          <w:tcPr>
            <w:tcW w:w="1350" w:type="dxa"/>
            <w:vAlign w:val="center"/>
          </w:tcPr>
          <w:p w14:paraId="043AFA6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map00310</w:t>
            </w:r>
          </w:p>
        </w:tc>
        <w:tc>
          <w:tcPr>
            <w:tcW w:w="1260" w:type="dxa"/>
            <w:vAlign w:val="center"/>
          </w:tcPr>
          <w:p w14:paraId="65A5041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4</w:t>
            </w:r>
          </w:p>
        </w:tc>
        <w:tc>
          <w:tcPr>
            <w:tcW w:w="1800" w:type="dxa"/>
            <w:vAlign w:val="center"/>
          </w:tcPr>
          <w:p w14:paraId="069B4C9D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0ED6DD7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0.48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63FB853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209.9946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43332890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07056AB3" w14:textId="77777777" w:rsidTr="004940EE">
        <w:tc>
          <w:tcPr>
            <w:tcW w:w="4500" w:type="dxa"/>
            <w:vAlign w:val="center"/>
          </w:tcPr>
          <w:p w14:paraId="705661F6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Drug metabolism - cytochrome P450</w:t>
            </w:r>
          </w:p>
        </w:tc>
        <w:tc>
          <w:tcPr>
            <w:tcW w:w="1350" w:type="dxa"/>
            <w:vAlign w:val="center"/>
          </w:tcPr>
          <w:p w14:paraId="3CF90E9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map00982</w:t>
            </w:r>
          </w:p>
        </w:tc>
        <w:tc>
          <w:tcPr>
            <w:tcW w:w="1260" w:type="dxa"/>
            <w:vAlign w:val="center"/>
          </w:tcPr>
          <w:p w14:paraId="39B1397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1800" w:type="dxa"/>
            <w:vAlign w:val="center"/>
          </w:tcPr>
          <w:p w14:paraId="5EF6E4DF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40B719E6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0.51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4B69730E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271.9935; 312.1508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276FCC82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3D91A28A" w14:textId="77777777" w:rsidTr="004940EE">
        <w:tc>
          <w:tcPr>
            <w:tcW w:w="4500" w:type="dxa"/>
            <w:vAlign w:val="center"/>
          </w:tcPr>
          <w:p w14:paraId="75DB15D6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Metabolism of </w:t>
            </w:r>
            <w:proofErr w:type="spellStart"/>
            <w:r w:rsidRPr="00D37AA1">
              <w:rPr>
                <w:rFonts w:ascii="Times New Roman" w:eastAsia="DengXian" w:hAnsi="Times New Roman" w:cs="Times New Roman"/>
                <w:color w:val="000000"/>
              </w:rPr>
              <w:t>xenobiotics</w:t>
            </w:r>
            <w:proofErr w:type="spellEnd"/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 by cytochrome P450</w:t>
            </w:r>
          </w:p>
        </w:tc>
        <w:tc>
          <w:tcPr>
            <w:tcW w:w="1350" w:type="dxa"/>
            <w:vAlign w:val="center"/>
          </w:tcPr>
          <w:p w14:paraId="70E1B78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map00980</w:t>
            </w:r>
          </w:p>
        </w:tc>
        <w:tc>
          <w:tcPr>
            <w:tcW w:w="1260" w:type="dxa"/>
            <w:vAlign w:val="center"/>
          </w:tcPr>
          <w:p w14:paraId="1E4A17B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5</w:t>
            </w:r>
          </w:p>
        </w:tc>
        <w:tc>
          <w:tcPr>
            <w:tcW w:w="1800" w:type="dxa"/>
            <w:vAlign w:val="center"/>
          </w:tcPr>
          <w:p w14:paraId="1B7BF24A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7D0AC690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0.56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21707FA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312.1508; 228.1156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73DE989D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0C48B54C" w14:textId="77777777" w:rsidTr="004940EE">
        <w:tc>
          <w:tcPr>
            <w:tcW w:w="4500" w:type="dxa"/>
            <w:vAlign w:val="center"/>
          </w:tcPr>
          <w:p w14:paraId="17156A5E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Steroid hormone biosynthesis</w:t>
            </w:r>
          </w:p>
        </w:tc>
        <w:tc>
          <w:tcPr>
            <w:tcW w:w="1350" w:type="dxa"/>
            <w:vAlign w:val="center"/>
          </w:tcPr>
          <w:p w14:paraId="2B9E50A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map00140</w:t>
            </w:r>
          </w:p>
        </w:tc>
        <w:tc>
          <w:tcPr>
            <w:tcW w:w="1260" w:type="dxa"/>
            <w:vAlign w:val="center"/>
          </w:tcPr>
          <w:p w14:paraId="7388A221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19</w:t>
            </w:r>
          </w:p>
        </w:tc>
        <w:tc>
          <w:tcPr>
            <w:tcW w:w="1800" w:type="dxa"/>
            <w:vAlign w:val="center"/>
          </w:tcPr>
          <w:p w14:paraId="5BC0C42C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0D32B350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0.82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6D15CA0B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174.1151; 273.1853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77F4FADC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0DAB03AE" w14:textId="77777777" w:rsidTr="004940EE">
        <w:tc>
          <w:tcPr>
            <w:tcW w:w="4500" w:type="dxa"/>
            <w:vAlign w:val="center"/>
          </w:tcPr>
          <w:p w14:paraId="5C5FE35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Primary bile acid biosynthesis</w:t>
            </w:r>
          </w:p>
        </w:tc>
        <w:tc>
          <w:tcPr>
            <w:tcW w:w="1350" w:type="dxa"/>
            <w:vAlign w:val="center"/>
          </w:tcPr>
          <w:p w14:paraId="65A0C24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map00120</w:t>
            </w:r>
          </w:p>
        </w:tc>
        <w:tc>
          <w:tcPr>
            <w:tcW w:w="1260" w:type="dxa"/>
            <w:vAlign w:val="center"/>
          </w:tcPr>
          <w:p w14:paraId="63497FBF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800" w:type="dxa"/>
            <w:vAlign w:val="center"/>
          </w:tcPr>
          <w:p w14:paraId="15B6A27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1A82C403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0.93 </w:t>
            </w: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  <w:vAlign w:val="center"/>
          </w:tcPr>
          <w:p w14:paraId="25A65D5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410.2964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</w:tcBorders>
          </w:tcPr>
          <w:p w14:paraId="7A57998F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D31C58" w:rsidRPr="00D37AA1" w14:paraId="57737B58" w14:textId="77777777" w:rsidTr="004940EE">
        <w:tc>
          <w:tcPr>
            <w:tcW w:w="4500" w:type="dxa"/>
            <w:vAlign w:val="center"/>
          </w:tcPr>
          <w:p w14:paraId="74B8E015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Steroid biosynthesis</w:t>
            </w:r>
          </w:p>
        </w:tc>
        <w:tc>
          <w:tcPr>
            <w:tcW w:w="1350" w:type="dxa"/>
            <w:vAlign w:val="center"/>
          </w:tcPr>
          <w:p w14:paraId="73797678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map00100</w:t>
            </w:r>
          </w:p>
        </w:tc>
        <w:tc>
          <w:tcPr>
            <w:tcW w:w="1260" w:type="dxa"/>
            <w:vAlign w:val="center"/>
          </w:tcPr>
          <w:p w14:paraId="15C2C8B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25</w:t>
            </w:r>
          </w:p>
        </w:tc>
        <w:tc>
          <w:tcPr>
            <w:tcW w:w="1800" w:type="dxa"/>
            <w:vAlign w:val="center"/>
          </w:tcPr>
          <w:p w14:paraId="6C9AD657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14:paraId="0B1DBAD9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 xml:space="preserve">0.99 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E95D866" w14:textId="77777777" w:rsidR="00D31C58" w:rsidRPr="00D37AA1" w:rsidRDefault="00D31C58" w:rsidP="004940E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eastAsia="DengXian" w:hAnsi="Times New Roman" w:cs="Times New Roman"/>
                <w:color w:val="000000"/>
              </w:rPr>
              <w:t>387.3428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</w:tcBorders>
          </w:tcPr>
          <w:p w14:paraId="259B720F" w14:textId="77777777" w:rsidR="00D31C58" w:rsidRPr="00D37AA1" w:rsidRDefault="00D31C58" w:rsidP="004940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7AA1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</w:tbl>
    <w:p w14:paraId="044FCD44" w14:textId="77777777" w:rsidR="00D31C58" w:rsidRDefault="00D31C58" w:rsidP="00D31C58">
      <w:pPr>
        <w:rPr>
          <w:rFonts w:ascii="Times New Roman" w:hAnsi="Times New Roman" w:cs="Times New Roman"/>
          <w:kern w:val="2"/>
          <w:lang w:val="en-US"/>
        </w:rPr>
      </w:pPr>
      <w:r w:rsidRPr="00D37AA1">
        <w:rPr>
          <w:rFonts w:ascii="Times New Roman" w:hAnsi="Times New Roman" w:cs="Times New Roman"/>
        </w:rPr>
        <w:t xml:space="preserve">Abbreviations: </w:t>
      </w:r>
      <w:proofErr w:type="gramStart"/>
      <w:r w:rsidRPr="00D37AA1">
        <w:rPr>
          <w:rFonts w:ascii="Times New Roman" w:hAnsi="Times New Roman" w:cs="Times New Roman"/>
        </w:rPr>
        <w:t>GLMM,</w:t>
      </w:r>
      <w:proofErr w:type="gramEnd"/>
      <w:r w:rsidRPr="00D37AA1">
        <w:rPr>
          <w:rFonts w:ascii="Times New Roman" w:hAnsi="Times New Roman" w:cs="Times New Roman"/>
        </w:rPr>
        <w:t xml:space="preserve"> generalized linear mixed model. </w:t>
      </w:r>
    </w:p>
    <w:p w14:paraId="04826B92" w14:textId="77777777" w:rsidR="00D31C58" w:rsidRPr="00412E10" w:rsidRDefault="00D31C58" w:rsidP="00D31C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65668E" w14:textId="77777777" w:rsidR="00D96493" w:rsidRPr="00D31C58" w:rsidRDefault="00D96493">
      <w:pPr>
        <w:rPr>
          <w:lang w:val="en-US"/>
        </w:rPr>
      </w:pPr>
      <w:bookmarkStart w:id="0" w:name="_GoBack"/>
      <w:bookmarkEnd w:id="0"/>
    </w:p>
    <w:sectPr w:rsidR="00D96493" w:rsidRPr="00D31C58" w:rsidSect="00D31C58">
      <w:type w:val="continuous"/>
      <w:pgSz w:w="16850" w:h="11930" w:orient="landscape"/>
      <w:pgMar w:top="1440" w:right="1440" w:bottom="1440" w:left="1440" w:header="720" w:footer="720" w:gutter="0"/>
      <w:paperSrc w:first="258" w:other="258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58"/>
    <w:rsid w:val="00201F91"/>
    <w:rsid w:val="002C1F59"/>
    <w:rsid w:val="00476A6D"/>
    <w:rsid w:val="004E01CA"/>
    <w:rsid w:val="00693568"/>
    <w:rsid w:val="00695D90"/>
    <w:rsid w:val="007A43E4"/>
    <w:rsid w:val="00BF557E"/>
    <w:rsid w:val="00D31C58"/>
    <w:rsid w:val="00D74781"/>
    <w:rsid w:val="00D96493"/>
    <w:rsid w:val="00E3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F04DE"/>
  <w15:chartTrackingRefBased/>
  <w15:docId w15:val="{D7C6EFD2-4466-44AA-9D7D-5992C5A7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1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1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1994CA8603246B68D45102106764C" ma:contentTypeVersion="15" ma:contentTypeDescription="Create a new document." ma:contentTypeScope="" ma:versionID="de5fd9bbf78f0c5f0971ab0cbfde2fb3">
  <xsd:schema xmlns:xsd="http://www.w3.org/2001/XMLSchema" xmlns:xs="http://www.w3.org/2001/XMLSchema" xmlns:p="http://schemas.microsoft.com/office/2006/metadata/properties" xmlns:ns3="edab3b94-ef4b-4a64-a669-ecc2d32dd3f6" xmlns:ns4="580581f3-6f23-41a9-91b2-411232ec22d2" targetNamespace="http://schemas.microsoft.com/office/2006/metadata/properties" ma:root="true" ma:fieldsID="0b67042b7fb92647382cf3da244f9e78" ns3:_="" ns4:_="">
    <xsd:import namespace="edab3b94-ef4b-4a64-a669-ecc2d32dd3f6"/>
    <xsd:import namespace="580581f3-6f23-41a9-91b2-411232ec22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b3b94-ef4b-4a64-a669-ecc2d32dd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581f3-6f23-41a9-91b2-411232ec22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ab3b94-ef4b-4a64-a669-ecc2d32dd3f6" xsi:nil="true"/>
  </documentManagement>
</p:properties>
</file>

<file path=customXml/itemProps1.xml><?xml version="1.0" encoding="utf-8"?>
<ds:datastoreItem xmlns:ds="http://schemas.openxmlformats.org/officeDocument/2006/customXml" ds:itemID="{DCA3D972-FD5B-405A-A531-862A3C3F4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b3b94-ef4b-4a64-a669-ecc2d32dd3f6"/>
    <ds:schemaRef ds:uri="580581f3-6f23-41a9-91b2-411232ec2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CB747-4590-408F-A8CE-750439F08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220C6-B1DD-471D-BBF7-B3A1B424DCE6}">
  <ds:schemaRefs>
    <ds:schemaRef ds:uri="http://purl.org/dc/terms/"/>
    <ds:schemaRef ds:uri="580581f3-6f23-41a9-91b2-411232ec22d2"/>
    <ds:schemaRef ds:uri="http://schemas.microsoft.com/office/2006/documentManagement/types"/>
    <ds:schemaRef ds:uri="edab3b94-ef4b-4a64-a669-ecc2d32dd3f6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Lingjun</dc:creator>
  <cp:keywords/>
  <dc:description/>
  <cp:lastModifiedBy>Li Lingjun</cp:lastModifiedBy>
  <cp:revision>1</cp:revision>
  <dcterms:created xsi:type="dcterms:W3CDTF">2023-03-04T11:56:00Z</dcterms:created>
  <dcterms:modified xsi:type="dcterms:W3CDTF">2023-03-04T11:57:00Z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0x0101009621994CA8603246B68D45102106764C</vt:lpwstr>
  </property>
</Properties>
</file>