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24"/>
        </w:rPr>
      </w:pPr>
      <w:r>
        <w:rPr>
          <w:rFonts w:ascii="Times New Roman" w:hAnsi="Times New Roman" w:cs="Times New Roman"/>
          <w:b/>
          <w:bCs/>
          <w:sz w:val="24"/>
        </w:rPr>
        <w:t>Supplementary Materials and Methods</w:t>
      </w:r>
    </w:p>
    <w:p>
      <w:pPr>
        <w:jc w:val="center"/>
        <w:rPr>
          <w:rFonts w:ascii="Times New Roman" w:hAnsi="Times New Roman" w:cs="Times New Roman"/>
          <w:b/>
          <w:bCs/>
          <w:sz w:val="24"/>
        </w:rPr>
      </w:pPr>
    </w:p>
    <w:tbl>
      <w:tblPr>
        <w:tblStyle w:val="9"/>
        <w:tblW w:w="9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7" w:type="dxa"/>
          <w:bottom w:w="0" w:type="dxa"/>
          <w:right w:w="57" w:type="dxa"/>
        </w:tblCellMar>
      </w:tblPr>
      <w:tblGrid>
        <w:gridCol w:w="1143"/>
        <w:gridCol w:w="7788"/>
        <w:gridCol w:w="5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9498" w:type="dxa"/>
            <w:gridSpan w:val="3"/>
            <w:tcBorders>
              <w:top w:val="single" w:color="auto" w:sz="4" w:space="0"/>
              <w:bottom w:val="single" w:color="auto" w:sz="4" w:space="0"/>
            </w:tcBorders>
          </w:tcPr>
          <w:p>
            <w:pPr>
              <w:jc w:val="center"/>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TABLE OF CONTENTS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Borders>
              <w:top w:val="single" w:color="auto" w:sz="4" w:space="0"/>
            </w:tcBorders>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Appendix</w:t>
            </w:r>
          </w:p>
        </w:tc>
        <w:tc>
          <w:tcPr>
            <w:tcW w:w="7788" w:type="dxa"/>
            <w:tcBorders>
              <w:top w:val="single" w:color="auto" w:sz="4" w:space="0"/>
            </w:tcBorders>
          </w:tcPr>
          <w:p>
            <w:pPr>
              <w:jc w:val="left"/>
              <w:rPr>
                <w:rFonts w:ascii="Times New Roman" w:hAnsi="Times New Roman" w:eastAsia="宋体" w:cs="Times New Roman"/>
                <w:b/>
                <w:bCs/>
                <w:kern w:val="0"/>
                <w:sz w:val="20"/>
                <w:szCs w:val="21"/>
              </w:rPr>
            </w:pPr>
          </w:p>
        </w:tc>
        <w:tc>
          <w:tcPr>
            <w:tcW w:w="567" w:type="dxa"/>
            <w:tcBorders>
              <w:top w:val="single" w:color="auto" w:sz="4" w:space="0"/>
            </w:tcBorders>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Page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1.0</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Study design and subjects</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2.0</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Assessment of risk factors</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3.0</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Definition of GC cases</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4</w:t>
            </w:r>
            <w:r>
              <w:rPr>
                <w:rFonts w:ascii="Times New Roman" w:hAnsi="Times New Roman" w:eastAsia="宋体" w:cs="Times New Roman"/>
                <w:b/>
                <w:bCs/>
                <w:kern w:val="0"/>
                <w:sz w:val="20"/>
                <w:szCs w:val="21"/>
              </w:rPr>
              <w:t>.0</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Tables and Figures</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rPr>
              <w:t>Table S1</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Results of univariate Cox regression analysis in the CKB cohort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rPr>
              <w:t>Table S2</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 xml:space="preserve">Results of multivariate Cox regression model and corresponding risk points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1:</w:t>
            </w:r>
            <w:r>
              <w:rPr>
                <w:rFonts w:ascii="Times New Roman" w:hAnsi="Times New Roman" w:eastAsia="宋体" w:cs="Times New Roman"/>
                <w:b/>
                <w:bCs/>
                <w:kern w:val="0"/>
                <w:sz w:val="20"/>
                <w:szCs w:val="21"/>
              </w:rPr>
              <w:t xml:space="preserve"> excluding weak variables in the simplified model</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rPr>
              <w:t>Table S3</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Results of multivariate Cox regression model and corresponding risk points</w:t>
            </w:r>
            <w:r>
              <w:rPr>
                <w:rFonts w:hint="eastAsia" w:ascii="Times New Roman" w:hAnsi="Times New Roman" w:eastAsia="宋体" w:cs="Times New Roman"/>
                <w:b/>
                <w:bCs/>
                <w:kern w:val="0"/>
                <w:sz w:val="20"/>
                <w:szCs w:val="21"/>
              </w:rPr>
              <w:t xml:space="preserve"> 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2:</w:t>
            </w:r>
            <w:r>
              <w:rPr>
                <w:rFonts w:ascii="Times New Roman" w:hAnsi="Times New Roman" w:eastAsia="宋体" w:cs="Times New Roman"/>
                <w:b/>
                <w:bCs/>
                <w:kern w:val="0"/>
                <w:sz w:val="20"/>
                <w:szCs w:val="21"/>
              </w:rPr>
              <w:t xml:space="preserve"> integrating lifestyle factors as an index</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90" w:hRule="atLeast"/>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S4</w:t>
            </w:r>
          </w:p>
        </w:tc>
        <w:tc>
          <w:tcPr>
            <w:tcW w:w="7788" w:type="dxa"/>
          </w:tcPr>
          <w:p>
            <w:pPr>
              <w:jc w:val="left"/>
              <w:rPr>
                <w:rFonts w:ascii="Times New Roman" w:hAnsi="Times New Roman" w:eastAsia="宋体" w:cs="Times New Roman"/>
                <w:b/>
                <w:bCs/>
                <w:kern w:val="0"/>
                <w:sz w:val="20"/>
                <w:szCs w:val="21"/>
              </w:rPr>
            </w:pPr>
            <w:r>
              <w:rPr>
                <w:rFonts w:ascii="Times New Roman" w:hAnsi="Times New Roman" w:cs="Times New Roman"/>
                <w:b/>
                <w:bCs/>
                <w:sz w:val="20"/>
                <w:szCs w:val="20"/>
              </w:rPr>
              <w:t xml:space="preserve">Results of multivariate Cox regression model and corresponding risk points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3:</w:t>
            </w:r>
            <w:r>
              <w:rPr>
                <w:rFonts w:ascii="Times New Roman" w:hAnsi="Times New Roman" w:cs="Times New Roman"/>
                <w:b/>
                <w:bCs/>
                <w:sz w:val="20"/>
                <w:szCs w:val="20"/>
              </w:rPr>
              <w:t xml:space="preserve"> excluding participants who had GC diagnosis within </w:t>
            </w:r>
            <w:r>
              <w:rPr>
                <w:rFonts w:hint="eastAsia" w:ascii="Times New Roman" w:hAnsi="Times New Roman" w:cs="Times New Roman"/>
                <w:b/>
                <w:bCs/>
                <w:sz w:val="20"/>
                <w:szCs w:val="20"/>
              </w:rPr>
              <w:t>the first year</w:t>
            </w:r>
            <w:r>
              <w:rPr>
                <w:rFonts w:ascii="Times New Roman" w:hAnsi="Times New Roman" w:cs="Times New Roman"/>
                <w:b/>
                <w:bCs/>
                <w:sz w:val="20"/>
                <w:szCs w:val="20"/>
              </w:rPr>
              <w:t xml:space="preserve"> after recruitment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S5</w:t>
            </w:r>
          </w:p>
        </w:tc>
        <w:tc>
          <w:tcPr>
            <w:tcW w:w="7788" w:type="dxa"/>
          </w:tcPr>
          <w:p>
            <w:pPr>
              <w:jc w:val="left"/>
              <w:rPr>
                <w:rFonts w:ascii="Times New Roman" w:hAnsi="Times New Roman" w:eastAsia="宋体" w:cs="Times New Roman"/>
                <w:b/>
                <w:bCs/>
                <w:kern w:val="0"/>
                <w:sz w:val="20"/>
                <w:szCs w:val="21"/>
              </w:rPr>
            </w:pPr>
            <w:r>
              <w:rPr>
                <w:rFonts w:ascii="Times New Roman" w:hAnsi="Times New Roman" w:cs="Times New Roman"/>
                <w:b/>
                <w:bCs/>
                <w:sz w:val="20"/>
                <w:szCs w:val="20"/>
              </w:rPr>
              <w:t xml:space="preserve">Results of multivariate Cox regression model and corresponding risk points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 xml:space="preserve">ensitivity analysis 4: </w:t>
            </w:r>
            <w:r>
              <w:rPr>
                <w:rFonts w:ascii="Times New Roman" w:hAnsi="Times New Roman" w:cs="Times New Roman"/>
                <w:b/>
                <w:bCs/>
                <w:sz w:val="20"/>
                <w:szCs w:val="20"/>
              </w:rPr>
              <w:t>excluding participants who had cancer at baseline</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S6</w:t>
            </w:r>
          </w:p>
        </w:tc>
        <w:tc>
          <w:tcPr>
            <w:tcW w:w="7788" w:type="dxa"/>
          </w:tcPr>
          <w:p>
            <w:pPr>
              <w:jc w:val="left"/>
              <w:rPr>
                <w:rFonts w:ascii="Times New Roman" w:hAnsi="Times New Roman" w:eastAsia="宋体" w:cs="Times New Roman"/>
                <w:b/>
                <w:bCs/>
                <w:kern w:val="0"/>
                <w:sz w:val="20"/>
                <w:szCs w:val="21"/>
              </w:rPr>
            </w:pPr>
            <w:r>
              <w:rPr>
                <w:rFonts w:ascii="Times New Roman" w:hAnsi="Times New Roman" w:cs="Times New Roman"/>
                <w:b/>
                <w:bCs/>
                <w:sz w:val="20"/>
                <w:szCs w:val="20"/>
              </w:rPr>
              <w:t>Results and corresponding risk points</w:t>
            </w:r>
            <w:r>
              <w:rPr>
                <w:rFonts w:hint="eastAsia" w:ascii="Times New Roman" w:hAnsi="Times New Roman" w:cs="Times New Roman"/>
                <w:b/>
                <w:bCs/>
                <w:sz w:val="20"/>
                <w:szCs w:val="20"/>
              </w:rPr>
              <w:t xml:space="preserve"> in</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5:</w:t>
            </w:r>
            <w:r>
              <w:rPr>
                <w:rFonts w:ascii="Times New Roman" w:hAnsi="Times New Roman" w:cs="Times New Roman"/>
                <w:b/>
                <w:bCs/>
                <w:sz w:val="20"/>
                <w:szCs w:val="20"/>
              </w:rPr>
              <w:t xml:space="preserve"> competing risk model by considering death as a competing event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rPr>
              <w:t>Table S</w:t>
            </w:r>
            <w:r>
              <w:rPr>
                <w:rFonts w:hint="eastAsia" w:ascii="Times New Roman" w:hAnsi="Times New Roman" w:eastAsia="宋体" w:cs="Times New Roman"/>
                <w:b/>
                <w:bCs/>
                <w:kern w:val="0"/>
                <w:sz w:val="20"/>
              </w:rPr>
              <w:t>7</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 xml:space="preserve">Risk categories by deciles of the GCRS in the CKB </w:t>
            </w:r>
            <w:r>
              <w:rPr>
                <w:rFonts w:hint="eastAsia" w:ascii="Times New Roman" w:hAnsi="Times New Roman" w:eastAsia="宋体" w:cs="Times New Roman"/>
                <w:b/>
                <w:bCs/>
                <w:kern w:val="0"/>
                <w:sz w:val="20"/>
                <w:szCs w:val="21"/>
                <w:lang w:val="en-US" w:eastAsia="zh-CN"/>
              </w:rPr>
              <w:t>c</w:t>
            </w:r>
            <w:r>
              <w:rPr>
                <w:rFonts w:ascii="Times New Roman" w:hAnsi="Times New Roman" w:eastAsia="宋体" w:cs="Times New Roman"/>
                <w:b/>
                <w:bCs/>
                <w:kern w:val="0"/>
                <w:sz w:val="20"/>
                <w:szCs w:val="21"/>
              </w:rPr>
              <w:t>ohort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w:t>
            </w:r>
            <w:r>
              <w:rPr>
                <w:rFonts w:hint="eastAsia" w:ascii="Times New Roman" w:hAnsi="Times New Roman" w:eastAsia="宋体" w:cs="Times New Roman"/>
                <w:b/>
                <w:bCs/>
                <w:kern w:val="0"/>
                <w:sz w:val="20"/>
              </w:rPr>
              <w:t>8</w:t>
            </w:r>
          </w:p>
        </w:tc>
        <w:tc>
          <w:tcPr>
            <w:tcW w:w="7788" w:type="dxa"/>
          </w:tcPr>
          <w:p>
            <w:pPr>
              <w:jc w:val="left"/>
              <w:rPr>
                <w:rFonts w:ascii="Times New Roman" w:hAnsi="Times New Roman" w:eastAsia="宋体" w:cs="Times New Roman"/>
                <w:b/>
                <w:bCs/>
                <w:kern w:val="0"/>
                <w:sz w:val="20"/>
                <w:szCs w:val="21"/>
              </w:rPr>
            </w:pPr>
            <w:r>
              <w:rPr>
                <w:rFonts w:hint="eastAsia" w:ascii="Times New Roman" w:hAnsi="Times New Roman" w:cs="Times New Roman"/>
                <w:b/>
                <w:bCs/>
                <w:sz w:val="20"/>
                <w:szCs w:val="20"/>
              </w:rPr>
              <w:t xml:space="preserve">Internal validation of the </w:t>
            </w:r>
            <w:r>
              <w:rPr>
                <w:rFonts w:ascii="Times New Roman" w:hAnsi="Times New Roman" w:cs="Times New Roman"/>
                <w:b/>
                <w:bCs/>
                <w:sz w:val="20"/>
                <w:szCs w:val="20"/>
              </w:rPr>
              <w:t xml:space="preserve">GCRS </w:t>
            </w:r>
            <w:r>
              <w:rPr>
                <w:rFonts w:hint="eastAsia" w:ascii="Times New Roman" w:hAnsi="Times New Roman" w:cs="Times New Roman"/>
                <w:b/>
                <w:bCs/>
                <w:sz w:val="20"/>
                <w:szCs w:val="20"/>
              </w:rPr>
              <w:t>in different regions of CKB</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90" w:hRule="atLeast"/>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w:t>
            </w:r>
            <w:r>
              <w:rPr>
                <w:rFonts w:hint="eastAsia" w:ascii="Times New Roman" w:hAnsi="Times New Roman" w:eastAsia="宋体" w:cs="Times New Roman"/>
                <w:b/>
                <w:bCs/>
                <w:kern w:val="0"/>
                <w:sz w:val="20"/>
              </w:rPr>
              <w:t>9</w:t>
            </w:r>
          </w:p>
        </w:tc>
        <w:tc>
          <w:tcPr>
            <w:tcW w:w="7788"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Harrell's C-index</w:t>
            </w:r>
            <w:r>
              <w:rPr>
                <w:rFonts w:ascii="Times New Roman" w:hAnsi="Times New Roman" w:eastAsia="宋体" w:cs="Times New Roman"/>
                <w:b/>
                <w:bCs/>
                <w:kern w:val="0"/>
                <w:sz w:val="20"/>
                <w:szCs w:val="21"/>
              </w:rPr>
              <w:t xml:space="preserve"> of the GCRS from ten-fold cross validation in the CKB cohort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1</w:t>
            </w:r>
            <w:r>
              <w:rPr>
                <w:rFonts w:ascii="Times New Roman" w:hAnsi="Times New Roman" w:eastAsia="宋体" w:cs="Times New Roman"/>
                <w:b/>
                <w:bCs/>
                <w:kern w:val="0"/>
                <w:sz w:val="20"/>
                <w:szCs w:val="21"/>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w:t>
            </w:r>
            <w:r>
              <w:rPr>
                <w:rFonts w:hint="eastAsia" w:ascii="Times New Roman" w:hAnsi="Times New Roman" w:eastAsia="宋体" w:cs="Times New Roman"/>
                <w:b/>
                <w:bCs/>
                <w:kern w:val="0"/>
                <w:sz w:val="20"/>
              </w:rPr>
              <w:t>10</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Risk categories of the GCRS in the Changzhou cohort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w:t>
            </w:r>
            <w:r>
              <w:rPr>
                <w:rFonts w:hint="eastAsia" w:ascii="Times New Roman" w:hAnsi="Times New Roman" w:eastAsia="宋体" w:cs="Times New Roman"/>
                <w:b/>
                <w:bCs/>
                <w:kern w:val="0"/>
                <w:sz w:val="20"/>
              </w:rPr>
              <w:t>11</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Risk categories and associated 3-year, 5-year, and 10-year risk of incident GC derived from CKB</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w:t>
            </w:r>
            <w:r>
              <w:rPr>
                <w:rFonts w:hint="eastAsia" w:ascii="Times New Roman" w:hAnsi="Times New Roman" w:eastAsia="宋体" w:cs="Times New Roman"/>
                <w:b/>
                <w:bCs/>
                <w:kern w:val="0"/>
                <w:sz w:val="20"/>
              </w:rPr>
              <w:t>12</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Risk categories of different gastric lesions in the Yangzhou screening program</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hint="eastAsia" w:ascii="Times New Roman" w:hAnsi="Times New Roman" w:eastAsia="宋体" w:cs="Times New Roman"/>
                <w:b/>
                <w:bCs/>
                <w:kern w:val="0"/>
                <w:sz w:val="20"/>
              </w:rPr>
              <w:t>Table S13</w:t>
            </w:r>
          </w:p>
        </w:tc>
        <w:tc>
          <w:tcPr>
            <w:tcW w:w="7788" w:type="dxa"/>
          </w:tcPr>
          <w:p>
            <w:pPr>
              <w:rPr>
                <w:rFonts w:ascii="Times New Roman" w:hAnsi="Times New Roman" w:eastAsia="宋体" w:cs="Times New Roman"/>
                <w:b/>
                <w:bCs/>
                <w:kern w:val="0"/>
                <w:sz w:val="20"/>
                <w:szCs w:val="21"/>
              </w:rPr>
            </w:pPr>
            <w:r>
              <w:rPr>
                <w:rFonts w:hint="eastAsia" w:ascii="Times New Roman" w:hAnsi="Times New Roman" w:cs="Times New Roman"/>
                <w:b/>
                <w:bCs/>
                <w:sz w:val="20"/>
                <w:szCs w:val="20"/>
              </w:rPr>
              <w:t xml:space="preserve">Performance of the </w:t>
            </w:r>
            <w:r>
              <w:rPr>
                <w:rFonts w:ascii="Times New Roman" w:hAnsi="Times New Roman" w:cs="Times New Roman"/>
                <w:b/>
                <w:bCs/>
                <w:sz w:val="20"/>
                <w:szCs w:val="20"/>
              </w:rPr>
              <w:t>GCRS</w:t>
            </w:r>
            <w:r>
              <w:rPr>
                <w:rFonts w:hint="eastAsia" w:ascii="Times New Roman" w:hAnsi="Times New Roman" w:cs="Times New Roman"/>
                <w:b/>
                <w:bCs/>
                <w:sz w:val="20"/>
                <w:szCs w:val="20"/>
              </w:rPr>
              <w:t xml:space="preserve"> across different predicted risk cutoffs in the </w:t>
            </w:r>
            <w:r>
              <w:rPr>
                <w:rFonts w:ascii="Times New Roman" w:hAnsi="Times New Roman" w:cs="Times New Roman"/>
                <w:b/>
                <w:bCs/>
                <w:sz w:val="20"/>
                <w:szCs w:val="20"/>
              </w:rPr>
              <w:t>Yangzhou screening program</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w:t>
            </w:r>
            <w:r>
              <w:rPr>
                <w:rFonts w:hint="eastAsia" w:ascii="Times New Roman" w:hAnsi="Times New Roman" w:eastAsia="宋体" w:cs="Times New Roman"/>
                <w:b/>
                <w:bCs/>
                <w:kern w:val="0"/>
                <w:sz w:val="20"/>
              </w:rPr>
              <w:t>14</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 xml:space="preserve">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1:</w:t>
            </w:r>
            <w:r>
              <w:rPr>
                <w:rFonts w:ascii="Times New Roman" w:hAnsi="Times New Roman" w:eastAsia="宋体" w:cs="Times New Roman"/>
                <w:b/>
                <w:bCs/>
                <w:kern w:val="0"/>
                <w:sz w:val="20"/>
                <w:szCs w:val="21"/>
              </w:rPr>
              <w:t xml:space="preserve"> excluding weak variables in the simplified model</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S1</w:t>
            </w:r>
            <w:r>
              <w:rPr>
                <w:rFonts w:hint="eastAsia" w:ascii="Times New Roman" w:hAnsi="Times New Roman" w:eastAsia="宋体" w:cs="Times New Roman"/>
                <w:b/>
                <w:bCs/>
                <w:kern w:val="0"/>
                <w:sz w:val="20"/>
              </w:rPr>
              <w:t>5</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 xml:space="preserve">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2:</w:t>
            </w:r>
            <w:r>
              <w:rPr>
                <w:rFonts w:ascii="Times New Roman" w:hAnsi="Times New Roman" w:eastAsia="宋体" w:cs="Times New Roman"/>
                <w:b/>
                <w:bCs/>
                <w:kern w:val="0"/>
                <w:sz w:val="20"/>
                <w:szCs w:val="21"/>
              </w:rPr>
              <w:t xml:space="preserve"> integrating lifestyle factors as an index</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Table S1</w:t>
            </w:r>
            <w:r>
              <w:rPr>
                <w:rFonts w:hint="eastAsia" w:ascii="Times New Roman" w:hAnsi="Times New Roman" w:eastAsia="宋体" w:cs="Times New Roman"/>
                <w:b/>
                <w:bCs/>
                <w:kern w:val="0"/>
                <w:sz w:val="20"/>
              </w:rPr>
              <w:t>6</w:t>
            </w:r>
          </w:p>
        </w:tc>
        <w:tc>
          <w:tcPr>
            <w:tcW w:w="7788" w:type="dxa"/>
          </w:tcPr>
          <w:p>
            <w:pPr>
              <w:jc w:val="left"/>
              <w:rPr>
                <w:rFonts w:ascii="Times New Roman" w:hAnsi="Times New Roman" w:eastAsia="宋体" w:cs="Times New Roman"/>
                <w:b/>
                <w:bCs/>
                <w:kern w:val="0"/>
                <w:sz w:val="20"/>
                <w:szCs w:val="21"/>
              </w:rPr>
            </w:pPr>
            <w:r>
              <w:rPr>
                <w:rFonts w:ascii="Times New Roman" w:hAnsi="Times New Roman" w:cs="Times New Roman"/>
                <w:b/>
                <w:bCs/>
                <w:sz w:val="20"/>
                <w:szCs w:val="20"/>
              </w:rPr>
              <w:t xml:space="preserve">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3:</w:t>
            </w:r>
            <w:r>
              <w:rPr>
                <w:rFonts w:ascii="Times New Roman" w:hAnsi="Times New Roman" w:cs="Times New Roman"/>
                <w:b/>
                <w:bCs/>
                <w:sz w:val="20"/>
                <w:szCs w:val="20"/>
              </w:rPr>
              <w:t xml:space="preserve"> excluding participants who had GC diagnosis within </w:t>
            </w:r>
            <w:r>
              <w:rPr>
                <w:rFonts w:hint="eastAsia" w:ascii="Times New Roman" w:hAnsi="Times New Roman" w:cs="Times New Roman"/>
                <w:b/>
                <w:bCs/>
                <w:sz w:val="20"/>
                <w:szCs w:val="20"/>
              </w:rPr>
              <w:t>the first year</w:t>
            </w:r>
            <w:r>
              <w:rPr>
                <w:rFonts w:ascii="Times New Roman" w:hAnsi="Times New Roman" w:cs="Times New Roman"/>
                <w:b/>
                <w:bCs/>
                <w:sz w:val="20"/>
                <w:szCs w:val="20"/>
              </w:rPr>
              <w:t xml:space="preserve"> after recruitment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17</w:t>
            </w:r>
          </w:p>
        </w:tc>
        <w:tc>
          <w:tcPr>
            <w:tcW w:w="7788" w:type="dxa"/>
          </w:tcPr>
          <w:p>
            <w:pPr>
              <w:jc w:val="left"/>
              <w:rPr>
                <w:rFonts w:ascii="Times New Roman" w:hAnsi="Times New Roman" w:eastAsia="宋体" w:cs="Times New Roman"/>
                <w:b/>
                <w:bCs/>
                <w:kern w:val="0"/>
                <w:sz w:val="20"/>
                <w:szCs w:val="21"/>
              </w:rPr>
            </w:pPr>
            <w:r>
              <w:rPr>
                <w:rFonts w:ascii="Times New Roman" w:hAnsi="Times New Roman" w:cs="Times New Roman"/>
                <w:b/>
                <w:bCs/>
                <w:sz w:val="20"/>
                <w:szCs w:val="20"/>
              </w:rPr>
              <w:t xml:space="preserve">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 xml:space="preserve">ensitivity analysis 4: </w:t>
            </w:r>
            <w:r>
              <w:rPr>
                <w:rFonts w:ascii="Times New Roman" w:hAnsi="Times New Roman" w:cs="Times New Roman"/>
                <w:b/>
                <w:bCs/>
                <w:sz w:val="20"/>
                <w:szCs w:val="20"/>
              </w:rPr>
              <w:t>excluding participants who had cancer at baseline</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18</w:t>
            </w:r>
          </w:p>
        </w:tc>
        <w:tc>
          <w:tcPr>
            <w:tcW w:w="7788" w:type="dxa"/>
          </w:tcPr>
          <w:p>
            <w:pPr>
              <w:jc w:val="left"/>
              <w:rPr>
                <w:rFonts w:ascii="Times New Roman" w:hAnsi="Times New Roman" w:eastAsia="宋体" w:cs="Times New Roman"/>
                <w:b/>
                <w:bCs/>
                <w:kern w:val="0"/>
                <w:sz w:val="20"/>
                <w:szCs w:val="21"/>
              </w:rPr>
            </w:pPr>
            <w:r>
              <w:rPr>
                <w:rFonts w:ascii="Times New Roman" w:hAnsi="Times New Roman" w:cs="Times New Roman"/>
                <w:b/>
                <w:bCs/>
                <w:sz w:val="20"/>
                <w:szCs w:val="20"/>
              </w:rPr>
              <w:t>Risk categories of different gastric lesions in the Yangzhou screening program</w:t>
            </w:r>
            <w:r>
              <w:rPr>
                <w:rFonts w:hint="eastAsia" w:ascii="Times New Roman" w:hAnsi="Times New Roman" w:cs="Times New Roman"/>
                <w:b/>
                <w:bCs/>
                <w:sz w:val="20"/>
                <w:szCs w:val="20"/>
              </w:rPr>
              <w:t xml:space="preserve"> in</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5:</w:t>
            </w:r>
            <w:r>
              <w:rPr>
                <w:rFonts w:ascii="Times New Roman" w:hAnsi="Times New Roman" w:cs="Times New Roman"/>
                <w:b/>
                <w:bCs/>
                <w:sz w:val="20"/>
                <w:szCs w:val="20"/>
              </w:rPr>
              <w:t xml:space="preserve"> competing risk model</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19</w:t>
            </w:r>
          </w:p>
        </w:tc>
        <w:tc>
          <w:tcPr>
            <w:tcW w:w="7788" w:type="dxa"/>
          </w:tcPr>
          <w:p>
            <w:pPr>
              <w:jc w:val="left"/>
              <w:rPr>
                <w:rFonts w:ascii="Times New Roman" w:hAnsi="Times New Roman" w:eastAsia="宋体" w:cs="Times New Roman"/>
                <w:b/>
                <w:bCs/>
                <w:kern w:val="0"/>
                <w:sz w:val="20"/>
                <w:szCs w:val="21"/>
              </w:rPr>
            </w:pPr>
            <w:r>
              <w:rPr>
                <w:rFonts w:ascii="Times New Roman" w:hAnsi="Times New Roman" w:cs="Times New Roman"/>
                <w:b/>
                <w:bCs/>
                <w:sz w:val="20"/>
                <w:szCs w:val="20"/>
              </w:rPr>
              <w:t>The GCRS and corresponding 3-year, 5-year, and 10-year risk of incident GC derived from the CKB cohort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Fig</w:t>
            </w:r>
            <w:r>
              <w:rPr>
                <w:rFonts w:hint="eastAsia" w:ascii="Times New Roman" w:hAnsi="Times New Roman" w:eastAsia="宋体" w:cs="Times New Roman"/>
                <w:b/>
                <w:bCs/>
                <w:kern w:val="0"/>
                <w:sz w:val="20"/>
                <w:lang w:val="en-US" w:eastAsia="zh-CN"/>
              </w:rPr>
              <w:t>.</w:t>
            </w:r>
            <w:r>
              <w:rPr>
                <w:rFonts w:ascii="Times New Roman" w:hAnsi="Times New Roman" w:eastAsia="宋体" w:cs="Times New Roman"/>
                <w:b/>
                <w:bCs/>
                <w:kern w:val="0"/>
                <w:sz w:val="20"/>
              </w:rPr>
              <w:t xml:space="preserve"> S1</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Study design and eligible participants’ selection procedures in three studies</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Fig</w:t>
            </w:r>
            <w:r>
              <w:rPr>
                <w:rFonts w:hint="eastAsia" w:ascii="Times New Roman" w:hAnsi="Times New Roman" w:eastAsia="宋体" w:cs="Times New Roman"/>
                <w:b/>
                <w:bCs/>
                <w:kern w:val="0"/>
                <w:sz w:val="20"/>
                <w:lang w:val="en-US" w:eastAsia="zh-CN"/>
              </w:rPr>
              <w:t>.</w:t>
            </w:r>
            <w:r>
              <w:rPr>
                <w:rFonts w:ascii="Times New Roman" w:hAnsi="Times New Roman" w:eastAsia="宋体" w:cs="Times New Roman"/>
                <w:b/>
                <w:bCs/>
                <w:kern w:val="0"/>
                <w:sz w:val="20"/>
              </w:rPr>
              <w:t xml:space="preserve"> S2</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The relationship of the GCRS with incident GC risk in the CKB cohort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Fig</w:t>
            </w:r>
            <w:r>
              <w:rPr>
                <w:rFonts w:hint="eastAsia" w:ascii="Times New Roman" w:hAnsi="Times New Roman" w:eastAsia="宋体" w:cs="Times New Roman"/>
                <w:b/>
                <w:bCs/>
                <w:kern w:val="0"/>
                <w:sz w:val="20"/>
                <w:lang w:val="en-US" w:eastAsia="zh-CN"/>
              </w:rPr>
              <w:t>.</w:t>
            </w:r>
            <w:r>
              <w:rPr>
                <w:rFonts w:ascii="Times New Roman" w:hAnsi="Times New Roman" w:eastAsia="宋体" w:cs="Times New Roman"/>
                <w:b/>
                <w:bCs/>
                <w:kern w:val="0"/>
                <w:sz w:val="20"/>
              </w:rPr>
              <w:t xml:space="preserve"> S3</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The relationship of the GCRS with incident GC risk in the Changzhou cohort</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Fig</w:t>
            </w:r>
            <w:r>
              <w:rPr>
                <w:rFonts w:hint="eastAsia" w:ascii="Times New Roman" w:hAnsi="Times New Roman" w:eastAsia="宋体" w:cs="Times New Roman"/>
                <w:b/>
                <w:bCs/>
                <w:kern w:val="0"/>
                <w:sz w:val="20"/>
                <w:lang w:val="en-US" w:eastAsia="zh-CN"/>
              </w:rPr>
              <w:t>.</w:t>
            </w:r>
            <w:r>
              <w:rPr>
                <w:rFonts w:ascii="Times New Roman" w:hAnsi="Times New Roman" w:eastAsia="宋体" w:cs="Times New Roman"/>
                <w:b/>
                <w:bCs/>
                <w:kern w:val="0"/>
                <w:sz w:val="20"/>
              </w:rPr>
              <w:t xml:space="preserve"> S</w:t>
            </w:r>
            <w:r>
              <w:rPr>
                <w:rFonts w:hint="eastAsia" w:ascii="Times New Roman" w:hAnsi="Times New Roman" w:eastAsia="宋体" w:cs="Times New Roman"/>
                <w:b/>
                <w:bCs/>
                <w:kern w:val="0"/>
                <w:sz w:val="20"/>
              </w:rPr>
              <w:t>4</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 xml:space="preserve">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1:</w:t>
            </w:r>
            <w:r>
              <w:rPr>
                <w:rFonts w:ascii="Times New Roman" w:hAnsi="Times New Roman" w:eastAsia="宋体" w:cs="Times New Roman"/>
                <w:b/>
                <w:bCs/>
                <w:kern w:val="0"/>
                <w:sz w:val="20"/>
                <w:szCs w:val="21"/>
              </w:rPr>
              <w:t xml:space="preserve"> excluding weak variables in the simplified model</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eastAsia="宋体" w:cs="Times New Roman"/>
                <w:b/>
                <w:bCs/>
                <w:kern w:val="0"/>
                <w:sz w:val="20"/>
              </w:rPr>
            </w:pPr>
            <w:r>
              <w:rPr>
                <w:rFonts w:ascii="Times New Roman" w:hAnsi="Times New Roman" w:eastAsia="宋体" w:cs="Times New Roman"/>
                <w:b/>
                <w:bCs/>
                <w:kern w:val="0"/>
                <w:sz w:val="20"/>
              </w:rPr>
              <w:t>Fig</w:t>
            </w:r>
            <w:r>
              <w:rPr>
                <w:rFonts w:hint="eastAsia" w:ascii="Times New Roman" w:hAnsi="Times New Roman" w:eastAsia="宋体" w:cs="Times New Roman"/>
                <w:b/>
                <w:bCs/>
                <w:kern w:val="0"/>
                <w:sz w:val="20"/>
                <w:lang w:val="en-US" w:eastAsia="zh-CN"/>
              </w:rPr>
              <w:t>.</w:t>
            </w:r>
            <w:r>
              <w:rPr>
                <w:rFonts w:ascii="Times New Roman" w:hAnsi="Times New Roman" w:eastAsia="宋体" w:cs="Times New Roman"/>
                <w:b/>
                <w:bCs/>
                <w:kern w:val="0"/>
                <w:sz w:val="20"/>
              </w:rPr>
              <w:t xml:space="preserve"> S</w:t>
            </w:r>
            <w:r>
              <w:rPr>
                <w:rFonts w:hint="eastAsia" w:ascii="Times New Roman" w:hAnsi="Times New Roman" w:eastAsia="宋体" w:cs="Times New Roman"/>
                <w:b/>
                <w:bCs/>
                <w:kern w:val="0"/>
                <w:sz w:val="20"/>
              </w:rPr>
              <w:t>5</w:t>
            </w:r>
          </w:p>
        </w:tc>
        <w:tc>
          <w:tcPr>
            <w:tcW w:w="7788" w:type="dxa"/>
          </w:tcPr>
          <w:p>
            <w:pPr>
              <w:jc w:val="left"/>
              <w:rPr>
                <w:rFonts w:ascii="Times New Roman" w:hAnsi="Times New Roman" w:eastAsia="宋体" w:cs="Times New Roman"/>
                <w:b/>
                <w:bCs/>
                <w:kern w:val="0"/>
                <w:sz w:val="20"/>
                <w:szCs w:val="21"/>
              </w:rPr>
            </w:pPr>
            <w:r>
              <w:rPr>
                <w:rFonts w:ascii="Times New Roman" w:hAnsi="Times New Roman" w:eastAsia="宋体" w:cs="Times New Roman"/>
                <w:b/>
                <w:bCs/>
                <w:kern w:val="0"/>
                <w:sz w:val="20"/>
                <w:szCs w:val="21"/>
              </w:rPr>
              <w:t xml:space="preserve">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2:</w:t>
            </w:r>
            <w:r>
              <w:rPr>
                <w:rFonts w:ascii="Times New Roman" w:hAnsi="Times New Roman" w:eastAsia="宋体" w:cs="Times New Roman"/>
                <w:b/>
                <w:bCs/>
                <w:kern w:val="0"/>
                <w:sz w:val="20"/>
                <w:szCs w:val="21"/>
              </w:rPr>
              <w:t xml:space="preserve"> integrating lifestyle factors as an index</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Borders>
              <w:bottom w:val="nil"/>
            </w:tcBorders>
          </w:tcPr>
          <w:p>
            <w:pPr>
              <w:jc w:val="left"/>
              <w:rPr>
                <w:rFonts w:ascii="Times New Roman" w:hAnsi="Times New Roman" w:cs="Times New Roman"/>
                <w:b/>
                <w:bCs/>
                <w:kern w:val="0"/>
                <w:sz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w:t>
            </w:r>
            <w:r>
              <w:rPr>
                <w:rFonts w:hint="eastAsia" w:ascii="Times New Roman" w:hAnsi="Times New Roman" w:cs="Times New Roman"/>
                <w:b/>
                <w:bCs/>
                <w:sz w:val="20"/>
                <w:szCs w:val="20"/>
              </w:rPr>
              <w:t>6</w:t>
            </w:r>
          </w:p>
        </w:tc>
        <w:tc>
          <w:tcPr>
            <w:tcW w:w="7788" w:type="dxa"/>
            <w:tcBorders>
              <w:bottom w:val="nil"/>
            </w:tcBorders>
          </w:tcPr>
          <w:p>
            <w:pPr>
              <w:jc w:val="left"/>
              <w:rPr>
                <w:rFonts w:ascii="Times New Roman" w:hAnsi="Times New Roman" w:eastAsia="宋体" w:cs="Times New Roman"/>
                <w:b/>
                <w:bCs/>
                <w:kern w:val="0"/>
                <w:sz w:val="20"/>
              </w:rPr>
            </w:pPr>
            <w:r>
              <w:rPr>
                <w:rFonts w:ascii="Times New Roman" w:hAnsi="Times New Roman" w:cs="Times New Roman"/>
                <w:b/>
                <w:bCs/>
                <w:sz w:val="20"/>
                <w:szCs w:val="20"/>
              </w:rPr>
              <w:t xml:space="preserve">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3:</w:t>
            </w:r>
            <w:r>
              <w:rPr>
                <w:rFonts w:ascii="Times New Roman" w:hAnsi="Times New Roman" w:cs="Times New Roman"/>
                <w:b/>
                <w:bCs/>
                <w:sz w:val="20"/>
                <w:szCs w:val="20"/>
              </w:rPr>
              <w:t xml:space="preserve"> excluding participants who had GC diagnosis within </w:t>
            </w:r>
            <w:r>
              <w:rPr>
                <w:rFonts w:hint="eastAsia" w:ascii="Times New Roman" w:hAnsi="Times New Roman" w:cs="Times New Roman"/>
                <w:b/>
                <w:bCs/>
                <w:sz w:val="20"/>
                <w:szCs w:val="20"/>
              </w:rPr>
              <w:t>the first year</w:t>
            </w:r>
            <w:r>
              <w:rPr>
                <w:rFonts w:ascii="Times New Roman" w:hAnsi="Times New Roman" w:cs="Times New Roman"/>
                <w:b/>
                <w:bCs/>
                <w:sz w:val="20"/>
                <w:szCs w:val="20"/>
              </w:rPr>
              <w:t xml:space="preserve"> after recruitment</w:t>
            </w:r>
          </w:p>
        </w:tc>
        <w:tc>
          <w:tcPr>
            <w:tcW w:w="567" w:type="dxa"/>
            <w:tcBorders>
              <w:bottom w:val="nil"/>
            </w:tcBorders>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Pr>
          <w:p>
            <w:pPr>
              <w:jc w:val="left"/>
              <w:rPr>
                <w:rFonts w:ascii="Times New Roman" w:hAnsi="Times New Roman" w:cs="Times New Roman"/>
                <w:b/>
                <w:bCs/>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w:t>
            </w:r>
            <w:r>
              <w:rPr>
                <w:rFonts w:hint="eastAsia" w:ascii="Times New Roman" w:hAnsi="Times New Roman" w:cs="Times New Roman"/>
                <w:b/>
                <w:bCs/>
                <w:sz w:val="20"/>
                <w:szCs w:val="20"/>
              </w:rPr>
              <w:t>7</w:t>
            </w:r>
          </w:p>
        </w:tc>
        <w:tc>
          <w:tcPr>
            <w:tcW w:w="7788" w:type="dxa"/>
          </w:tcPr>
          <w:p>
            <w:pPr>
              <w:jc w:val="left"/>
              <w:rPr>
                <w:rFonts w:ascii="Times New Roman" w:hAnsi="Times New Roman" w:cs="Times New Roman"/>
                <w:b/>
                <w:bCs/>
                <w:sz w:val="20"/>
                <w:szCs w:val="20"/>
              </w:rPr>
            </w:pPr>
            <w:r>
              <w:rPr>
                <w:rFonts w:ascii="Times New Roman" w:hAnsi="Times New Roman" w:cs="Times New Roman"/>
                <w:b/>
                <w:bCs/>
                <w:sz w:val="20"/>
                <w:szCs w:val="20"/>
              </w:rPr>
              <w:t xml:space="preserve">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 xml:space="preserve">ensitivity analysis 4: </w:t>
            </w:r>
            <w:r>
              <w:rPr>
                <w:rFonts w:ascii="Times New Roman" w:hAnsi="Times New Roman" w:cs="Times New Roman"/>
                <w:b/>
                <w:bCs/>
                <w:sz w:val="20"/>
                <w:szCs w:val="20"/>
              </w:rPr>
              <w:t>excluding participants who had cancer at baseline</w:t>
            </w:r>
          </w:p>
        </w:tc>
        <w:tc>
          <w:tcPr>
            <w:tcW w:w="567" w:type="dxa"/>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1143" w:type="dxa"/>
            <w:tcBorders>
              <w:bottom w:val="single" w:color="auto" w:sz="4" w:space="0"/>
            </w:tcBorders>
          </w:tcPr>
          <w:p>
            <w:pPr>
              <w:jc w:val="left"/>
              <w:rPr>
                <w:rFonts w:ascii="Times New Roman" w:hAnsi="Times New Roman" w:cs="Times New Roman"/>
                <w:b/>
                <w:bCs/>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bookmarkStart w:id="0" w:name="_GoBack"/>
            <w:bookmarkEnd w:id="0"/>
            <w:r>
              <w:rPr>
                <w:rFonts w:ascii="Times New Roman" w:hAnsi="Times New Roman" w:cs="Times New Roman"/>
                <w:b/>
                <w:bCs/>
                <w:sz w:val="20"/>
                <w:szCs w:val="20"/>
              </w:rPr>
              <w:t xml:space="preserve"> S</w:t>
            </w:r>
            <w:r>
              <w:rPr>
                <w:rFonts w:hint="eastAsia" w:ascii="Times New Roman" w:hAnsi="Times New Roman" w:cs="Times New Roman"/>
                <w:b/>
                <w:bCs/>
                <w:sz w:val="20"/>
                <w:szCs w:val="20"/>
              </w:rPr>
              <w:t>8</w:t>
            </w:r>
          </w:p>
        </w:tc>
        <w:tc>
          <w:tcPr>
            <w:tcW w:w="7788" w:type="dxa"/>
            <w:tcBorders>
              <w:bottom w:val="single" w:color="auto" w:sz="4" w:space="0"/>
            </w:tcBorders>
          </w:tcPr>
          <w:p>
            <w:pPr>
              <w:jc w:val="left"/>
              <w:rPr>
                <w:rFonts w:ascii="Times New Roman" w:hAnsi="Times New Roman" w:cs="Times New Roman"/>
                <w:b/>
                <w:bCs/>
                <w:sz w:val="20"/>
                <w:szCs w:val="20"/>
              </w:rPr>
            </w:pPr>
            <w:r>
              <w:rPr>
                <w:rFonts w:ascii="Times New Roman" w:hAnsi="Times New Roman" w:cs="Times New Roman"/>
                <w:b/>
                <w:bCs/>
                <w:sz w:val="20"/>
                <w:szCs w:val="20"/>
              </w:rPr>
              <w:t xml:space="preserve">Calibration and discrimination of the GCRS </w:t>
            </w:r>
            <w:r>
              <w:rPr>
                <w:rFonts w:hint="eastAsia" w:ascii="Times New Roman" w:hAnsi="Times New Roman" w:cs="Times New Roman"/>
                <w:b/>
                <w:bCs/>
                <w:sz w:val="20"/>
                <w:szCs w:val="20"/>
              </w:rPr>
              <w:t>in</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5:</w:t>
            </w:r>
            <w:r>
              <w:rPr>
                <w:rFonts w:ascii="Times New Roman" w:hAnsi="Times New Roman" w:cs="Times New Roman"/>
                <w:b/>
                <w:bCs/>
                <w:sz w:val="20"/>
                <w:szCs w:val="20"/>
              </w:rPr>
              <w:t xml:space="preserve"> competing risk model</w:t>
            </w:r>
          </w:p>
        </w:tc>
        <w:tc>
          <w:tcPr>
            <w:tcW w:w="567" w:type="dxa"/>
            <w:tcBorders>
              <w:bottom w:val="single" w:color="auto" w:sz="4" w:space="0"/>
            </w:tcBorders>
          </w:tcPr>
          <w:p>
            <w:pPr>
              <w:jc w:val="left"/>
              <w:rPr>
                <w:rFonts w:ascii="Times New Roman" w:hAnsi="Times New Roman" w:eastAsia="宋体" w:cs="Times New Roman"/>
                <w:b/>
                <w:bCs/>
                <w:kern w:val="0"/>
                <w:sz w:val="20"/>
                <w:szCs w:val="21"/>
              </w:rPr>
            </w:pPr>
            <w:r>
              <w:rPr>
                <w:rFonts w:hint="eastAsia" w:ascii="Times New Roman" w:hAnsi="Times New Roman" w:eastAsia="宋体" w:cs="Times New Roman"/>
                <w:b/>
                <w:bCs/>
                <w:kern w:val="0"/>
                <w:sz w:val="20"/>
                <w:szCs w:val="21"/>
              </w:rPr>
              <w:t>36</w:t>
            </w:r>
          </w:p>
        </w:tc>
      </w:tr>
    </w:tbl>
    <w:p>
      <w:pPr>
        <w:jc w:val="left"/>
        <w:rPr>
          <w:rFonts w:ascii="Times New Roman" w:hAnsi="Times New Roman" w:cs="Times New Roman"/>
          <w:b/>
          <w:bCs/>
          <w:sz w:val="20"/>
          <w:szCs w:val="20"/>
        </w:rPr>
      </w:pPr>
      <w:r>
        <w:rPr>
          <w:rFonts w:ascii="Times New Roman" w:hAnsi="Times New Roman" w:cs="Times New Roman"/>
          <w:b/>
          <w:bCs/>
          <w:sz w:val="20"/>
          <w:szCs w:val="20"/>
        </w:rPr>
        <w:br w:type="page"/>
      </w:r>
    </w:p>
    <w:p>
      <w:pPr>
        <w:jc w:val="left"/>
        <w:rPr>
          <w:rFonts w:ascii="Times New Roman" w:hAnsi="Times New Roman" w:cs="Times New Roman"/>
          <w:sz w:val="20"/>
          <w:szCs w:val="20"/>
        </w:rPr>
      </w:pPr>
      <w:r>
        <w:rPr>
          <w:rFonts w:ascii="Times New Roman" w:hAnsi="Times New Roman" w:cs="Times New Roman"/>
          <w:b/>
          <w:bCs/>
          <w:sz w:val="20"/>
          <w:szCs w:val="20"/>
        </w:rPr>
        <w:t>1.0 Study design and subjects</w:t>
      </w:r>
    </w:p>
    <w:p>
      <w:pPr>
        <w:jc w:val="left"/>
        <w:rPr>
          <w:rFonts w:ascii="Times New Roman" w:hAnsi="Times New Roman" w:cs="Times New Roman"/>
          <w:sz w:val="20"/>
          <w:szCs w:val="20"/>
        </w:rPr>
      </w:pPr>
      <w:r>
        <w:rPr>
          <w:rFonts w:ascii="Times New Roman" w:hAnsi="Times New Roman" w:cs="Times New Roman"/>
          <w:b/>
          <w:bCs/>
          <w:sz w:val="20"/>
          <w:szCs w:val="20"/>
        </w:rPr>
        <w:t>Development cohort</w:t>
      </w:r>
      <w:r>
        <w:rPr>
          <w:rFonts w:ascii="Times New Roman" w:hAnsi="Times New Roman" w:cs="Times New Roman"/>
          <w:sz w:val="20"/>
          <w:szCs w:val="20"/>
        </w:rPr>
        <w:t>: The China Kadoorie Biobank (CKB) is the largest prospective cohort study in China of over 0.5 million adults (aged 30-79 years) recruited between June 25, 2004, and July 15, 2008, from ten areas (five urban and five rural) whose study design has been reported previously. Permanent residents of 100-150 rural villages or urban committees were invited to participate in each area. An interviewer-administered electronic questionnaire of each participant was completed and some physical indexes were measured at baseline. All participants provided written informed consent. Regional, national</w:t>
      </w:r>
      <w:r>
        <w:rPr>
          <w:rFonts w:hint="eastAsia" w:ascii="Times New Roman" w:hAnsi="Times New Roman" w:cs="Times New Roman"/>
          <w:sz w:val="20"/>
          <w:szCs w:val="20"/>
          <w:lang w:val="en-US" w:eastAsia="zh-CN"/>
        </w:rPr>
        <w:t>,</w:t>
      </w:r>
      <w:r>
        <w:rPr>
          <w:rFonts w:ascii="Times New Roman" w:hAnsi="Times New Roman" w:cs="Times New Roman"/>
          <w:sz w:val="20"/>
          <w:szCs w:val="20"/>
        </w:rPr>
        <w:t xml:space="preserve"> and international ethics approval was obtained prior to the start of recruitment. For this study, a total of 512,714 adults were initially enrolled. After the exclusion of 264 participants who were prediagnosed </w:t>
      </w:r>
      <w:r>
        <w:rPr>
          <w:rFonts w:hint="eastAsia" w:ascii="Times New Roman" w:hAnsi="Times New Roman" w:cs="Times New Roman"/>
          <w:sz w:val="20"/>
          <w:szCs w:val="20"/>
          <w:lang w:val="en-US" w:eastAsia="zh-CN"/>
        </w:rPr>
        <w:t xml:space="preserve">with </w:t>
      </w:r>
      <w:r>
        <w:rPr>
          <w:rFonts w:ascii="Times New Roman" w:hAnsi="Times New Roman" w:cs="Times New Roman"/>
          <w:sz w:val="20"/>
          <w:szCs w:val="20"/>
        </w:rPr>
        <w:t>gastric cancer before baseline, 81,047 who were outside the target age range, and 15,060 for whom specific covariates were not available, a total of 416,343 subjects fulfilled all criteria and were included in the final analyses (</w:t>
      </w:r>
      <w:r>
        <w:rPr>
          <w:rFonts w:hint="eastAsia" w:ascii="Times New Roman" w:hAnsi="Times New Roman" w:cs="Times New Roman"/>
          <w:b/>
          <w:sz w:val="20"/>
          <w:szCs w:val="20"/>
        </w:rPr>
        <w:t>Figure S1</w:t>
      </w:r>
      <w:r>
        <w:rPr>
          <w:rFonts w:ascii="Times New Roman" w:hAnsi="Times New Roman" w:cs="Times New Roman"/>
          <w:sz w:val="20"/>
          <w:szCs w:val="20"/>
        </w:rPr>
        <w:t xml:space="preserve">). The median follow-up time was 10.1 person-years. </w:t>
      </w:r>
    </w:p>
    <w:p>
      <w:pPr>
        <w:jc w:val="left"/>
        <w:rPr>
          <w:rFonts w:ascii="Times New Roman" w:hAnsi="Times New Roman" w:cs="Times New Roman"/>
          <w:sz w:val="20"/>
          <w:szCs w:val="20"/>
        </w:rPr>
      </w:pPr>
    </w:p>
    <w:p>
      <w:pPr>
        <w:jc w:val="left"/>
        <w:rPr>
          <w:rFonts w:ascii="Times New Roman" w:hAnsi="Times New Roman" w:cs="Times New Roman"/>
          <w:sz w:val="20"/>
          <w:szCs w:val="20"/>
        </w:rPr>
      </w:pPr>
      <w:r>
        <w:rPr>
          <w:rFonts w:ascii="Times New Roman" w:hAnsi="Times New Roman" w:cs="Times New Roman"/>
          <w:b/>
          <w:bCs/>
          <w:sz w:val="20"/>
          <w:szCs w:val="20"/>
        </w:rPr>
        <w:t>Validation cohort</w:t>
      </w:r>
      <w:r>
        <w:rPr>
          <w:rFonts w:ascii="Times New Roman" w:hAnsi="Times New Roman" w:cs="Times New Roman"/>
          <w:sz w:val="20"/>
          <w:szCs w:val="20"/>
        </w:rPr>
        <w:t xml:space="preserve">: Wujin District is in Changzhou City, located in the southern part of Jiangsu Province on the eastern coast of mainland China. Twenty-three administrative units (villages or street committees) were selected by using the multi-stage cluster sampling method as study areas based on geographic location and levels of economic development. Permanent residents aged 35 years or older were invited by the village doctors. All studies were approved by the relevant institutional review boards and all participants provided written informed consent. A total of 20,803 residents of Wujin District were included in this survey from April 2004 to August 2005 and completed </w:t>
      </w:r>
      <w:r>
        <w:rPr>
          <w:rFonts w:hint="eastAsia" w:ascii="Times New Roman" w:hAnsi="Times New Roman" w:cs="Times New Roman"/>
          <w:sz w:val="20"/>
          <w:szCs w:val="20"/>
          <w:lang w:val="en-US" w:eastAsia="zh-CN"/>
        </w:rPr>
        <w:t xml:space="preserve">the </w:t>
      </w:r>
      <w:r>
        <w:rPr>
          <w:rFonts w:ascii="Times New Roman" w:hAnsi="Times New Roman" w:cs="Times New Roman"/>
          <w:sz w:val="20"/>
          <w:szCs w:val="20"/>
        </w:rPr>
        <w:t>baseline survey and long-term follow-up. After excluding 42 people with previous gastric cancer, 6,520 people outside the age range of 40-75 years old, and 214 people for whom variable data were not available, 45 people with missing follow-up time, a total of 13,982 people were included for validation, with a median follow-up time of 13.6 person-years.</w:t>
      </w:r>
    </w:p>
    <w:p>
      <w:pPr>
        <w:jc w:val="left"/>
        <w:rPr>
          <w:rFonts w:ascii="Times New Roman" w:hAnsi="Times New Roman" w:cs="Times New Roman"/>
          <w:sz w:val="20"/>
          <w:szCs w:val="20"/>
        </w:rPr>
      </w:pPr>
    </w:p>
    <w:p>
      <w:pPr>
        <w:jc w:val="left"/>
        <w:rPr>
          <w:rFonts w:ascii="Times New Roman" w:hAnsi="Times New Roman" w:cs="Times New Roman"/>
          <w:sz w:val="20"/>
          <w:szCs w:val="20"/>
        </w:rPr>
      </w:pPr>
      <w:r>
        <w:rPr>
          <w:rFonts w:ascii="Times New Roman" w:hAnsi="Times New Roman" w:cs="Times New Roman"/>
          <w:b/>
          <w:bCs/>
          <w:sz w:val="20"/>
          <w:szCs w:val="20"/>
        </w:rPr>
        <w:t>Screening program</w:t>
      </w:r>
      <w:r>
        <w:rPr>
          <w:rFonts w:ascii="Times New Roman" w:hAnsi="Times New Roman" w:cs="Times New Roman"/>
          <w:sz w:val="20"/>
          <w:szCs w:val="20"/>
        </w:rPr>
        <w:t xml:space="preserve">: The Yangzhou screening program is an ongoing upper gastrointestinal disease screening program </w:t>
      </w:r>
      <w:r>
        <w:rPr>
          <w:rFonts w:hint="eastAsia" w:ascii="Times New Roman" w:hAnsi="Times New Roman" w:cs="Times New Roman"/>
          <w:sz w:val="20"/>
          <w:szCs w:val="20"/>
          <w:lang w:val="en-US" w:eastAsia="zh-CN"/>
        </w:rPr>
        <w:t xml:space="preserve">for </w:t>
      </w:r>
      <w:r>
        <w:rPr>
          <w:rFonts w:ascii="Times New Roman" w:hAnsi="Times New Roman" w:cs="Times New Roman"/>
          <w:sz w:val="20"/>
          <w:szCs w:val="20"/>
        </w:rPr>
        <w:t>individuals aged 40-75 years old at baseline from Yangzhou City in Jiangsu Province. This is a population-based free-of-charge screening program supported by the local government. This project primarily aimed to identify the risk factors for gastric cancer and precancerous lesions and invited local residents for endoscopy inspection. To encourage participation, individuals who were slightly outside the target age range were not turned away. More than 5,000 people were recruited in Hanjiang District between December 2017 and March 2022. The participants were excluded if they had any current or previous upper gastrointestinal cancers, medical history of surgery or endoscopic resection of the stomach, or health problems that are not suitable for endoscopy, and were unwilling to participate at any stage of the study for any reason. All studies were approved by the relevant institutional review boards and written informed consent was obtained from all participants. Each study participant underwent a face-to-face interview, upper gastrointestinal endoscopy, and pathological biopsy at the baseline survey. A total of 5,718 survey subjects were included, and people outside the age range (n=117) were excluded. Those who lack pathological biopsy reports (n=175) and persons with missing variable data (n=78) were included. A total of 5,348 persons were included for analysis.</w:t>
      </w:r>
    </w:p>
    <w:p>
      <w:pPr>
        <w:jc w:val="left"/>
        <w:rPr>
          <w:rFonts w:ascii="Times New Roman" w:hAnsi="Times New Roman" w:cs="Times New Roman"/>
          <w:sz w:val="20"/>
          <w:szCs w:val="20"/>
        </w:rPr>
      </w:pPr>
    </w:p>
    <w:p>
      <w:pPr>
        <w:jc w:val="left"/>
        <w:rPr>
          <w:rFonts w:ascii="Times New Roman" w:hAnsi="Times New Roman" w:cs="Times New Roman"/>
          <w:b/>
          <w:bCs/>
          <w:sz w:val="20"/>
          <w:szCs w:val="20"/>
        </w:rPr>
      </w:pPr>
      <w:r>
        <w:rPr>
          <w:rFonts w:ascii="Times New Roman" w:hAnsi="Times New Roman" w:cs="Times New Roman"/>
          <w:b/>
          <w:bCs/>
          <w:sz w:val="20"/>
          <w:szCs w:val="20"/>
        </w:rPr>
        <w:t>2.0 Assessment of risk factors</w:t>
      </w:r>
    </w:p>
    <w:p>
      <w:pPr>
        <w:jc w:val="left"/>
        <w:rPr>
          <w:rFonts w:ascii="Times New Roman" w:hAnsi="Times New Roman" w:cs="Times New Roman"/>
          <w:sz w:val="20"/>
          <w:szCs w:val="20"/>
        </w:rPr>
      </w:pPr>
      <w:r>
        <w:rPr>
          <w:rFonts w:ascii="Times New Roman" w:hAnsi="Times New Roman" w:cs="Times New Roman"/>
          <w:sz w:val="20"/>
          <w:szCs w:val="20"/>
        </w:rPr>
        <w:t>Age, sex, and education level were collected from the baseline questionnaire. Age was divided into 5-year interval groups and education was classified into four levels: illiterate or primary school, middle school, high school, college or above. Physical measurements included weight</w:t>
      </w:r>
      <w:r>
        <w:rPr>
          <w:rFonts w:hint="eastAsia" w:ascii="Times New Roman" w:hAnsi="Times New Roman" w:cs="Times New Roman"/>
          <w:sz w:val="20"/>
          <w:szCs w:val="20"/>
          <w:lang w:val="en-US" w:eastAsia="zh-CN"/>
        </w:rPr>
        <w:t xml:space="preserve"> and</w:t>
      </w:r>
      <w:r>
        <w:rPr>
          <w:rFonts w:ascii="Times New Roman" w:hAnsi="Times New Roman" w:cs="Times New Roman"/>
          <w:sz w:val="20"/>
          <w:szCs w:val="20"/>
        </w:rPr>
        <w:t xml:space="preserve"> height. BMI was calculated as weight in kilograms divided by the square of height in meters and classified into two groups of underweight (BMI &lt;18.5 kg/m</w:t>
      </w:r>
      <w:r>
        <w:rPr>
          <w:rFonts w:ascii="Times New Roman" w:hAnsi="Times New Roman" w:cs="Times New Roman"/>
          <w:sz w:val="20"/>
          <w:szCs w:val="20"/>
          <w:vertAlign w:val="superscript"/>
        </w:rPr>
        <w:t>2</w:t>
      </w:r>
      <w:r>
        <w:rPr>
          <w:rFonts w:ascii="Times New Roman" w:hAnsi="Times New Roman" w:cs="Times New Roman"/>
          <w:sz w:val="20"/>
          <w:szCs w:val="20"/>
        </w:rPr>
        <w:t>) and non-underweight (BMI ≥18.5 kg/m</w:t>
      </w:r>
      <w:r>
        <w:rPr>
          <w:rFonts w:ascii="Times New Roman" w:hAnsi="Times New Roman" w:cs="Times New Roman"/>
          <w:sz w:val="20"/>
          <w:szCs w:val="20"/>
          <w:vertAlign w:val="superscript"/>
        </w:rPr>
        <w:t>2</w:t>
      </w:r>
      <w:r>
        <w:rPr>
          <w:rFonts w:ascii="Times New Roman" w:hAnsi="Times New Roman" w:cs="Times New Roman"/>
          <w:sz w:val="20"/>
          <w:szCs w:val="20"/>
        </w:rPr>
        <w:t>).</w:t>
      </w:r>
    </w:p>
    <w:p>
      <w:pPr>
        <w:ind w:firstLine="400" w:firstLineChars="200"/>
        <w:jc w:val="left"/>
        <w:rPr>
          <w:rFonts w:ascii="Times New Roman" w:hAnsi="Times New Roman" w:cs="Times New Roman"/>
          <w:sz w:val="20"/>
          <w:szCs w:val="20"/>
        </w:rPr>
      </w:pPr>
      <w:r>
        <w:rPr>
          <w:rFonts w:ascii="Times New Roman" w:hAnsi="Times New Roman" w:cs="Times New Roman"/>
          <w:sz w:val="20"/>
          <w:szCs w:val="20"/>
        </w:rPr>
        <w:t xml:space="preserve">In the CKB cohort, questions about tobacco smoking included how often the participants had smoked tobacco at the survey time during the baseline questionnaire. Smoking status was classified as never (smoked &lt;100 cigarettes during lifetime), occasional, former, or regular smoker. Among regular smokers who had stopped smoking due to physical illness were still counted as smokers in the main analyses. Information on the duration (years) of smoking and cigarettes smoked per day for regular smokers and former smokers was also collected. And we calculated pack-years as a measure of </w:t>
      </w:r>
      <w:r>
        <w:rPr>
          <w:rFonts w:hint="eastAsia" w:ascii="Times New Roman" w:hAnsi="Times New Roman" w:cs="Times New Roman"/>
          <w:sz w:val="20"/>
          <w:szCs w:val="20"/>
          <w:lang w:val="en-US" w:eastAsia="zh-CN"/>
        </w:rPr>
        <w:t xml:space="preserve">the </w:t>
      </w:r>
      <w:r>
        <w:rPr>
          <w:rFonts w:ascii="Times New Roman" w:hAnsi="Times New Roman" w:cs="Times New Roman"/>
          <w:sz w:val="20"/>
          <w:szCs w:val="20"/>
        </w:rPr>
        <w:t>cumulative burden of smoking by the product of the years of smoking (excluding years of quitting smoking) and the number of cigarette packs (the number of cigarettes divided by 20) smoked per day. So total tobacco consumption was categorized as never smoking (0 pack-year), light smoking (&lt;20 pack-years), and heavy smoking (≥20 pack-years).</w:t>
      </w:r>
    </w:p>
    <w:p>
      <w:pPr>
        <w:ind w:firstLine="400" w:firstLineChars="200"/>
        <w:jc w:val="left"/>
        <w:rPr>
          <w:rFonts w:ascii="Times New Roman" w:hAnsi="Times New Roman" w:cs="Times New Roman"/>
          <w:sz w:val="20"/>
          <w:szCs w:val="20"/>
        </w:rPr>
      </w:pPr>
      <w:r>
        <w:rPr>
          <w:rFonts w:ascii="Times New Roman" w:hAnsi="Times New Roman" w:cs="Times New Roman"/>
          <w:sz w:val="20"/>
          <w:szCs w:val="20"/>
        </w:rPr>
        <w:t xml:space="preserve">The detailed questionnaire on alcohol consumption included the frequency of drinking alcohol during the previous 12 months and those who had drunk weekly were asked about the frequency of drinking per week, type of beverage, and amount of intake. Assessment of total pure alcohol consumption in a typical week has been described elsewhere which was calculated as </w:t>
      </w:r>
      <w:r>
        <w:rPr>
          <w:rFonts w:hint="eastAsia" w:ascii="Times New Roman" w:hAnsi="Times New Roman" w:cs="Times New Roman"/>
          <w:sz w:val="20"/>
          <w:szCs w:val="20"/>
          <w:lang w:val="en-US" w:eastAsia="zh-CN"/>
        </w:rPr>
        <w:t xml:space="preserve">the </w:t>
      </w:r>
      <w:r>
        <w:rPr>
          <w:rFonts w:ascii="Times New Roman" w:hAnsi="Times New Roman" w:cs="Times New Roman"/>
          <w:sz w:val="20"/>
          <w:szCs w:val="20"/>
        </w:rPr>
        <w:t xml:space="preserve">amount drunk multiplied by frequency (days per week) based on the beverage type, assuming the following alcohol content by volume (v/v): beer 4%, grape wine 12%, rice wine 15%, weak spirits 38%, and strong spirits 53%. In this study, we calculated </w:t>
      </w:r>
      <w:r>
        <w:rPr>
          <w:rFonts w:hint="eastAsia" w:ascii="Times New Roman" w:hAnsi="Times New Roman" w:cs="Times New Roman"/>
          <w:sz w:val="20"/>
          <w:szCs w:val="20"/>
          <w:lang w:val="en-US" w:eastAsia="zh-CN"/>
        </w:rPr>
        <w:t xml:space="preserve">the </w:t>
      </w:r>
      <w:r>
        <w:rPr>
          <w:rFonts w:ascii="Times New Roman" w:hAnsi="Times New Roman" w:cs="Times New Roman"/>
          <w:sz w:val="20"/>
          <w:szCs w:val="20"/>
        </w:rPr>
        <w:t>average daily alcohol consumption for participants and divided them into two groups: never or light drinkers (&lt;25 g/d in men and &lt;15 g/d in women), excessive drinkers (≥25 g/d in men and ≥15 g/d in women) according to the Chinese Dietary Guidelines 2016 (CDG-2016).</w:t>
      </w:r>
    </w:p>
    <w:p>
      <w:pPr>
        <w:ind w:firstLine="400" w:firstLineChars="200"/>
        <w:jc w:val="left"/>
        <w:rPr>
          <w:rFonts w:ascii="Times New Roman" w:hAnsi="Times New Roman" w:cs="Times New Roman"/>
          <w:sz w:val="20"/>
          <w:szCs w:val="20"/>
        </w:rPr>
      </w:pPr>
      <w:r>
        <w:rPr>
          <w:rFonts w:ascii="Times New Roman" w:hAnsi="Times New Roman" w:cs="Times New Roman"/>
          <w:sz w:val="20"/>
          <w:szCs w:val="20"/>
        </w:rPr>
        <w:t xml:space="preserve">Respondents were also asked about the frequency of habitual dietary consumption during the previous 12 months and five categories of frequency (daily, 4-6 days per week, 1-3 days per week, monthly, or never or rarely) can be chosen. Frequent intake of fresh vegetables and fruits was defined as eating vegetables every day and fruits ≥4 days per week, or eating fruits every day and vegetables ≥4 days per week, otherwise was occasional; while frequent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foods was defined as eating preserved </w:t>
      </w:r>
      <w:r>
        <w:rPr>
          <w:rFonts w:hint="eastAsia" w:ascii="Times New Roman" w:hAnsi="Times New Roman" w:cs="Times New Roman"/>
          <w:sz w:val="20"/>
          <w:szCs w:val="20"/>
        </w:rPr>
        <w:t xml:space="preserve">salty </w:t>
      </w:r>
      <w:r>
        <w:rPr>
          <w:rFonts w:ascii="Times New Roman" w:hAnsi="Times New Roman" w:cs="Times New Roman"/>
          <w:sz w:val="20"/>
          <w:szCs w:val="20"/>
        </w:rPr>
        <w:t>vegetables ≥4 days per week, otherwise was occasional. Physical activity was categorized as active level (≥9.81 MET-h/d) and inactive level (&lt;9.81 MET-h/d).</w:t>
      </w:r>
    </w:p>
    <w:p>
      <w:pPr>
        <w:ind w:firstLine="400" w:firstLineChars="200"/>
        <w:jc w:val="left"/>
        <w:rPr>
          <w:rFonts w:ascii="Times New Roman" w:hAnsi="Times New Roman" w:cs="Times New Roman"/>
          <w:sz w:val="20"/>
          <w:szCs w:val="20"/>
        </w:rPr>
      </w:pPr>
      <w:r>
        <w:rPr>
          <w:rFonts w:ascii="Times New Roman" w:hAnsi="Times New Roman" w:cs="Times New Roman"/>
          <w:sz w:val="20"/>
          <w:szCs w:val="20"/>
        </w:rPr>
        <w:t xml:space="preserve">Personal diagnoses of cancer or peptic ulcer were all self-reported. The first-degree family members’ cancer history including fathers, mothers, and siblings had been collected for each participant. Those who reported at least one first-degree relative had cancer were classified as having a family history of cancer. </w:t>
      </w:r>
    </w:p>
    <w:p>
      <w:pPr>
        <w:ind w:firstLine="400" w:firstLineChars="200"/>
        <w:jc w:val="left"/>
        <w:rPr>
          <w:rFonts w:ascii="Times New Roman" w:hAnsi="Times New Roman" w:cs="Times New Roman"/>
          <w:sz w:val="20"/>
          <w:szCs w:val="20"/>
        </w:rPr>
      </w:pPr>
      <w:r>
        <w:rPr>
          <w:rFonts w:ascii="Times New Roman" w:hAnsi="Times New Roman" w:cs="Times New Roman"/>
          <w:sz w:val="20"/>
          <w:szCs w:val="20"/>
        </w:rPr>
        <w:t xml:space="preserve">Due to different baseline questionnaire settings, some risk factors in the Changzhou cohort and Yangzhou screening program were not defined the same as CKB. For alcohol consumption, the Changzhou and Yangzhou studies did not distinguish between weak spirits and strong spirits, so the average alcohol content of weak spirits and strong spirits in CKB was used instead; the Changzhou cohort did not distinguish between rice wine and grape wine, so the average alcohol content of rice wine and grape wine in CKB was used instead. Vegetable intake in the Changzhou cohort was evaluated by amount rather than frequency. We defined high intake as eating vegetables every day and moderate intake as eating ≥3 days per week. Both in the Changzhou cohort and Yangzhou screening program, frequent consumption of fresh fruits and vegetables was defined as eating vegetables every day and fruits at least 3 days per week, or eating fruits every day and vegetables at least 3 days per week; while low consumption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 was defined as eating preserved </w:t>
      </w:r>
      <w:r>
        <w:rPr>
          <w:rFonts w:hint="eastAsia" w:ascii="Times New Roman" w:hAnsi="Times New Roman" w:cs="Times New Roman"/>
          <w:sz w:val="20"/>
          <w:szCs w:val="20"/>
        </w:rPr>
        <w:t xml:space="preserve">salty </w:t>
      </w:r>
      <w:r>
        <w:rPr>
          <w:rFonts w:ascii="Times New Roman" w:hAnsi="Times New Roman" w:cs="Times New Roman"/>
          <w:sz w:val="20"/>
          <w:szCs w:val="20"/>
        </w:rPr>
        <w:t>vegetables less than 3 days per week.</w:t>
      </w:r>
    </w:p>
    <w:p>
      <w:pPr>
        <w:jc w:val="left"/>
        <w:rPr>
          <w:rFonts w:ascii="Times New Roman" w:hAnsi="Times New Roman" w:cs="Times New Roman"/>
          <w:sz w:val="20"/>
          <w:szCs w:val="20"/>
        </w:rPr>
      </w:pPr>
    </w:p>
    <w:p>
      <w:pPr>
        <w:jc w:val="left"/>
        <w:rPr>
          <w:rFonts w:ascii="Times New Roman" w:hAnsi="Times New Roman" w:cs="Times New Roman"/>
          <w:b/>
          <w:bCs/>
          <w:sz w:val="20"/>
          <w:szCs w:val="20"/>
        </w:rPr>
      </w:pPr>
      <w:r>
        <w:rPr>
          <w:rFonts w:ascii="Times New Roman" w:hAnsi="Times New Roman" w:cs="Times New Roman"/>
          <w:b/>
          <w:bCs/>
          <w:sz w:val="20"/>
          <w:szCs w:val="20"/>
        </w:rPr>
        <w:t>3.0 Definition of GC cases</w:t>
      </w:r>
    </w:p>
    <w:p>
      <w:pPr>
        <w:jc w:val="left"/>
        <w:rPr>
          <w:rFonts w:ascii="Times New Roman" w:hAnsi="Times New Roman" w:cs="Times New Roman"/>
          <w:sz w:val="20"/>
          <w:szCs w:val="20"/>
        </w:rPr>
      </w:pPr>
      <w:r>
        <w:rPr>
          <w:rFonts w:ascii="Times New Roman" w:hAnsi="Times New Roman" w:cs="Times New Roman"/>
          <w:sz w:val="20"/>
          <w:szCs w:val="20"/>
        </w:rPr>
        <w:t>In the CKB cohort, all the participants were followed up semi-annually for cancer events from the time they enrolled in the study through the linkage with established chronic disease registries, and the disease surveillance points system in the study areas, as well as the Chinese National Health Insurance claim database. Annual active follow-up was performed by checking against local residential and health insurance records in case of participants who were not linked to the local health insurance database and was confirmed by street committees or village administrators. All outcomes were coded according to the International Classification of Diseases 10th Revision (ICD-10) by trained staff who were masked to baseline information. The outcome in the final analysis was gastric cancer (C16) and medical records were retrieved by December 31, 2016.</w:t>
      </w:r>
    </w:p>
    <w:p>
      <w:pPr>
        <w:ind w:firstLine="400" w:firstLineChars="200"/>
        <w:jc w:val="left"/>
        <w:rPr>
          <w:rFonts w:ascii="Times New Roman" w:hAnsi="Times New Roman" w:cs="Times New Roman"/>
          <w:sz w:val="20"/>
          <w:szCs w:val="20"/>
        </w:rPr>
      </w:pPr>
      <w:r>
        <w:rPr>
          <w:rFonts w:ascii="Times New Roman" w:hAnsi="Times New Roman" w:cs="Times New Roman"/>
          <w:sz w:val="20"/>
          <w:szCs w:val="20"/>
        </w:rPr>
        <w:t>The participants in the Changzhou cohort were followed</w:t>
      </w:r>
      <w:r>
        <w:rPr>
          <w:rFonts w:hint="eastAsia" w:ascii="Times New Roman" w:hAnsi="Times New Roman" w:cs="Times New Roman"/>
          <w:sz w:val="20"/>
          <w:szCs w:val="20"/>
          <w:lang w:val="en-US" w:eastAsia="zh-CN"/>
        </w:rPr>
        <w:t xml:space="preserve"> </w:t>
      </w:r>
      <w:r>
        <w:rPr>
          <w:rFonts w:ascii="Times New Roman" w:hAnsi="Times New Roman" w:cs="Times New Roman"/>
          <w:sz w:val="20"/>
          <w:szCs w:val="20"/>
        </w:rPr>
        <w:t>up actively through follow-up questionnaires and disease registries by staff from Changzhou CDC. Information on non-fatal adverse health events will be obtained for certain major categories of disease (such as cancer, cerebrovascular diseases, and cardiovascular diseases) through the established registry systems available and further confirmed by reviewing local medical records or visiting village doctors. For any suspected cases of non-fatal cancer, further confirmation about their diagnosis will be sought by reviewing hospital or other medical records, or by visiting doctors at street or village health clinics to improve the statistical power of the study. Lost participants in each of the active follow-ups were further matched with the local chronic disease registries, cancer registration database, and death surveillance database. The Changzhou cohort completed three follow-up investigations in 2008-2009, 2012-2013, and 2018-2019, respectively.</w:t>
      </w:r>
    </w:p>
    <w:p>
      <w:pPr>
        <w:ind w:firstLine="400" w:firstLineChars="200"/>
        <w:jc w:val="left"/>
        <w:rPr>
          <w:rFonts w:ascii="Times New Roman" w:hAnsi="Times New Roman" w:cs="Times New Roman"/>
          <w:sz w:val="20"/>
          <w:szCs w:val="20"/>
        </w:rPr>
      </w:pPr>
      <w:r>
        <w:rPr>
          <w:rFonts w:ascii="Times New Roman" w:hAnsi="Times New Roman" w:cs="Times New Roman"/>
          <w:sz w:val="20"/>
          <w:szCs w:val="20"/>
        </w:rPr>
        <w:t>All participants in the Yangzhou screening program underwent gastroscopy and histological examination during the baseline enrollment. All endoscopic examinations and therapies were performed by well-trained doctors from the endoscopy center of the Affiliated Hospital of Yangzhou University using high-quality white light endoscopes according to the guidelines for cancer screening and early diagnosis and treatment in China, and detailed photographic documentation was taken for each participant accordingly. For participants with undecided healthy or benign lesions, at least two biopsies were taken from the body, antrum, or angulus for histologic examination, while for participants with suspected invasive carcinoma, biopsies were taken from the lesion location and adjacent sites. For this study, all histological specimens were sent to one histopathological laboratory, and each biopsy sample was independently evaluated by two pathologists who were unaware of the endoscopic findings for the diagnosis. Participants with multiple lesions were categorized as having the most severe lesion. The primary outcome in the screening program was histopathologically diagnosed GC, and the secondary outcomes included dysplasia (DYS), intestinal metaplasia (IM), atrophic gastritis (AG), and chronic superficial gastritis (SG). All the diagnoses were based on the gastric epithelial neoplasia classification system from the Japanese Research Society for Gastric Cancer (JRSGC). All participating endoscopists and pathologists were uniformly trained and analyzed according to standard operating procedures.</w:t>
      </w:r>
    </w:p>
    <w:p>
      <w:pPr>
        <w:jc w:val="left"/>
        <w:rPr>
          <w:rFonts w:ascii="Times New Roman" w:hAnsi="Times New Roman" w:cs="Times New Roman"/>
          <w:sz w:val="20"/>
          <w:szCs w:val="20"/>
        </w:rPr>
      </w:pPr>
      <w:r>
        <w:rPr>
          <w:rFonts w:ascii="Times New Roman" w:hAnsi="Times New Roman" w:cs="Times New Roman"/>
          <w:b/>
          <w:bCs/>
          <w:sz w:val="20"/>
          <w:szCs w:val="20"/>
        </w:rPr>
        <w:br w:type="page"/>
      </w:r>
    </w:p>
    <w:p>
      <w:pPr>
        <w:jc w:val="left"/>
        <w:rPr>
          <w:rFonts w:ascii="Times New Roman" w:hAnsi="Times New Roman" w:cs="Times New Roman"/>
          <w:b/>
          <w:bCs/>
          <w:sz w:val="20"/>
          <w:szCs w:val="20"/>
        </w:rPr>
      </w:pPr>
      <w:r>
        <w:rPr>
          <w:rFonts w:hint="eastAsia" w:ascii="Times New Roman" w:hAnsi="Times New Roman" w:cs="Times New Roman"/>
          <w:b/>
          <w:bCs/>
          <w:sz w:val="20"/>
          <w:szCs w:val="20"/>
        </w:rPr>
        <w:t>4</w:t>
      </w:r>
      <w:r>
        <w:rPr>
          <w:rFonts w:ascii="Times New Roman" w:hAnsi="Times New Roman" w:cs="Times New Roman"/>
          <w:b/>
          <w:bCs/>
          <w:sz w:val="20"/>
          <w:szCs w:val="20"/>
        </w:rPr>
        <w:t>.0 Tables and Figures</w:t>
      </w:r>
    </w:p>
    <w:p>
      <w:pPr>
        <w:jc w:val="left"/>
        <w:rPr>
          <w:rFonts w:ascii="Times New Roman" w:hAnsi="Times New Roman" w:cs="Times New Roman"/>
          <w:b/>
          <w:bCs/>
          <w:sz w:val="20"/>
          <w:szCs w:val="20"/>
        </w:rPr>
      </w:pPr>
      <w:r>
        <w:rPr>
          <w:rFonts w:ascii="Times New Roman" w:hAnsi="Times New Roman" w:cs="Times New Roman"/>
          <w:b/>
          <w:bCs/>
          <w:sz w:val="20"/>
          <w:szCs w:val="20"/>
        </w:rPr>
        <w:t>Table S1. Results of univariate Cox regression analysis in the CKB cohort</w:t>
      </w:r>
    </w:p>
    <w:tbl>
      <w:tblPr>
        <w:tblStyle w:val="8"/>
        <w:tblW w:w="8773" w:type="dxa"/>
        <w:jc w:val="center"/>
        <w:tblLayout w:type="fixed"/>
        <w:tblCellMar>
          <w:top w:w="0" w:type="dxa"/>
          <w:left w:w="0" w:type="dxa"/>
          <w:bottom w:w="0" w:type="dxa"/>
          <w:right w:w="0" w:type="dxa"/>
        </w:tblCellMar>
      </w:tblPr>
      <w:tblGrid>
        <w:gridCol w:w="559"/>
        <w:gridCol w:w="2413"/>
        <w:gridCol w:w="2410"/>
        <w:gridCol w:w="1982"/>
        <w:gridCol w:w="1409"/>
      </w:tblGrid>
      <w:tr>
        <w:tblPrEx>
          <w:tblCellMar>
            <w:top w:w="0" w:type="dxa"/>
            <w:left w:w="0" w:type="dxa"/>
            <w:bottom w:w="0" w:type="dxa"/>
            <w:right w:w="0" w:type="dxa"/>
          </w:tblCellMar>
        </w:tblPrEx>
        <w:trPr>
          <w:trHeight w:val="288" w:hRule="atLeast"/>
          <w:jc w:val="center"/>
        </w:trPr>
        <w:tc>
          <w:tcPr>
            <w:tcW w:w="2972" w:type="dxa"/>
            <w:gridSpan w:val="2"/>
            <w:tcBorders>
              <w:top w:val="single" w:color="auto" w:sz="4" w:space="0"/>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color w:val="000000"/>
                <w:sz w:val="20"/>
                <w:szCs w:val="20"/>
              </w:rPr>
            </w:pPr>
            <w:r>
              <w:rPr>
                <w:rFonts w:ascii="Times New Roman" w:hAnsi="Times New Roman" w:eastAsia="宋体" w:cs="Times New Roman"/>
                <w:b/>
                <w:color w:val="000000"/>
                <w:sz w:val="20"/>
                <w:szCs w:val="20"/>
              </w:rPr>
              <w:t>Variables</w:t>
            </w:r>
          </w:p>
        </w:tc>
        <w:tc>
          <w:tcPr>
            <w:tcW w:w="2410"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Regression coefficient</w:t>
            </w:r>
          </w:p>
        </w:tc>
        <w:tc>
          <w:tcPr>
            <w:tcW w:w="1982"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HR (95% CI) </w:t>
            </w:r>
            <w:r>
              <w:rPr>
                <w:rFonts w:ascii="Times New Roman" w:hAnsi="Times New Roman" w:eastAsia="宋体" w:cs="Times New Roman"/>
                <w:b/>
                <w:color w:val="000000"/>
                <w:kern w:val="0"/>
                <w:sz w:val="20"/>
                <w:szCs w:val="20"/>
                <w:vertAlign w:val="superscript"/>
                <w:lang w:bidi="ar"/>
              </w:rPr>
              <w:t>a</w:t>
            </w:r>
          </w:p>
        </w:tc>
        <w:tc>
          <w:tcPr>
            <w:tcW w:w="1409"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i/>
                <w:iCs/>
                <w:color w:val="000000"/>
                <w:kern w:val="0"/>
                <w:sz w:val="20"/>
                <w:szCs w:val="20"/>
                <w:lang w:bidi="ar"/>
              </w:rPr>
              <w:t>P-</w:t>
            </w:r>
            <w:r>
              <w:rPr>
                <w:rFonts w:ascii="Times New Roman" w:hAnsi="Times New Roman" w:eastAsia="宋体" w:cs="Times New Roman"/>
                <w:b/>
                <w:color w:val="000000"/>
                <w:kern w:val="0"/>
                <w:sz w:val="20"/>
                <w:szCs w:val="20"/>
                <w:lang w:bidi="ar"/>
              </w:rPr>
              <w:t>value</w:t>
            </w:r>
          </w:p>
        </w:tc>
      </w:tr>
      <w:tr>
        <w:tblPrEx>
          <w:tblCellMar>
            <w:top w:w="0" w:type="dxa"/>
            <w:left w:w="0" w:type="dxa"/>
            <w:bottom w:w="0" w:type="dxa"/>
            <w:right w:w="0" w:type="dxa"/>
          </w:tblCellMar>
        </w:tblPrEx>
        <w:trPr>
          <w:trHeight w:val="288" w:hRule="atLeast"/>
          <w:jc w:val="center"/>
        </w:trPr>
        <w:tc>
          <w:tcPr>
            <w:tcW w:w="8773" w:type="dxa"/>
            <w:gridSpan w:val="5"/>
            <w:tcBorders>
              <w:top w:val="single" w:color="auto" w:sz="4" w:space="0"/>
            </w:tcBorders>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Age at baseline, years</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40-44</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45-49</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0.54</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1.72 (1.41 to 2.10)</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50-54</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1.02</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2.77 (2.32 to 3.30)</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55-59</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1.50</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4.49 (3.78 to 5.32)</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60-64</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1.85</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6.36 (5.35 to 7.55)</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65-69</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2.09</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8.08 (6.80 to 9.60)</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70-75</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2.33</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10.32 (8.66 to 12.31)</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Sex</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Women</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Men</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1.08</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2.94 (2.73 to 3.17)</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Education</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College or above</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High school</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0.01</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1.01 (0.81 to 1.26)</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0.938</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Middle school</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0.22</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1.25 (1.02 to 1.54)</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0.035</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Illiterate or primary school</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0.64</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1.89 (1.55 to 2.31)</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BMI </w:t>
            </w:r>
            <w:r>
              <w:rPr>
                <w:rFonts w:ascii="Times New Roman" w:hAnsi="Times New Roman" w:eastAsia="宋体" w:cs="Times New Roman"/>
                <w:color w:val="000000"/>
                <w:kern w:val="0"/>
                <w:sz w:val="20"/>
                <w:szCs w:val="20"/>
                <w:vertAlign w:val="superscript"/>
                <w:lang w:bidi="ar"/>
              </w:rPr>
              <w:t>b</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≥18.5</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bCs/>
                <w:color w:val="000000"/>
                <w:kern w:val="0"/>
                <w:sz w:val="20"/>
                <w:szCs w:val="20"/>
                <w:lang w:bidi="ar"/>
              </w:rPr>
              <w:t>&lt;</w:t>
            </w:r>
            <w:r>
              <w:rPr>
                <w:rFonts w:ascii="Times New Roman" w:hAnsi="Times New Roman" w:eastAsia="宋体" w:cs="Times New Roman"/>
                <w:color w:val="000000"/>
                <w:kern w:val="0"/>
                <w:sz w:val="20"/>
                <w:szCs w:val="20"/>
                <w:lang w:bidi="ar"/>
              </w:rPr>
              <w:t>18.5</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0.53</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1.71 (1.48 to 1.97)</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Pack-years of smoking </w:t>
            </w:r>
            <w:r>
              <w:rPr>
                <w:rFonts w:ascii="Times New Roman" w:hAnsi="Times New Roman" w:eastAsia="宋体" w:cs="Times New Roman"/>
                <w:color w:val="000000"/>
                <w:kern w:val="0"/>
                <w:sz w:val="20"/>
                <w:szCs w:val="20"/>
                <w:vertAlign w:val="superscript"/>
                <w:lang w:bidi="ar"/>
              </w:rPr>
              <w:t>c</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Never (0 pack-year)</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&gt;0 to &lt;20 pack-years</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0.73</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2.08 (1.89 to 2.30)</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 pack-years</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1.05</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2.86 (2.65 to 3.10)</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b/>
                <w:color w:val="000000"/>
                <w:sz w:val="20"/>
                <w:szCs w:val="20"/>
              </w:rPr>
            </w:pPr>
            <w:r>
              <w:rPr>
                <w:rFonts w:ascii="Times New Roman" w:hAnsi="Times New Roman" w:eastAsia="宋体" w:cs="Times New Roman"/>
                <w:color w:val="000000"/>
                <w:kern w:val="0"/>
                <w:sz w:val="20"/>
                <w:szCs w:val="20"/>
                <w:lang w:bidi="ar"/>
              </w:rPr>
              <w:t xml:space="preserve">Alcohol drinking per day </w:t>
            </w:r>
            <w:r>
              <w:rPr>
                <w:rFonts w:ascii="Times New Roman" w:hAnsi="Times New Roman" w:eastAsia="宋体" w:cs="Times New Roman"/>
                <w:color w:val="000000"/>
                <w:kern w:val="0"/>
                <w:sz w:val="20"/>
                <w:szCs w:val="20"/>
                <w:vertAlign w:val="superscript"/>
                <w:lang w:bidi="ar"/>
              </w:rPr>
              <w:t>d</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Never or light</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Moderate or heavy</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0.69</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1.99 (1.80 to 2.19)</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b/>
                <w:color w:val="000000"/>
                <w:sz w:val="20"/>
                <w:szCs w:val="20"/>
              </w:rPr>
            </w:pPr>
            <w:r>
              <w:rPr>
                <w:rFonts w:ascii="Times New Roman" w:hAnsi="Times New Roman" w:eastAsia="宋体" w:cs="Times New Roman"/>
                <w:color w:val="000000"/>
                <w:kern w:val="0"/>
                <w:sz w:val="20"/>
                <w:szCs w:val="20"/>
                <w:lang w:bidi="ar"/>
              </w:rPr>
              <w:t xml:space="preserve">Intake of fresh vegetables and fruits </w:t>
            </w:r>
            <w:r>
              <w:rPr>
                <w:rFonts w:ascii="Times New Roman" w:hAnsi="Times New Roman" w:eastAsia="宋体" w:cs="Times New Roman"/>
                <w:color w:val="000000"/>
                <w:kern w:val="0"/>
                <w:sz w:val="20"/>
                <w:szCs w:val="20"/>
                <w:vertAlign w:val="superscript"/>
                <w:lang w:bidi="ar"/>
              </w:rPr>
              <w:t>e</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b/>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0.27</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1.32 (1.21 to 1.43)</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r>
              <w:rPr>
                <w:rFonts w:ascii="Times New Roman" w:hAnsi="Times New Roman" w:eastAsia="宋体" w:cs="Times New Roman"/>
                <w:kern w:val="0"/>
                <w:sz w:val="20"/>
                <w:szCs w:val="20"/>
                <w:lang w:bidi="ar"/>
              </w:rPr>
              <w:t xml:space="preserve">Intake of </w:t>
            </w:r>
            <w:r>
              <w:rPr>
                <w:rFonts w:hint="eastAsia" w:ascii="Times New Roman" w:hAnsi="Times New Roman" w:cs="Times New Roman"/>
                <w:sz w:val="20"/>
                <w:szCs w:val="20"/>
              </w:rPr>
              <w:t xml:space="preserve">salty </w:t>
            </w:r>
            <w:r>
              <w:rPr>
                <w:rFonts w:ascii="Times New Roman" w:hAnsi="Times New Roman" w:eastAsia="宋体" w:cs="Times New Roman"/>
                <w:kern w:val="0"/>
                <w:sz w:val="20"/>
                <w:szCs w:val="20"/>
                <w:lang w:bidi="ar"/>
              </w:rPr>
              <w:t xml:space="preserve">foods </w:t>
            </w:r>
            <w:r>
              <w:rPr>
                <w:rFonts w:ascii="Times New Roman" w:hAnsi="Times New Roman" w:eastAsia="宋体" w:cs="Times New Roman"/>
                <w:kern w:val="0"/>
                <w:sz w:val="20"/>
                <w:szCs w:val="20"/>
                <w:vertAlign w:val="superscript"/>
                <w:lang w:bidi="ar"/>
              </w:rPr>
              <w:t>f</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0.42</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1.53 (1.42 to 1.65)</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Previous cancer diagnosis</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1.24</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3.47 (2.60 to 4.63)</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90"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Family history of cancer in first-degree relatives</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0.39</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1.48 (1.37 to 1.61)</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jc w:val="left"/>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History of peptic ulcer</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241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0.70</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2.02 (1.77 to 2.30)</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bCs/>
                <w:color w:val="000000"/>
                <w:kern w:val="0"/>
                <w:sz w:val="20"/>
                <w:szCs w:val="20"/>
                <w:lang w:bidi="ar"/>
              </w:rPr>
              <w:t>History of diabetes</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bCs/>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No</w:t>
            </w:r>
          </w:p>
        </w:tc>
        <w:tc>
          <w:tcPr>
            <w:tcW w:w="2410" w:type="dxa"/>
            <w:shd w:val="clear" w:color="auto" w:fill="auto"/>
            <w:noWrap/>
            <w:tcMar>
              <w:top w:w="12" w:type="dxa"/>
              <w:left w:w="12" w:type="dxa"/>
              <w:right w:w="12" w:type="dxa"/>
            </w:tcMar>
            <w:vAlign w:val="center"/>
          </w:tcPr>
          <w:p>
            <w:pPr>
              <w:rPr>
                <w:rFonts w:ascii="Times New Roman" w:hAnsi="Times New Roman" w:eastAsia="宋体" w:cs="Times New Roman"/>
                <w:bCs/>
                <w:color w:val="000000"/>
                <w:kern w:val="0"/>
                <w:sz w:val="20"/>
                <w:szCs w:val="20"/>
                <w:lang w:bidi="ar"/>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jc w:val="center"/>
              <w:rPr>
                <w:rFonts w:ascii="Times New Roman" w:hAnsi="Times New Roman" w:eastAsia="宋体" w:cs="Times New Roman"/>
                <w:bCs/>
                <w:color w:val="000000"/>
                <w:kern w:val="0"/>
                <w:sz w:val="20"/>
                <w:szCs w:val="20"/>
                <w:lang w:bidi="ar"/>
              </w:rPr>
            </w:pP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bCs/>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Yes</w:t>
            </w:r>
          </w:p>
        </w:tc>
        <w:tc>
          <w:tcPr>
            <w:tcW w:w="241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0.05</w:t>
            </w: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1.05 (0.87 to 1.28)</w:t>
            </w:r>
          </w:p>
        </w:tc>
        <w:tc>
          <w:tcPr>
            <w:tcW w:w="14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0.604</w:t>
            </w:r>
          </w:p>
        </w:tc>
      </w:tr>
      <w:tr>
        <w:tblPrEx>
          <w:tblCellMar>
            <w:top w:w="0" w:type="dxa"/>
            <w:left w:w="0" w:type="dxa"/>
            <w:bottom w:w="0" w:type="dxa"/>
            <w:right w:w="0" w:type="dxa"/>
          </w:tblCellMar>
        </w:tblPrEx>
        <w:trPr>
          <w:trHeight w:val="288" w:hRule="atLeast"/>
          <w:jc w:val="center"/>
        </w:trPr>
        <w:tc>
          <w:tcPr>
            <w:tcW w:w="8773" w:type="dxa"/>
            <w:gridSpan w:val="5"/>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bCs/>
                <w:color w:val="000000"/>
                <w:kern w:val="0"/>
                <w:sz w:val="20"/>
                <w:szCs w:val="20"/>
                <w:lang w:bidi="ar"/>
              </w:rPr>
              <w:t>Physical activity</w:t>
            </w:r>
          </w:p>
        </w:tc>
      </w:tr>
      <w:tr>
        <w:tblPrEx>
          <w:tblCellMar>
            <w:top w:w="0" w:type="dxa"/>
            <w:left w:w="0" w:type="dxa"/>
            <w:bottom w:w="0" w:type="dxa"/>
            <w:right w:w="0" w:type="dxa"/>
          </w:tblCellMar>
        </w:tblPrEx>
        <w:trPr>
          <w:trHeight w:val="288" w:hRule="atLeast"/>
          <w:jc w:val="center"/>
        </w:trPr>
        <w:tc>
          <w:tcPr>
            <w:tcW w:w="559" w:type="dxa"/>
            <w:shd w:val="clear" w:color="auto" w:fill="auto"/>
            <w:noWrap/>
            <w:tcMar>
              <w:top w:w="12" w:type="dxa"/>
              <w:left w:w="12" w:type="dxa"/>
              <w:right w:w="12" w:type="dxa"/>
            </w:tcMar>
            <w:vAlign w:val="center"/>
          </w:tcPr>
          <w:p>
            <w:pPr>
              <w:rPr>
                <w:rFonts w:ascii="Times New Roman" w:hAnsi="Times New Roman" w:eastAsia="宋体" w:cs="Times New Roman"/>
                <w:bCs/>
                <w:color w:val="000000"/>
                <w:sz w:val="20"/>
                <w:szCs w:val="20"/>
              </w:rPr>
            </w:pPr>
          </w:p>
        </w:tc>
        <w:tc>
          <w:tcPr>
            <w:tcW w:w="2413"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≥9.81 MET-h/d</w:t>
            </w:r>
          </w:p>
        </w:tc>
        <w:tc>
          <w:tcPr>
            <w:tcW w:w="2410" w:type="dxa"/>
            <w:shd w:val="clear" w:color="auto" w:fill="auto"/>
            <w:noWrap/>
            <w:tcMar>
              <w:top w:w="12" w:type="dxa"/>
              <w:left w:w="12" w:type="dxa"/>
              <w:right w:w="12" w:type="dxa"/>
            </w:tcMar>
            <w:vAlign w:val="center"/>
          </w:tcPr>
          <w:p>
            <w:pPr>
              <w:rPr>
                <w:rFonts w:ascii="Times New Roman" w:hAnsi="Times New Roman" w:eastAsia="宋体" w:cs="Times New Roman"/>
                <w:bCs/>
                <w:color w:val="000000"/>
                <w:kern w:val="0"/>
                <w:sz w:val="20"/>
                <w:szCs w:val="20"/>
                <w:lang w:bidi="ar"/>
              </w:rPr>
            </w:pPr>
          </w:p>
        </w:tc>
        <w:tc>
          <w:tcPr>
            <w:tcW w:w="198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Reference</w:t>
            </w:r>
          </w:p>
        </w:tc>
        <w:tc>
          <w:tcPr>
            <w:tcW w:w="1409" w:type="dxa"/>
            <w:shd w:val="clear" w:color="auto" w:fill="auto"/>
            <w:noWrap/>
            <w:tcMar>
              <w:top w:w="12" w:type="dxa"/>
              <w:left w:w="12" w:type="dxa"/>
              <w:right w:w="12" w:type="dxa"/>
            </w:tcMar>
            <w:vAlign w:val="center"/>
          </w:tcPr>
          <w:p>
            <w:pPr>
              <w:rPr>
                <w:rFonts w:ascii="Times New Roman" w:hAnsi="Times New Roman" w:eastAsia="宋体" w:cs="Times New Roman"/>
                <w:bCs/>
                <w:color w:val="000000"/>
                <w:kern w:val="0"/>
                <w:sz w:val="20"/>
                <w:szCs w:val="20"/>
                <w:lang w:bidi="ar"/>
              </w:rPr>
            </w:pPr>
          </w:p>
        </w:tc>
      </w:tr>
      <w:tr>
        <w:tblPrEx>
          <w:tblCellMar>
            <w:top w:w="0" w:type="dxa"/>
            <w:left w:w="0" w:type="dxa"/>
            <w:bottom w:w="0" w:type="dxa"/>
            <w:right w:w="0" w:type="dxa"/>
          </w:tblCellMar>
        </w:tblPrEx>
        <w:trPr>
          <w:trHeight w:val="90" w:hRule="atLeast"/>
          <w:jc w:val="center"/>
        </w:trPr>
        <w:tc>
          <w:tcPr>
            <w:tcW w:w="559" w:type="dxa"/>
            <w:tcBorders>
              <w:bottom w:val="single" w:color="auto" w:sz="4" w:space="0"/>
            </w:tcBorders>
            <w:shd w:val="clear" w:color="auto" w:fill="auto"/>
            <w:noWrap/>
            <w:tcMar>
              <w:top w:w="12" w:type="dxa"/>
              <w:left w:w="12" w:type="dxa"/>
              <w:right w:w="12" w:type="dxa"/>
            </w:tcMar>
            <w:vAlign w:val="center"/>
          </w:tcPr>
          <w:p>
            <w:pPr>
              <w:rPr>
                <w:rFonts w:ascii="Times New Roman" w:hAnsi="Times New Roman" w:eastAsia="宋体" w:cs="Times New Roman"/>
                <w:bCs/>
                <w:color w:val="000000"/>
                <w:sz w:val="20"/>
                <w:szCs w:val="20"/>
              </w:rPr>
            </w:pPr>
          </w:p>
        </w:tc>
        <w:tc>
          <w:tcPr>
            <w:tcW w:w="2413" w:type="dxa"/>
            <w:tcBorders>
              <w:bottom w:val="single" w:color="auto" w:sz="4" w:space="0"/>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bCs/>
                <w:color w:val="000000"/>
                <w:kern w:val="0"/>
                <w:sz w:val="20"/>
                <w:szCs w:val="20"/>
                <w:lang w:bidi="ar"/>
              </w:rPr>
              <w:t>&lt;</w:t>
            </w:r>
            <w:r>
              <w:rPr>
                <w:rFonts w:ascii="Times New Roman" w:hAnsi="Times New Roman" w:eastAsia="宋体" w:cs="Times New Roman"/>
                <w:color w:val="000000"/>
                <w:kern w:val="0"/>
                <w:sz w:val="20"/>
                <w:szCs w:val="20"/>
                <w:lang w:bidi="ar"/>
              </w:rPr>
              <w:t>9.81 MET-h/d</w:t>
            </w:r>
          </w:p>
        </w:tc>
        <w:tc>
          <w:tcPr>
            <w:tcW w:w="2410" w:type="dxa"/>
            <w:tcBorders>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0.47</w:t>
            </w:r>
          </w:p>
        </w:tc>
        <w:tc>
          <w:tcPr>
            <w:tcW w:w="1982" w:type="dxa"/>
            <w:tcBorders>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1.61 (1.49 to 1.73)</w:t>
            </w:r>
          </w:p>
        </w:tc>
        <w:tc>
          <w:tcPr>
            <w:tcW w:w="1409" w:type="dxa"/>
            <w:tcBorders>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Cs/>
                <w:color w:val="000000"/>
                <w:kern w:val="0"/>
                <w:sz w:val="20"/>
                <w:szCs w:val="20"/>
                <w:lang w:bidi="ar"/>
              </w:rPr>
            </w:pPr>
            <w:r>
              <w:rPr>
                <w:rFonts w:ascii="Times New Roman" w:hAnsi="Times New Roman" w:eastAsia="宋体" w:cs="Times New Roman"/>
                <w:color w:val="000000"/>
                <w:kern w:val="0"/>
                <w:sz w:val="20"/>
                <w:szCs w:val="20"/>
                <w:lang w:bidi="ar"/>
              </w:rPr>
              <w:t>&lt;0.001</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eastAsia="宋体" w:cs="Times New Roman"/>
          <w:color w:val="000000"/>
          <w:kern w:val="0"/>
          <w:sz w:val="20"/>
          <w:szCs w:val="20"/>
          <w:lang w:bidi="ar"/>
        </w:rPr>
        <w:t xml:space="preserve">HR, hazard ratio. </w:t>
      </w:r>
      <w:r>
        <w:rPr>
          <w:rFonts w:ascii="Times New Roman" w:hAnsi="Times New Roman" w:cs="Times New Roman"/>
          <w:sz w:val="20"/>
          <w:szCs w:val="20"/>
        </w:rPr>
        <w:t>CI, confidence interval.</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cs="Times New Roman"/>
          <w:sz w:val="20"/>
          <w:szCs w:val="20"/>
        </w:rPr>
        <w:t>BMI was calculated as weight in kilograms divided by the square of height in meters. BMI, body mass index.</w:t>
      </w:r>
    </w:p>
    <w:p>
      <w:pPr>
        <w:jc w:val="left"/>
        <w:rPr>
          <w:rFonts w:ascii="Times New Roman" w:hAnsi="Times New Roman" w:cs="Times New Roman"/>
          <w:sz w:val="20"/>
          <w:szCs w:val="20"/>
        </w:rPr>
      </w:pPr>
      <w:r>
        <w:rPr>
          <w:rFonts w:ascii="Times New Roman" w:hAnsi="Times New Roman" w:eastAsia="宋体" w:cs="Times New Roman"/>
          <w:color w:val="000000"/>
          <w:kern w:val="0"/>
          <w:sz w:val="20"/>
          <w:szCs w:val="20"/>
          <w:vertAlign w:val="superscript"/>
          <w:lang w:bidi="ar"/>
        </w:rPr>
        <w:t xml:space="preserve">c </w:t>
      </w:r>
      <w:r>
        <w:rPr>
          <w:rFonts w:ascii="Times New Roman" w:hAnsi="Times New Roman" w:eastAsia="宋体" w:cs="Times New Roman"/>
          <w:color w:val="000000"/>
          <w:kern w:val="0"/>
          <w:sz w:val="20"/>
          <w:szCs w:val="20"/>
          <w:lang w:bidi="ar"/>
        </w:rPr>
        <w:t>Pack-year was calculated by the product of the years of smoking (excluding years of quitting smoking) and the number of cigarette packs (the number of cigarettes divided by 20) smoked per day.</w:t>
      </w:r>
    </w:p>
    <w:p>
      <w:pPr>
        <w:jc w:val="left"/>
        <w:rPr>
          <w:rFonts w:ascii="Times New Roman" w:hAnsi="Times New Roman" w:cs="Times New Roman"/>
          <w:sz w:val="20"/>
          <w:szCs w:val="20"/>
        </w:rPr>
      </w:pPr>
      <w:r>
        <w:rPr>
          <w:rFonts w:ascii="Times New Roman" w:hAnsi="Times New Roman" w:eastAsia="宋体" w:cs="Times New Roman"/>
          <w:color w:val="000000"/>
          <w:kern w:val="0"/>
          <w:sz w:val="20"/>
          <w:szCs w:val="20"/>
          <w:vertAlign w:val="superscript"/>
          <w:lang w:bidi="ar"/>
        </w:rPr>
        <w:t xml:space="preserve">d </w:t>
      </w:r>
      <w:r>
        <w:rPr>
          <w:rFonts w:ascii="Times New Roman" w:hAnsi="Times New Roman" w:cs="Times New Roman"/>
          <w:sz w:val="20"/>
          <w:szCs w:val="20"/>
        </w:rPr>
        <w:t>Never or light alcohol drinking was defined as alcohol intake less than 25 g/day in men and 15 g/day in women in the past year, otherwise was moderate or heavy alcohol drinking.</w:t>
      </w:r>
    </w:p>
    <w:p>
      <w:pPr>
        <w:jc w:val="left"/>
        <w:rPr>
          <w:rFonts w:ascii="Times New Roman" w:hAnsi="Times New Roman" w:cs="Times New Roman"/>
          <w:sz w:val="20"/>
          <w:szCs w:val="20"/>
        </w:rPr>
      </w:pPr>
      <w:r>
        <w:rPr>
          <w:rFonts w:ascii="Times New Roman" w:hAnsi="Times New Roman" w:eastAsia="宋体" w:cs="Times New Roman"/>
          <w:color w:val="000000"/>
          <w:kern w:val="0"/>
          <w:sz w:val="20"/>
          <w:szCs w:val="20"/>
          <w:vertAlign w:val="superscript"/>
          <w:lang w:bidi="ar"/>
        </w:rPr>
        <w:t xml:space="preserve">e </w:t>
      </w:r>
      <w:r>
        <w:rPr>
          <w:rFonts w:ascii="Times New Roman" w:hAnsi="Times New Roman" w:eastAsia="宋体" w:cs="Times New Roman"/>
          <w:color w:val="000000"/>
          <w:kern w:val="0"/>
          <w:sz w:val="20"/>
          <w:szCs w:val="20"/>
          <w:lang w:bidi="ar"/>
        </w:rPr>
        <w:t>F</w:t>
      </w:r>
      <w:r>
        <w:rPr>
          <w:rFonts w:ascii="Times New Roman" w:hAnsi="Times New Roman" w:cs="Times New Roman"/>
          <w:sz w:val="20"/>
          <w:szCs w:val="20"/>
        </w:rPr>
        <w:t xml:space="preserve">requent intake of fresh </w:t>
      </w:r>
      <w:r>
        <w:rPr>
          <w:rFonts w:ascii="Times New Roman" w:hAnsi="Times New Roman" w:eastAsia="宋体" w:cs="Times New Roman"/>
          <w:kern w:val="0"/>
          <w:sz w:val="20"/>
          <w:szCs w:val="20"/>
          <w:lang w:bidi="ar"/>
        </w:rPr>
        <w:t>vegetables and fruits</w:t>
      </w:r>
      <w:r>
        <w:rPr>
          <w:rFonts w:ascii="Times New Roman" w:hAnsi="Times New Roman" w:cs="Times New Roman"/>
          <w:sz w:val="20"/>
          <w:szCs w:val="20"/>
        </w:rPr>
        <w:t xml:space="preserve"> was defined as eating vegetables every day and fruits ≥4 days per week or eating fruits every day and vegetables ≥4 days per week, otherwise was occasional. </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f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foods was defined as eating preserved </w:t>
      </w:r>
      <w:r>
        <w:rPr>
          <w:rFonts w:hint="eastAsia" w:ascii="Times New Roman" w:hAnsi="Times New Roman" w:cs="Times New Roman"/>
          <w:sz w:val="20"/>
          <w:szCs w:val="20"/>
        </w:rPr>
        <w:t xml:space="preserve">salty </w:t>
      </w:r>
      <w:r>
        <w:rPr>
          <w:rFonts w:ascii="Times New Roman" w:hAnsi="Times New Roman" w:cs="Times New Roman"/>
          <w:sz w:val="20"/>
          <w:szCs w:val="20"/>
        </w:rPr>
        <w:t>vegetables ≥4 days per week, otherwise was occasional.</w:t>
      </w:r>
    </w:p>
    <w:p>
      <w:pPr>
        <w:jc w:val="left"/>
        <w:rPr>
          <w:rFonts w:ascii="Times New Roman" w:hAnsi="Times New Roman" w:cs="Times New Roman"/>
          <w:sz w:val="16"/>
          <w:szCs w:val="16"/>
        </w:rPr>
      </w:pPr>
      <w:r>
        <w:rPr>
          <w:rFonts w:ascii="Times New Roman" w:hAnsi="Times New Roman" w:cs="Times New Roman"/>
          <w:sz w:val="16"/>
          <w:szCs w:val="16"/>
        </w:rPr>
        <w:br w:type="page"/>
      </w:r>
    </w:p>
    <w:p>
      <w:pPr>
        <w:jc w:val="left"/>
        <w:rPr>
          <w:rFonts w:ascii="Times New Roman" w:hAnsi="Times New Roman" w:cs="Times New Roman"/>
          <w:b/>
          <w:bCs/>
          <w:sz w:val="20"/>
          <w:szCs w:val="20"/>
          <w:vertAlign w:val="superscript"/>
        </w:rPr>
      </w:pPr>
      <w:r>
        <w:rPr>
          <w:rFonts w:ascii="Times New Roman" w:hAnsi="Times New Roman" w:cs="Times New Roman"/>
          <w:b/>
          <w:bCs/>
          <w:sz w:val="20"/>
          <w:szCs w:val="20"/>
        </w:rPr>
        <w:t xml:space="preserve">Table S2. Results of multivariate Cox regression model and corresponding risk points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1:</w:t>
      </w:r>
      <w:r>
        <w:rPr>
          <w:rFonts w:ascii="Times New Roman" w:hAnsi="Times New Roman" w:cs="Times New Roman"/>
          <w:b/>
          <w:bCs/>
          <w:sz w:val="20"/>
          <w:szCs w:val="20"/>
        </w:rPr>
        <w:t xml:space="preserve"> excluding weak variables in the simplified model</w:t>
      </w:r>
      <w:r>
        <w:rPr>
          <w:rFonts w:ascii="Times New Roman" w:hAnsi="Times New Roman" w:cs="Times New Roman"/>
          <w:b/>
          <w:bCs/>
          <w:sz w:val="20"/>
          <w:szCs w:val="20"/>
          <w:vertAlign w:val="superscript"/>
        </w:rPr>
        <w:t xml:space="preserve"> a</w:t>
      </w:r>
    </w:p>
    <w:tbl>
      <w:tblPr>
        <w:tblStyle w:val="8"/>
        <w:tblW w:w="921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5"/>
        <w:gridCol w:w="2379"/>
        <w:gridCol w:w="1789"/>
        <w:gridCol w:w="1100"/>
        <w:gridCol w:w="1766"/>
        <w:gridCol w:w="22"/>
        <w:gridCol w:w="824"/>
        <w:gridCol w:w="95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1" w:hRule="atLeast"/>
          <w:jc w:val="center"/>
        </w:trPr>
        <w:tc>
          <w:tcPr>
            <w:tcW w:w="2764" w:type="dxa"/>
            <w:gridSpan w:val="2"/>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Variables</w:t>
            </w:r>
          </w:p>
        </w:tc>
        <w:tc>
          <w:tcPr>
            <w:tcW w:w="1789"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Cases/Person-years</w:t>
            </w:r>
          </w:p>
        </w:tc>
        <w:tc>
          <w:tcPr>
            <w:tcW w:w="1100" w:type="dxa"/>
            <w:tcBorders>
              <w:top w:val="single" w:color="auto" w:sz="4" w:space="0"/>
              <w:bottom w:val="single" w:color="auto" w:sz="4" w:space="0"/>
            </w:tcBorders>
            <w:shd w:val="clear" w:color="auto" w:fill="auto"/>
            <w:noWrap/>
            <w:tcMar>
              <w:top w:w="12" w:type="dxa"/>
              <w:left w:w="12" w:type="dxa"/>
              <w:right w:w="12" w:type="dxa"/>
            </w:tcMar>
            <w:vAlign w:val="center"/>
          </w:tcPr>
          <w:p>
            <w:pPr>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Regression coefficient</w:t>
            </w:r>
          </w:p>
        </w:tc>
        <w:tc>
          <w:tcPr>
            <w:tcW w:w="1788" w:type="dxa"/>
            <w:gridSpan w:val="2"/>
            <w:tcBorders>
              <w:top w:val="single" w:color="auto" w:sz="4" w:space="0"/>
              <w:bottom w:val="single" w:color="auto" w:sz="4" w:space="0"/>
            </w:tcBorders>
            <w:shd w:val="clear" w:color="auto" w:fill="auto"/>
            <w:vAlign w:val="center"/>
          </w:tcPr>
          <w:p>
            <w:pPr>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HR (95% CI) </w:t>
            </w:r>
            <w:r>
              <w:rPr>
                <w:rFonts w:ascii="Times New Roman" w:hAnsi="Times New Roman" w:eastAsia="宋体" w:cs="Times New Roman"/>
                <w:b/>
                <w:color w:val="000000"/>
                <w:kern w:val="0"/>
                <w:sz w:val="20"/>
                <w:szCs w:val="20"/>
                <w:vertAlign w:val="superscript"/>
                <w:lang w:bidi="ar"/>
              </w:rPr>
              <w:t>b</w:t>
            </w:r>
          </w:p>
        </w:tc>
        <w:tc>
          <w:tcPr>
            <w:tcW w:w="824" w:type="dxa"/>
            <w:tcBorders>
              <w:top w:val="single" w:color="auto" w:sz="4" w:space="0"/>
              <w:bottom w:val="single" w:color="auto" w:sz="4" w:space="0"/>
            </w:tcBorders>
            <w:shd w:val="clear" w:color="auto" w:fill="auto"/>
            <w:vAlign w:val="center"/>
          </w:tcPr>
          <w:p>
            <w:pPr>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i/>
                <w:iCs/>
                <w:color w:val="000000"/>
                <w:kern w:val="0"/>
                <w:sz w:val="20"/>
                <w:szCs w:val="20"/>
                <w:lang w:bidi="ar"/>
              </w:rPr>
              <w:t>P-</w:t>
            </w:r>
            <w:r>
              <w:rPr>
                <w:rFonts w:ascii="Times New Roman" w:hAnsi="Times New Roman" w:eastAsia="宋体" w:cs="Times New Roman"/>
                <w:b/>
                <w:color w:val="000000"/>
                <w:kern w:val="0"/>
                <w:sz w:val="20"/>
                <w:szCs w:val="20"/>
                <w:lang w:bidi="ar"/>
              </w:rPr>
              <w:t>value</w:t>
            </w:r>
          </w:p>
        </w:tc>
        <w:tc>
          <w:tcPr>
            <w:tcW w:w="9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Points</w:t>
            </w:r>
          </w:p>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assigned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jc w:val="center"/>
        </w:trPr>
        <w:tc>
          <w:tcPr>
            <w:tcW w:w="9216" w:type="dxa"/>
            <w:gridSpan w:val="8"/>
            <w:tcBorders>
              <w:top w:val="single" w:color="auto" w:sz="4" w:space="0"/>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Age at baseline, years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40-44</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168/845,021</w:t>
            </w:r>
          </w:p>
        </w:tc>
        <w:tc>
          <w:tcPr>
            <w:tcW w:w="110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46" w:type="dxa"/>
            <w:gridSpan w:val="2"/>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45-49</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236/687,811</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0.47</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1.61 (1.32 to 1.96)</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50-54</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473/860,063</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0.87</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2.39 (2.00 to 2.86)</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55-59</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593/666,252</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1.33</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3.77 (3.16 to 4.49)</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60-64</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572/454,473</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1.66</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5.25 (4.41 to 6.26)</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65-69</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570/357,890</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1.89</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6.65 (5.58 to 7.93)</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70-75</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477/236,230</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2.11</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8.29 (6.92 to 9.93)</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9216" w:type="dxa"/>
            <w:gridSpan w:val="8"/>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Sex</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Women</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1,033/2,447,930</w:t>
            </w:r>
          </w:p>
        </w:tc>
        <w:tc>
          <w:tcPr>
            <w:tcW w:w="110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46" w:type="dxa"/>
            <w:gridSpan w:val="2"/>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Men</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2,056/1,659,810</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1.06</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2.89 (2.68 to 3.12)</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9216" w:type="dxa"/>
            <w:gridSpan w:val="8"/>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Education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College or above</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102/209,414</w:t>
            </w:r>
          </w:p>
        </w:tc>
        <w:tc>
          <w:tcPr>
            <w:tcW w:w="110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46" w:type="dxa"/>
            <w:gridSpan w:val="2"/>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High school</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310/630,316</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0.45</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1.57 (1.26 to 1.97)</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Middle school</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664/1,088,309</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0.62</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1.86 (1.51 to 2.30)</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Illiterate or primary school</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2,013/2,179,701</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0.79</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2.20 (1.80 to 2.69)</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9216" w:type="dxa"/>
            <w:gridSpan w:val="8"/>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 xml:space="preserve">Intake of </w:t>
            </w:r>
            <w:r>
              <w:rPr>
                <w:rFonts w:hint="eastAsia" w:ascii="Times New Roman" w:hAnsi="Times New Roman" w:cs="Times New Roman"/>
                <w:sz w:val="20"/>
                <w:szCs w:val="20"/>
              </w:rPr>
              <w:t xml:space="preserve">salty </w:t>
            </w:r>
            <w:r>
              <w:rPr>
                <w:rFonts w:ascii="Times New Roman" w:hAnsi="Times New Roman" w:eastAsia="宋体" w:cs="Times New Roman"/>
                <w:kern w:val="0"/>
                <w:sz w:val="20"/>
                <w:szCs w:val="20"/>
                <w:lang w:bidi="ar"/>
              </w:rPr>
              <w:t xml:space="preserve">foods </w:t>
            </w:r>
            <w:r>
              <w:rPr>
                <w:rFonts w:ascii="Times New Roman" w:hAnsi="Times New Roman" w:eastAsia="宋体" w:cs="Times New Roman"/>
                <w:kern w:val="0"/>
                <w:sz w:val="20"/>
                <w:szCs w:val="20"/>
                <w:vertAlign w:val="superscript"/>
                <w:lang w:bidi="ar"/>
              </w:rPr>
              <w: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2,105/3,146,493</w:t>
            </w:r>
          </w:p>
        </w:tc>
        <w:tc>
          <w:tcPr>
            <w:tcW w:w="110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46" w:type="dxa"/>
            <w:gridSpan w:val="2"/>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Frequent</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984/961,247</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0.41</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1.51 (1.40 to 1.63)</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9216" w:type="dxa"/>
            <w:gridSpan w:val="8"/>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Previous cancer diagnosis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3,042/4,089,431</w:t>
            </w:r>
          </w:p>
        </w:tc>
        <w:tc>
          <w:tcPr>
            <w:tcW w:w="110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46" w:type="dxa"/>
            <w:gridSpan w:val="2"/>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47/18,309</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1.08</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2.96 (2.22 to 3.95)</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9216" w:type="dxa"/>
            <w:gridSpan w:val="8"/>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Family history of cancer in first-degree relatives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2,328/3,366,039</w:t>
            </w:r>
          </w:p>
        </w:tc>
        <w:tc>
          <w:tcPr>
            <w:tcW w:w="110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46" w:type="dxa"/>
            <w:gridSpan w:val="2"/>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761/741,701</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0.40</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1.49 (1.38 to 1.62)</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9216" w:type="dxa"/>
            <w:gridSpan w:val="8"/>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History of peptic ulcer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2,844/3,939,709</w:t>
            </w:r>
          </w:p>
        </w:tc>
        <w:tc>
          <w:tcPr>
            <w:tcW w:w="1100"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46" w:type="dxa"/>
            <w:gridSpan w:val="2"/>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21" w:hRule="atLeast"/>
          <w:jc w:val="center"/>
        </w:trPr>
        <w:tc>
          <w:tcPr>
            <w:tcW w:w="385"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379"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178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245/168,031</w:t>
            </w:r>
          </w:p>
        </w:tc>
        <w:tc>
          <w:tcPr>
            <w:tcW w:w="110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0.48</w:t>
            </w:r>
          </w:p>
        </w:tc>
        <w:tc>
          <w:tcPr>
            <w:tcW w:w="176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1.61 (1.41 to 1.84)</w:t>
            </w:r>
          </w:p>
        </w:tc>
        <w:tc>
          <w:tcPr>
            <w:tcW w:w="846" w:type="dxa"/>
            <w:gridSpan w:val="2"/>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1.2</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The simplified model was created based on a subset of strong predictors for gastric cancer (assigned points ≥4.0; including age, sex, education level,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foods, family history of cancer in first-degree relatives, personal medical history of cancer and peptic ulcer).</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eastAsia="宋体" w:cs="Times New Roman"/>
          <w:kern w:val="0"/>
          <w:sz w:val="20"/>
          <w:szCs w:val="20"/>
          <w:lang w:bidi="ar"/>
        </w:rPr>
        <w:t xml:space="preserve">HR, hazard ratio. </w:t>
      </w:r>
      <w:r>
        <w:rPr>
          <w:rFonts w:ascii="Times New Roman" w:hAnsi="Times New Roman" w:cs="Times New Roman"/>
          <w:sz w:val="20"/>
          <w:szCs w:val="20"/>
        </w:rPr>
        <w:t>CI, confidence.</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c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foods was defined as eating preserved </w:t>
      </w:r>
      <w:r>
        <w:rPr>
          <w:rFonts w:hint="eastAsia" w:ascii="Times New Roman" w:hAnsi="Times New Roman" w:cs="Times New Roman"/>
          <w:sz w:val="20"/>
          <w:szCs w:val="20"/>
        </w:rPr>
        <w:t xml:space="preserve">salty </w:t>
      </w:r>
      <w:r>
        <w:rPr>
          <w:rFonts w:ascii="Times New Roman" w:hAnsi="Times New Roman" w:cs="Times New Roman"/>
          <w:sz w:val="20"/>
          <w:szCs w:val="20"/>
        </w:rPr>
        <w:t>vegetables ≥4 days per week, otherwise was occasional.</w:t>
      </w:r>
    </w:p>
    <w:p>
      <w:pPr>
        <w:jc w:val="left"/>
        <w:rPr>
          <w:rFonts w:ascii="Times New Roman" w:hAnsi="Times New Roman" w:cs="Times New Roman"/>
          <w:sz w:val="16"/>
          <w:szCs w:val="16"/>
        </w:rPr>
      </w:pPr>
    </w:p>
    <w:p>
      <w:pPr>
        <w:jc w:val="left"/>
        <w:rPr>
          <w:rFonts w:ascii="Times New Roman" w:hAnsi="Times New Roman" w:cs="Times New Roman"/>
          <w:szCs w:val="21"/>
        </w:rPr>
      </w:pPr>
      <w:r>
        <w:rPr>
          <w:rFonts w:ascii="Times New Roman" w:hAnsi="Times New Roman" w:cs="Times New Roman"/>
          <w:szCs w:val="21"/>
        </w:rPr>
        <w:br w:type="page"/>
      </w:r>
    </w:p>
    <w:p>
      <w:pPr>
        <w:jc w:val="left"/>
        <w:rPr>
          <w:rFonts w:ascii="Times New Roman" w:hAnsi="Times New Roman" w:eastAsia="宋体" w:cs="Times New Roman"/>
          <w:b/>
          <w:bCs/>
          <w:sz w:val="20"/>
          <w:szCs w:val="20"/>
        </w:rPr>
      </w:pPr>
      <w:r>
        <w:rPr>
          <w:rFonts w:ascii="Times New Roman" w:hAnsi="Times New Roman" w:cs="Times New Roman"/>
          <w:b/>
          <w:bCs/>
          <w:sz w:val="20"/>
          <w:szCs w:val="20"/>
        </w:rPr>
        <w:t xml:space="preserve">Table S3. Results of multivariate Cox regression model and corresponding risk points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2:</w:t>
      </w:r>
      <w:r>
        <w:rPr>
          <w:rFonts w:ascii="Times New Roman" w:hAnsi="Times New Roman" w:eastAsia="宋体" w:cs="Times New Roman"/>
          <w:b/>
          <w:bCs/>
          <w:kern w:val="0"/>
          <w:sz w:val="20"/>
          <w:szCs w:val="21"/>
        </w:rPr>
        <w:t xml:space="preserve"> </w:t>
      </w:r>
      <w:r>
        <w:rPr>
          <w:rFonts w:ascii="Times New Roman" w:hAnsi="Times New Roman" w:cs="Times New Roman"/>
          <w:b/>
          <w:bCs/>
          <w:sz w:val="20"/>
          <w:szCs w:val="20"/>
        </w:rPr>
        <w:t xml:space="preserve">integrating lifestyle factors as an index </w:t>
      </w:r>
      <w:r>
        <w:rPr>
          <w:rFonts w:ascii="Times New Roman" w:hAnsi="Times New Roman" w:cs="Times New Roman"/>
          <w:b/>
          <w:bCs/>
          <w:sz w:val="20"/>
          <w:szCs w:val="20"/>
          <w:vertAlign w:val="superscript"/>
        </w:rPr>
        <w:t>a</w:t>
      </w:r>
    </w:p>
    <w:tbl>
      <w:tblPr>
        <w:tblStyle w:val="8"/>
        <w:tblW w:w="921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79"/>
        <w:gridCol w:w="2292"/>
        <w:gridCol w:w="1783"/>
        <w:gridCol w:w="1168"/>
        <w:gridCol w:w="1719"/>
        <w:gridCol w:w="824"/>
        <w:gridCol w:w="95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jc w:val="center"/>
        </w:trPr>
        <w:tc>
          <w:tcPr>
            <w:tcW w:w="2771" w:type="dxa"/>
            <w:gridSpan w:val="2"/>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Variables</w:t>
            </w:r>
          </w:p>
        </w:tc>
        <w:tc>
          <w:tcPr>
            <w:tcW w:w="1783"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Cases/Person-years</w:t>
            </w:r>
          </w:p>
        </w:tc>
        <w:tc>
          <w:tcPr>
            <w:tcW w:w="1168" w:type="dxa"/>
            <w:tcBorders>
              <w:top w:val="single" w:color="auto" w:sz="4" w:space="0"/>
              <w:bottom w:val="single" w:color="auto" w:sz="4" w:space="0"/>
            </w:tcBorders>
            <w:shd w:val="clear" w:color="auto" w:fill="auto"/>
            <w:noWrap/>
            <w:tcMar>
              <w:top w:w="12" w:type="dxa"/>
              <w:left w:w="12" w:type="dxa"/>
              <w:right w:w="12" w:type="dxa"/>
            </w:tcMar>
            <w:vAlign w:val="center"/>
          </w:tcPr>
          <w:p>
            <w:pPr>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Regression coefficient</w:t>
            </w:r>
          </w:p>
        </w:tc>
        <w:tc>
          <w:tcPr>
            <w:tcW w:w="1719" w:type="dxa"/>
            <w:tcBorders>
              <w:top w:val="single" w:color="auto" w:sz="4" w:space="0"/>
              <w:bottom w:val="single" w:color="auto" w:sz="4" w:space="0"/>
            </w:tcBorders>
            <w:shd w:val="clear" w:color="auto" w:fill="auto"/>
            <w:vAlign w:val="center"/>
          </w:tcPr>
          <w:p>
            <w:pPr>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HR (95% CI) </w:t>
            </w:r>
            <w:r>
              <w:rPr>
                <w:rFonts w:ascii="Times New Roman" w:hAnsi="Times New Roman" w:eastAsia="宋体" w:cs="Times New Roman"/>
                <w:b/>
                <w:color w:val="000000"/>
                <w:kern w:val="0"/>
                <w:sz w:val="20"/>
                <w:szCs w:val="20"/>
                <w:vertAlign w:val="superscript"/>
                <w:lang w:bidi="ar"/>
              </w:rPr>
              <w:t>b</w:t>
            </w:r>
          </w:p>
        </w:tc>
        <w:tc>
          <w:tcPr>
            <w:tcW w:w="824" w:type="dxa"/>
            <w:tcBorders>
              <w:top w:val="single" w:color="auto" w:sz="4" w:space="0"/>
              <w:bottom w:val="single" w:color="auto" w:sz="4" w:space="0"/>
            </w:tcBorders>
            <w:shd w:val="clear" w:color="auto" w:fill="auto"/>
            <w:vAlign w:val="center"/>
          </w:tcPr>
          <w:p>
            <w:pPr>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i/>
                <w:iCs/>
                <w:color w:val="000000"/>
                <w:kern w:val="0"/>
                <w:sz w:val="20"/>
                <w:szCs w:val="20"/>
                <w:lang w:bidi="ar"/>
              </w:rPr>
              <w:t>P-</w:t>
            </w:r>
            <w:r>
              <w:rPr>
                <w:rFonts w:ascii="Times New Roman" w:hAnsi="Times New Roman" w:eastAsia="宋体" w:cs="Times New Roman"/>
                <w:b/>
                <w:color w:val="000000"/>
                <w:kern w:val="0"/>
                <w:sz w:val="20"/>
                <w:szCs w:val="20"/>
                <w:lang w:bidi="ar"/>
              </w:rPr>
              <w:t>value</w:t>
            </w:r>
          </w:p>
        </w:tc>
        <w:tc>
          <w:tcPr>
            <w:tcW w:w="9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Points</w:t>
            </w:r>
          </w:p>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assigned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jc w:val="center"/>
        </w:trPr>
        <w:tc>
          <w:tcPr>
            <w:tcW w:w="9216" w:type="dxa"/>
            <w:gridSpan w:val="7"/>
            <w:tcBorders>
              <w:top w:val="single" w:color="auto" w:sz="4" w:space="0"/>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Age at baseline, years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40-44</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168/845,021</w:t>
            </w:r>
          </w:p>
        </w:tc>
        <w:tc>
          <w:tcPr>
            <w:tcW w:w="1168"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24"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45-49</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236/687,811</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0.47</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1.60 (1.31 to 1.95)</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50-54</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473/860,063</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0.88</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2.42 (2.02 to 2.89)</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55-59</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593/666,252</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1.34</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3.81 (3.20 to 4.54)</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60-64</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572/454,473</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1.67</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5.33 (4.47 to 6.35)</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65-69</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570/357,890</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1.92</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6.80 (5.69 to 8.11)</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70-75</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477/236,230</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2.14</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8.52 (7.10 to 10.21)</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9216" w:type="dxa"/>
            <w:gridSpan w:val="7"/>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Sex</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Women</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1,033/2,447,930</w:t>
            </w:r>
          </w:p>
        </w:tc>
        <w:tc>
          <w:tcPr>
            <w:tcW w:w="1168"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24"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Men</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2,056/1,659,810</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0.91</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2.48 (2.28 to 2.69)</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9216" w:type="dxa"/>
            <w:gridSpan w:val="7"/>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Education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College or above</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102/209,414</w:t>
            </w:r>
          </w:p>
        </w:tc>
        <w:tc>
          <w:tcPr>
            <w:tcW w:w="1168"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24"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High school</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310/630,316</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0.38</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1.46 (1.17 to 1.83)</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Middle school</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664/1,088,309</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0.51</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1.67 (1.35 to 2.06)</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Illiterate or primary school</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2,013/2,179,701</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0.62</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1.87 (1.52 to 2.29)</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9216" w:type="dxa"/>
            <w:gridSpan w:val="7"/>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Lifestyle categories </w:t>
            </w:r>
            <w:r>
              <w:rPr>
                <w:rFonts w:ascii="Times New Roman" w:hAnsi="Times New Roman" w:eastAsia="宋体" w:cs="Times New Roman"/>
                <w:color w:val="000000"/>
                <w:kern w:val="0"/>
                <w:sz w:val="20"/>
                <w:szCs w:val="20"/>
                <w:vertAlign w:val="superscript"/>
                <w:lang w:bidi="ar"/>
              </w:rPr>
              <w:t>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Favorable</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256/666,672</w:t>
            </w:r>
          </w:p>
        </w:tc>
        <w:tc>
          <w:tcPr>
            <w:tcW w:w="1168"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24"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Intermediate</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2,203/3,077,761</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0.34</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1.41 (1.23 to 1.61)</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Unfavorable</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630/363,307</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2.13 (1.82 to 2.49)</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9216" w:type="dxa"/>
            <w:gridSpan w:val="7"/>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Previous cancer diagnosis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3,042/4,089,431</w:t>
            </w:r>
          </w:p>
        </w:tc>
        <w:tc>
          <w:tcPr>
            <w:tcW w:w="1168"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24"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47/18,309</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1.08</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2.96 (2.21 to 3.95)</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9216" w:type="dxa"/>
            <w:gridSpan w:val="7"/>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Family history of cancer in first-degree relatives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2,328/3,366,039</w:t>
            </w:r>
          </w:p>
        </w:tc>
        <w:tc>
          <w:tcPr>
            <w:tcW w:w="1168"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24" w:type="dxa"/>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178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761/741,701</w:t>
            </w:r>
          </w:p>
        </w:tc>
        <w:tc>
          <w:tcPr>
            <w:tcW w:w="1168"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0.42</w:t>
            </w:r>
          </w:p>
        </w:tc>
        <w:tc>
          <w:tcPr>
            <w:tcW w:w="171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1.52 (1.40 to 1.65)</w:t>
            </w:r>
          </w:p>
        </w:tc>
        <w:tc>
          <w:tcPr>
            <w:tcW w:w="8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9216" w:type="dxa"/>
            <w:gridSpan w:val="7"/>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History of peptic ulcer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13" w:hRule="atLeast"/>
          <w:jc w:val="center"/>
        </w:trPr>
        <w:tc>
          <w:tcPr>
            <w:tcW w:w="479" w:type="dxa"/>
            <w:tcBorders>
              <w:bottom w:val="nil"/>
            </w:tcBorders>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tcBorders>
              <w:bottom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w:t>
            </w:r>
          </w:p>
        </w:tc>
        <w:tc>
          <w:tcPr>
            <w:tcW w:w="1783" w:type="dxa"/>
            <w:tcBorders>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2,844/3,939,709</w:t>
            </w:r>
          </w:p>
        </w:tc>
        <w:tc>
          <w:tcPr>
            <w:tcW w:w="1168" w:type="dxa"/>
            <w:tcBorders>
              <w:bottom w:val="nil"/>
            </w:tcBorders>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1719" w:type="dxa"/>
            <w:tcBorders>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Reference</w:t>
            </w:r>
          </w:p>
        </w:tc>
        <w:tc>
          <w:tcPr>
            <w:tcW w:w="824" w:type="dxa"/>
            <w:tcBorders>
              <w:bottom w:val="nil"/>
            </w:tcBorders>
            <w:shd w:val="clear" w:color="auto" w:fill="auto"/>
            <w:noWrap/>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51" w:type="dxa"/>
            <w:tcBorders>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jc w:val="center"/>
        </w:trPr>
        <w:tc>
          <w:tcPr>
            <w:tcW w:w="479" w:type="dxa"/>
            <w:tcBorders>
              <w:top w:val="nil"/>
              <w:bottom w:val="single" w:color="auto" w:sz="4" w:space="0"/>
            </w:tcBorders>
            <w:shd w:val="clear" w:color="auto" w:fill="auto"/>
            <w:noWrap/>
            <w:tcMar>
              <w:top w:w="12" w:type="dxa"/>
              <w:left w:w="12" w:type="dxa"/>
              <w:right w:w="12" w:type="dxa"/>
            </w:tcMar>
            <w:vAlign w:val="center"/>
          </w:tcPr>
          <w:p>
            <w:pPr>
              <w:rPr>
                <w:rFonts w:ascii="Times New Roman" w:hAnsi="Times New Roman" w:eastAsia="宋体" w:cs="Times New Roman"/>
                <w:color w:val="000000"/>
                <w:sz w:val="20"/>
                <w:szCs w:val="20"/>
              </w:rPr>
            </w:pPr>
          </w:p>
        </w:tc>
        <w:tc>
          <w:tcPr>
            <w:tcW w:w="2292" w:type="dxa"/>
            <w:tcBorders>
              <w:top w:val="nil"/>
              <w:bottom w:val="single" w:color="auto" w:sz="4" w:space="0"/>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Yes</w:t>
            </w:r>
          </w:p>
        </w:tc>
        <w:tc>
          <w:tcPr>
            <w:tcW w:w="1783" w:type="dxa"/>
            <w:tcBorders>
              <w:top w:val="nil"/>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245/168,031</w:t>
            </w:r>
          </w:p>
        </w:tc>
        <w:tc>
          <w:tcPr>
            <w:tcW w:w="1168" w:type="dxa"/>
            <w:tcBorders>
              <w:top w:val="nil"/>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0.48</w:t>
            </w:r>
          </w:p>
        </w:tc>
        <w:tc>
          <w:tcPr>
            <w:tcW w:w="1719" w:type="dxa"/>
            <w:tcBorders>
              <w:top w:val="nil"/>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1.61 (1.42 to 1.84)</w:t>
            </w:r>
          </w:p>
        </w:tc>
        <w:tc>
          <w:tcPr>
            <w:tcW w:w="824" w:type="dxa"/>
            <w:tcBorders>
              <w:top w:val="nil"/>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c>
          <w:tcPr>
            <w:tcW w:w="951" w:type="dxa"/>
            <w:tcBorders>
              <w:top w:val="nil"/>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The healthy lifestyle index was generated by integrating five modifiable lifestyle factors, i.e., BMI, smoking, alcohol use, consumption of fresh vegetables and fruits, and </w:t>
      </w:r>
      <w:r>
        <w:rPr>
          <w:rFonts w:hint="eastAsia" w:ascii="Times New Roman" w:hAnsi="Times New Roman" w:cs="Times New Roman"/>
          <w:sz w:val="20"/>
          <w:szCs w:val="20"/>
        </w:rPr>
        <w:t xml:space="preserve">salty </w:t>
      </w:r>
      <w:r>
        <w:rPr>
          <w:rFonts w:ascii="Times New Roman" w:hAnsi="Times New Roman" w:cs="Times New Roman"/>
          <w:sz w:val="20"/>
          <w:szCs w:val="20"/>
        </w:rPr>
        <w:t>food intake.</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eastAsia="宋体" w:cs="Times New Roman"/>
          <w:kern w:val="0"/>
          <w:sz w:val="20"/>
          <w:szCs w:val="20"/>
          <w:lang w:bidi="ar"/>
        </w:rPr>
        <w:t xml:space="preserve">HR, hazard ratio. </w:t>
      </w:r>
      <w:r>
        <w:rPr>
          <w:rFonts w:ascii="Times New Roman" w:hAnsi="Times New Roman" w:cs="Times New Roman"/>
          <w:sz w:val="20"/>
          <w:szCs w:val="20"/>
        </w:rPr>
        <w:t>CI, confidence interval.</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c </w:t>
      </w:r>
      <w:r>
        <w:rPr>
          <w:rFonts w:ascii="Times New Roman" w:hAnsi="Times New Roman" w:cs="Times New Roman"/>
          <w:sz w:val="20"/>
          <w:szCs w:val="20"/>
        </w:rPr>
        <w:t>Unhealthy lifestyle factors were defined as (i) smoking 20 pack-years or more at recruitment, (ii) moderate or high consumption of alcohol (≥15 g/d for women and ≥25 g/d for men) in accordance with the CDG-2016 guidelines, (iii) BMI &lt;18.5 kg/m</w:t>
      </w:r>
      <w:r>
        <w:rPr>
          <w:rFonts w:ascii="Times New Roman" w:hAnsi="Times New Roman" w:cs="Times New Roman"/>
          <w:sz w:val="20"/>
          <w:szCs w:val="20"/>
          <w:vertAlign w:val="superscript"/>
        </w:rPr>
        <w:t>2</w:t>
      </w:r>
      <w:r>
        <w:rPr>
          <w:rFonts w:ascii="Times New Roman" w:hAnsi="Times New Roman" w:cs="Times New Roman"/>
          <w:sz w:val="20"/>
          <w:szCs w:val="20"/>
        </w:rPr>
        <w:t xml:space="preserve">, (iv) occasional consumption of fresh vegetables and fruits and (v) frequent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foods. Participants were divided into favorable (0 unhealthy lifestyle factors), intermediate (1 or 2 unhealthy lifestyle factors), or unfavorable (≥3 unhealthy lifestyle factors) according to the number of unhealthy lifestyle factors.</w:t>
      </w:r>
    </w:p>
    <w:p>
      <w:pPr>
        <w:jc w:val="left"/>
        <w:rPr>
          <w:rFonts w:ascii="Times New Roman" w:hAnsi="Times New Roman" w:cs="Times New Roman"/>
          <w:szCs w:val="21"/>
        </w:rPr>
        <w:sectPr>
          <w:footerReference r:id="rId4" w:type="first"/>
          <w:footerReference r:id="rId3" w:type="default"/>
          <w:pgSz w:w="11906" w:h="16838"/>
          <w:pgMar w:top="1440" w:right="1440" w:bottom="1440" w:left="1440" w:header="851" w:footer="992" w:gutter="0"/>
          <w:cols w:space="0" w:num="1"/>
          <w:docGrid w:type="lines" w:linePitch="312" w:charSpace="0"/>
        </w:sectPr>
      </w:pPr>
      <w:r>
        <w:rPr>
          <w:rFonts w:ascii="Times New Roman" w:hAnsi="Times New Roman" w:cs="Times New Roman"/>
          <w:szCs w:val="21"/>
        </w:rPr>
        <w:br w:type="page"/>
      </w:r>
    </w:p>
    <w:p>
      <w:pPr>
        <w:jc w:val="left"/>
        <w:rPr>
          <w:rFonts w:ascii="Times New Roman" w:hAnsi="Times New Roman" w:cs="Times New Roman"/>
          <w:b/>
          <w:bCs/>
          <w:sz w:val="20"/>
          <w:szCs w:val="20"/>
          <w:vertAlign w:val="superscript"/>
        </w:rPr>
      </w:pPr>
      <w:r>
        <w:rPr>
          <w:rFonts w:ascii="Times New Roman" w:hAnsi="Times New Roman" w:cs="Times New Roman"/>
          <w:b/>
          <w:bCs/>
          <w:sz w:val="20"/>
          <w:szCs w:val="20"/>
        </w:rPr>
        <w:t>Table S</w:t>
      </w:r>
      <w:r>
        <w:rPr>
          <w:rFonts w:hint="eastAsia" w:ascii="Times New Roman" w:hAnsi="Times New Roman" w:cs="Times New Roman"/>
          <w:b/>
          <w:bCs/>
          <w:sz w:val="20"/>
          <w:szCs w:val="20"/>
        </w:rPr>
        <w:t>4</w:t>
      </w:r>
      <w:r>
        <w:rPr>
          <w:rFonts w:ascii="Times New Roman" w:hAnsi="Times New Roman" w:cs="Times New Roman"/>
          <w:b/>
          <w:bCs/>
          <w:sz w:val="20"/>
          <w:szCs w:val="20"/>
        </w:rPr>
        <w:t xml:space="preserve">. Results of multivariate Cox regression model and corresponding risk points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3:</w:t>
      </w:r>
      <w:r>
        <w:rPr>
          <w:rFonts w:ascii="Times New Roman" w:hAnsi="Times New Roman" w:cs="Times New Roman"/>
          <w:b/>
          <w:bCs/>
          <w:sz w:val="20"/>
          <w:szCs w:val="20"/>
        </w:rPr>
        <w:t xml:space="preserve"> excluding participants who had GC diagnosis within </w:t>
      </w:r>
      <w:r>
        <w:rPr>
          <w:rFonts w:hint="eastAsia" w:ascii="Times New Roman" w:hAnsi="Times New Roman" w:cs="Times New Roman"/>
          <w:b/>
          <w:bCs/>
          <w:sz w:val="20"/>
          <w:szCs w:val="20"/>
        </w:rPr>
        <w:t>the first year</w:t>
      </w:r>
      <w:r>
        <w:rPr>
          <w:rFonts w:ascii="Times New Roman" w:hAnsi="Times New Roman" w:cs="Times New Roman"/>
          <w:b/>
          <w:bCs/>
          <w:sz w:val="20"/>
          <w:szCs w:val="20"/>
        </w:rPr>
        <w:t xml:space="preserve"> after recruitment</w:t>
      </w:r>
    </w:p>
    <w:tbl>
      <w:tblPr>
        <w:tblStyle w:val="8"/>
        <w:tblW w:w="8893" w:type="dxa"/>
        <w:tblInd w:w="0" w:type="dxa"/>
        <w:tblLayout w:type="fixed"/>
        <w:tblCellMar>
          <w:top w:w="0" w:type="dxa"/>
          <w:left w:w="0" w:type="dxa"/>
          <w:bottom w:w="0" w:type="dxa"/>
          <w:right w:w="0" w:type="dxa"/>
        </w:tblCellMar>
      </w:tblPr>
      <w:tblGrid>
        <w:gridCol w:w="367"/>
        <w:gridCol w:w="2364"/>
        <w:gridCol w:w="1716"/>
        <w:gridCol w:w="1080"/>
        <w:gridCol w:w="1722"/>
        <w:gridCol w:w="804"/>
        <w:gridCol w:w="840"/>
      </w:tblGrid>
      <w:tr>
        <w:tblPrEx>
          <w:tblCellMar>
            <w:top w:w="0" w:type="dxa"/>
            <w:left w:w="0" w:type="dxa"/>
            <w:bottom w:w="0" w:type="dxa"/>
            <w:right w:w="0" w:type="dxa"/>
          </w:tblCellMar>
        </w:tblPrEx>
        <w:trPr>
          <w:trHeight w:val="558" w:hRule="atLeast"/>
        </w:trPr>
        <w:tc>
          <w:tcPr>
            <w:tcW w:w="2731" w:type="dxa"/>
            <w:gridSpan w:val="2"/>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Variables</w:t>
            </w:r>
          </w:p>
        </w:tc>
        <w:tc>
          <w:tcPr>
            <w:tcW w:w="1716"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Cases/Person-years</w:t>
            </w:r>
          </w:p>
        </w:tc>
        <w:tc>
          <w:tcPr>
            <w:tcW w:w="1080"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Regression coefficient</w:t>
            </w:r>
          </w:p>
        </w:tc>
        <w:tc>
          <w:tcPr>
            <w:tcW w:w="1722"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HR (95% CI)</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a</w:t>
            </w:r>
          </w:p>
        </w:tc>
        <w:tc>
          <w:tcPr>
            <w:tcW w:w="804"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i/>
                <w:kern w:val="0"/>
                <w:sz w:val="20"/>
                <w:szCs w:val="20"/>
                <w:lang w:bidi="ar"/>
              </w:rPr>
              <w:t>P</w:t>
            </w:r>
            <w:r>
              <w:rPr>
                <w:rFonts w:ascii="Times New Roman" w:hAnsi="Times New Roman" w:eastAsia="宋体" w:cs="Times New Roman"/>
                <w:b/>
                <w:kern w:val="0"/>
                <w:sz w:val="20"/>
                <w:szCs w:val="20"/>
                <w:lang w:bidi="ar"/>
              </w:rPr>
              <w:t>-value</w:t>
            </w:r>
          </w:p>
        </w:tc>
        <w:tc>
          <w:tcPr>
            <w:tcW w:w="840"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Points assigned</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Age at baseline, years</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40-44</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159/845,015</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45-49</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219/687,803</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0.45</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1.57 (1.28 to 1.92)</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4.3</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50-54</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430/860,045</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0.84</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2.33 (1.94 to 2.80)</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8.1</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55-59</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545/666,233</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1.32</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3.76 (3.14 to 4.50)</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12.7</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60-64</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515/454,441</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1.64</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5.16 (4.30 to 6.19)</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15.8</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65-69</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518/357,865</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1.90</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6.69 (5.57 to 8.04)</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18.3</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70-75</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418/236,203</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2.11</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8.21 (6.80 to 9.92)</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20.2</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Sex</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Women</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949/2,447,893</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Men</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1,855/1,659,711</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0.84</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2.32 (2.08 to 2.60)</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8.1</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Education</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College or above</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94/209,409</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High school</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285/630,303</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0.39</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1.48 (1.17 to 1.87)</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3.8</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Middle school</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617/1,088,287</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0.54</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1.72 (1.38 to 2.14)</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5.2</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Illiterate or primary school</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1,808/2,179,604</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0.64</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1.89 (1.52 to 2.34)</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6.1</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BMI</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b</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≥18.5</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2,643/3,943,447</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&lt;18.5</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161/164,157</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1.13 (0.96 to 1.33)</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 xml:space="preserve">0.140 </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Pack-years of smoking</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c</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Never (0 pack-year)</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1,265/2,772,868</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&gt;0 to &lt;20 pack-years</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511/536,544</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0.14</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1.15 (1.02 to 1.30)</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 xml:space="preserve">0.026 </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 pack-years</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1,028/798,192</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0.23</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1.26 (1.12 to 1.41)</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Alcohol drinking per day</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d</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Never or light</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2,345/3,750,421</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Moderate or heavy</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459/357,183</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0.21</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1.23 (1.11 to 1.37)</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fresh vegetables and fruits</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e</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636/1,134,003</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2,168/2,973,601</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 (1.01 to 1.22)</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0.029</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salty foods</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f</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1,903/3,146,394</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901/961,209</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0.41</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1.50 (1.38 to 1.63)</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3.9</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Previous cancer diagnosis</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2,765/4,089,296</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39/18,307</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1.02</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2.76 (2.01 to 3.79)</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9.8</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Family history of cancer in first-degree relatives</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2,098/3,365,929</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706/741,675</w:t>
            </w:r>
          </w:p>
        </w:tc>
        <w:tc>
          <w:tcPr>
            <w:tcW w:w="10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0.43</w:t>
            </w: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1.54 (1.41 to 1.68)</w:t>
            </w:r>
          </w:p>
        </w:tc>
        <w:tc>
          <w:tcPr>
            <w:tcW w:w="8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w:t>
            </w:r>
          </w:p>
        </w:tc>
      </w:tr>
      <w:tr>
        <w:tblPrEx>
          <w:tblCellMar>
            <w:top w:w="0" w:type="dxa"/>
            <w:left w:w="0" w:type="dxa"/>
            <w:bottom w:w="0" w:type="dxa"/>
            <w:right w:w="0" w:type="dxa"/>
          </w:tblCellMar>
        </w:tblPrEx>
        <w:trPr>
          <w:trHeight w:val="288" w:hRule="atLeast"/>
        </w:trPr>
        <w:tc>
          <w:tcPr>
            <w:tcW w:w="8893"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History of peptic ulcer</w:t>
            </w:r>
          </w:p>
        </w:tc>
      </w:tr>
      <w:tr>
        <w:tblPrEx>
          <w:tblCellMar>
            <w:top w:w="0" w:type="dxa"/>
            <w:left w:w="0" w:type="dxa"/>
            <w:bottom w:w="0" w:type="dxa"/>
            <w:right w:w="0" w:type="dxa"/>
          </w:tblCellMar>
        </w:tblPrEx>
        <w:trPr>
          <w:trHeight w:val="288" w:hRule="atLeast"/>
        </w:trPr>
        <w:tc>
          <w:tcPr>
            <w:tcW w:w="367"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71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2,605/3,939,592</w:t>
            </w:r>
          </w:p>
        </w:tc>
        <w:tc>
          <w:tcPr>
            <w:tcW w:w="10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0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88" w:hRule="atLeast"/>
        </w:trPr>
        <w:tc>
          <w:tcPr>
            <w:tcW w:w="367" w:type="dxa"/>
            <w:tcBorders>
              <w:top w:val="nil"/>
              <w:left w:val="nil"/>
              <w:bottom w:val="single" w:color="000000" w:sz="4" w:space="0"/>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6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716"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199/168,011</w:t>
            </w:r>
          </w:p>
        </w:tc>
        <w:tc>
          <w:tcPr>
            <w:tcW w:w="1080"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0.35</w:t>
            </w:r>
          </w:p>
        </w:tc>
        <w:tc>
          <w:tcPr>
            <w:tcW w:w="1722"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1.42 (1.23 to 1.64)</w:t>
            </w:r>
          </w:p>
        </w:tc>
        <w:tc>
          <w:tcPr>
            <w:tcW w:w="80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0"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3.4</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eastAsia="宋体" w:cs="Times New Roman"/>
          <w:kern w:val="0"/>
          <w:sz w:val="20"/>
          <w:szCs w:val="20"/>
          <w:lang w:bidi="ar"/>
        </w:rPr>
        <w:t xml:space="preserve">HR, hazard ratio. </w:t>
      </w:r>
      <w:r>
        <w:rPr>
          <w:rFonts w:ascii="Times New Roman" w:hAnsi="Times New Roman" w:cs="Times New Roman"/>
          <w:sz w:val="20"/>
          <w:szCs w:val="20"/>
        </w:rPr>
        <w:t>CI, confidence interval.</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cs="Times New Roman"/>
          <w:sz w:val="20"/>
          <w:szCs w:val="20"/>
        </w:rPr>
        <w:t>BMI was calculated as weight in kilograms divided by the square of height in meters. BMI, body mass index.</w:t>
      </w:r>
      <w:r>
        <w:rPr>
          <w:rFonts w:hint="eastAsia" w:ascii="Times New Roman" w:hAnsi="Times New Roman" w:cs="Times New Roman"/>
          <w:sz w:val="20"/>
          <w:szCs w:val="20"/>
        </w:rPr>
        <w:t xml:space="preserve"> BMI was included after stepwise regression analysis.</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c </w:t>
      </w:r>
      <w:r>
        <w:rPr>
          <w:rFonts w:ascii="Times New Roman" w:hAnsi="Times New Roman" w:eastAsia="宋体" w:cs="Times New Roman"/>
          <w:kern w:val="0"/>
          <w:sz w:val="20"/>
          <w:szCs w:val="20"/>
          <w:lang w:bidi="ar"/>
        </w:rPr>
        <w:t>Pack-year was calculated by the product of the years of smoking (excluding years of quitting smoking) and the number of cigarette packs (the number of cigarettes divided by 20) smoked per day.</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d </w:t>
      </w:r>
      <w:r>
        <w:rPr>
          <w:rFonts w:ascii="Times New Roman" w:hAnsi="Times New Roman" w:cs="Times New Roman"/>
          <w:sz w:val="20"/>
          <w:szCs w:val="20"/>
        </w:rPr>
        <w:t>Never or light alcohol drinking was defined as alcohol intake less than 25 g/day in men and 15 g/day in women in the past year, otherwise was moderate or heavy alcohol drinking.</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e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fresh </w:t>
      </w:r>
      <w:r>
        <w:rPr>
          <w:rFonts w:ascii="Times New Roman" w:hAnsi="Times New Roman" w:eastAsia="宋体" w:cs="Times New Roman"/>
          <w:kern w:val="0"/>
          <w:sz w:val="20"/>
          <w:szCs w:val="20"/>
          <w:lang w:bidi="ar"/>
        </w:rPr>
        <w:t>vegetables and fruits</w:t>
      </w:r>
      <w:r>
        <w:rPr>
          <w:rFonts w:ascii="Times New Roman" w:hAnsi="Times New Roman" w:cs="Times New Roman"/>
          <w:sz w:val="20"/>
          <w:szCs w:val="20"/>
        </w:rPr>
        <w:t xml:space="preserve"> was defined as eating vegetables every day and fruits ≥4 days per week or eating fruits every day and vegetables ≥4 days per week, otherwise was occasional. </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f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foods was defined as eating preserved </w:t>
      </w:r>
      <w:r>
        <w:rPr>
          <w:rFonts w:hint="eastAsia" w:ascii="Times New Roman" w:hAnsi="Times New Roman" w:cs="Times New Roman"/>
          <w:sz w:val="20"/>
          <w:szCs w:val="20"/>
        </w:rPr>
        <w:t xml:space="preserve">salty </w:t>
      </w:r>
      <w:r>
        <w:rPr>
          <w:rFonts w:ascii="Times New Roman" w:hAnsi="Times New Roman" w:cs="Times New Roman"/>
          <w:sz w:val="20"/>
          <w:szCs w:val="20"/>
        </w:rPr>
        <w:t>vegetables ≥4 days per week, otherwise was occasional.</w:t>
      </w:r>
    </w:p>
    <w:p>
      <w:pPr>
        <w:rPr>
          <w:rFonts w:ascii="Times New Roman" w:hAnsi="Times New Roman" w:cs="Times New Roman"/>
        </w:rPr>
      </w:pPr>
    </w:p>
    <w:p>
      <w:pPr>
        <w:rPr>
          <w:rFonts w:ascii="Times New Roman" w:hAnsi="Times New Roman" w:cs="Times New Roman"/>
        </w:rPr>
        <w:sectPr>
          <w:pgSz w:w="11906" w:h="16838"/>
          <w:pgMar w:top="1440" w:right="1440" w:bottom="1440" w:left="1440" w:header="851" w:footer="992" w:gutter="0"/>
          <w:cols w:space="0" w:num="1"/>
          <w:docGrid w:type="lines" w:linePitch="312" w:charSpace="0"/>
        </w:sectPr>
      </w:pPr>
    </w:p>
    <w:p>
      <w:pPr>
        <w:jc w:val="left"/>
        <w:rPr>
          <w:rFonts w:ascii="Times New Roman" w:hAnsi="Times New Roman" w:cs="Times New Roman"/>
          <w:b/>
          <w:bCs/>
          <w:sz w:val="20"/>
          <w:szCs w:val="20"/>
          <w:vertAlign w:val="superscript"/>
        </w:rPr>
      </w:pPr>
      <w:r>
        <w:rPr>
          <w:rFonts w:ascii="Times New Roman" w:hAnsi="Times New Roman" w:cs="Times New Roman"/>
          <w:b/>
          <w:bCs/>
          <w:sz w:val="20"/>
          <w:szCs w:val="20"/>
        </w:rPr>
        <w:t>Table S</w:t>
      </w:r>
      <w:r>
        <w:rPr>
          <w:rFonts w:hint="eastAsia" w:ascii="Times New Roman" w:hAnsi="Times New Roman" w:cs="Times New Roman"/>
          <w:b/>
          <w:bCs/>
          <w:sz w:val="20"/>
          <w:szCs w:val="20"/>
        </w:rPr>
        <w:t>5</w:t>
      </w:r>
      <w:r>
        <w:rPr>
          <w:rFonts w:ascii="Times New Roman" w:hAnsi="Times New Roman" w:cs="Times New Roman"/>
          <w:b/>
          <w:bCs/>
          <w:sz w:val="20"/>
          <w:szCs w:val="20"/>
        </w:rPr>
        <w:t xml:space="preserve">. Results of multivariate Cox regression model and corresponding risk points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 xml:space="preserve">ensitivity analysis 4: </w:t>
      </w:r>
      <w:r>
        <w:rPr>
          <w:rFonts w:ascii="Times New Roman" w:hAnsi="Times New Roman" w:cs="Times New Roman"/>
          <w:b/>
          <w:bCs/>
          <w:sz w:val="20"/>
          <w:szCs w:val="20"/>
        </w:rPr>
        <w:t>excluding participants who had cancer at baseline</w:t>
      </w:r>
    </w:p>
    <w:tbl>
      <w:tblPr>
        <w:tblStyle w:val="8"/>
        <w:tblW w:w="8897" w:type="dxa"/>
        <w:jc w:val="center"/>
        <w:tblLayout w:type="fixed"/>
        <w:tblCellMar>
          <w:top w:w="0" w:type="dxa"/>
          <w:left w:w="0" w:type="dxa"/>
          <w:bottom w:w="0" w:type="dxa"/>
          <w:right w:w="0" w:type="dxa"/>
        </w:tblCellMar>
      </w:tblPr>
      <w:tblGrid>
        <w:gridCol w:w="318"/>
        <w:gridCol w:w="2307"/>
        <w:gridCol w:w="1808"/>
        <w:gridCol w:w="1229"/>
        <w:gridCol w:w="1674"/>
        <w:gridCol w:w="748"/>
        <w:gridCol w:w="813"/>
      </w:tblGrid>
      <w:tr>
        <w:tblPrEx>
          <w:tblCellMar>
            <w:top w:w="0" w:type="dxa"/>
            <w:left w:w="0" w:type="dxa"/>
            <w:bottom w:w="0" w:type="dxa"/>
            <w:right w:w="0" w:type="dxa"/>
          </w:tblCellMar>
        </w:tblPrEx>
        <w:trPr>
          <w:trHeight w:val="417" w:hRule="atLeast"/>
          <w:jc w:val="center"/>
        </w:trPr>
        <w:tc>
          <w:tcPr>
            <w:tcW w:w="2625" w:type="dxa"/>
            <w:gridSpan w:val="2"/>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Variables</w:t>
            </w:r>
          </w:p>
        </w:tc>
        <w:tc>
          <w:tcPr>
            <w:tcW w:w="1808"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Cases/Person-years</w:t>
            </w:r>
          </w:p>
        </w:tc>
        <w:tc>
          <w:tcPr>
            <w:tcW w:w="1229"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Regression coefficient</w:t>
            </w:r>
          </w:p>
        </w:tc>
        <w:tc>
          <w:tcPr>
            <w:tcW w:w="1674"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HR (95% CI)</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a</w:t>
            </w:r>
          </w:p>
        </w:tc>
        <w:tc>
          <w:tcPr>
            <w:tcW w:w="748"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i/>
                <w:sz w:val="20"/>
                <w:szCs w:val="20"/>
              </w:rPr>
            </w:pPr>
            <w:r>
              <w:rPr>
                <w:rFonts w:ascii="Times New Roman" w:hAnsi="Times New Roman" w:eastAsia="宋体" w:cs="Times New Roman"/>
                <w:b/>
                <w:i/>
                <w:kern w:val="0"/>
                <w:sz w:val="20"/>
                <w:szCs w:val="20"/>
                <w:lang w:bidi="ar"/>
              </w:rPr>
              <w:t>P</w:t>
            </w:r>
            <w:r>
              <w:rPr>
                <w:rFonts w:ascii="Times New Roman" w:hAnsi="Times New Roman" w:eastAsia="宋体" w:cs="Times New Roman"/>
                <w:b/>
                <w:kern w:val="0"/>
                <w:sz w:val="20"/>
                <w:szCs w:val="20"/>
                <w:lang w:bidi="ar"/>
              </w:rPr>
              <w:t>-value</w:t>
            </w:r>
          </w:p>
        </w:tc>
        <w:tc>
          <w:tcPr>
            <w:tcW w:w="813"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Points assigned</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Age at baseline, years</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40-44</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168/843,593</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45-49</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234/685,533</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0.46</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1.59 (1.30 to 1.93)</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50-54</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471/856,251</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0.88</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2.40 (2.01 to 2.87)</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8.5</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55-59</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571/662,364</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1.31</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3.69 (3.09 to 4.40)</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12.7</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60-64</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569/451,794</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1.67</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5.33 (4.47 to 6.36)</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16.2</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65-69</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559/355,517</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1.90</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6.69 (5.60 to 7.99)</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18.4</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70-75</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470/234,380</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2.13</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8.45 (7.04 to 10.14)</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20.7</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Sex</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Women</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1,012/2,435,046</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Men</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2,030/1,654,385</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0.88</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2.42 (2.17 to 2.69)</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8.6</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Education</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College or above</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100/207,832</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High school</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305/627,206</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0.40</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1.49 (1.18 to 1.87)</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3.8</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Middle school</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653/1,084,078</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0.53</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1.70 (1.37 to 2.11)</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5.1</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Illiterate or primary school</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1,984/2,170,316</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0.66</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1.93 (1.57 to 2.38)</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6.4</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BMI</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b</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≥18.5</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2,846/3,926,414</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&lt;18.5</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196/163,017</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0.23</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1.26 (1.09 to 1.46)</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0.002</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Pack-years of smoking</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c</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tcPr>
          <w:p>
            <w:pPr>
              <w:jc w:val="left"/>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Never (0 pack-year)</w:t>
            </w:r>
          </w:p>
        </w:tc>
        <w:tc>
          <w:tcPr>
            <w:tcW w:w="1808" w:type="dxa"/>
            <w:tcBorders>
              <w:top w:val="nil"/>
              <w:left w:val="nil"/>
              <w:bottom w:val="nil"/>
              <w:right w:val="nil"/>
            </w:tcBorders>
            <w:shd w:val="clear" w:color="auto" w:fill="auto"/>
            <w:noWrap/>
            <w:tcMar>
              <w:top w:w="12" w:type="dxa"/>
              <w:left w:w="12" w:type="dxa"/>
              <w:right w:w="12" w:type="dxa"/>
            </w:tcMar>
          </w:tcPr>
          <w:p>
            <w:pPr>
              <w:widowControl/>
              <w:jc w:val="center"/>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1,369/2,759,128</w:t>
            </w:r>
          </w:p>
        </w:tc>
        <w:tc>
          <w:tcPr>
            <w:tcW w:w="1229" w:type="dxa"/>
            <w:tcBorders>
              <w:top w:val="nil"/>
              <w:left w:val="nil"/>
              <w:bottom w:val="nil"/>
              <w:right w:val="nil"/>
            </w:tcBorders>
            <w:shd w:val="clear" w:color="auto" w:fill="auto"/>
            <w:noWrap/>
            <w:tcMar>
              <w:top w:w="12" w:type="dxa"/>
              <w:left w:w="12" w:type="dxa"/>
              <w:right w:w="12" w:type="dxa"/>
            </w:tcMar>
          </w:tcPr>
          <w:p>
            <w:pPr>
              <w:jc w:val="left"/>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tcPr>
          <w:p>
            <w:pPr>
              <w:widowControl/>
              <w:jc w:val="center"/>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&gt;0 to &lt;20 pack-years</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549/534,850</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 (0.98 to 1.25)</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0.088</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 pack-years</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1,124/795,453</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0.21</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1.23 (1.10 to 1.37)</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Alcohol drinking per day</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d</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Never or light</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2,552/3,732,728</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Moderate or heavy</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490/356,703</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0.18</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1.20 (1.08 to 1.33)</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fresh vegetables and fruits</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e</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677/1,127,304</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2,365/2,962,127</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1.12 (1.02 to 1.22)</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0.016</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salty foods</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f</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2,074/3,132,399</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968/957,032</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0.40</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1.49 (1.38 to 1.61)</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3.9</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Family history of cancer in first-degree relatives</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2,297/3,353,329</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745/736,102</w:t>
            </w:r>
          </w:p>
        </w:tc>
        <w:tc>
          <w:tcPr>
            <w:tcW w:w="122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0.41</w:t>
            </w: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1.51 (1.39 to 1.64)</w:t>
            </w:r>
          </w:p>
        </w:tc>
        <w:tc>
          <w:tcPr>
            <w:tcW w:w="7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w:t>
            </w:r>
          </w:p>
        </w:tc>
      </w:tr>
      <w:tr>
        <w:tblPrEx>
          <w:tblCellMar>
            <w:top w:w="0" w:type="dxa"/>
            <w:left w:w="0" w:type="dxa"/>
            <w:bottom w:w="0" w:type="dxa"/>
            <w:right w:w="0" w:type="dxa"/>
          </w:tblCellMar>
        </w:tblPrEx>
        <w:trPr>
          <w:trHeight w:val="210" w:hRule="atLeast"/>
          <w:jc w:val="center"/>
        </w:trPr>
        <w:tc>
          <w:tcPr>
            <w:tcW w:w="8897"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History of peptic ulcer</w:t>
            </w:r>
          </w:p>
        </w:tc>
      </w:tr>
      <w:tr>
        <w:tblPrEx>
          <w:tblCellMar>
            <w:top w:w="0" w:type="dxa"/>
            <w:left w:w="0" w:type="dxa"/>
            <w:bottom w:w="0" w:type="dxa"/>
            <w:right w:w="0" w:type="dxa"/>
          </w:tblCellMar>
        </w:tblPrEx>
        <w:trPr>
          <w:trHeight w:val="210" w:hRule="atLeast"/>
          <w:jc w:val="center"/>
        </w:trPr>
        <w:tc>
          <w:tcPr>
            <w:tcW w:w="318"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80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2,799/3,922,174</w:t>
            </w:r>
          </w:p>
        </w:tc>
        <w:tc>
          <w:tcPr>
            <w:tcW w:w="1229"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67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7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13"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222" w:hRule="atLeast"/>
          <w:jc w:val="center"/>
        </w:trPr>
        <w:tc>
          <w:tcPr>
            <w:tcW w:w="318" w:type="dxa"/>
            <w:tcBorders>
              <w:top w:val="nil"/>
              <w:left w:val="nil"/>
              <w:bottom w:val="single" w:color="000000" w:sz="4" w:space="0"/>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07"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808"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243/167,257</w:t>
            </w:r>
          </w:p>
        </w:tc>
        <w:tc>
          <w:tcPr>
            <w:tcW w:w="1229"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0.48</w:t>
            </w:r>
          </w:p>
        </w:tc>
        <w:tc>
          <w:tcPr>
            <w:tcW w:w="167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1.61 (1.41 to 1.84)</w:t>
            </w:r>
          </w:p>
        </w:tc>
        <w:tc>
          <w:tcPr>
            <w:tcW w:w="748"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13"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4.6</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eastAsia="宋体" w:cs="Times New Roman"/>
          <w:kern w:val="0"/>
          <w:sz w:val="20"/>
          <w:szCs w:val="20"/>
          <w:lang w:bidi="ar"/>
        </w:rPr>
        <w:t xml:space="preserve">HR, hazard ratio. </w:t>
      </w:r>
      <w:r>
        <w:rPr>
          <w:rFonts w:ascii="Times New Roman" w:hAnsi="Times New Roman" w:cs="Times New Roman"/>
          <w:sz w:val="20"/>
          <w:szCs w:val="20"/>
        </w:rPr>
        <w:t>CI, confidence interval.</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cs="Times New Roman"/>
          <w:sz w:val="20"/>
          <w:szCs w:val="20"/>
        </w:rPr>
        <w:t>BMI was calculated as weight in kilograms divided by the square of height in meters. BMI, body mass index.</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c </w:t>
      </w:r>
      <w:r>
        <w:rPr>
          <w:rFonts w:ascii="Times New Roman" w:hAnsi="Times New Roman" w:eastAsia="宋体" w:cs="Times New Roman"/>
          <w:kern w:val="0"/>
          <w:sz w:val="20"/>
          <w:szCs w:val="20"/>
          <w:lang w:bidi="ar"/>
        </w:rPr>
        <w:t>Pack-year was calculated by the product of the years of smoking (excluding years of quitting smoking) and the number of cigarette packs (the number of cigarettes divided by 20) smoked per day.</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d </w:t>
      </w:r>
      <w:r>
        <w:rPr>
          <w:rFonts w:ascii="Times New Roman" w:hAnsi="Times New Roman" w:cs="Times New Roman"/>
          <w:sz w:val="20"/>
          <w:szCs w:val="20"/>
        </w:rPr>
        <w:t>Never or light alcohol drinking was defined as alcohol intake less than 25 g/day in men and 15 g/day in women in the past year, otherwise was moderate or heavy alcohol drinking.</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e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fresh </w:t>
      </w:r>
      <w:r>
        <w:rPr>
          <w:rFonts w:ascii="Times New Roman" w:hAnsi="Times New Roman" w:eastAsia="宋体" w:cs="Times New Roman"/>
          <w:kern w:val="0"/>
          <w:sz w:val="20"/>
          <w:szCs w:val="20"/>
          <w:lang w:bidi="ar"/>
        </w:rPr>
        <w:t>vegetables and fruits</w:t>
      </w:r>
      <w:r>
        <w:rPr>
          <w:rFonts w:ascii="Times New Roman" w:hAnsi="Times New Roman" w:cs="Times New Roman"/>
          <w:sz w:val="20"/>
          <w:szCs w:val="20"/>
        </w:rPr>
        <w:t xml:space="preserve"> was defined as eating vegetables every day and fruits ≥4 days per week or eating fruits every day and vegetables ≥4 days per week, otherwise was occasional. </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f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foods was defined as eating preserved </w:t>
      </w:r>
      <w:r>
        <w:rPr>
          <w:rFonts w:hint="eastAsia" w:ascii="Times New Roman" w:hAnsi="Times New Roman" w:cs="Times New Roman"/>
          <w:sz w:val="20"/>
          <w:szCs w:val="20"/>
        </w:rPr>
        <w:t xml:space="preserve">salty </w:t>
      </w:r>
      <w:r>
        <w:rPr>
          <w:rFonts w:ascii="Times New Roman" w:hAnsi="Times New Roman" w:cs="Times New Roman"/>
          <w:sz w:val="20"/>
          <w:szCs w:val="20"/>
        </w:rPr>
        <w:t>vegetables ≥4 days per week, otherwise was occasional.</w:t>
      </w:r>
    </w:p>
    <w:p>
      <w:pPr>
        <w:rPr>
          <w:rFonts w:ascii="Times New Roman" w:hAnsi="Times New Roman" w:cs="Times New Roman"/>
          <w:sz w:val="20"/>
          <w:szCs w:val="20"/>
        </w:rPr>
      </w:pPr>
      <w:r>
        <w:rPr>
          <w:rFonts w:ascii="Times New Roman" w:hAnsi="Times New Roman" w:cs="Times New Roman"/>
          <w:sz w:val="20"/>
          <w:szCs w:val="20"/>
        </w:rPr>
        <w:br w:type="page"/>
      </w:r>
    </w:p>
    <w:p>
      <w:pPr>
        <w:rPr>
          <w:rFonts w:ascii="Times New Roman" w:hAnsi="Times New Roman" w:cs="Times New Roman"/>
          <w:sz w:val="20"/>
          <w:szCs w:val="20"/>
        </w:rPr>
        <w:sectPr>
          <w:pgSz w:w="11906" w:h="16838"/>
          <w:pgMar w:top="1440" w:right="1440" w:bottom="1440" w:left="1440" w:header="851" w:footer="992" w:gutter="0"/>
          <w:cols w:space="0" w:num="1"/>
          <w:docGrid w:type="lines" w:linePitch="312" w:charSpace="0"/>
        </w:sectPr>
      </w:pPr>
    </w:p>
    <w:p>
      <w:pPr>
        <w:jc w:val="left"/>
        <w:rPr>
          <w:rFonts w:ascii="Times New Roman" w:hAnsi="Times New Roman" w:cs="Times New Roman"/>
          <w:b/>
          <w:bCs/>
          <w:sz w:val="20"/>
          <w:szCs w:val="20"/>
          <w:vertAlign w:val="superscript"/>
        </w:rPr>
      </w:pPr>
      <w:r>
        <w:rPr>
          <w:rFonts w:ascii="Times New Roman" w:hAnsi="Times New Roman" w:cs="Times New Roman"/>
          <w:b/>
          <w:bCs/>
          <w:sz w:val="20"/>
          <w:szCs w:val="20"/>
        </w:rPr>
        <w:t>Table S</w:t>
      </w:r>
      <w:r>
        <w:rPr>
          <w:rFonts w:hint="eastAsia" w:ascii="Times New Roman" w:hAnsi="Times New Roman" w:cs="Times New Roman"/>
          <w:b/>
          <w:bCs/>
          <w:sz w:val="20"/>
          <w:szCs w:val="20"/>
        </w:rPr>
        <w:t>6</w:t>
      </w:r>
      <w:r>
        <w:rPr>
          <w:rFonts w:ascii="Times New Roman" w:hAnsi="Times New Roman" w:cs="Times New Roman"/>
          <w:b/>
          <w:bCs/>
          <w:sz w:val="20"/>
          <w:szCs w:val="20"/>
        </w:rPr>
        <w:t>. Results and corresponding risk points</w:t>
      </w:r>
      <w:r>
        <w:rPr>
          <w:rFonts w:hint="eastAsia" w:ascii="Times New Roman" w:hAnsi="Times New Roman" w:cs="Times New Roman"/>
          <w:b/>
          <w:bCs/>
          <w:sz w:val="20"/>
          <w:szCs w:val="20"/>
        </w:rPr>
        <w:t xml:space="preserve"> in</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5:</w:t>
      </w:r>
      <w:r>
        <w:rPr>
          <w:rFonts w:ascii="Times New Roman" w:hAnsi="Times New Roman" w:cs="Times New Roman"/>
          <w:b/>
          <w:bCs/>
          <w:sz w:val="20"/>
          <w:szCs w:val="20"/>
        </w:rPr>
        <w:t xml:space="preserve"> competing risk model by considering death as a competing event</w:t>
      </w:r>
    </w:p>
    <w:tbl>
      <w:tblPr>
        <w:tblStyle w:val="8"/>
        <w:tblW w:w="8956" w:type="dxa"/>
        <w:jc w:val="center"/>
        <w:tblLayout w:type="fixed"/>
        <w:tblCellMar>
          <w:top w:w="0" w:type="dxa"/>
          <w:left w:w="0" w:type="dxa"/>
          <w:bottom w:w="0" w:type="dxa"/>
          <w:right w:w="0" w:type="dxa"/>
        </w:tblCellMar>
      </w:tblPr>
      <w:tblGrid>
        <w:gridCol w:w="405"/>
        <w:gridCol w:w="2316"/>
        <w:gridCol w:w="1704"/>
        <w:gridCol w:w="1148"/>
        <w:gridCol w:w="1728"/>
        <w:gridCol w:w="810"/>
        <w:gridCol w:w="845"/>
      </w:tblGrid>
      <w:tr>
        <w:tblPrEx>
          <w:tblCellMar>
            <w:top w:w="0" w:type="dxa"/>
            <w:left w:w="0" w:type="dxa"/>
            <w:bottom w:w="0" w:type="dxa"/>
            <w:right w:w="0" w:type="dxa"/>
          </w:tblCellMar>
        </w:tblPrEx>
        <w:trPr>
          <w:trHeight w:val="564" w:hRule="atLeast"/>
          <w:jc w:val="center"/>
        </w:trPr>
        <w:tc>
          <w:tcPr>
            <w:tcW w:w="2721" w:type="dxa"/>
            <w:gridSpan w:val="2"/>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Variables</w:t>
            </w:r>
          </w:p>
        </w:tc>
        <w:tc>
          <w:tcPr>
            <w:tcW w:w="1704"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Cases/Person-years</w:t>
            </w:r>
          </w:p>
        </w:tc>
        <w:tc>
          <w:tcPr>
            <w:tcW w:w="1148"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Regression coefficient</w:t>
            </w:r>
          </w:p>
        </w:tc>
        <w:tc>
          <w:tcPr>
            <w:tcW w:w="1728"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HR (95% CI)</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a</w:t>
            </w:r>
          </w:p>
        </w:tc>
        <w:tc>
          <w:tcPr>
            <w:tcW w:w="810" w:type="dxa"/>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i/>
                <w:kern w:val="0"/>
                <w:sz w:val="20"/>
                <w:szCs w:val="20"/>
                <w:lang w:bidi="ar"/>
              </w:rPr>
              <w:t>P</w:t>
            </w:r>
            <w:r>
              <w:rPr>
                <w:rFonts w:ascii="Times New Roman" w:hAnsi="Times New Roman" w:eastAsia="宋体" w:cs="Times New Roman"/>
                <w:b/>
                <w:kern w:val="0"/>
                <w:sz w:val="20"/>
                <w:szCs w:val="20"/>
                <w:lang w:bidi="ar"/>
              </w:rPr>
              <w:t>-value</w:t>
            </w:r>
          </w:p>
        </w:tc>
        <w:tc>
          <w:tcPr>
            <w:tcW w:w="845"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Points assigned</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Age at baseline, years</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40-44</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168/845,021</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45-49</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236/687,811</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0.47</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1.59 (1.31 to 1.94)</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50-54</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473/860,063</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0.87</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2.39 (2.00 to 2.86)</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8.8</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55-59</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593/666,252</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1.33</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3.79 (3.18 to 4.51)</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13.4</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60-64</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572/454,473</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1.66</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5.26 (4.42 to 6.27)</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16.7</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65-69</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570/357,890</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1.89</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6.65 (5.57 to 7.93)</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19.1</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70-75</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477/236,230</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2.11</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8.28 (6.90 to 9.93)</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21.3</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Sex</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Women</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1,033/2,447,930</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Men</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2,056/1,659,810</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0.87</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2.39 (2.15 to 2.65)</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8.8</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Education</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College or above</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102/209,414</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High school</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310/630,316</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0.40</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1.49 (1.19 to 1.87)</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Middle school</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664/1,088,309</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0.54</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1.71 (1.38 to 2.12)</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5.4</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Illiterate or primary school</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2,013/2,179,701</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0.66</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1.94 (1.58 to 2.38)</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6.7</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BMI</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b</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≥18.5</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2,885/3,943,563</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r>
              <w:rPr>
                <w:rFonts w:hint="eastAsia" w:ascii="Times New Roman" w:hAnsi="Times New Roman" w:eastAsia="宋体" w:cs="Times New Roman"/>
                <w:sz w:val="20"/>
                <w:szCs w:val="20"/>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&lt;18.5</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204/164,177</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0.24</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1.27 (1.10 to 1.47)</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Pack-years of smoking</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c</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Never (0 pack-year)</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1,389/2,772,929</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&gt;0 to &lt;20 pack-years</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559/536,569</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1.12 (1.00 to 1.26)</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hint="eastAsia" w:ascii="Times New Roman" w:hAnsi="Times New Roman" w:eastAsia="宋体" w:cs="Times New Roman"/>
                <w:sz w:val="20"/>
                <w:szCs w:val="20"/>
              </w:rPr>
              <w:t>1.2</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 pack-years</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1,141/798,243</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0.22</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1.24 (1.12 to 1.38)</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Alcohol drinking per day</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d</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Never or light</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2,598/3,750,542</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Moderate or heavy</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491/357,198</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0.17</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1.19 (1.07 to 1.32)</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fresh vegetables and fruits</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e</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695/1,134,030</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2,394/2,973,710</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 (1.01 to 1.21)</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 xml:space="preserve">0.030 </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salty foods</w:t>
            </w:r>
            <w:r>
              <w:rPr>
                <w:rFonts w:hint="eastAsia" w:ascii="Times New Roman" w:hAnsi="Times New Roman" w:eastAsia="宋体" w:cs="Times New Roman"/>
                <w:kern w:val="0"/>
                <w:sz w:val="20"/>
                <w:szCs w:val="20"/>
                <w:lang w:bidi="ar"/>
              </w:rPr>
              <w:t xml:space="preserve"> </w:t>
            </w:r>
            <w:r>
              <w:rPr>
                <w:rFonts w:hint="eastAsia" w:ascii="Times New Roman" w:hAnsi="Times New Roman" w:eastAsia="宋体" w:cs="Times New Roman"/>
                <w:kern w:val="0"/>
                <w:sz w:val="20"/>
                <w:szCs w:val="20"/>
                <w:vertAlign w:val="superscript"/>
                <w:lang w:bidi="ar"/>
              </w:rPr>
              <w:t>f</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Occasional</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2,105/3,146,493</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Frequent</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984/961,247.4</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0.40</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1.50 (1.39 to 1.62)</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Previous cancer diagnosis</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3,042/4,089,431</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47/18,309</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1.06</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2.89 (2.16 to 3.86)</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10.7</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Family history of cancer in first-degree relatives</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2,328/3,366,039</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761/741,701</w:t>
            </w:r>
          </w:p>
        </w:tc>
        <w:tc>
          <w:tcPr>
            <w:tcW w:w="114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0.41</w:t>
            </w: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1.50 (1.38 to 1.63)</w:t>
            </w:r>
          </w:p>
        </w:tc>
        <w:tc>
          <w:tcPr>
            <w:tcW w:w="8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w:t>
            </w:r>
          </w:p>
        </w:tc>
      </w:tr>
      <w:tr>
        <w:tblPrEx>
          <w:tblCellMar>
            <w:top w:w="0" w:type="dxa"/>
            <w:left w:w="0" w:type="dxa"/>
            <w:bottom w:w="0" w:type="dxa"/>
            <w:right w:w="0" w:type="dxa"/>
          </w:tblCellMar>
        </w:tblPrEx>
        <w:trPr>
          <w:trHeight w:val="312" w:hRule="atLeast"/>
          <w:jc w:val="center"/>
        </w:trPr>
        <w:tc>
          <w:tcPr>
            <w:tcW w:w="8956" w:type="dxa"/>
            <w:gridSpan w:val="7"/>
            <w:tcBorders>
              <w:top w:val="nil"/>
              <w:left w:val="nil"/>
              <w:bottom w:val="nil"/>
              <w:right w:val="nil"/>
            </w:tcBorders>
            <w:shd w:val="clear" w:color="auto" w:fill="auto"/>
            <w:noWrap/>
            <w:tcMar>
              <w:top w:w="12" w:type="dxa"/>
              <w:left w:w="12" w:type="dxa"/>
              <w:right w:w="12" w:type="dxa"/>
            </w:tcMar>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History of peptic ulcer</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No</w:t>
            </w:r>
          </w:p>
        </w:tc>
        <w:tc>
          <w:tcPr>
            <w:tcW w:w="170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2,844/3,939,709</w:t>
            </w:r>
          </w:p>
        </w:tc>
        <w:tc>
          <w:tcPr>
            <w:tcW w:w="114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72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Reference</w:t>
            </w:r>
          </w:p>
        </w:tc>
        <w:tc>
          <w:tcPr>
            <w:tcW w:w="81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84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r>
      <w:tr>
        <w:tblPrEx>
          <w:tblCellMar>
            <w:top w:w="0" w:type="dxa"/>
            <w:left w:w="0" w:type="dxa"/>
            <w:bottom w:w="0" w:type="dxa"/>
            <w:right w:w="0" w:type="dxa"/>
          </w:tblCellMar>
        </w:tblPrEx>
        <w:trPr>
          <w:trHeight w:val="312" w:hRule="atLeast"/>
          <w:jc w:val="center"/>
        </w:trPr>
        <w:tc>
          <w:tcPr>
            <w:tcW w:w="405" w:type="dxa"/>
            <w:tcBorders>
              <w:top w:val="nil"/>
              <w:left w:val="nil"/>
              <w:bottom w:val="single" w:color="000000" w:sz="4" w:space="0"/>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316"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Yes</w:t>
            </w:r>
          </w:p>
        </w:tc>
        <w:tc>
          <w:tcPr>
            <w:tcW w:w="170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245/168,031</w:t>
            </w:r>
          </w:p>
        </w:tc>
        <w:tc>
          <w:tcPr>
            <w:tcW w:w="1148"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0.47</w:t>
            </w:r>
          </w:p>
        </w:tc>
        <w:tc>
          <w:tcPr>
            <w:tcW w:w="1728"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1.60 (1.0 to 1.82)</w:t>
            </w:r>
          </w:p>
        </w:tc>
        <w:tc>
          <w:tcPr>
            <w:tcW w:w="810"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845"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eastAsia="宋体" w:cs="Times New Roman"/>
          <w:kern w:val="0"/>
          <w:sz w:val="20"/>
          <w:szCs w:val="20"/>
          <w:lang w:bidi="ar"/>
        </w:rPr>
        <w:t xml:space="preserve">HR, hazard ratio. </w:t>
      </w:r>
      <w:r>
        <w:rPr>
          <w:rFonts w:ascii="Times New Roman" w:hAnsi="Times New Roman" w:cs="Times New Roman"/>
          <w:sz w:val="20"/>
          <w:szCs w:val="20"/>
        </w:rPr>
        <w:t>CI, confidence interval.</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cs="Times New Roman"/>
          <w:sz w:val="20"/>
          <w:szCs w:val="20"/>
        </w:rPr>
        <w:t>BMI was calculated as weight in kilograms divided by the square of height in meters. BMI, body mass index.</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c </w:t>
      </w:r>
      <w:r>
        <w:rPr>
          <w:rFonts w:ascii="Times New Roman" w:hAnsi="Times New Roman" w:eastAsia="宋体" w:cs="Times New Roman"/>
          <w:kern w:val="0"/>
          <w:sz w:val="20"/>
          <w:szCs w:val="20"/>
          <w:lang w:bidi="ar"/>
        </w:rPr>
        <w:t>Pack-year was calculated by the product of the years of smoking (excluding years of quitting smoking) and the number of cigarette packs (the number of cigarettes divided by 20) smoked per day.</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d </w:t>
      </w:r>
      <w:r>
        <w:rPr>
          <w:rFonts w:ascii="Times New Roman" w:hAnsi="Times New Roman" w:cs="Times New Roman"/>
          <w:sz w:val="20"/>
          <w:szCs w:val="20"/>
        </w:rPr>
        <w:t>Never or light alcohol drinking was defined as alcohol intake less than 25 g/day in men and 15 g/day in women in the past year, otherwise was moderate or heavy alcohol drinking.</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e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fresh </w:t>
      </w:r>
      <w:r>
        <w:rPr>
          <w:rFonts w:ascii="Times New Roman" w:hAnsi="Times New Roman" w:eastAsia="宋体" w:cs="Times New Roman"/>
          <w:kern w:val="0"/>
          <w:sz w:val="20"/>
          <w:szCs w:val="20"/>
          <w:lang w:bidi="ar"/>
        </w:rPr>
        <w:t>vegetables and fruits</w:t>
      </w:r>
      <w:r>
        <w:rPr>
          <w:rFonts w:ascii="Times New Roman" w:hAnsi="Times New Roman" w:cs="Times New Roman"/>
          <w:sz w:val="20"/>
          <w:szCs w:val="20"/>
        </w:rPr>
        <w:t xml:space="preserve"> was defined as eating vegetables every day and fruits ≥4 days per week or eating fruits every day and vegetables ≥4 days per week, otherwise was occasional. </w:t>
      </w:r>
    </w:p>
    <w:p>
      <w:pPr>
        <w:jc w:val="left"/>
        <w:rPr>
          <w:rFonts w:ascii="Times New Roman" w:hAnsi="Times New Roman" w:cs="Times New Roman"/>
          <w:szCs w:val="21"/>
        </w:rPr>
      </w:pPr>
      <w:r>
        <w:rPr>
          <w:rFonts w:ascii="Times New Roman" w:hAnsi="Times New Roman" w:eastAsia="宋体" w:cs="Times New Roman"/>
          <w:kern w:val="0"/>
          <w:sz w:val="20"/>
          <w:szCs w:val="20"/>
          <w:vertAlign w:val="superscript"/>
          <w:lang w:bidi="ar"/>
        </w:rPr>
        <w:t xml:space="preserve">f </w:t>
      </w:r>
      <w:r>
        <w:rPr>
          <w:rFonts w:ascii="Times New Roman" w:hAnsi="Times New Roman" w:eastAsia="宋体" w:cs="Times New Roman"/>
          <w:kern w:val="0"/>
          <w:sz w:val="20"/>
          <w:szCs w:val="20"/>
          <w:lang w:bidi="ar"/>
        </w:rPr>
        <w:t>F</w:t>
      </w:r>
      <w:r>
        <w:rPr>
          <w:rFonts w:ascii="Times New Roman" w:hAnsi="Times New Roman" w:cs="Times New Roman"/>
          <w:sz w:val="20"/>
          <w:szCs w:val="20"/>
        </w:rPr>
        <w:t xml:space="preserve">requent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foods was defined as eating preserved </w:t>
      </w:r>
      <w:r>
        <w:rPr>
          <w:rFonts w:hint="eastAsia" w:ascii="Times New Roman" w:hAnsi="Times New Roman" w:cs="Times New Roman"/>
          <w:sz w:val="20"/>
          <w:szCs w:val="20"/>
        </w:rPr>
        <w:t xml:space="preserve">salty </w:t>
      </w:r>
      <w:r>
        <w:rPr>
          <w:rFonts w:ascii="Times New Roman" w:hAnsi="Times New Roman" w:cs="Times New Roman"/>
          <w:sz w:val="20"/>
          <w:szCs w:val="20"/>
        </w:rPr>
        <w:t>vegetables ≥4 days per week, otherwise was occasional.</w:t>
      </w:r>
    </w:p>
    <w:p>
      <w:pPr>
        <w:jc w:val="left"/>
        <w:rPr>
          <w:rFonts w:ascii="Times New Roman" w:hAnsi="Times New Roman" w:cs="Times New Roman"/>
          <w:szCs w:val="21"/>
        </w:rPr>
      </w:pPr>
    </w:p>
    <w:p>
      <w:pPr>
        <w:jc w:val="left"/>
        <w:rPr>
          <w:rFonts w:ascii="Times New Roman" w:hAnsi="Times New Roman" w:cs="Times New Roman"/>
          <w:szCs w:val="21"/>
        </w:rPr>
        <w:sectPr>
          <w:pgSz w:w="11906" w:h="16838"/>
          <w:pgMar w:top="1440" w:right="1440" w:bottom="1440" w:left="1440" w:header="851" w:footer="992" w:gutter="0"/>
          <w:cols w:space="0" w:num="1"/>
          <w:docGrid w:type="lines" w:linePitch="312" w:charSpace="0"/>
        </w:sectPr>
      </w:pPr>
    </w:p>
    <w:p>
      <w:pPr>
        <w:jc w:val="left"/>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7</w:t>
      </w:r>
      <w:r>
        <w:rPr>
          <w:rFonts w:ascii="Times New Roman" w:hAnsi="Times New Roman" w:cs="Times New Roman"/>
          <w:b/>
          <w:bCs/>
          <w:sz w:val="20"/>
          <w:szCs w:val="20"/>
        </w:rPr>
        <w:t xml:space="preserve">. Risk categories by deciles of the GCRS in the CKB </w:t>
      </w:r>
      <w:r>
        <w:rPr>
          <w:rFonts w:hint="eastAsia" w:ascii="Times New Roman" w:hAnsi="Times New Roman" w:cs="Times New Roman"/>
          <w:b/>
          <w:bCs/>
          <w:sz w:val="20"/>
          <w:szCs w:val="20"/>
          <w:lang w:val="en-US" w:eastAsia="zh-CN"/>
        </w:rPr>
        <w:t>c</w:t>
      </w:r>
      <w:r>
        <w:rPr>
          <w:rFonts w:ascii="Times New Roman" w:hAnsi="Times New Roman" w:cs="Times New Roman"/>
          <w:b/>
          <w:bCs/>
          <w:sz w:val="20"/>
          <w:szCs w:val="20"/>
        </w:rPr>
        <w:t>ohort</w:t>
      </w:r>
    </w:p>
    <w:tbl>
      <w:tblPr>
        <w:tblStyle w:val="8"/>
        <w:tblW w:w="978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3"/>
        <w:gridCol w:w="992"/>
        <w:gridCol w:w="1134"/>
        <w:gridCol w:w="1004"/>
        <w:gridCol w:w="709"/>
        <w:gridCol w:w="2126"/>
        <w:gridCol w:w="1264"/>
        <w:gridCol w:w="155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vMerge w:val="restart"/>
            <w:tcBorders>
              <w:top w:val="single" w:color="auto" w:sz="4" w:space="0"/>
              <w:bottom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Risk category </w:t>
            </w:r>
            <w:r>
              <w:rPr>
                <w:rFonts w:ascii="Times New Roman" w:hAnsi="Times New Roman" w:eastAsia="宋体" w:cs="Times New Roman"/>
                <w:b/>
                <w:color w:val="000000"/>
                <w:kern w:val="0"/>
                <w:sz w:val="20"/>
                <w:szCs w:val="20"/>
                <w:vertAlign w:val="superscript"/>
                <w:lang w:bidi="ar"/>
              </w:rPr>
              <w:t>a</w:t>
            </w:r>
          </w:p>
        </w:tc>
        <w:tc>
          <w:tcPr>
            <w:tcW w:w="992" w:type="dxa"/>
            <w:vMerge w:val="restart"/>
            <w:tcBorders>
              <w:top w:val="single" w:color="auto" w:sz="4" w:space="0"/>
              <w:bottom w:val="nil"/>
            </w:tcBorders>
            <w:shd w:val="clear" w:color="auto" w:fill="auto"/>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GCRS range</w:t>
            </w:r>
          </w:p>
        </w:tc>
        <w:tc>
          <w:tcPr>
            <w:tcW w:w="1134" w:type="dxa"/>
            <w:vMerge w:val="restart"/>
            <w:tcBorders>
              <w:top w:val="single" w:color="auto" w:sz="4" w:space="0"/>
              <w:bottom w:val="nil"/>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Total (n=416,343)</w:t>
            </w:r>
          </w:p>
          <w:p>
            <w:pPr>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w:t>
            </w:r>
          </w:p>
        </w:tc>
        <w:tc>
          <w:tcPr>
            <w:tcW w:w="1004" w:type="dxa"/>
            <w:vMerge w:val="restart"/>
            <w:tcBorders>
              <w:top w:val="single" w:color="auto" w:sz="4" w:space="0"/>
              <w:bottom w:val="nil"/>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Person-years</w:t>
            </w:r>
          </w:p>
        </w:tc>
        <w:tc>
          <w:tcPr>
            <w:tcW w:w="5658" w:type="dxa"/>
            <w:gridSpan w:val="4"/>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Incident gastric cancer (n=3,089)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993" w:type="dxa"/>
            <w:vMerge w:val="continue"/>
            <w:tcBorders>
              <w:top w:val="nil"/>
              <w:bottom w:val="single" w:color="auto" w:sz="4" w:space="0"/>
            </w:tcBorders>
            <w:shd w:val="clear" w:color="auto" w:fill="auto"/>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92" w:type="dxa"/>
            <w:vMerge w:val="continue"/>
            <w:tcBorders>
              <w:top w:val="nil"/>
              <w:bottom w:val="single" w:color="auto" w:sz="4" w:space="0"/>
            </w:tcBorders>
            <w:shd w:val="clear" w:color="auto" w:fill="auto"/>
            <w:vAlign w:val="center"/>
          </w:tcPr>
          <w:p>
            <w:pPr>
              <w:jc w:val="center"/>
              <w:rPr>
                <w:rFonts w:ascii="Times New Roman" w:hAnsi="Times New Roman" w:eastAsia="宋体" w:cs="Times New Roman"/>
                <w:color w:val="000000"/>
                <w:sz w:val="20"/>
                <w:szCs w:val="20"/>
              </w:rPr>
            </w:pPr>
          </w:p>
        </w:tc>
        <w:tc>
          <w:tcPr>
            <w:tcW w:w="1134" w:type="dxa"/>
            <w:vMerge w:val="continue"/>
            <w:tcBorders>
              <w:top w:val="nil"/>
              <w:bottom w:val="single" w:color="auto" w:sz="4" w:space="0"/>
            </w:tcBorders>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1004" w:type="dxa"/>
            <w:vMerge w:val="continue"/>
            <w:tcBorders>
              <w:top w:val="nil"/>
              <w:bottom w:val="single" w:color="auto" w:sz="4" w:space="0"/>
            </w:tcBorders>
          </w:tcPr>
          <w:p>
            <w:pPr>
              <w:widowControl/>
              <w:jc w:val="center"/>
              <w:textAlignment w:val="center"/>
              <w:rPr>
                <w:rFonts w:ascii="Times New Roman" w:hAnsi="Times New Roman" w:eastAsia="宋体" w:cs="Times New Roman"/>
                <w:color w:val="000000"/>
                <w:kern w:val="0"/>
                <w:sz w:val="20"/>
                <w:szCs w:val="20"/>
                <w:lang w:bidi="ar"/>
              </w:rPr>
            </w:pPr>
          </w:p>
        </w:tc>
        <w:tc>
          <w:tcPr>
            <w:tcW w:w="709"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w:t>
            </w:r>
          </w:p>
        </w:tc>
        <w:tc>
          <w:tcPr>
            <w:tcW w:w="212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Incidence rate (per 100,000 person-years)</w:t>
            </w:r>
          </w:p>
        </w:tc>
        <w:tc>
          <w:tcPr>
            <w:tcW w:w="1264"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Proportion </w:t>
            </w:r>
            <w:r>
              <w:rPr>
                <w:rFonts w:ascii="Times New Roman" w:hAnsi="Times New Roman" w:eastAsia="宋体" w:cs="Times New Roman"/>
                <w:b/>
                <w:color w:val="000000"/>
                <w:kern w:val="0"/>
                <w:sz w:val="20"/>
                <w:szCs w:val="20"/>
                <w:vertAlign w:val="superscript"/>
                <w:lang w:bidi="ar"/>
              </w:rPr>
              <w:t>b</w:t>
            </w:r>
          </w:p>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w:t>
            </w:r>
          </w:p>
        </w:tc>
        <w:tc>
          <w:tcPr>
            <w:tcW w:w="1559"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Cumulative proportion </w:t>
            </w:r>
            <w:r>
              <w:rPr>
                <w:rFonts w:ascii="Times New Roman" w:hAnsi="Times New Roman" w:eastAsia="宋体" w:cs="Times New Roman"/>
                <w:b/>
                <w:color w:val="000000"/>
                <w:kern w:val="0"/>
                <w:sz w:val="20"/>
                <w:szCs w:val="20"/>
                <w:vertAlign w:val="superscript"/>
                <w:lang w:bidi="ar"/>
              </w:rPr>
              <w:t>c</w:t>
            </w:r>
            <w:r>
              <w:rPr>
                <w:rFonts w:ascii="Times New Roman" w:hAnsi="Times New Roman" w:eastAsia="宋体" w:cs="Times New Roman"/>
                <w:b/>
                <w:color w:val="000000"/>
                <w:kern w:val="0"/>
                <w:sz w:val="20"/>
                <w:szCs w:val="20"/>
                <w:lang w:bidi="ar"/>
              </w:rPr>
              <w:t xml:space="preserve">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D10</w:t>
            </w:r>
          </w:p>
        </w:tc>
        <w:tc>
          <w:tcPr>
            <w:tcW w:w="992"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35.3-62.2</w:t>
            </w:r>
          </w:p>
        </w:tc>
        <w:tc>
          <w:tcPr>
            <w:tcW w:w="1134"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41,140</w:t>
            </w:r>
          </w:p>
        </w:tc>
        <w:tc>
          <w:tcPr>
            <w:tcW w:w="1004"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367,569</w:t>
            </w:r>
          </w:p>
        </w:tc>
        <w:tc>
          <w:tcPr>
            <w:tcW w:w="709"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1,059</w:t>
            </w:r>
          </w:p>
        </w:tc>
        <w:tc>
          <w:tcPr>
            <w:tcW w:w="212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288.11</w:t>
            </w:r>
          </w:p>
        </w:tc>
        <w:tc>
          <w:tcPr>
            <w:tcW w:w="126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34.28</w:t>
            </w:r>
          </w:p>
        </w:tc>
        <w:tc>
          <w:tcPr>
            <w:tcW w:w="1559"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34.28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D9</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30.7-35.2</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41,975</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399,418</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584</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146.21</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18.91</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53.19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D8</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27.7-30.6</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41,468</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401,610</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383</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95.37</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12.40</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65.59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D7</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24.9-27.6</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35,524</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347,398</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254</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73.12</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8.22</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73.81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D6</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22.0-24.8</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48,053</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478,842</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296</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61.82</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9.58</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83.39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D5</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19.9-21.9</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38,543</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388,197</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154</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39.67</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4.99</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88.38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D4</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16.3-19.8</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36,873</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371,629</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104</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27.98</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3.37</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91.74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D3</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13.7-16.2</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45,875</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468,174</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121</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25.85</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3.92</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95.66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D2</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9.1-13.6</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44,222</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450,814</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76</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16.86</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2.46</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98.12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93"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D1</w:t>
            </w:r>
          </w:p>
        </w:tc>
        <w:tc>
          <w:tcPr>
            <w:tcW w:w="992"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0.0-9.0</w:t>
            </w:r>
          </w:p>
        </w:tc>
        <w:tc>
          <w:tcPr>
            <w:tcW w:w="113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42,670</w:t>
            </w:r>
          </w:p>
        </w:tc>
        <w:tc>
          <w:tcPr>
            <w:tcW w:w="1004"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cs="Times New Roman"/>
                <w:color w:val="000000"/>
                <w:sz w:val="20"/>
                <w:szCs w:val="20"/>
              </w:rPr>
              <w:t>434,090</w:t>
            </w:r>
          </w:p>
        </w:tc>
        <w:tc>
          <w:tcPr>
            <w:tcW w:w="70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58</w:t>
            </w:r>
          </w:p>
        </w:tc>
        <w:tc>
          <w:tcPr>
            <w:tcW w:w="212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13.36</w:t>
            </w:r>
          </w:p>
        </w:tc>
        <w:tc>
          <w:tcPr>
            <w:tcW w:w="126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1.88</w:t>
            </w:r>
          </w:p>
        </w:tc>
        <w:tc>
          <w:tcPr>
            <w:tcW w:w="155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100.00</w:t>
            </w:r>
          </w:p>
        </w:tc>
      </w:tr>
    </w:tbl>
    <w:p>
      <w:pPr>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vertAlign w:val="superscript"/>
          <w:lang w:bidi="ar"/>
        </w:rPr>
        <w:t xml:space="preserve">a </w:t>
      </w:r>
      <w:r>
        <w:rPr>
          <w:rFonts w:ascii="Times New Roman" w:hAnsi="Times New Roman" w:eastAsia="宋体" w:cs="Times New Roman"/>
          <w:color w:val="000000"/>
          <w:kern w:val="0"/>
          <w:sz w:val="20"/>
          <w:szCs w:val="20"/>
          <w:lang w:bidi="ar"/>
        </w:rPr>
        <w:t>Participants in the CKB cohort were divided into ten equal groups according to the GCRS. GCRS, gastric cancer risk score.</w:t>
      </w:r>
    </w:p>
    <w:p>
      <w:pPr>
        <w:jc w:val="left"/>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 xml:space="preserve"> The proportion was calculated by dividing the number of incident gastric cancer cases in each risk category by the total number of GC cases.</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c </w:t>
      </w:r>
      <w:r>
        <w:rPr>
          <w:rFonts w:ascii="Times New Roman" w:hAnsi="Times New Roman" w:cs="Times New Roman"/>
          <w:sz w:val="20"/>
          <w:szCs w:val="20"/>
        </w:rPr>
        <w:t>Cumulative proportion was calculated by dividing the number of incident gastric cancer cases accumulated to this category by the total number of GC cases.</w:t>
      </w:r>
    </w:p>
    <w:p>
      <w:pPr>
        <w:jc w:val="left"/>
        <w:rPr>
          <w:rFonts w:ascii="Times New Roman" w:hAnsi="Times New Roman" w:eastAsia="宋体" w:cs="Times New Roman"/>
          <w:color w:val="000000"/>
          <w:kern w:val="0"/>
          <w:sz w:val="16"/>
          <w:szCs w:val="16"/>
          <w:vertAlign w:val="superscript"/>
          <w:lang w:bidi="ar"/>
        </w:rPr>
      </w:pPr>
    </w:p>
    <w:p>
      <w:pPr>
        <w:widowControl/>
        <w:jc w:val="left"/>
        <w:rPr>
          <w:rFonts w:ascii="Times New Roman" w:hAnsi="Times New Roman" w:cs="Times New Roman"/>
          <w:b/>
          <w:bCs/>
          <w:color w:val="FF0000"/>
          <w:sz w:val="20"/>
          <w:szCs w:val="20"/>
        </w:rPr>
      </w:pPr>
      <w:r>
        <w:rPr>
          <w:rFonts w:ascii="Times New Roman" w:hAnsi="Times New Roman" w:cs="Times New Roman"/>
          <w:b/>
          <w:bCs/>
          <w:color w:val="FF0000"/>
          <w:sz w:val="20"/>
          <w:szCs w:val="20"/>
        </w:rPr>
        <w:br w:type="page"/>
      </w:r>
    </w:p>
    <w:p>
      <w:pPr>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8</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 xml:space="preserve">Internal validation of the </w:t>
      </w:r>
      <w:r>
        <w:rPr>
          <w:rFonts w:ascii="Times New Roman" w:hAnsi="Times New Roman" w:cs="Times New Roman"/>
          <w:b/>
          <w:bCs/>
          <w:sz w:val="20"/>
          <w:szCs w:val="20"/>
        </w:rPr>
        <w:t xml:space="preserve">GCRS </w:t>
      </w:r>
      <w:r>
        <w:rPr>
          <w:rFonts w:hint="eastAsia" w:ascii="Times New Roman" w:hAnsi="Times New Roman" w:cs="Times New Roman"/>
          <w:b/>
          <w:bCs/>
          <w:sz w:val="20"/>
          <w:szCs w:val="20"/>
        </w:rPr>
        <w:t>in different regions of CKB</w:t>
      </w:r>
    </w:p>
    <w:tbl>
      <w:tblPr>
        <w:tblStyle w:val="8"/>
        <w:tblW w:w="9739" w:type="dxa"/>
        <w:jc w:val="center"/>
        <w:tblLayout w:type="fixed"/>
        <w:tblCellMar>
          <w:top w:w="0" w:type="dxa"/>
          <w:left w:w="0" w:type="dxa"/>
          <w:bottom w:w="0" w:type="dxa"/>
          <w:right w:w="0" w:type="dxa"/>
        </w:tblCellMar>
      </w:tblPr>
      <w:tblGrid>
        <w:gridCol w:w="452"/>
        <w:gridCol w:w="2126"/>
        <w:gridCol w:w="1734"/>
        <w:gridCol w:w="634"/>
        <w:gridCol w:w="1078"/>
        <w:gridCol w:w="1035"/>
        <w:gridCol w:w="2680"/>
      </w:tblGrid>
      <w:tr>
        <w:tblPrEx>
          <w:tblCellMar>
            <w:top w:w="0" w:type="dxa"/>
            <w:left w:w="0" w:type="dxa"/>
            <w:bottom w:w="0" w:type="dxa"/>
            <w:right w:w="0" w:type="dxa"/>
          </w:tblCellMar>
        </w:tblPrEx>
        <w:trPr>
          <w:trHeight w:val="289" w:hRule="atLeast"/>
          <w:jc w:val="center"/>
        </w:trPr>
        <w:tc>
          <w:tcPr>
            <w:tcW w:w="2578" w:type="dxa"/>
            <w:gridSpan w:val="2"/>
            <w:vMerge w:val="restar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Variable</w:t>
            </w:r>
          </w:p>
        </w:tc>
        <w:tc>
          <w:tcPr>
            <w:tcW w:w="7161" w:type="dxa"/>
            <w:gridSpan w:val="5"/>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CKB</w:t>
            </w:r>
          </w:p>
        </w:tc>
      </w:tr>
      <w:tr>
        <w:tblPrEx>
          <w:tblCellMar>
            <w:top w:w="0" w:type="dxa"/>
            <w:left w:w="0" w:type="dxa"/>
            <w:bottom w:w="0" w:type="dxa"/>
            <w:right w:w="0" w:type="dxa"/>
          </w:tblCellMar>
        </w:tblPrEx>
        <w:trPr>
          <w:trHeight w:val="289" w:hRule="atLeast"/>
          <w:jc w:val="center"/>
        </w:trPr>
        <w:tc>
          <w:tcPr>
            <w:tcW w:w="2578" w:type="dxa"/>
            <w:gridSpan w:val="2"/>
            <w:vMerge w:val="continue"/>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b/>
                <w:sz w:val="20"/>
                <w:szCs w:val="20"/>
              </w:rPr>
            </w:pPr>
          </w:p>
        </w:tc>
        <w:tc>
          <w:tcPr>
            <w:tcW w:w="173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Cases/Total</w:t>
            </w:r>
          </w:p>
        </w:tc>
        <w:tc>
          <w:tcPr>
            <w:tcW w:w="63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HR</w:t>
            </w:r>
          </w:p>
        </w:tc>
        <w:tc>
          <w:tcPr>
            <w:tcW w:w="1078"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95% CI</w:t>
            </w:r>
          </w:p>
        </w:tc>
        <w:tc>
          <w:tcPr>
            <w:tcW w:w="1035"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i/>
                <w:iCs/>
                <w:kern w:val="0"/>
                <w:sz w:val="20"/>
                <w:szCs w:val="20"/>
                <w:lang w:bidi="ar"/>
              </w:rPr>
              <w:t>P</w:t>
            </w:r>
            <w:r>
              <w:rPr>
                <w:rFonts w:hint="eastAsia" w:ascii="Times New Roman" w:hAnsi="Times New Roman" w:eastAsia="宋体" w:cs="Times New Roman"/>
                <w:b/>
                <w:kern w:val="0"/>
                <w:sz w:val="20"/>
                <w:szCs w:val="20"/>
                <w:lang w:bidi="ar"/>
              </w:rPr>
              <w:t>-</w:t>
            </w:r>
            <w:r>
              <w:rPr>
                <w:rFonts w:ascii="Times New Roman" w:hAnsi="Times New Roman" w:eastAsia="宋体" w:cs="Times New Roman"/>
                <w:b/>
                <w:kern w:val="0"/>
                <w:sz w:val="20"/>
                <w:szCs w:val="20"/>
                <w:lang w:bidi="ar"/>
              </w:rPr>
              <w:t>value</w:t>
            </w:r>
          </w:p>
        </w:tc>
        <w:tc>
          <w:tcPr>
            <w:tcW w:w="2680" w:type="dxa"/>
            <w:tcBorders>
              <w:top w:val="nil"/>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Harrell's C</w:t>
            </w:r>
            <w:r>
              <w:rPr>
                <w:rFonts w:hint="eastAsia" w:ascii="Times New Roman" w:hAnsi="Times New Roman" w:eastAsia="宋体" w:cs="Times New Roman"/>
                <w:b/>
                <w:kern w:val="0"/>
                <w:sz w:val="20"/>
                <w:szCs w:val="20"/>
                <w:lang w:bidi="ar"/>
              </w:rPr>
              <w:t xml:space="preserve"> </w:t>
            </w:r>
            <w:r>
              <w:rPr>
                <w:rFonts w:ascii="Times New Roman" w:hAnsi="Times New Roman" w:eastAsia="宋体" w:cs="Times New Roman"/>
                <w:b/>
                <w:kern w:val="0"/>
                <w:sz w:val="20"/>
                <w:szCs w:val="20"/>
                <w:lang w:bidi="ar"/>
              </w:rPr>
              <w:t>(95% CI)</w:t>
            </w:r>
          </w:p>
        </w:tc>
      </w:tr>
      <w:tr>
        <w:tblPrEx>
          <w:tblCellMar>
            <w:top w:w="0" w:type="dxa"/>
            <w:left w:w="0" w:type="dxa"/>
            <w:bottom w:w="0" w:type="dxa"/>
            <w:right w:w="0" w:type="dxa"/>
          </w:tblCellMar>
        </w:tblPrEx>
        <w:trPr>
          <w:trHeight w:val="289" w:hRule="atLeast"/>
          <w:jc w:val="center"/>
        </w:trPr>
        <w:tc>
          <w:tcPr>
            <w:tcW w:w="2578" w:type="dxa"/>
            <w:gridSpan w:val="2"/>
            <w:tcBorders>
              <w:top w:val="nil"/>
              <w:left w:val="nil"/>
              <w:bottom w:val="nil"/>
              <w:right w:val="nil"/>
            </w:tcBorders>
            <w:shd w:val="clear" w:color="auto" w:fill="auto"/>
            <w:noWrap/>
            <w:tcMar>
              <w:top w:w="12" w:type="dxa"/>
              <w:left w:w="12" w:type="dxa"/>
              <w:right w:w="12" w:type="dxa"/>
            </w:tcMar>
            <w:vAlign w:val="center"/>
          </w:tcPr>
          <w:p>
            <w:pPr>
              <w:jc w:val="left"/>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Full cohort</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3,089/416,343</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1.10-1.11</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0.754 (0.745-0.762)</w:t>
            </w:r>
          </w:p>
        </w:tc>
      </w:tr>
      <w:tr>
        <w:tblPrEx>
          <w:tblCellMar>
            <w:top w:w="0" w:type="dxa"/>
            <w:left w:w="0" w:type="dxa"/>
            <w:bottom w:w="0" w:type="dxa"/>
            <w:right w:w="0" w:type="dxa"/>
          </w:tblCellMar>
        </w:tblPrEx>
        <w:trPr>
          <w:trHeight w:val="289" w:hRule="atLeast"/>
          <w:jc w:val="center"/>
        </w:trPr>
        <w:tc>
          <w:tcPr>
            <w:tcW w:w="2578" w:type="dxa"/>
            <w:gridSpan w:val="2"/>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Region</w:t>
            </w:r>
          </w:p>
        </w:tc>
        <w:tc>
          <w:tcPr>
            <w:tcW w:w="173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63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07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035"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26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Rural</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1,546/228,453</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1.10-1.11</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0.753 (0.741-0.765)</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Urban</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1,543/187,890</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1.10-1.11</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0.754 (0.742-0.766)</w:t>
            </w:r>
          </w:p>
        </w:tc>
      </w:tr>
      <w:tr>
        <w:tblPrEx>
          <w:tblCellMar>
            <w:top w:w="0" w:type="dxa"/>
            <w:left w:w="0" w:type="dxa"/>
            <w:bottom w:w="0" w:type="dxa"/>
            <w:right w:w="0" w:type="dxa"/>
          </w:tblCellMar>
        </w:tblPrEx>
        <w:trPr>
          <w:trHeight w:val="289" w:hRule="atLeast"/>
          <w:jc w:val="center"/>
        </w:trPr>
        <w:tc>
          <w:tcPr>
            <w:tcW w:w="2578" w:type="dxa"/>
            <w:gridSpan w:val="2"/>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Study region</w:t>
            </w:r>
          </w:p>
        </w:tc>
        <w:tc>
          <w:tcPr>
            <w:tcW w:w="173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634"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078"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1035"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2680"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Qingdao (Urban)</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309/29,344</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1.08-1.11</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0.736 (0.708-0.764)</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Harbin (Urban)</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280/47,916</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1.09-1.12</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0.763 (0.736-0.790)</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Haikou (Urban)</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140/23,360</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1.07-1.11</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0.710 (0.668-0.751)</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Suzhou (Urban)</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644/44,256</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1.10-1.12</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0.756 (0.737-0.774)</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Liuzhou (Urban)</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170/43,014</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1.08</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1.06-1.10</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0.695 (0.655-0.735)</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Sichuan (Rural)</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364/44,354</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1.09-1.11</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0.747 (0.721-0.772)</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Gansu (Rural)</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348/35,884</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1.09-1.12</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0.753 (0.728-0.778)</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Henan (Rural)</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484/50,246</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1.12</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1.10-1.13</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0.774 (0.754-0.794)</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nil"/>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Zhejiang (Rural)</w:t>
            </w:r>
          </w:p>
        </w:tc>
        <w:tc>
          <w:tcPr>
            <w:tcW w:w="17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285/49,239</w:t>
            </w:r>
          </w:p>
        </w:tc>
        <w:tc>
          <w:tcPr>
            <w:tcW w:w="63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w:t>
            </w:r>
          </w:p>
        </w:tc>
        <w:tc>
          <w:tcPr>
            <w:tcW w:w="1078"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1.09-1.12</w:t>
            </w:r>
          </w:p>
        </w:tc>
        <w:tc>
          <w:tcPr>
            <w:tcW w:w="103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0.755 (0.726-0.783)</w:t>
            </w:r>
          </w:p>
        </w:tc>
      </w:tr>
      <w:tr>
        <w:tblPrEx>
          <w:tblCellMar>
            <w:top w:w="0" w:type="dxa"/>
            <w:left w:w="0" w:type="dxa"/>
            <w:bottom w:w="0" w:type="dxa"/>
            <w:right w:w="0" w:type="dxa"/>
          </w:tblCellMar>
        </w:tblPrEx>
        <w:trPr>
          <w:trHeight w:val="289" w:hRule="atLeast"/>
          <w:jc w:val="center"/>
        </w:trPr>
        <w:tc>
          <w:tcPr>
            <w:tcW w:w="452" w:type="dxa"/>
            <w:tcBorders>
              <w:top w:val="nil"/>
              <w:left w:val="nil"/>
              <w:bottom w:val="single" w:color="000000" w:sz="4" w:space="0"/>
              <w:right w:val="nil"/>
            </w:tcBorders>
            <w:shd w:val="clear" w:color="auto" w:fill="auto"/>
            <w:noWrap/>
            <w:tcMar>
              <w:top w:w="12" w:type="dxa"/>
              <w:left w:w="12" w:type="dxa"/>
              <w:right w:w="12" w:type="dxa"/>
            </w:tcMar>
            <w:vAlign w:val="center"/>
          </w:tcPr>
          <w:p>
            <w:pPr>
              <w:rPr>
                <w:rFonts w:ascii="Times New Roman" w:hAnsi="Times New Roman" w:eastAsia="宋体" w:cs="Times New Roman"/>
                <w:sz w:val="20"/>
                <w:szCs w:val="20"/>
              </w:rPr>
            </w:pPr>
          </w:p>
        </w:tc>
        <w:tc>
          <w:tcPr>
            <w:tcW w:w="2126"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left"/>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Hunan (Rural)</w:t>
            </w:r>
          </w:p>
        </w:tc>
        <w:tc>
          <w:tcPr>
            <w:tcW w:w="173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65/48,730</w:t>
            </w:r>
          </w:p>
        </w:tc>
        <w:tc>
          <w:tcPr>
            <w:tcW w:w="63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1.08</w:t>
            </w:r>
          </w:p>
        </w:tc>
        <w:tc>
          <w:tcPr>
            <w:tcW w:w="1078"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1.05-1.11</w:t>
            </w:r>
          </w:p>
        </w:tc>
        <w:tc>
          <w:tcPr>
            <w:tcW w:w="1035"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&lt;0.001</w:t>
            </w:r>
          </w:p>
        </w:tc>
        <w:tc>
          <w:tcPr>
            <w:tcW w:w="2680"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0.681 (0.605-0.757)</w:t>
            </w:r>
          </w:p>
        </w:tc>
      </w:tr>
    </w:tbl>
    <w:p>
      <w:pPr>
        <w:jc w:val="left"/>
        <w:rPr>
          <w:rFonts w:ascii="Times New Roman" w:hAnsi="Times New Roman" w:eastAsia="宋体" w:cs="Times New Roman"/>
          <w:kern w:val="0"/>
          <w:sz w:val="16"/>
          <w:szCs w:val="16"/>
          <w:vertAlign w:val="superscript"/>
          <w:lang w:bidi="ar"/>
        </w:rPr>
      </w:pPr>
    </w:p>
    <w:p>
      <w:pPr>
        <w:jc w:val="left"/>
        <w:rPr>
          <w:rFonts w:ascii="Times New Roman" w:hAnsi="Times New Roman" w:eastAsia="宋体" w:cs="Times New Roman"/>
          <w:color w:val="000000"/>
          <w:kern w:val="0"/>
          <w:sz w:val="16"/>
          <w:szCs w:val="16"/>
          <w:vertAlign w:val="superscript"/>
          <w:lang w:bidi="ar"/>
        </w:rPr>
      </w:pPr>
    </w:p>
    <w:p>
      <w:pPr>
        <w:jc w:val="left"/>
        <w:rPr>
          <w:rFonts w:ascii="Times New Roman" w:hAnsi="Times New Roman" w:eastAsia="宋体" w:cs="Times New Roman"/>
          <w:color w:val="000000"/>
          <w:kern w:val="0"/>
          <w:sz w:val="16"/>
          <w:szCs w:val="16"/>
          <w:vertAlign w:val="superscript"/>
          <w:lang w:bidi="ar"/>
        </w:rPr>
        <w:sectPr>
          <w:pgSz w:w="11906" w:h="16838"/>
          <w:pgMar w:top="1440" w:right="1440" w:bottom="1440" w:left="1440" w:header="851" w:footer="992" w:gutter="0"/>
          <w:cols w:space="0" w:num="1"/>
          <w:docGrid w:type="lines" w:linePitch="312" w:charSpace="0"/>
        </w:sectPr>
      </w:pPr>
    </w:p>
    <w:p>
      <w:pPr>
        <w:jc w:val="left"/>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9</w:t>
      </w:r>
      <w:r>
        <w:rPr>
          <w:rFonts w:ascii="Times New Roman" w:hAnsi="Times New Roman" w:cs="Times New Roman"/>
          <w:b/>
          <w:bCs/>
          <w:sz w:val="20"/>
          <w:szCs w:val="20"/>
        </w:rPr>
        <w:t>.</w:t>
      </w:r>
      <w:r>
        <w:rPr>
          <w:rFonts w:hint="eastAsia" w:ascii="Times New Roman" w:hAnsi="Times New Roman" w:cs="Times New Roman"/>
          <w:b/>
          <w:bCs/>
          <w:sz w:val="20"/>
          <w:szCs w:val="20"/>
        </w:rPr>
        <w:t xml:space="preserve"> Harrell's C-index</w:t>
      </w:r>
      <w:r>
        <w:rPr>
          <w:rFonts w:ascii="Times New Roman" w:hAnsi="Times New Roman" w:cs="Times New Roman"/>
          <w:b/>
          <w:bCs/>
          <w:sz w:val="20"/>
          <w:szCs w:val="20"/>
        </w:rPr>
        <w:t xml:space="preserve"> of the GCRS from ten-fold cross validation in the CKB cohort</w:t>
      </w:r>
    </w:p>
    <w:tbl>
      <w:tblPr>
        <w:tblStyle w:val="8"/>
        <w:tblW w:w="1353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719"/>
        <w:gridCol w:w="924"/>
        <w:gridCol w:w="1848"/>
        <w:gridCol w:w="2004"/>
        <w:gridCol w:w="2724"/>
        <w:gridCol w:w="2160"/>
        <w:gridCol w:w="216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76" w:hRule="atLeast"/>
          <w:jc w:val="center"/>
        </w:trPr>
        <w:tc>
          <w:tcPr>
            <w:tcW w:w="1719"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Ten-fold cross validation test sets</w:t>
            </w:r>
          </w:p>
        </w:tc>
        <w:tc>
          <w:tcPr>
            <w:tcW w:w="924"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GCRS</w:t>
            </w:r>
          </w:p>
        </w:tc>
        <w:tc>
          <w:tcPr>
            <w:tcW w:w="1848"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Excluding weak variables in the simplified model </w:t>
            </w:r>
            <w:r>
              <w:rPr>
                <w:rFonts w:ascii="Times New Roman" w:hAnsi="Times New Roman" w:eastAsia="宋体" w:cs="Times New Roman"/>
                <w:b/>
                <w:color w:val="000000"/>
                <w:kern w:val="0"/>
                <w:sz w:val="20"/>
                <w:szCs w:val="20"/>
                <w:vertAlign w:val="superscript"/>
                <w:lang w:bidi="ar"/>
              </w:rPr>
              <w:t>a</w:t>
            </w:r>
          </w:p>
        </w:tc>
        <w:tc>
          <w:tcPr>
            <w:tcW w:w="2004"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sz w:val="20"/>
                <w:szCs w:val="20"/>
              </w:rPr>
              <w:t xml:space="preserve">Integrating lifestyle factors as an index </w:t>
            </w:r>
            <w:r>
              <w:rPr>
                <w:rFonts w:ascii="Times New Roman" w:hAnsi="Times New Roman" w:eastAsia="宋体" w:cs="Times New Roman"/>
                <w:b/>
                <w:color w:val="000000"/>
                <w:sz w:val="20"/>
                <w:szCs w:val="20"/>
                <w:vertAlign w:val="superscript"/>
              </w:rPr>
              <w:t>b</w:t>
            </w:r>
          </w:p>
        </w:tc>
        <w:tc>
          <w:tcPr>
            <w:tcW w:w="2724"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Excluding GC participants diagnosed within the first year after recruitment</w:t>
            </w:r>
          </w:p>
        </w:tc>
        <w:tc>
          <w:tcPr>
            <w:tcW w:w="2160"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Excluding cancer patients at baseline</w:t>
            </w:r>
          </w:p>
        </w:tc>
        <w:tc>
          <w:tcPr>
            <w:tcW w:w="2160"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hint="eastAsia" w:ascii="Times New Roman" w:hAnsi="Times New Roman" w:eastAsia="宋体" w:cs="Times New Roman"/>
                <w:b/>
                <w:sz w:val="20"/>
                <w:szCs w:val="20"/>
              </w:rPr>
              <w:t>Competing risk model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1719" w:type="dxa"/>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w:t>
            </w:r>
          </w:p>
        </w:tc>
        <w:tc>
          <w:tcPr>
            <w:tcW w:w="924" w:type="dxa"/>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0.747</w:t>
            </w:r>
          </w:p>
        </w:tc>
        <w:tc>
          <w:tcPr>
            <w:tcW w:w="1848" w:type="dxa"/>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0.746</w:t>
            </w:r>
          </w:p>
        </w:tc>
        <w:tc>
          <w:tcPr>
            <w:tcW w:w="2004" w:type="dxa"/>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0.746</w:t>
            </w:r>
          </w:p>
        </w:tc>
        <w:tc>
          <w:tcPr>
            <w:tcW w:w="2724" w:type="dxa"/>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0.729</w:t>
            </w:r>
          </w:p>
        </w:tc>
        <w:tc>
          <w:tcPr>
            <w:tcW w:w="2160" w:type="dxa"/>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0.738</w:t>
            </w:r>
          </w:p>
        </w:tc>
        <w:tc>
          <w:tcPr>
            <w:tcW w:w="2160" w:type="dxa"/>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0.739</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0.739</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0.737</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0.764</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0.752</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0.743</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0.743</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0.740</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0.744</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0.752</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0.772</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0.768</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0.768</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0.760</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0.766</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0.767</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0.765</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0.769</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0.746</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0.751</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0.767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0.763</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0.761</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0.759</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0.755</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0.744</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0.757</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0.756</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0.755</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0.736</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0.766</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0.743</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0.740</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0.740</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0.721</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0.740</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0.751</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0.748</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0.754</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0.755</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0.752</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0.755</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0.755</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0.749</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0.785</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0.767</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1719"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Averag</w:t>
            </w:r>
            <w:r>
              <w:rPr>
                <w:rFonts w:ascii="Times New Roman" w:hAnsi="Times New Roman" w:eastAsia="宋体" w:cs="Times New Roman"/>
                <w:kern w:val="0"/>
                <w:sz w:val="20"/>
                <w:szCs w:val="20"/>
                <w:lang w:bidi="ar"/>
              </w:rPr>
              <w:t>e C-</w:t>
            </w:r>
            <w:r>
              <w:rPr>
                <w:rFonts w:hint="eastAsia" w:ascii="Times New Roman" w:hAnsi="Times New Roman" w:eastAsia="宋体" w:cs="Times New Roman"/>
                <w:kern w:val="0"/>
                <w:sz w:val="20"/>
                <w:szCs w:val="20"/>
                <w:lang w:bidi="ar"/>
              </w:rPr>
              <w:t>index</w:t>
            </w:r>
          </w:p>
        </w:tc>
        <w:tc>
          <w:tcPr>
            <w:tcW w:w="9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0.754</w:t>
            </w:r>
          </w:p>
        </w:tc>
        <w:tc>
          <w:tcPr>
            <w:tcW w:w="1848"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0.752</w:t>
            </w:r>
          </w:p>
        </w:tc>
        <w:tc>
          <w:tcPr>
            <w:tcW w:w="200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0.752</w:t>
            </w:r>
          </w:p>
        </w:tc>
        <w:tc>
          <w:tcPr>
            <w:tcW w:w="2724"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0.750</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0.753</w:t>
            </w:r>
          </w:p>
        </w:tc>
        <w:tc>
          <w:tcPr>
            <w:tcW w:w="2160" w:type="dxa"/>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0.754</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The simplified model was created based on a subset of strong predictors for gastric cancer (assigned points ≥4.0; including age, sex, education level,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foods, family history of cancer in first-degree relatives, personal medical history of cancer and peptic ulcer).</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b </w:t>
      </w:r>
      <w:r>
        <w:rPr>
          <w:rFonts w:ascii="Times New Roman" w:hAnsi="Times New Roman" w:cs="Times New Roman"/>
          <w:sz w:val="20"/>
          <w:szCs w:val="20"/>
        </w:rPr>
        <w:t xml:space="preserve">The healthy lifestyle index was generated by integrating five modifiable lifestyle factors, i.e., BMI, smoking, alcohol use, consumption of fresh vegetables and fruits, and </w:t>
      </w:r>
      <w:r>
        <w:rPr>
          <w:rFonts w:hint="eastAsia" w:ascii="Times New Roman" w:hAnsi="Times New Roman" w:cs="Times New Roman"/>
          <w:sz w:val="20"/>
          <w:szCs w:val="20"/>
        </w:rPr>
        <w:t xml:space="preserve">salty </w:t>
      </w:r>
      <w:r>
        <w:rPr>
          <w:rFonts w:ascii="Times New Roman" w:hAnsi="Times New Roman" w:cs="Times New Roman"/>
          <w:sz w:val="20"/>
          <w:szCs w:val="20"/>
        </w:rPr>
        <w:t>food intake.</w:t>
      </w:r>
    </w:p>
    <w:p>
      <w:pPr>
        <w:jc w:val="left"/>
        <w:rPr>
          <w:rFonts w:ascii="Times New Roman" w:hAnsi="Times New Roman" w:eastAsia="宋体" w:cs="Times New Roman"/>
          <w:sz w:val="16"/>
          <w:szCs w:val="16"/>
          <w:lang w:bidi="ar"/>
        </w:rPr>
        <w:sectPr>
          <w:pgSz w:w="16838" w:h="11906" w:orient="landscape"/>
          <w:pgMar w:top="1440" w:right="1440" w:bottom="1440" w:left="1440" w:header="851" w:footer="992" w:gutter="0"/>
          <w:cols w:space="0" w:num="1"/>
          <w:docGrid w:type="lines" w:linePitch="312" w:charSpace="0"/>
        </w:sectPr>
      </w:pPr>
      <w:r>
        <w:rPr>
          <w:rFonts w:ascii="Times New Roman" w:hAnsi="Times New Roman" w:eastAsia="宋体" w:cs="Times New Roman"/>
          <w:sz w:val="16"/>
          <w:szCs w:val="16"/>
          <w:lang w:bidi="ar"/>
        </w:rPr>
        <w:br w:type="page"/>
      </w:r>
    </w:p>
    <w:p>
      <w:pPr>
        <w:jc w:val="left"/>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10</w:t>
      </w:r>
      <w:r>
        <w:rPr>
          <w:rFonts w:ascii="Times New Roman" w:hAnsi="Times New Roman" w:cs="Times New Roman"/>
          <w:b/>
          <w:bCs/>
          <w:sz w:val="20"/>
          <w:szCs w:val="20"/>
        </w:rPr>
        <w:t>. Risk categories of the GCRS in the Changzhou cohort</w:t>
      </w:r>
    </w:p>
    <w:tbl>
      <w:tblPr>
        <w:tblStyle w:val="8"/>
        <w:tblW w:w="9498" w:type="dxa"/>
        <w:jc w:val="center"/>
        <w:tblLayout w:type="fixed"/>
        <w:tblCellMar>
          <w:top w:w="0" w:type="dxa"/>
          <w:left w:w="0" w:type="dxa"/>
          <w:bottom w:w="0" w:type="dxa"/>
          <w:right w:w="0" w:type="dxa"/>
        </w:tblCellMar>
      </w:tblPr>
      <w:tblGrid>
        <w:gridCol w:w="1049"/>
        <w:gridCol w:w="948"/>
        <w:gridCol w:w="884"/>
        <w:gridCol w:w="947"/>
        <w:gridCol w:w="708"/>
        <w:gridCol w:w="2127"/>
        <w:gridCol w:w="1275"/>
        <w:gridCol w:w="1560"/>
      </w:tblGrid>
      <w:tr>
        <w:tblPrEx>
          <w:tblCellMar>
            <w:top w:w="0" w:type="dxa"/>
            <w:left w:w="0" w:type="dxa"/>
            <w:bottom w:w="0" w:type="dxa"/>
            <w:right w:w="0" w:type="dxa"/>
          </w:tblCellMar>
        </w:tblPrEx>
        <w:trPr>
          <w:trHeight w:val="288" w:hRule="atLeast"/>
          <w:jc w:val="center"/>
        </w:trPr>
        <w:tc>
          <w:tcPr>
            <w:tcW w:w="1049" w:type="dxa"/>
            <w:vMerge w:val="restart"/>
            <w:tcBorders>
              <w:top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GCRS cut-offs </w:t>
            </w:r>
            <w:r>
              <w:rPr>
                <w:rFonts w:ascii="Times New Roman" w:hAnsi="Times New Roman" w:eastAsia="宋体" w:cs="Times New Roman"/>
                <w:b/>
                <w:color w:val="000000"/>
                <w:kern w:val="0"/>
                <w:sz w:val="20"/>
                <w:szCs w:val="20"/>
                <w:vertAlign w:val="superscript"/>
                <w:lang w:bidi="ar"/>
              </w:rPr>
              <w:t>a</w:t>
            </w:r>
          </w:p>
        </w:tc>
        <w:tc>
          <w:tcPr>
            <w:tcW w:w="1832"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Total (n=13,982)</w:t>
            </w:r>
          </w:p>
        </w:tc>
        <w:tc>
          <w:tcPr>
            <w:tcW w:w="947" w:type="dxa"/>
            <w:vMerge w:val="restart"/>
            <w:tcBorders>
              <w:top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Person-years</w:t>
            </w:r>
          </w:p>
        </w:tc>
        <w:tc>
          <w:tcPr>
            <w:tcW w:w="5670" w:type="dxa"/>
            <w:gridSpan w:val="4"/>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Incident gastric cancer (n=329)</w:t>
            </w:r>
          </w:p>
        </w:tc>
      </w:tr>
      <w:tr>
        <w:tblPrEx>
          <w:tblCellMar>
            <w:top w:w="0" w:type="dxa"/>
            <w:left w:w="0" w:type="dxa"/>
            <w:bottom w:w="0" w:type="dxa"/>
            <w:right w:w="0" w:type="dxa"/>
          </w:tblCellMar>
        </w:tblPrEx>
        <w:trPr>
          <w:trHeight w:val="288" w:hRule="atLeast"/>
          <w:jc w:val="center"/>
        </w:trPr>
        <w:tc>
          <w:tcPr>
            <w:tcW w:w="1049" w:type="dxa"/>
            <w:vMerge w:val="continue"/>
            <w:tcBorders>
              <w:bottom w:val="single" w:color="auto" w:sz="4" w:space="0"/>
            </w:tcBorders>
            <w:shd w:val="clear" w:color="auto" w:fill="auto"/>
            <w:tcMar>
              <w:top w:w="12" w:type="dxa"/>
              <w:left w:w="12" w:type="dxa"/>
              <w:right w:w="12" w:type="dxa"/>
            </w:tcMar>
            <w:vAlign w:val="center"/>
          </w:tcPr>
          <w:p>
            <w:pPr>
              <w:jc w:val="center"/>
              <w:rPr>
                <w:rFonts w:ascii="Times New Roman" w:hAnsi="Times New Roman" w:eastAsia="宋体" w:cs="Times New Roman"/>
                <w:color w:val="000000"/>
                <w:sz w:val="20"/>
                <w:szCs w:val="20"/>
              </w:rPr>
            </w:pPr>
          </w:p>
        </w:tc>
        <w:tc>
          <w:tcPr>
            <w:tcW w:w="948" w:type="dxa"/>
            <w:tcBorders>
              <w:top w:val="single" w:color="auto" w:sz="4" w:space="0"/>
              <w:bottom w:val="single" w:color="auto" w:sz="4" w:space="0"/>
            </w:tcBorders>
            <w:vAlign w:val="center"/>
          </w:tcPr>
          <w:p>
            <w:pPr>
              <w:jc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w:t>
            </w:r>
          </w:p>
        </w:tc>
        <w:tc>
          <w:tcPr>
            <w:tcW w:w="884" w:type="dxa"/>
            <w:tcBorders>
              <w:top w:val="single" w:color="auto" w:sz="4" w:space="0"/>
              <w:bottom w:val="single" w:color="auto" w:sz="4" w:space="0"/>
            </w:tcBorders>
            <w:shd w:val="clear" w:color="auto" w:fill="auto"/>
            <w:vAlign w:val="center"/>
          </w:tcPr>
          <w:p>
            <w:pPr>
              <w:jc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w:t>
            </w:r>
          </w:p>
        </w:tc>
        <w:tc>
          <w:tcPr>
            <w:tcW w:w="947" w:type="dxa"/>
            <w:vMerge w:val="continue"/>
            <w:tcBorders>
              <w:bottom w:val="single" w:color="auto" w:sz="4" w:space="0"/>
            </w:tcBorders>
          </w:tcPr>
          <w:p>
            <w:pPr>
              <w:widowControl/>
              <w:jc w:val="center"/>
              <w:textAlignment w:val="center"/>
              <w:rPr>
                <w:rFonts w:ascii="Times New Roman" w:hAnsi="Times New Roman" w:eastAsia="宋体" w:cs="Times New Roman"/>
                <w:b/>
                <w:color w:val="000000"/>
                <w:kern w:val="0"/>
                <w:sz w:val="20"/>
                <w:szCs w:val="20"/>
                <w:lang w:bidi="ar"/>
              </w:rPr>
            </w:pPr>
          </w:p>
        </w:tc>
        <w:tc>
          <w:tcPr>
            <w:tcW w:w="708"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w:t>
            </w:r>
          </w:p>
        </w:tc>
        <w:tc>
          <w:tcPr>
            <w:tcW w:w="2127"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Incidence rate (per 100,000 person-years)</w:t>
            </w:r>
          </w:p>
        </w:tc>
        <w:tc>
          <w:tcPr>
            <w:tcW w:w="1275"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Proportion </w:t>
            </w:r>
            <w:r>
              <w:rPr>
                <w:rFonts w:ascii="Times New Roman" w:hAnsi="Times New Roman" w:eastAsia="宋体" w:cs="Times New Roman"/>
                <w:b/>
                <w:color w:val="000000"/>
                <w:kern w:val="0"/>
                <w:sz w:val="20"/>
                <w:szCs w:val="20"/>
                <w:vertAlign w:val="superscript"/>
                <w:lang w:bidi="ar"/>
              </w:rPr>
              <w:t>b</w:t>
            </w:r>
          </w:p>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w:t>
            </w:r>
          </w:p>
        </w:tc>
        <w:tc>
          <w:tcPr>
            <w:tcW w:w="1560"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Cumulative proportion </w:t>
            </w:r>
            <w:r>
              <w:rPr>
                <w:rFonts w:ascii="Times New Roman" w:hAnsi="Times New Roman" w:eastAsia="宋体" w:cs="Times New Roman"/>
                <w:b/>
                <w:color w:val="000000"/>
                <w:kern w:val="0"/>
                <w:sz w:val="20"/>
                <w:szCs w:val="20"/>
                <w:vertAlign w:val="superscript"/>
                <w:lang w:bidi="ar"/>
              </w:rPr>
              <w:t>c</w:t>
            </w:r>
            <w:r>
              <w:rPr>
                <w:rFonts w:ascii="Times New Roman" w:hAnsi="Times New Roman" w:eastAsia="宋体" w:cs="Times New Roman"/>
                <w:b/>
                <w:color w:val="000000"/>
                <w:kern w:val="0"/>
                <w:sz w:val="20"/>
                <w:szCs w:val="20"/>
                <w:lang w:bidi="ar"/>
              </w:rPr>
              <w:t xml:space="preserve"> (%)</w:t>
            </w:r>
          </w:p>
        </w:tc>
      </w:tr>
      <w:tr>
        <w:tblPrEx>
          <w:tblCellMar>
            <w:top w:w="0" w:type="dxa"/>
            <w:left w:w="0" w:type="dxa"/>
            <w:bottom w:w="0" w:type="dxa"/>
            <w:right w:w="0" w:type="dxa"/>
          </w:tblCellMar>
        </w:tblPrEx>
        <w:trPr>
          <w:trHeight w:val="288" w:hRule="atLeast"/>
          <w:jc w:val="center"/>
        </w:trPr>
        <w:tc>
          <w:tcPr>
            <w:tcW w:w="1049"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35.3~</w:t>
            </w:r>
          </w:p>
        </w:tc>
        <w:tc>
          <w:tcPr>
            <w:tcW w:w="948" w:type="dxa"/>
            <w:tcBorders>
              <w:top w:val="single" w:color="auto" w:sz="4" w:space="0"/>
            </w:tcBorders>
            <w:shd w:val="clear" w:color="auto" w:fill="auto"/>
            <w:vAlign w:val="center"/>
          </w:tcPr>
          <w:p>
            <w:pPr>
              <w:widowControl/>
              <w:jc w:val="center"/>
              <w:rPr>
                <w:rFonts w:ascii="Times New Roman" w:hAnsi="Times New Roman" w:cs="Times New Roman"/>
                <w:color w:val="000000"/>
                <w:sz w:val="20"/>
                <w:szCs w:val="20"/>
              </w:rPr>
            </w:pPr>
            <w:r>
              <w:rPr>
                <w:rFonts w:ascii="Times New Roman" w:hAnsi="Times New Roman" w:cs="Times New Roman"/>
                <w:color w:val="000000"/>
                <w:sz w:val="20"/>
                <w:szCs w:val="20"/>
              </w:rPr>
              <w:t>1,697</w:t>
            </w:r>
          </w:p>
        </w:tc>
        <w:tc>
          <w:tcPr>
            <w:tcW w:w="884" w:type="dxa"/>
            <w:tcBorders>
              <w:top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12.14</w:t>
            </w:r>
          </w:p>
        </w:tc>
        <w:tc>
          <w:tcPr>
            <w:tcW w:w="947" w:type="dxa"/>
            <w:tcBorders>
              <w:top w:val="single" w:color="auto" w:sz="4" w:space="0"/>
            </w:tcBorders>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19,879</w:t>
            </w:r>
          </w:p>
        </w:tc>
        <w:tc>
          <w:tcPr>
            <w:tcW w:w="708" w:type="dxa"/>
            <w:tcBorders>
              <w:top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117</w:t>
            </w:r>
          </w:p>
        </w:tc>
        <w:tc>
          <w:tcPr>
            <w:tcW w:w="2127" w:type="dxa"/>
            <w:tcBorders>
              <w:top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588.56</w:t>
            </w:r>
          </w:p>
        </w:tc>
        <w:tc>
          <w:tcPr>
            <w:tcW w:w="1275" w:type="dxa"/>
            <w:tcBorders>
              <w:top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35.56</w:t>
            </w:r>
          </w:p>
        </w:tc>
        <w:tc>
          <w:tcPr>
            <w:tcW w:w="1560" w:type="dxa"/>
            <w:tcBorders>
              <w:top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35.56</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30.7-35.2</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1,553</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11.11</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19,496</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54</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276.99</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16.41</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51.98</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27.7-30.6</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1,688</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12.07</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21,568</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49</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227.19</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14.89</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66.87</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24.9-27.6</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1,288</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9.21</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16,840</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207.84</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10.64</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77.51</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22.0-24.8</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1,828</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13.07</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24,308</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119.30</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8.81</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86.32</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19.9-21.9</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1,145</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8.19</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15,348</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110.77</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5.17</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91.49</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16.3-19.8</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1,272</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9.10</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17,277</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46.31</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2.43</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93.92</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13.7-16.2</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1,413</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10.11</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19,224</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41.62</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2.43</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96.35</w:t>
            </w:r>
          </w:p>
        </w:tc>
      </w:tr>
      <w:tr>
        <w:tblPrEx>
          <w:tblCellMar>
            <w:top w:w="0" w:type="dxa"/>
            <w:left w:w="0" w:type="dxa"/>
            <w:bottom w:w="0" w:type="dxa"/>
            <w:right w:w="0" w:type="dxa"/>
          </w:tblCellMar>
        </w:tblPrEx>
        <w:trPr>
          <w:trHeight w:val="288" w:hRule="atLeast"/>
          <w:jc w:val="center"/>
        </w:trPr>
        <w:tc>
          <w:tcPr>
            <w:tcW w:w="1049"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9.1-13.6</w:t>
            </w:r>
          </w:p>
        </w:tc>
        <w:tc>
          <w:tcPr>
            <w:tcW w:w="948"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1,291</w:t>
            </w:r>
          </w:p>
        </w:tc>
        <w:tc>
          <w:tcPr>
            <w:tcW w:w="884"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9.23</w:t>
            </w:r>
          </w:p>
        </w:tc>
        <w:tc>
          <w:tcPr>
            <w:tcW w:w="947" w:type="dxa"/>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17,596</w:t>
            </w:r>
          </w:p>
        </w:tc>
        <w:tc>
          <w:tcPr>
            <w:tcW w:w="708"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2127"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56.83</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3.04</w:t>
            </w:r>
          </w:p>
        </w:tc>
        <w:tc>
          <w:tcPr>
            <w:tcW w:w="1560"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99.39</w:t>
            </w:r>
          </w:p>
        </w:tc>
      </w:tr>
      <w:tr>
        <w:tblPrEx>
          <w:tblCellMar>
            <w:top w:w="0" w:type="dxa"/>
            <w:left w:w="0" w:type="dxa"/>
            <w:bottom w:w="0" w:type="dxa"/>
            <w:right w:w="0" w:type="dxa"/>
          </w:tblCellMar>
        </w:tblPrEx>
        <w:trPr>
          <w:trHeight w:val="288" w:hRule="atLeast"/>
          <w:jc w:val="center"/>
        </w:trPr>
        <w:tc>
          <w:tcPr>
            <w:tcW w:w="1049" w:type="dxa"/>
            <w:tcBorders>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~9.0</w:t>
            </w:r>
          </w:p>
        </w:tc>
        <w:tc>
          <w:tcPr>
            <w:tcW w:w="948" w:type="dxa"/>
            <w:tcBorders>
              <w:bottom w:val="single" w:color="auto" w:sz="4" w:space="0"/>
            </w:tcBorders>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807</w:t>
            </w:r>
          </w:p>
        </w:tc>
        <w:tc>
          <w:tcPr>
            <w:tcW w:w="884" w:type="dxa"/>
            <w:tcBorders>
              <w:bottom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5.77</w:t>
            </w:r>
          </w:p>
        </w:tc>
        <w:tc>
          <w:tcPr>
            <w:tcW w:w="947" w:type="dxa"/>
            <w:tcBorders>
              <w:bottom w:val="single" w:color="auto" w:sz="4" w:space="0"/>
            </w:tcBorders>
            <w:shd w:val="clear" w:color="auto" w:fill="auto"/>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11,094</w:t>
            </w:r>
          </w:p>
        </w:tc>
        <w:tc>
          <w:tcPr>
            <w:tcW w:w="708" w:type="dxa"/>
            <w:tcBorders>
              <w:bottom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127" w:type="dxa"/>
            <w:tcBorders>
              <w:bottom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18.03</w:t>
            </w:r>
          </w:p>
        </w:tc>
        <w:tc>
          <w:tcPr>
            <w:tcW w:w="1275" w:type="dxa"/>
            <w:tcBorders>
              <w:bottom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0.61</w:t>
            </w:r>
          </w:p>
        </w:tc>
        <w:tc>
          <w:tcPr>
            <w:tcW w:w="1560" w:type="dxa"/>
            <w:tcBorders>
              <w:bottom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100.00</w:t>
            </w:r>
          </w:p>
        </w:tc>
      </w:tr>
    </w:tbl>
    <w:p>
      <w:pPr>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vertAlign w:val="superscript"/>
          <w:lang w:bidi="ar"/>
        </w:rPr>
        <w:t xml:space="preserve">a </w:t>
      </w:r>
      <w:r>
        <w:rPr>
          <w:rFonts w:ascii="Times New Roman" w:hAnsi="Times New Roman" w:eastAsia="宋体" w:cs="Times New Roman"/>
          <w:color w:val="000000"/>
          <w:kern w:val="0"/>
          <w:sz w:val="20"/>
          <w:szCs w:val="20"/>
          <w:lang w:bidi="ar"/>
        </w:rPr>
        <w:t>Participants in the Changzhou cohort were divided into ten groups according to the cut-offs of the GCRS deciles in the CKB cohort. GCRS, gastric cancer risk score.</w:t>
      </w:r>
    </w:p>
    <w:p>
      <w:pPr>
        <w:jc w:val="left"/>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 xml:space="preserve"> The proportion was calculated by dividing the number of incident gastric cancer cases in each risk category by the total number of GC cases.</w:t>
      </w:r>
    </w:p>
    <w:p>
      <w:pPr>
        <w:jc w:val="left"/>
        <w:rPr>
          <w:rFonts w:ascii="Times New Roman" w:hAnsi="Times New Roman" w:cs="Times New Roman"/>
          <w:sz w:val="16"/>
          <w:szCs w:val="16"/>
        </w:rPr>
      </w:pPr>
      <w:r>
        <w:rPr>
          <w:rFonts w:ascii="Times New Roman" w:hAnsi="Times New Roman" w:cs="Times New Roman"/>
          <w:sz w:val="20"/>
          <w:szCs w:val="20"/>
          <w:vertAlign w:val="superscript"/>
        </w:rPr>
        <w:t xml:space="preserve">c </w:t>
      </w:r>
      <w:r>
        <w:rPr>
          <w:rFonts w:ascii="Times New Roman" w:hAnsi="Times New Roman" w:cs="Times New Roman"/>
          <w:sz w:val="20"/>
          <w:szCs w:val="20"/>
        </w:rPr>
        <w:t>Cumulative proportion was calculated by dividing the number of incident gastric cancer cases accumulated to this category by the total number of GC cases.</w:t>
      </w:r>
    </w:p>
    <w:p>
      <w:pPr>
        <w:jc w:val="left"/>
        <w:rPr>
          <w:rFonts w:ascii="Times New Roman" w:hAnsi="Times New Roman" w:cs="Times New Roman"/>
          <w:sz w:val="16"/>
          <w:szCs w:val="16"/>
        </w:rPr>
      </w:pPr>
    </w:p>
    <w:p>
      <w:pPr>
        <w:jc w:val="left"/>
        <w:rPr>
          <w:rFonts w:ascii="Times New Roman" w:hAnsi="Times New Roman" w:cs="Times New Roman"/>
          <w:szCs w:val="21"/>
        </w:rPr>
        <w:sectPr>
          <w:pgSz w:w="11906" w:h="16838"/>
          <w:pgMar w:top="1440" w:right="1440" w:bottom="1440" w:left="1440" w:header="851" w:footer="992" w:gutter="0"/>
          <w:cols w:space="0" w:num="1"/>
          <w:docGrid w:type="lines" w:linePitch="312" w:charSpace="0"/>
        </w:sectPr>
      </w:pPr>
    </w:p>
    <w:p>
      <w:pPr>
        <w:jc w:val="left"/>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11</w:t>
      </w:r>
      <w:r>
        <w:rPr>
          <w:rFonts w:ascii="Times New Roman" w:hAnsi="Times New Roman" w:cs="Times New Roman"/>
          <w:b/>
          <w:bCs/>
          <w:sz w:val="20"/>
          <w:szCs w:val="20"/>
        </w:rPr>
        <w:t>. Risk categories and associated 3-year, 5-year, and 10-year risk of incident GC derived from CKB</w:t>
      </w:r>
    </w:p>
    <w:tbl>
      <w:tblPr>
        <w:tblStyle w:val="8"/>
        <w:tblW w:w="1430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34"/>
        <w:gridCol w:w="1005"/>
        <w:gridCol w:w="1691"/>
        <w:gridCol w:w="2424"/>
        <w:gridCol w:w="1684"/>
        <w:gridCol w:w="2341"/>
        <w:gridCol w:w="1770"/>
        <w:gridCol w:w="225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vMerge w:val="restart"/>
            <w:tcBorders>
              <w:top w:val="single" w:color="auto" w:sz="4" w:space="0"/>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Risk category</w:t>
            </w:r>
            <w:r>
              <w:rPr>
                <w:rFonts w:ascii="Times New Roman" w:hAnsi="Times New Roman" w:eastAsia="宋体" w:cs="Times New Roman"/>
                <w:b/>
                <w:color w:val="000000"/>
                <w:kern w:val="0"/>
                <w:sz w:val="20"/>
                <w:szCs w:val="20"/>
                <w:vertAlign w:val="superscript"/>
                <w:lang w:bidi="ar"/>
              </w:rPr>
              <w:t xml:space="preserve"> a</w:t>
            </w:r>
          </w:p>
        </w:tc>
        <w:tc>
          <w:tcPr>
            <w:tcW w:w="1005" w:type="dxa"/>
            <w:vMerge w:val="restart"/>
            <w:tcBorders>
              <w:top w:val="single" w:color="auto" w:sz="4" w:space="0"/>
              <w:bottom w:val="nil"/>
            </w:tcBorders>
            <w:shd w:val="clear" w:color="auto" w:fill="auto"/>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sz w:val="20"/>
                <w:szCs w:val="20"/>
              </w:rPr>
              <w:t>GCRS range</w:t>
            </w:r>
          </w:p>
        </w:tc>
        <w:tc>
          <w:tcPr>
            <w:tcW w:w="4115"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3 years (875/416,343)</w:t>
            </w:r>
          </w:p>
        </w:tc>
        <w:tc>
          <w:tcPr>
            <w:tcW w:w="4025"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5 years (1,408/416,343)</w:t>
            </w:r>
          </w:p>
        </w:tc>
        <w:tc>
          <w:tcPr>
            <w:tcW w:w="4025"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10 years (2,863/416,343)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vMerge w:val="continue"/>
            <w:tcBorders>
              <w:top w:val="nil"/>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color w:val="000000"/>
                <w:sz w:val="20"/>
                <w:szCs w:val="20"/>
              </w:rPr>
            </w:pPr>
          </w:p>
        </w:tc>
        <w:tc>
          <w:tcPr>
            <w:tcW w:w="1005" w:type="dxa"/>
            <w:vMerge w:val="continue"/>
            <w:tcBorders>
              <w:top w:val="nil"/>
              <w:bottom w:val="single" w:color="auto" w:sz="4" w:space="0"/>
            </w:tcBorders>
            <w:shd w:val="clear" w:color="auto" w:fill="auto"/>
            <w:vAlign w:val="center"/>
          </w:tcPr>
          <w:p>
            <w:pPr>
              <w:jc w:val="center"/>
              <w:rPr>
                <w:rFonts w:ascii="Times New Roman" w:hAnsi="Times New Roman" w:eastAsia="宋体" w:cs="Times New Roman"/>
                <w:b/>
                <w:color w:val="000000"/>
                <w:sz w:val="20"/>
                <w:szCs w:val="20"/>
              </w:rPr>
            </w:pPr>
          </w:p>
        </w:tc>
        <w:tc>
          <w:tcPr>
            <w:tcW w:w="1691"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Absolute risk (%)</w:t>
            </w:r>
          </w:p>
        </w:tc>
        <w:tc>
          <w:tcPr>
            <w:tcW w:w="2424"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HR (95% CI) </w:t>
            </w:r>
            <w:r>
              <w:rPr>
                <w:rFonts w:ascii="Times New Roman" w:hAnsi="Times New Roman" w:eastAsia="宋体" w:cs="Times New Roman"/>
                <w:b/>
                <w:color w:val="000000"/>
                <w:kern w:val="0"/>
                <w:sz w:val="20"/>
                <w:szCs w:val="20"/>
                <w:vertAlign w:val="superscript"/>
                <w:lang w:bidi="ar"/>
              </w:rPr>
              <w:t>b</w:t>
            </w:r>
          </w:p>
        </w:tc>
        <w:tc>
          <w:tcPr>
            <w:tcW w:w="1684"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Absolute risk (%)</w:t>
            </w:r>
          </w:p>
        </w:tc>
        <w:tc>
          <w:tcPr>
            <w:tcW w:w="2341"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HR (95% CI)</w:t>
            </w:r>
            <w:r>
              <w:rPr>
                <w:rFonts w:ascii="Times New Roman" w:hAnsi="Times New Roman" w:eastAsia="宋体" w:cs="Times New Roman"/>
                <w:b/>
                <w:color w:val="000000"/>
                <w:kern w:val="0"/>
                <w:sz w:val="20"/>
                <w:szCs w:val="20"/>
                <w:vertAlign w:val="superscript"/>
                <w:lang w:bidi="ar"/>
              </w:rPr>
              <w:t xml:space="preserve"> b</w:t>
            </w:r>
          </w:p>
        </w:tc>
        <w:tc>
          <w:tcPr>
            <w:tcW w:w="1770"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Absolute risk (%)</w:t>
            </w:r>
          </w:p>
        </w:tc>
        <w:tc>
          <w:tcPr>
            <w:tcW w:w="2255" w:type="dxa"/>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HR (95% CI)</w:t>
            </w:r>
            <w:r>
              <w:rPr>
                <w:rFonts w:ascii="Times New Roman" w:hAnsi="Times New Roman" w:eastAsia="宋体" w:cs="Times New Roman"/>
                <w:b/>
                <w:color w:val="000000"/>
                <w:kern w:val="0"/>
                <w:sz w:val="20"/>
                <w:szCs w:val="20"/>
                <w:vertAlign w:val="superscript"/>
                <w:lang w:bidi="ar"/>
              </w:rPr>
              <w:t xml:space="preserve"> 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D1</w:t>
            </w:r>
          </w:p>
        </w:tc>
        <w:tc>
          <w:tcPr>
            <w:tcW w:w="1005"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0.0-9.0</w:t>
            </w:r>
          </w:p>
        </w:tc>
        <w:tc>
          <w:tcPr>
            <w:tcW w:w="169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0.03</w:t>
            </w:r>
          </w:p>
        </w:tc>
        <w:tc>
          <w:tcPr>
            <w:tcW w:w="242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 (reference)</w:t>
            </w:r>
          </w:p>
        </w:tc>
        <w:tc>
          <w:tcPr>
            <w:tcW w:w="168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0.04</w:t>
            </w:r>
          </w:p>
        </w:tc>
        <w:tc>
          <w:tcPr>
            <w:tcW w:w="234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 (reference)</w:t>
            </w:r>
          </w:p>
        </w:tc>
        <w:tc>
          <w:tcPr>
            <w:tcW w:w="1770"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0.10</w:t>
            </w:r>
          </w:p>
        </w:tc>
        <w:tc>
          <w:tcPr>
            <w:tcW w:w="2255"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 (reference)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D2</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9.1-13.6</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0.05</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1.49 (0.70 to 3.18)</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0.07</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1.65 (0.90 to 3.00)</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0.17</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1.30 (0.91 to 1.86)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D3</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13.7-16.2</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0.07</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1.86 (0.90 to 3.84)</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0.11</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2.46 (1.41 to 4.30)</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0.25</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1.93 (1.39 to 2.69)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D4</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16.3-19.8</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0.09</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2.00 (0.95 to 4.20)</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0.15</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2.79 (1.59 to 4.91)</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0.33</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2.14 (1.53 to 3.00)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D5</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19.9-21.9</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0.12</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4.03 (2.07 to 7.85)</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0.19</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3.98 (2.32 to 6.80)</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0.42</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3.11 (2.27 to 4.27)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D6</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22.0-24.8</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0.16</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6.38 (3.40 to 11.99)</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0.26</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6.54 (3.94 to 10.85)</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0.57</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4.67 (3.47 to 6.29)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D7</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24.9-27.6</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0.21</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7.43 (3.93 to 14.05)</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0.34</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7.22 (4.32 to 12.06)</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0.74</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5.37 (3.98 to 7.26)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D8</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27.7-30.6</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0.27</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9.83 (5.28 to 18.30)</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0.44</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10.19 (6.19 to 16.78)</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0.98</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6.75 (5.04 to 9.04)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D9</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30.7-35.2</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0.40</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14.44 (7.84 to 26.62)</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0.65</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15.95 (9.77 to 26.05)</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1.45</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10.66 (8.02 to 14.17)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113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D10</w:t>
            </w:r>
          </w:p>
        </w:tc>
        <w:tc>
          <w:tcPr>
            <w:tcW w:w="100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35.3-62.2</w:t>
            </w:r>
          </w:p>
        </w:tc>
        <w:tc>
          <w:tcPr>
            <w:tcW w:w="169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0.73</w:t>
            </w:r>
          </w:p>
        </w:tc>
        <w:tc>
          <w:tcPr>
            <w:tcW w:w="242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33.90 (18.6</w:t>
            </w:r>
            <w:r>
              <w:rPr>
                <w:rFonts w:hint="eastAsia" w:ascii="Times New Roman" w:hAnsi="Times New Roman" w:eastAsia="宋体" w:cs="Times New Roman"/>
                <w:color w:val="000000"/>
                <w:kern w:val="0"/>
                <w:sz w:val="20"/>
                <w:szCs w:val="20"/>
                <w:lang w:val="en-US" w:eastAsia="zh-CN" w:bidi="ar"/>
              </w:rPr>
              <w:t>1</w:t>
            </w:r>
            <w:r>
              <w:rPr>
                <w:rFonts w:ascii="Times New Roman" w:hAnsi="Times New Roman" w:eastAsia="宋体" w:cs="Times New Roman"/>
                <w:color w:val="000000"/>
                <w:kern w:val="0"/>
                <w:sz w:val="20"/>
                <w:szCs w:val="20"/>
                <w:lang w:bidi="ar"/>
              </w:rPr>
              <w:t xml:space="preserve"> to 61.77)</w:t>
            </w:r>
          </w:p>
        </w:tc>
        <w:tc>
          <w:tcPr>
            <w:tcW w:w="168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1.20</w:t>
            </w:r>
          </w:p>
        </w:tc>
        <w:tc>
          <w:tcPr>
            <w:tcW w:w="234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34.02 (21.00 to 55.13)</w:t>
            </w:r>
          </w:p>
        </w:tc>
        <w:tc>
          <w:tcPr>
            <w:tcW w:w="1770"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2.66</w:t>
            </w:r>
          </w:p>
        </w:tc>
        <w:tc>
          <w:tcPr>
            <w:tcW w:w="225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20.26 (15.33 to 26.78)</w:t>
            </w:r>
          </w:p>
        </w:tc>
      </w:tr>
    </w:tbl>
    <w:p>
      <w:pPr>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vertAlign w:val="superscript"/>
          <w:lang w:bidi="ar"/>
        </w:rPr>
        <w:t xml:space="preserve">a </w:t>
      </w:r>
      <w:r>
        <w:rPr>
          <w:rFonts w:ascii="Times New Roman" w:hAnsi="Times New Roman" w:cs="Times New Roman"/>
          <w:sz w:val="20"/>
          <w:szCs w:val="20"/>
        </w:rPr>
        <w:t xml:space="preserve">Participants in the CKB cohort were divided into ten equal groups according to the GCRS, and the HRs for each group were compared with those in the lowest of the ten groups (HR 1 (reference)) of the risk score. HRs and 95% CIs were derived from the Cox regression model. </w:t>
      </w:r>
      <w:r>
        <w:rPr>
          <w:rFonts w:ascii="Times New Roman" w:hAnsi="Times New Roman" w:eastAsia="宋体" w:cs="Times New Roman"/>
          <w:color w:val="000000"/>
          <w:kern w:val="0"/>
          <w:sz w:val="20"/>
          <w:szCs w:val="20"/>
          <w:lang w:bidi="ar"/>
        </w:rPr>
        <w:t>GCRS, gastric cancer risk score.</w:t>
      </w:r>
    </w:p>
    <w:p>
      <w:pPr>
        <w:jc w:val="left"/>
        <w:rPr>
          <w:rFonts w:ascii="Times New Roman" w:hAnsi="Times New Roman" w:eastAsia="宋体" w:cs="Times New Roman"/>
          <w:color w:val="000000"/>
          <w:kern w:val="0"/>
          <w:sz w:val="20"/>
          <w:szCs w:val="20"/>
          <w:vertAlign w:val="superscript"/>
          <w:lang w:bidi="ar"/>
        </w:rPr>
      </w:pPr>
      <w:r>
        <w:rPr>
          <w:rFonts w:ascii="Times New Roman" w:hAnsi="Times New Roman" w:eastAsia="宋体" w:cs="Times New Roman"/>
          <w:color w:val="000000"/>
          <w:kern w:val="0"/>
          <w:sz w:val="20"/>
          <w:szCs w:val="20"/>
          <w:vertAlign w:val="superscript"/>
          <w:lang w:bidi="ar"/>
        </w:rPr>
        <w:t xml:space="preserve">b </w:t>
      </w:r>
      <w:r>
        <w:rPr>
          <w:rFonts w:ascii="Times New Roman" w:hAnsi="Times New Roman" w:eastAsia="宋体" w:cs="Times New Roman"/>
          <w:color w:val="000000"/>
          <w:kern w:val="0"/>
          <w:sz w:val="20"/>
          <w:szCs w:val="20"/>
          <w:lang w:bidi="ar"/>
        </w:rPr>
        <w:t xml:space="preserve">HR, hazard ratio. </w:t>
      </w:r>
      <w:r>
        <w:rPr>
          <w:rFonts w:ascii="Times New Roman" w:hAnsi="Times New Roman" w:cs="Times New Roman"/>
          <w:sz w:val="20"/>
          <w:szCs w:val="20"/>
        </w:rPr>
        <w:t>CI, confidence interval.</w:t>
      </w:r>
    </w:p>
    <w:p>
      <w:pPr>
        <w:jc w:val="left"/>
        <w:rPr>
          <w:rFonts w:ascii="Times New Roman" w:hAnsi="Times New Roman" w:cs="Times New Roman"/>
          <w:sz w:val="16"/>
          <w:szCs w:val="16"/>
        </w:rPr>
      </w:pPr>
    </w:p>
    <w:p>
      <w:pPr>
        <w:jc w:val="left"/>
        <w:rPr>
          <w:rFonts w:ascii="Times New Roman" w:hAnsi="Times New Roman" w:cs="Times New Roman"/>
          <w:sz w:val="16"/>
          <w:szCs w:val="16"/>
        </w:rPr>
      </w:pPr>
      <w:r>
        <w:rPr>
          <w:rFonts w:ascii="Times New Roman" w:hAnsi="Times New Roman" w:cs="Times New Roman"/>
          <w:sz w:val="16"/>
          <w:szCs w:val="16"/>
        </w:rPr>
        <w:br w:type="page"/>
      </w:r>
    </w:p>
    <w:p>
      <w:pPr>
        <w:jc w:val="left"/>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12</w:t>
      </w:r>
      <w:r>
        <w:rPr>
          <w:rFonts w:ascii="Times New Roman" w:hAnsi="Times New Roman" w:cs="Times New Roman"/>
          <w:b/>
          <w:bCs/>
          <w:sz w:val="20"/>
          <w:szCs w:val="20"/>
        </w:rPr>
        <w:t>. Risk categories of different gastric lesions in the Yangzhou screening program</w:t>
      </w:r>
    </w:p>
    <w:tbl>
      <w:tblPr>
        <w:tblStyle w:val="8"/>
        <w:tblW w:w="1390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714"/>
        <w:gridCol w:w="1559"/>
        <w:gridCol w:w="1276"/>
        <w:gridCol w:w="850"/>
        <w:gridCol w:w="1275"/>
        <w:gridCol w:w="851"/>
        <w:gridCol w:w="1276"/>
        <w:gridCol w:w="851"/>
        <w:gridCol w:w="1276"/>
        <w:gridCol w:w="850"/>
        <w:gridCol w:w="1276"/>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restart"/>
            <w:tcBorders>
              <w:top w:val="single" w:color="auto" w:sz="4" w:space="0"/>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GCRS cut-offs </w:t>
            </w:r>
            <w:r>
              <w:rPr>
                <w:rFonts w:ascii="Times New Roman" w:hAnsi="Times New Roman" w:eastAsia="宋体" w:cs="Times New Roman"/>
                <w:b/>
                <w:color w:val="000000"/>
                <w:kern w:val="0"/>
                <w:sz w:val="20"/>
                <w:szCs w:val="20"/>
                <w:vertAlign w:val="superscript"/>
                <w:lang w:bidi="ar"/>
              </w:rPr>
              <w:t>a</w:t>
            </w: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Total (n=5,348)</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GC (n=49) </w:t>
            </w:r>
            <w:r>
              <w:rPr>
                <w:rFonts w:ascii="Times New Roman" w:hAnsi="Times New Roman" w:eastAsia="宋体" w:cs="Times New Roman"/>
                <w:b/>
                <w:color w:val="000000"/>
                <w:kern w:val="0"/>
                <w:sz w:val="20"/>
                <w:szCs w:val="20"/>
                <w:vertAlign w:val="superscript"/>
                <w:lang w:bidi="ar"/>
              </w:rPr>
              <w:t>b</w:t>
            </w:r>
          </w:p>
        </w:tc>
        <w:tc>
          <w:tcPr>
            <w:tcW w:w="2126"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DYS (n=163)</w:t>
            </w:r>
          </w:p>
        </w:tc>
        <w:tc>
          <w:tcPr>
            <w:tcW w:w="2127"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IM (n=868)</w:t>
            </w:r>
          </w:p>
        </w:tc>
        <w:tc>
          <w:tcPr>
            <w:tcW w:w="2126" w:type="dxa"/>
            <w:gridSpan w:val="2"/>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AG (n=1,626)</w:t>
            </w:r>
          </w:p>
        </w:tc>
        <w:tc>
          <w:tcPr>
            <w:tcW w:w="2126" w:type="dxa"/>
            <w:gridSpan w:val="2"/>
            <w:tcBorders>
              <w:top w:val="single" w:color="auto" w:sz="4" w:space="0"/>
              <w:bottom w:val="single" w:color="auto" w:sz="4" w:space="0"/>
            </w:tcBorders>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Normal (n=2,642)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continue"/>
            <w:tcBorders>
              <w:top w:val="nil"/>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color w:val="000000"/>
                <w:sz w:val="20"/>
                <w:szCs w:val="20"/>
              </w:rPr>
            </w:pP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CP (%) </w:t>
            </w:r>
            <w:r>
              <w:rPr>
                <w:rFonts w:ascii="Times New Roman" w:hAnsi="Times New Roman" w:eastAsia="宋体" w:cs="Times New Roman"/>
                <w:b/>
                <w:color w:val="000000"/>
                <w:kern w:val="0"/>
                <w:sz w:val="20"/>
                <w:szCs w:val="20"/>
                <w:vertAlign w:val="superscript"/>
                <w:lang w:bidi="ar"/>
              </w:rPr>
              <w:t>c</w:t>
            </w:r>
          </w:p>
        </w:tc>
        <w:tc>
          <w:tcPr>
            <w:tcW w:w="1275"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35.3~</w:t>
            </w:r>
          </w:p>
        </w:tc>
        <w:tc>
          <w:tcPr>
            <w:tcW w:w="1559" w:type="dxa"/>
            <w:tcBorders>
              <w:top w:val="single" w:color="auto" w:sz="4" w:space="0"/>
            </w:tcBorders>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893 (16.70)</w:t>
            </w:r>
          </w:p>
        </w:tc>
        <w:tc>
          <w:tcPr>
            <w:tcW w:w="1276" w:type="dxa"/>
            <w:tcBorders>
              <w:top w:val="single" w:color="auto" w:sz="4" w:space="0"/>
            </w:tcBorders>
            <w:vAlign w:val="center"/>
          </w:tcPr>
          <w:p>
            <w:pPr>
              <w:widowControl/>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(3.47)</w:t>
            </w:r>
          </w:p>
        </w:tc>
        <w:tc>
          <w:tcPr>
            <w:tcW w:w="850" w:type="dxa"/>
            <w:tcBorders>
              <w:top w:val="single" w:color="auto" w:sz="4" w:space="0"/>
            </w:tcBorders>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63.27</w:t>
            </w:r>
          </w:p>
        </w:tc>
        <w:tc>
          <w:tcPr>
            <w:tcW w:w="1275" w:type="dxa"/>
            <w:tcBorders>
              <w:top w:val="single" w:color="auto" w:sz="4" w:space="0"/>
            </w:tcBorders>
            <w:shd w:val="clear" w:color="auto" w:fill="auto"/>
            <w:noWrap/>
            <w:tcMar>
              <w:top w:w="12" w:type="dxa"/>
              <w:left w:w="12" w:type="dxa"/>
              <w:right w:w="12" w:type="dxa"/>
            </w:tcMar>
            <w:vAlign w:val="center"/>
          </w:tcPr>
          <w:p>
            <w:pPr>
              <w:widowControl/>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(4.59)</w:t>
            </w:r>
          </w:p>
        </w:tc>
        <w:tc>
          <w:tcPr>
            <w:tcW w:w="851" w:type="dxa"/>
            <w:tcBorders>
              <w:top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25.15</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203</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(22.73)</w:t>
            </w:r>
          </w:p>
        </w:tc>
        <w:tc>
          <w:tcPr>
            <w:tcW w:w="851" w:type="dxa"/>
            <w:tcBorders>
              <w:top w:val="single" w:color="auto" w:sz="4" w:space="0"/>
            </w:tcBorders>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23.39</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223</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(24.97)</w:t>
            </w:r>
          </w:p>
        </w:tc>
        <w:tc>
          <w:tcPr>
            <w:tcW w:w="850" w:type="dxa"/>
            <w:tcBorders>
              <w:top w:val="single" w:color="auto" w:sz="4" w:space="0"/>
            </w:tcBorders>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13.71</w:t>
            </w:r>
          </w:p>
        </w:tc>
        <w:tc>
          <w:tcPr>
            <w:tcW w:w="1276" w:type="dxa"/>
            <w:tcBorders>
              <w:top w:val="single" w:color="auto" w:sz="4" w:space="0"/>
            </w:tcBorders>
            <w:vAlign w:val="center"/>
          </w:tcPr>
          <w:p>
            <w:pPr>
              <w:widowControl/>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395</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(44.23)</w:t>
            </w:r>
          </w:p>
        </w:tc>
        <w:tc>
          <w:tcPr>
            <w:tcW w:w="850" w:type="dxa"/>
            <w:tcBorders>
              <w:top w:val="single" w:color="auto" w:sz="4" w:space="0"/>
            </w:tcBorders>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14.95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30.7-35.2</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652 (12.19)</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(1.38)</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81.63</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34</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(5.21)</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46.01</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116</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(17.79)</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36.75</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166</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(25.46)</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23.92</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327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(50.15)</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27.33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27.7-30.6</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713 (13.33)</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(0.28)</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85.71</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24</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(3.37)</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60.74</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132</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(18.51)</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51.96</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215</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(30.15)</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37.15</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340</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(47.69)</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40.2</w:t>
            </w:r>
            <w:r>
              <w:rPr>
                <w:rFonts w:ascii="Times New Roman" w:hAnsi="Times New Roman" w:cs="Times New Roman"/>
                <w:color w:val="000000"/>
                <w:sz w:val="20"/>
                <w:szCs w:val="20"/>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24.9-27.6</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582 (10.88)</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(0.69)</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93.88</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(1.89)</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67.48</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92</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(15.81)</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62.56</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176</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(30.24)</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47.97</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299</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(51.37)</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51.51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22.0-24.8</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685 (12.81)</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(0.15)</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95.92</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15</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(2.19)</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76.69</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117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(17.08)</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76.04</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217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(31.68)</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61.32</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335</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(48.91)</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64.19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19.9-21.9</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335 (6.26)</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(0.3</w:t>
            </w:r>
            <w:r>
              <w:rPr>
                <w:rFonts w:ascii="Times New Roman" w:hAnsi="Times New Roman" w:cs="Times New Roman"/>
                <w:color w:val="000000"/>
                <w:sz w:val="20"/>
                <w:szCs w:val="20"/>
              </w:rPr>
              <w:t>0</w:t>
            </w:r>
            <w:r>
              <w:rPr>
                <w:rFonts w:hint="eastAsia" w:ascii="Times New Roman" w:hAnsi="Times New Roman" w:cs="Times New Roman"/>
                <w:color w:val="000000"/>
                <w:sz w:val="20"/>
                <w:szCs w:val="20"/>
              </w:rPr>
              <w:t>)</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97.96</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(1.79)</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80.37</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39</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(11.64)</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80.53</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122</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(36.42)</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68.82</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167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(49.85)</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70.51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16.3-19.8</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450 (8.41)</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(0.22)</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13</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(2.89)</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88.34</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62</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(13.78)</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87.67</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157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(34.89)</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78.47</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217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(48.22)</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78.73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13.7-16.2</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555 (10.38)</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w:t>
            </w:r>
            <w:r>
              <w:rPr>
                <w:rFonts w:ascii="Times New Roman" w:hAnsi="Times New Roman" w:cs="Times New Roman"/>
                <w:color w:val="000000"/>
                <w:sz w:val="20"/>
                <w:szCs w:val="20"/>
              </w:rPr>
              <w:t>.00</w:t>
            </w:r>
            <w:r>
              <w:rPr>
                <w:rFonts w:hint="eastAsia" w:ascii="Times New Roman" w:hAnsi="Times New Roman" w:cs="Times New Roman"/>
                <w:color w:val="000000"/>
                <w:sz w:val="20"/>
                <w:szCs w:val="20"/>
              </w:rPr>
              <w:t>)</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(1.98)</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95.09</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72</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(12.97)</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95.97</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179(32.25)</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89.48</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293</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(52.79)</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89.82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9.1-13.6</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339 (6.34)</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w:t>
            </w:r>
            <w:r>
              <w:rPr>
                <w:rFonts w:ascii="Times New Roman" w:hAnsi="Times New Roman" w:cs="Times New Roman"/>
                <w:color w:val="000000"/>
                <w:sz w:val="20"/>
                <w:szCs w:val="20"/>
              </w:rPr>
              <w:t>.00</w:t>
            </w:r>
            <w:r>
              <w:rPr>
                <w:rFonts w:hint="eastAsia" w:ascii="Times New Roman" w:hAnsi="Times New Roman" w:cs="Times New Roman"/>
                <w:color w:val="000000"/>
                <w:sz w:val="20"/>
                <w:szCs w:val="20"/>
              </w:rPr>
              <w:t>)</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(2.06)</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99.39</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28</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(8.26)</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99.19</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117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(34.51)</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96.68</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187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(55.16)</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96.9</w:t>
            </w:r>
            <w:r>
              <w:rPr>
                <w:rFonts w:ascii="Times New Roman" w:hAnsi="Times New Roman" w:cs="Times New Roman"/>
                <w:color w:val="000000"/>
                <w:sz w:val="20"/>
                <w:szCs w:val="20"/>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cs="Times New Roman"/>
                <w:color w:val="000000"/>
                <w:sz w:val="20"/>
                <w:szCs w:val="20"/>
              </w:rPr>
              <w:t>~9.0</w:t>
            </w:r>
          </w:p>
        </w:tc>
        <w:tc>
          <w:tcPr>
            <w:tcW w:w="1559" w:type="dxa"/>
          </w:tcPr>
          <w:p>
            <w:pPr>
              <w:jc w:val="center"/>
              <w:rPr>
                <w:rFonts w:ascii="Times New Roman" w:hAnsi="Times New Roman" w:cs="Times New Roman"/>
                <w:color w:val="000000"/>
                <w:sz w:val="20"/>
                <w:szCs w:val="20"/>
              </w:rPr>
            </w:pPr>
            <w:r>
              <w:rPr>
                <w:rFonts w:ascii="Times New Roman" w:hAnsi="Times New Roman" w:cs="Times New Roman"/>
                <w:color w:val="000000"/>
                <w:sz w:val="20"/>
                <w:szCs w:val="20"/>
              </w:rPr>
              <w:t>144 (2.69)</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0</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w:t>
            </w:r>
            <w:r>
              <w:rPr>
                <w:rFonts w:ascii="Times New Roman" w:hAnsi="Times New Roman" w:cs="Times New Roman"/>
                <w:color w:val="000000"/>
                <w:sz w:val="20"/>
                <w:szCs w:val="20"/>
              </w:rPr>
              <w:t>.00</w:t>
            </w:r>
            <w:r>
              <w:rPr>
                <w:rFonts w:hint="eastAsia" w:ascii="Times New Roman" w:hAnsi="Times New Roman" w:cs="Times New Roman"/>
                <w:color w:val="000000"/>
                <w:sz w:val="20"/>
                <w:szCs w:val="20"/>
              </w:rPr>
              <w:t>)</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c>
          <w:tcPr>
            <w:tcW w:w="1275"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(0.69)</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7</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(4.86)</w:t>
            </w:r>
          </w:p>
        </w:tc>
        <w:tc>
          <w:tcPr>
            <w:tcW w:w="851"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c>
          <w:tcPr>
            <w:tcW w:w="1276" w:type="dxa"/>
            <w:shd w:val="clear" w:color="auto" w:fill="auto"/>
            <w:noWrap/>
            <w:tcMar>
              <w:top w:w="12" w:type="dxa"/>
              <w:left w:w="12" w:type="dxa"/>
              <w:right w:w="12" w:type="dxa"/>
            </w:tcMar>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54</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(37.5</w:t>
            </w:r>
            <w:r>
              <w:rPr>
                <w:rFonts w:ascii="Times New Roman" w:hAnsi="Times New Roman" w:cs="Times New Roman"/>
                <w:color w:val="000000"/>
                <w:sz w:val="20"/>
                <w:szCs w:val="20"/>
              </w:rPr>
              <w:t>0</w:t>
            </w:r>
            <w:r>
              <w:rPr>
                <w:rFonts w:hint="eastAsia" w:ascii="Times New Roman" w:hAnsi="Times New Roman" w:cs="Times New Roman"/>
                <w:color w:val="000000"/>
                <w:sz w:val="20"/>
                <w:szCs w:val="20"/>
              </w:rPr>
              <w:t>)</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c>
          <w:tcPr>
            <w:tcW w:w="1276"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82</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(56.94)</w:t>
            </w:r>
          </w:p>
        </w:tc>
        <w:tc>
          <w:tcPr>
            <w:tcW w:w="850" w:type="dxa"/>
            <w:vAlign w:val="center"/>
          </w:tcPr>
          <w:p>
            <w:pPr>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100</w:t>
            </w:r>
            <w:r>
              <w:rPr>
                <w:rFonts w:ascii="Times New Roman" w:hAnsi="Times New Roman" w:cs="Times New Roman"/>
                <w:color w:val="000000"/>
                <w:sz w:val="20"/>
                <w:szCs w:val="20"/>
              </w:rPr>
              <w:t>.00</w:t>
            </w:r>
          </w:p>
        </w:tc>
      </w:tr>
    </w:tbl>
    <w:p>
      <w:pPr>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vertAlign w:val="superscript"/>
          <w:lang w:bidi="ar"/>
        </w:rPr>
        <w:t xml:space="preserve">a </w:t>
      </w:r>
      <w:r>
        <w:rPr>
          <w:rFonts w:ascii="Times New Roman" w:hAnsi="Times New Roman" w:eastAsia="宋体" w:cs="Times New Roman"/>
          <w:color w:val="000000"/>
          <w:kern w:val="0"/>
          <w:sz w:val="20"/>
          <w:szCs w:val="20"/>
          <w:lang w:bidi="ar"/>
        </w:rPr>
        <w:t>Participants in the Yangzhou screening program were divided into divided into ten groups according to the cut-offs of the GCRS deciles in the CKB cohort. GCRS, gastric cancer risk score.</w:t>
      </w:r>
    </w:p>
    <w:p>
      <w:pPr>
        <w:jc w:val="left"/>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sz w:val="20"/>
          <w:szCs w:val="20"/>
        </w:rPr>
        <w:t xml:space="preserve"> GC, gastric cancer. DYS, dysplasia. IM, intestinal metaplasia. AG, atrophic gastritis. “Normal” biopsy report includes the diagnosis of chronic superficial gastritis or no lesions.</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c </w:t>
      </w:r>
      <w:r>
        <w:rPr>
          <w:rFonts w:ascii="Times New Roman" w:hAnsi="Times New Roman" w:cs="Times New Roman"/>
          <w:sz w:val="20"/>
          <w:szCs w:val="20"/>
        </w:rPr>
        <w:t>Cumulative proportion (CP) was calculated by dividing the number of each lesion accumulated to this category by the total number of each lesion.</w:t>
      </w:r>
    </w:p>
    <w:p>
      <w:pPr>
        <w:rPr>
          <w:rFonts w:ascii="Times New Roman" w:hAnsi="Times New Roman" w:cs="Times New Roman"/>
          <w:sz w:val="16"/>
          <w:szCs w:val="16"/>
        </w:rPr>
      </w:pPr>
    </w:p>
    <w:p>
      <w:pPr>
        <w:jc w:val="left"/>
        <w:rPr>
          <w:rFonts w:ascii="Times New Roman" w:hAnsi="Times New Roman" w:cs="Times New Roman"/>
          <w:sz w:val="16"/>
          <w:szCs w:val="16"/>
        </w:rPr>
      </w:pPr>
      <w:r>
        <w:rPr>
          <w:rFonts w:ascii="Times New Roman" w:hAnsi="Times New Roman" w:cs="Times New Roman"/>
          <w:sz w:val="16"/>
          <w:szCs w:val="16"/>
        </w:rPr>
        <w:br w:type="page"/>
      </w:r>
    </w:p>
    <w:p>
      <w:pPr>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13</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 xml:space="preserve">Performance of the GCRS across different predicted risk cutoffs in the </w:t>
      </w:r>
      <w:r>
        <w:rPr>
          <w:rFonts w:ascii="Times New Roman" w:hAnsi="Times New Roman" w:cs="Times New Roman"/>
          <w:b/>
          <w:bCs/>
          <w:sz w:val="20"/>
          <w:szCs w:val="20"/>
        </w:rPr>
        <w:t>Yangzhou screening program</w:t>
      </w:r>
    </w:p>
    <w:tbl>
      <w:tblPr>
        <w:tblStyle w:val="8"/>
        <w:tblW w:w="14136" w:type="dxa"/>
        <w:jc w:val="center"/>
        <w:tblLayout w:type="fixed"/>
        <w:tblCellMar>
          <w:top w:w="0" w:type="dxa"/>
          <w:left w:w="0" w:type="dxa"/>
          <w:bottom w:w="0" w:type="dxa"/>
          <w:right w:w="0" w:type="dxa"/>
        </w:tblCellMar>
      </w:tblPr>
      <w:tblGrid>
        <w:gridCol w:w="1344"/>
        <w:gridCol w:w="1305"/>
        <w:gridCol w:w="910"/>
        <w:gridCol w:w="1762"/>
        <w:gridCol w:w="1762"/>
        <w:gridCol w:w="1762"/>
        <w:gridCol w:w="1762"/>
        <w:gridCol w:w="1762"/>
        <w:gridCol w:w="1767"/>
      </w:tblGrid>
      <w:tr>
        <w:tblPrEx>
          <w:tblCellMar>
            <w:top w:w="0" w:type="dxa"/>
            <w:left w:w="0" w:type="dxa"/>
            <w:bottom w:w="0" w:type="dxa"/>
            <w:right w:w="0" w:type="dxa"/>
          </w:tblCellMar>
        </w:tblPrEx>
        <w:trPr>
          <w:trHeight w:val="748" w:hRule="atLeast"/>
          <w:jc w:val="center"/>
        </w:trPr>
        <w:tc>
          <w:tcPr>
            <w:tcW w:w="1344"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 xml:space="preserve">GCRS cut-offs </w:t>
            </w:r>
            <w:r>
              <w:rPr>
                <w:rFonts w:ascii="Times New Roman" w:hAnsi="Times New Roman" w:eastAsia="宋体" w:cs="Times New Roman"/>
                <w:b/>
                <w:bCs/>
                <w:kern w:val="0"/>
                <w:sz w:val="20"/>
                <w:szCs w:val="20"/>
                <w:vertAlign w:val="superscript"/>
                <w:lang w:bidi="ar"/>
              </w:rPr>
              <w:t>a</w:t>
            </w:r>
          </w:p>
        </w:tc>
        <w:tc>
          <w:tcPr>
            <w:tcW w:w="1305"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Total (n=5,348)</w:t>
            </w:r>
          </w:p>
        </w:tc>
        <w:tc>
          <w:tcPr>
            <w:tcW w:w="910"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GC (n=49)</w:t>
            </w:r>
          </w:p>
        </w:tc>
        <w:tc>
          <w:tcPr>
            <w:tcW w:w="1762"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Percent of high-risk population (%)</w:t>
            </w:r>
          </w:p>
        </w:tc>
        <w:tc>
          <w:tcPr>
            <w:tcW w:w="1762"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Sensitivity (%)</w:t>
            </w:r>
          </w:p>
        </w:tc>
        <w:tc>
          <w:tcPr>
            <w:tcW w:w="1762"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Specificity (%)</w:t>
            </w:r>
          </w:p>
        </w:tc>
        <w:tc>
          <w:tcPr>
            <w:tcW w:w="1762"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Positive predictive value (%)</w:t>
            </w:r>
          </w:p>
        </w:tc>
        <w:tc>
          <w:tcPr>
            <w:tcW w:w="1762"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Negative predictive value (%)</w:t>
            </w:r>
          </w:p>
        </w:tc>
        <w:tc>
          <w:tcPr>
            <w:tcW w:w="1767" w:type="dxa"/>
            <w:tcBorders>
              <w:top w:val="single" w:color="000000" w:sz="4" w:space="0"/>
              <w:left w:val="nil"/>
              <w:bottom w:val="single" w:color="000000" w:sz="4" w:space="0"/>
              <w:right w:val="nil"/>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bCs/>
                <w:kern w:val="0"/>
                <w:sz w:val="20"/>
                <w:szCs w:val="20"/>
                <w:lang w:bidi="ar"/>
              </w:rPr>
            </w:pPr>
            <w:r>
              <w:rPr>
                <w:rFonts w:ascii="Times New Roman" w:hAnsi="Times New Roman" w:eastAsia="宋体" w:cs="Times New Roman"/>
                <w:b/>
                <w:bCs/>
                <w:kern w:val="0"/>
                <w:sz w:val="20"/>
                <w:szCs w:val="20"/>
                <w:lang w:bidi="ar"/>
              </w:rPr>
              <w:t>Number needed to</w:t>
            </w:r>
          </w:p>
          <w:p>
            <w:pPr>
              <w:widowControl/>
              <w:jc w:val="center"/>
              <w:textAlignment w:val="center"/>
              <w:rPr>
                <w:rFonts w:ascii="Times New Roman" w:hAnsi="Times New Roman" w:eastAsia="宋体" w:cs="Times New Roman"/>
                <w:b/>
                <w:bCs/>
                <w:kern w:val="0"/>
                <w:sz w:val="20"/>
                <w:szCs w:val="20"/>
                <w:lang w:bidi="ar"/>
              </w:rPr>
            </w:pPr>
            <w:r>
              <w:rPr>
                <w:rFonts w:ascii="Times New Roman" w:hAnsi="Times New Roman" w:eastAsia="宋体" w:cs="Times New Roman"/>
                <w:b/>
                <w:bCs/>
                <w:kern w:val="0"/>
                <w:sz w:val="20"/>
                <w:szCs w:val="20"/>
                <w:lang w:bidi="ar"/>
              </w:rPr>
              <w:t>be screened to</w:t>
            </w:r>
          </w:p>
          <w:p>
            <w:pPr>
              <w:widowControl/>
              <w:jc w:val="center"/>
              <w:textAlignment w:val="center"/>
              <w:rPr>
                <w:rFonts w:ascii="Times New Roman" w:hAnsi="Times New Roman" w:eastAsia="宋体" w:cs="Times New Roman"/>
                <w:b/>
                <w:bCs/>
                <w:kern w:val="0"/>
                <w:sz w:val="20"/>
                <w:szCs w:val="20"/>
                <w:lang w:bidi="ar"/>
              </w:rPr>
            </w:pPr>
            <w:r>
              <w:rPr>
                <w:rFonts w:ascii="Times New Roman" w:hAnsi="Times New Roman" w:eastAsia="宋体" w:cs="Times New Roman"/>
                <w:b/>
                <w:bCs/>
                <w:kern w:val="0"/>
                <w:sz w:val="20"/>
                <w:szCs w:val="20"/>
                <w:lang w:bidi="ar"/>
              </w:rPr>
              <w:t>identify one case</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35.2</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893</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16.70</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63.27</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83.73</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3.47</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99.60</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29</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30.6</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652</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28.89</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81.63</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71.60</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2.59</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99.76</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39</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27.6</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713</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42.22</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85.71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58.18</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1.86</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99.77</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54</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24.8</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582</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53.10</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93.88</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47.27</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1.62</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99.88</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62</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21.9</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685</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65.91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95.92</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34.36</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1.33</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99.89</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75</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19.8</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335</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72.18</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97.96</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28.06</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1.24</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99.93</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80</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16.2</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450</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80.59</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19.59</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1.14</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88</w:t>
            </w:r>
          </w:p>
        </w:tc>
      </w:tr>
      <w:tr>
        <w:tblPrEx>
          <w:tblCellMar>
            <w:top w:w="0" w:type="dxa"/>
            <w:left w:w="0" w:type="dxa"/>
            <w:bottom w:w="0" w:type="dxa"/>
            <w:right w:w="0" w:type="dxa"/>
          </w:tblCellMar>
        </w:tblPrEx>
        <w:trPr>
          <w:trHeight w:val="285" w:hRule="atLeast"/>
          <w:jc w:val="center"/>
        </w:trPr>
        <w:tc>
          <w:tcPr>
            <w:tcW w:w="134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13.6</w:t>
            </w:r>
          </w:p>
        </w:tc>
        <w:tc>
          <w:tcPr>
            <w:tcW w:w="1305"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555</w:t>
            </w:r>
          </w:p>
        </w:tc>
        <w:tc>
          <w:tcPr>
            <w:tcW w:w="910"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90.97</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9.11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1.01</w:t>
            </w:r>
          </w:p>
        </w:tc>
        <w:tc>
          <w:tcPr>
            <w:tcW w:w="176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w:t>
            </w:r>
          </w:p>
        </w:tc>
        <w:tc>
          <w:tcPr>
            <w:tcW w:w="17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99</w:t>
            </w:r>
          </w:p>
        </w:tc>
      </w:tr>
      <w:tr>
        <w:tblPrEx>
          <w:tblCellMar>
            <w:top w:w="0" w:type="dxa"/>
            <w:left w:w="0" w:type="dxa"/>
            <w:bottom w:w="0" w:type="dxa"/>
            <w:right w:w="0" w:type="dxa"/>
          </w:tblCellMar>
        </w:tblPrEx>
        <w:trPr>
          <w:trHeight w:val="294" w:hRule="atLeast"/>
          <w:jc w:val="center"/>
        </w:trPr>
        <w:tc>
          <w:tcPr>
            <w:tcW w:w="1344"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9.0</w:t>
            </w:r>
          </w:p>
        </w:tc>
        <w:tc>
          <w:tcPr>
            <w:tcW w:w="1305"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339</w:t>
            </w:r>
          </w:p>
        </w:tc>
        <w:tc>
          <w:tcPr>
            <w:tcW w:w="910"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c>
          <w:tcPr>
            <w:tcW w:w="1762"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97.31</w:t>
            </w:r>
          </w:p>
        </w:tc>
        <w:tc>
          <w:tcPr>
            <w:tcW w:w="1762"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w:t>
            </w:r>
          </w:p>
        </w:tc>
        <w:tc>
          <w:tcPr>
            <w:tcW w:w="1762"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2.72</w:t>
            </w:r>
          </w:p>
        </w:tc>
        <w:tc>
          <w:tcPr>
            <w:tcW w:w="1762"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0.94</w:t>
            </w:r>
          </w:p>
        </w:tc>
        <w:tc>
          <w:tcPr>
            <w:tcW w:w="1762"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w:t>
            </w:r>
          </w:p>
        </w:tc>
        <w:tc>
          <w:tcPr>
            <w:tcW w:w="1767" w:type="dxa"/>
            <w:tcBorders>
              <w:top w:val="nil"/>
              <w:left w:val="nil"/>
              <w:bottom w:val="single" w:color="000000"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106</w:t>
            </w:r>
          </w:p>
        </w:tc>
      </w:tr>
    </w:tbl>
    <w:p>
      <w:pPr>
        <w:rPr>
          <w:rFonts w:ascii="Times New Roman" w:hAnsi="Times New Roman" w:cs="Times New Roman"/>
          <w:sz w:val="20"/>
          <w:szCs w:val="20"/>
        </w:rPr>
      </w:pPr>
      <w:r>
        <w:rPr>
          <w:rFonts w:hint="eastAsia" w:ascii="Times New Roman" w:hAnsi="Times New Roman" w:cs="Times New Roman"/>
          <w:sz w:val="20"/>
          <w:szCs w:val="20"/>
          <w:vertAlign w:val="superscript"/>
        </w:rPr>
        <w:t>a</w:t>
      </w:r>
      <w:r>
        <w:rPr>
          <w:rFonts w:hint="eastAsia" w:ascii="Times New Roman" w:hAnsi="Times New Roman" w:cs="Times New Roman"/>
          <w:sz w:val="20"/>
          <w:szCs w:val="20"/>
        </w:rPr>
        <w:t xml:space="preserve"> High-risk population is defined as people whose GCRS are higher than the corresponding cutoff.</w:t>
      </w:r>
    </w:p>
    <w:p>
      <w:pPr>
        <w:jc w:val="left"/>
        <w:rPr>
          <w:rFonts w:ascii="Times New Roman" w:hAnsi="Times New Roman" w:cs="Times New Roman"/>
          <w:sz w:val="16"/>
          <w:szCs w:val="16"/>
        </w:rPr>
      </w:pPr>
    </w:p>
    <w:p>
      <w:pPr>
        <w:jc w:val="left"/>
        <w:rPr>
          <w:rFonts w:ascii="Times New Roman" w:hAnsi="Times New Roman" w:cs="Times New Roman"/>
          <w:sz w:val="16"/>
          <w:szCs w:val="16"/>
        </w:rPr>
        <w:sectPr>
          <w:pgSz w:w="16838" w:h="11906" w:orient="landscape"/>
          <w:pgMar w:top="1440" w:right="1440" w:bottom="1440" w:left="1440" w:header="851" w:footer="992" w:gutter="0"/>
          <w:cols w:space="0" w:num="1"/>
          <w:docGrid w:type="lines" w:linePitch="312" w:charSpace="0"/>
        </w:sectPr>
      </w:pPr>
    </w:p>
    <w:p>
      <w:pPr>
        <w:jc w:val="left"/>
        <w:rPr>
          <w:rFonts w:ascii="Times New Roman" w:hAnsi="Times New Roman" w:cs="Times New Roman"/>
          <w:b/>
          <w:bCs/>
          <w:sz w:val="20"/>
          <w:szCs w:val="20"/>
          <w:vertAlign w:val="superscript"/>
        </w:rPr>
      </w:pPr>
      <w:r>
        <w:rPr>
          <w:rFonts w:ascii="Times New Roman" w:hAnsi="Times New Roman" w:cs="Times New Roman"/>
          <w:b/>
          <w:bCs/>
          <w:sz w:val="20"/>
          <w:szCs w:val="20"/>
        </w:rPr>
        <w:t>Table S</w:t>
      </w:r>
      <w:r>
        <w:rPr>
          <w:rFonts w:hint="eastAsia" w:ascii="Times New Roman" w:hAnsi="Times New Roman" w:cs="Times New Roman"/>
          <w:b/>
          <w:bCs/>
          <w:sz w:val="20"/>
          <w:szCs w:val="20"/>
        </w:rPr>
        <w:t>14</w:t>
      </w:r>
      <w:r>
        <w:rPr>
          <w:rFonts w:ascii="Times New Roman" w:hAnsi="Times New Roman" w:cs="Times New Roman"/>
          <w:b/>
          <w:bCs/>
          <w:sz w:val="20"/>
          <w:szCs w:val="20"/>
        </w:rPr>
        <w:t xml:space="preserve">. 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1:</w:t>
      </w:r>
      <w:r>
        <w:rPr>
          <w:rFonts w:ascii="Times New Roman" w:hAnsi="Times New Roman" w:eastAsia="宋体" w:cs="Times New Roman"/>
          <w:b/>
          <w:bCs/>
          <w:kern w:val="0"/>
          <w:sz w:val="20"/>
          <w:szCs w:val="21"/>
        </w:rPr>
        <w:t xml:space="preserve"> excluding weak variables in the simplified model</w:t>
      </w:r>
      <w:r>
        <w:rPr>
          <w:rFonts w:ascii="Times New Roman" w:hAnsi="Times New Roman" w:cs="Times New Roman"/>
          <w:b/>
          <w:bCs/>
          <w:sz w:val="20"/>
          <w:szCs w:val="20"/>
          <w:vertAlign w:val="superscript"/>
        </w:rPr>
        <w:t xml:space="preserve"> a</w:t>
      </w:r>
    </w:p>
    <w:tbl>
      <w:tblPr>
        <w:tblStyle w:val="8"/>
        <w:tblW w:w="1390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714"/>
        <w:gridCol w:w="1559"/>
        <w:gridCol w:w="1276"/>
        <w:gridCol w:w="850"/>
        <w:gridCol w:w="1275"/>
        <w:gridCol w:w="851"/>
        <w:gridCol w:w="1276"/>
        <w:gridCol w:w="851"/>
        <w:gridCol w:w="1276"/>
        <w:gridCol w:w="850"/>
        <w:gridCol w:w="1276"/>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restart"/>
            <w:tcBorders>
              <w:top w:val="single" w:color="auto" w:sz="4" w:space="0"/>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GCRS</w:t>
            </w:r>
          </w:p>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cut-offs </w:t>
            </w:r>
            <w:r>
              <w:rPr>
                <w:rFonts w:ascii="Times New Roman" w:hAnsi="Times New Roman" w:eastAsia="宋体" w:cs="Times New Roman"/>
                <w:b/>
                <w:color w:val="000000"/>
                <w:kern w:val="0"/>
                <w:sz w:val="20"/>
                <w:szCs w:val="20"/>
                <w:vertAlign w:val="superscript"/>
                <w:lang w:bidi="ar"/>
              </w:rPr>
              <w:t>b</w:t>
            </w: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Total (n=5,348)</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GC (n=49) </w:t>
            </w:r>
            <w:r>
              <w:rPr>
                <w:rFonts w:ascii="Times New Roman" w:hAnsi="Times New Roman" w:eastAsia="宋体" w:cs="Times New Roman"/>
                <w:b/>
                <w:color w:val="000000"/>
                <w:kern w:val="0"/>
                <w:sz w:val="20"/>
                <w:szCs w:val="20"/>
                <w:vertAlign w:val="superscript"/>
                <w:lang w:bidi="ar"/>
              </w:rPr>
              <w:t>c</w:t>
            </w:r>
          </w:p>
        </w:tc>
        <w:tc>
          <w:tcPr>
            <w:tcW w:w="2126"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DYS (n=163)</w:t>
            </w:r>
          </w:p>
        </w:tc>
        <w:tc>
          <w:tcPr>
            <w:tcW w:w="2127"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IM (n=868)</w:t>
            </w:r>
          </w:p>
        </w:tc>
        <w:tc>
          <w:tcPr>
            <w:tcW w:w="2126" w:type="dxa"/>
            <w:gridSpan w:val="2"/>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AG (n=1,626)</w:t>
            </w:r>
          </w:p>
        </w:tc>
        <w:tc>
          <w:tcPr>
            <w:tcW w:w="2126" w:type="dxa"/>
            <w:gridSpan w:val="2"/>
            <w:tcBorders>
              <w:top w:val="single" w:color="auto" w:sz="4" w:space="0"/>
              <w:bottom w:val="single" w:color="auto" w:sz="4" w:space="0"/>
            </w:tcBorders>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Normal (n=2,642)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continue"/>
            <w:tcBorders>
              <w:top w:val="nil"/>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color w:val="000000"/>
                <w:sz w:val="20"/>
                <w:szCs w:val="20"/>
              </w:rPr>
            </w:pP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CP (%) </w:t>
            </w:r>
            <w:r>
              <w:rPr>
                <w:rFonts w:ascii="Times New Roman" w:hAnsi="Times New Roman" w:eastAsia="宋体" w:cs="Times New Roman"/>
                <w:b/>
                <w:color w:val="000000"/>
                <w:kern w:val="0"/>
                <w:sz w:val="20"/>
                <w:szCs w:val="20"/>
                <w:vertAlign w:val="superscript"/>
                <w:lang w:bidi="ar"/>
              </w:rPr>
              <w:t>d</w:t>
            </w:r>
          </w:p>
        </w:tc>
        <w:tc>
          <w:tcPr>
            <w:tcW w:w="1275"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CP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9.0~</w:t>
            </w:r>
          </w:p>
        </w:tc>
        <w:tc>
          <w:tcPr>
            <w:tcW w:w="1559"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831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(15.54)</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(3.97)</w:t>
            </w:r>
          </w:p>
        </w:tc>
        <w:tc>
          <w:tcPr>
            <w:tcW w:w="850" w:type="dxa"/>
            <w:tcBorders>
              <w:top w:val="single" w:color="auto" w:sz="4" w:space="0"/>
            </w:tcBorders>
            <w:shd w:val="clear" w:color="auto" w:fill="auto"/>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67.35</w:t>
            </w:r>
          </w:p>
        </w:tc>
        <w:tc>
          <w:tcPr>
            <w:tcW w:w="1275"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(4.69)</w:t>
            </w:r>
          </w:p>
        </w:tc>
        <w:tc>
          <w:tcPr>
            <w:tcW w:w="851" w:type="dxa"/>
            <w:tcBorders>
              <w:top w:val="single" w:color="auto" w:sz="4" w:space="0"/>
            </w:tcBorders>
            <w:shd w:val="clear" w:color="auto" w:fill="auto"/>
            <w:noWrap/>
            <w:tcMar>
              <w:top w:w="12" w:type="dxa"/>
              <w:left w:w="12" w:type="dxa"/>
              <w:right w:w="12" w:type="dxa"/>
            </w:tcMar>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23.93</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184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(22.14)</w:t>
            </w:r>
          </w:p>
        </w:tc>
        <w:tc>
          <w:tcPr>
            <w:tcW w:w="851" w:type="dxa"/>
            <w:tcBorders>
              <w:top w:val="single" w:color="auto" w:sz="4" w:space="0"/>
            </w:tcBorders>
            <w:shd w:val="clear" w:color="auto" w:fill="auto"/>
            <w:noWrap/>
            <w:tcMar>
              <w:top w:w="12" w:type="dxa"/>
              <w:left w:w="12" w:type="dxa"/>
              <w:right w:w="12" w:type="dxa"/>
            </w:tcMar>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21.2</w:t>
            </w:r>
            <w:r>
              <w:rPr>
                <w:rFonts w:ascii="Times New Roman" w:hAnsi="Times New Roman" w:eastAsia="宋体" w:cs="Times New Roman"/>
                <w:color w:val="000000"/>
                <w:kern w:val="0"/>
                <w:sz w:val="20"/>
                <w:szCs w:val="20"/>
                <w:lang w:bidi="ar"/>
              </w:rPr>
              <w:t>0</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204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(24.55)</w:t>
            </w:r>
          </w:p>
        </w:tc>
        <w:tc>
          <w:tcPr>
            <w:tcW w:w="850" w:type="dxa"/>
            <w:tcBorders>
              <w:top w:val="single" w:color="auto" w:sz="4" w:space="0"/>
            </w:tcBorders>
            <w:shd w:val="clear" w:color="auto" w:fill="auto"/>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12.55</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371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(44.65)</w:t>
            </w:r>
          </w:p>
        </w:tc>
        <w:tc>
          <w:tcPr>
            <w:tcW w:w="850" w:type="dxa"/>
            <w:tcBorders>
              <w:top w:val="single" w:color="auto" w:sz="4" w:space="0"/>
            </w:tcBorders>
            <w:shd w:val="clear" w:color="auto" w:fill="auto"/>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14.04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7.9-8.9</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666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(12.45)</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(0.9</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79.59</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(4.5</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42.33</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(19.22)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35.94</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173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(25.98)</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23.19</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329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(49.4</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26.5</w:t>
            </w: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7.0-7.8</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790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(14.77)</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(0.51)</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87.76</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(3.67)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60.12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140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(17.72)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52.07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238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(30.13)</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37.82</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379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(47.97)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40.84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6.4-6.9</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619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(11.57)</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(0.48)</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93.88</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(1.94)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67.48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(16.32)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63.71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185</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(29.89)</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49.2</w:t>
            </w:r>
            <w:r>
              <w:rPr>
                <w:rFonts w:ascii="Times New Roman" w:hAnsi="Times New Roman" w:eastAsia="宋体" w:cs="Times New Roman"/>
                <w:color w:val="000000"/>
                <w:kern w:val="0"/>
                <w:sz w:val="20"/>
                <w:szCs w:val="20"/>
                <w:lang w:bidi="ar"/>
              </w:rPr>
              <w:t>0</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318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(51.37)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52.88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5.5-6.3</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620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(11.59)</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(0.16)</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95.92</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(2.74)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77.91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(16.45)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75.46</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197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(31.77)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61.32</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303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(48.87)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64.35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5.2-5.4</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443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(8.28)</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(0.45)</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(1.58)</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82.21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(13.09)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82.14</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162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(36.57)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71.28</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214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(48.31)</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72.45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4.3-5.1</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319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(5.96)</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(2.82)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87.73</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(13.79)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87.21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(31.97)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77.55</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164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(51.41)</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78.65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3.4-4.2</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589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(11.01)</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(2.21)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95.71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(13.07)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96.08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197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(33.45)</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89.67</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302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(51.27)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2.4-3.3</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315</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(5.89)</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(1.9</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99.39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(8.57)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99.19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(34.6</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96.37</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173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(54.92)</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96.63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~2.3</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156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(2.92)</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(0.64)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(4.49)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(37.82)</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(57.05)</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The simplified model was created based on a subset of strong predictors for gastric cancer (assigned points ≥4.0; including age, sex, education level,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foods, family history of cancer in first-degree relatives, personal medical history of cancer and peptic ulcer).</w:t>
      </w:r>
    </w:p>
    <w:p>
      <w:pPr>
        <w:jc w:val="left"/>
        <w:rPr>
          <w:rFonts w:ascii="Times New Roman" w:hAnsi="Times New Roman" w:cs="Times New Roman"/>
          <w:sz w:val="20"/>
          <w:szCs w:val="20"/>
        </w:rPr>
      </w:pPr>
      <w:r>
        <w:rPr>
          <w:rFonts w:ascii="Times New Roman" w:hAnsi="Times New Roman" w:eastAsia="宋体" w:cs="Times New Roman"/>
          <w:color w:val="000000"/>
          <w:kern w:val="0"/>
          <w:sz w:val="20"/>
          <w:szCs w:val="20"/>
          <w:vertAlign w:val="superscript"/>
          <w:lang w:bidi="ar"/>
        </w:rPr>
        <w:t xml:space="preserve">b </w:t>
      </w:r>
      <w:r>
        <w:rPr>
          <w:rFonts w:ascii="Times New Roman" w:hAnsi="Times New Roman" w:eastAsia="宋体" w:cs="Times New Roman"/>
          <w:color w:val="000000"/>
          <w:kern w:val="0"/>
          <w:sz w:val="20"/>
          <w:szCs w:val="20"/>
          <w:lang w:bidi="ar"/>
        </w:rPr>
        <w:t>Participants in the Yangzhou screening program were divided into divided into ten groups according to the cut-offs of the GCRS deciles in the CKB cohort. GCRS, gastric cancer risk score.</w:t>
      </w:r>
    </w:p>
    <w:p>
      <w:pPr>
        <w:jc w:val="left"/>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 xml:space="preserve"> GC, gastric cancer. DYS, dysplasia. IM, intestinal metaplasia. AG, atrophic gastritis. “Normal” biopsy report includes the diagnosis of chronic superficial gastritis or no lesions.</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d </w:t>
      </w:r>
      <w:r>
        <w:rPr>
          <w:rFonts w:ascii="Times New Roman" w:hAnsi="Times New Roman" w:cs="Times New Roman"/>
          <w:sz w:val="20"/>
          <w:szCs w:val="20"/>
        </w:rPr>
        <w:t>Cumulative proportion (CP) was calculated by dividing the number of each lesion accumulated to this category by the total number of each lesion.</w:t>
      </w:r>
    </w:p>
    <w:p>
      <w:pPr>
        <w:jc w:val="left"/>
        <w:rPr>
          <w:rFonts w:ascii="Times New Roman" w:hAnsi="Times New Roman" w:eastAsia="宋体" w:cs="Times New Roman"/>
          <w:color w:val="000000"/>
          <w:kern w:val="0"/>
          <w:sz w:val="16"/>
          <w:szCs w:val="16"/>
          <w:vertAlign w:val="superscript"/>
          <w:lang w:bidi="ar"/>
        </w:rPr>
      </w:pPr>
    </w:p>
    <w:p>
      <w:pPr>
        <w:jc w:val="left"/>
        <w:rPr>
          <w:rFonts w:ascii="Times New Roman" w:hAnsi="Times New Roman" w:cs="Times New Roman"/>
          <w:b/>
          <w:bCs/>
          <w:sz w:val="16"/>
          <w:szCs w:val="16"/>
        </w:rPr>
      </w:pPr>
      <w:r>
        <w:rPr>
          <w:rFonts w:ascii="Times New Roman" w:hAnsi="Times New Roman" w:cs="Times New Roman"/>
          <w:b/>
          <w:bCs/>
          <w:sz w:val="16"/>
          <w:szCs w:val="16"/>
        </w:rPr>
        <w:br w:type="page"/>
      </w:r>
    </w:p>
    <w:p>
      <w:pPr>
        <w:jc w:val="left"/>
        <w:rPr>
          <w:rFonts w:ascii="Times New Roman" w:hAnsi="Times New Roman" w:cs="Times New Roman"/>
          <w:b/>
          <w:bCs/>
          <w:sz w:val="20"/>
          <w:szCs w:val="20"/>
          <w:vertAlign w:val="superscript"/>
        </w:rPr>
      </w:pPr>
      <w:r>
        <w:rPr>
          <w:rFonts w:ascii="Times New Roman" w:hAnsi="Times New Roman" w:cs="Times New Roman"/>
          <w:b/>
          <w:bCs/>
          <w:sz w:val="20"/>
          <w:szCs w:val="20"/>
        </w:rPr>
        <w:t>Table S1</w:t>
      </w:r>
      <w:r>
        <w:rPr>
          <w:rFonts w:hint="eastAsia" w:ascii="Times New Roman" w:hAnsi="Times New Roman" w:cs="Times New Roman"/>
          <w:b/>
          <w:bCs/>
          <w:sz w:val="20"/>
          <w:szCs w:val="20"/>
        </w:rPr>
        <w:t>5</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b/>
          <w:bCs/>
          <w:sz w:val="20"/>
          <w:szCs w:val="20"/>
        </w:rPr>
        <w:t xml:space="preserve">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2:</w:t>
      </w:r>
      <w:r>
        <w:rPr>
          <w:rFonts w:ascii="Times New Roman" w:hAnsi="Times New Roman" w:eastAsia="宋体" w:cs="Times New Roman"/>
          <w:b/>
          <w:bCs/>
          <w:kern w:val="0"/>
          <w:sz w:val="20"/>
          <w:szCs w:val="21"/>
        </w:rPr>
        <w:t xml:space="preserve"> integrating lifestyle factors as an index</w:t>
      </w:r>
      <w:r>
        <w:rPr>
          <w:rFonts w:ascii="Times New Roman" w:hAnsi="Times New Roman" w:cs="Times New Roman"/>
          <w:b/>
          <w:bCs/>
          <w:sz w:val="20"/>
          <w:szCs w:val="20"/>
        </w:rPr>
        <w:t xml:space="preserve"> </w:t>
      </w:r>
      <w:r>
        <w:rPr>
          <w:rFonts w:ascii="Times New Roman" w:hAnsi="Times New Roman" w:cs="Times New Roman"/>
          <w:b/>
          <w:bCs/>
          <w:sz w:val="20"/>
          <w:szCs w:val="20"/>
          <w:vertAlign w:val="superscript"/>
        </w:rPr>
        <w:t>a</w:t>
      </w:r>
    </w:p>
    <w:tbl>
      <w:tblPr>
        <w:tblStyle w:val="8"/>
        <w:tblW w:w="1390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714"/>
        <w:gridCol w:w="1559"/>
        <w:gridCol w:w="1276"/>
        <w:gridCol w:w="850"/>
        <w:gridCol w:w="1275"/>
        <w:gridCol w:w="851"/>
        <w:gridCol w:w="1276"/>
        <w:gridCol w:w="851"/>
        <w:gridCol w:w="1276"/>
        <w:gridCol w:w="850"/>
        <w:gridCol w:w="1276"/>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restart"/>
            <w:tcBorders>
              <w:top w:val="single" w:color="auto" w:sz="4" w:space="0"/>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GCRS</w:t>
            </w:r>
          </w:p>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 xml:space="preserve">cut-offs </w:t>
            </w:r>
            <w:r>
              <w:rPr>
                <w:rFonts w:ascii="Times New Roman" w:hAnsi="Times New Roman" w:eastAsia="宋体" w:cs="Times New Roman"/>
                <w:b/>
                <w:color w:val="000000"/>
                <w:kern w:val="0"/>
                <w:sz w:val="20"/>
                <w:szCs w:val="20"/>
                <w:vertAlign w:val="superscript"/>
                <w:lang w:bidi="ar"/>
              </w:rPr>
              <w:t>b</w:t>
            </w: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Total (n=5,348)</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GC (n=49) </w:t>
            </w:r>
            <w:r>
              <w:rPr>
                <w:rFonts w:ascii="Times New Roman" w:hAnsi="Times New Roman" w:eastAsia="宋体" w:cs="Times New Roman"/>
                <w:b/>
                <w:color w:val="000000"/>
                <w:kern w:val="0"/>
                <w:sz w:val="20"/>
                <w:szCs w:val="20"/>
                <w:vertAlign w:val="superscript"/>
                <w:lang w:bidi="ar"/>
              </w:rPr>
              <w:t>c</w:t>
            </w:r>
          </w:p>
        </w:tc>
        <w:tc>
          <w:tcPr>
            <w:tcW w:w="2126"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DYS (n=163)</w:t>
            </w:r>
          </w:p>
        </w:tc>
        <w:tc>
          <w:tcPr>
            <w:tcW w:w="2127"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IM (n=868)</w:t>
            </w:r>
          </w:p>
        </w:tc>
        <w:tc>
          <w:tcPr>
            <w:tcW w:w="2126" w:type="dxa"/>
            <w:gridSpan w:val="2"/>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AG (n=1,626)</w:t>
            </w:r>
          </w:p>
        </w:tc>
        <w:tc>
          <w:tcPr>
            <w:tcW w:w="2126" w:type="dxa"/>
            <w:gridSpan w:val="2"/>
            <w:tcBorders>
              <w:top w:val="single" w:color="auto" w:sz="4" w:space="0"/>
              <w:bottom w:val="single" w:color="auto" w:sz="4" w:space="0"/>
            </w:tcBorders>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Normal (n=2,642)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continue"/>
            <w:tcBorders>
              <w:top w:val="nil"/>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color w:val="000000"/>
                <w:sz w:val="20"/>
                <w:szCs w:val="20"/>
              </w:rPr>
            </w:pP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 xml:space="preserve">CP (%) </w:t>
            </w:r>
            <w:r>
              <w:rPr>
                <w:rFonts w:ascii="Times New Roman" w:hAnsi="Times New Roman" w:eastAsia="宋体" w:cs="Times New Roman"/>
                <w:b/>
                <w:color w:val="000000"/>
                <w:kern w:val="0"/>
                <w:sz w:val="20"/>
                <w:szCs w:val="20"/>
                <w:vertAlign w:val="superscript"/>
                <w:lang w:bidi="ar"/>
              </w:rPr>
              <w:t>d</w:t>
            </w:r>
          </w:p>
        </w:tc>
        <w:tc>
          <w:tcPr>
            <w:tcW w:w="1275"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kern w:val="0"/>
                <w:sz w:val="20"/>
                <w:szCs w:val="20"/>
                <w:lang w:bidi="ar"/>
              </w:rPr>
            </w:pPr>
            <w:r>
              <w:rPr>
                <w:rFonts w:ascii="Times New Roman" w:hAnsi="Times New Roman" w:eastAsia="宋体" w:cs="Times New Roman"/>
                <w:b/>
                <w:color w:val="000000"/>
                <w:kern w:val="0"/>
                <w:sz w:val="20"/>
                <w:szCs w:val="20"/>
                <w:lang w:bidi="ar"/>
              </w:rPr>
              <w:t>CP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color w:val="000000"/>
                <w:sz w:val="20"/>
                <w:szCs w:val="20"/>
              </w:rPr>
            </w:pPr>
            <w:r>
              <w:rPr>
                <w:rFonts w:ascii="Times New Roman" w:hAnsi="Times New Roman" w:eastAsia="宋体" w:cs="Times New Roman"/>
                <w:b/>
                <w:color w:val="000000"/>
                <w:kern w:val="0"/>
                <w:sz w:val="20"/>
                <w:szCs w:val="20"/>
                <w:lang w:bidi="ar"/>
              </w:rPr>
              <w:t>CP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10.7~</w:t>
            </w:r>
          </w:p>
        </w:tc>
        <w:tc>
          <w:tcPr>
            <w:tcW w:w="1559"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889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(16.62)</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(3.49)</w:t>
            </w:r>
          </w:p>
        </w:tc>
        <w:tc>
          <w:tcPr>
            <w:tcW w:w="850" w:type="dxa"/>
            <w:tcBorders>
              <w:top w:val="single" w:color="auto" w:sz="4" w:space="0"/>
            </w:tcBorders>
            <w:shd w:val="clear" w:color="auto" w:fill="auto"/>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63.27</w:t>
            </w:r>
          </w:p>
        </w:tc>
        <w:tc>
          <w:tcPr>
            <w:tcW w:w="1275"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(4.84)</w:t>
            </w:r>
          </w:p>
        </w:tc>
        <w:tc>
          <w:tcPr>
            <w:tcW w:w="851" w:type="dxa"/>
            <w:tcBorders>
              <w:top w:val="single" w:color="auto" w:sz="4" w:space="0"/>
            </w:tcBorders>
            <w:shd w:val="clear" w:color="auto" w:fill="auto"/>
            <w:noWrap/>
            <w:tcMar>
              <w:top w:w="12" w:type="dxa"/>
              <w:left w:w="12" w:type="dxa"/>
              <w:right w:w="12" w:type="dxa"/>
            </w:tcMar>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26.38</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196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(22.05)</w:t>
            </w:r>
          </w:p>
        </w:tc>
        <w:tc>
          <w:tcPr>
            <w:tcW w:w="851" w:type="dxa"/>
            <w:tcBorders>
              <w:top w:val="single" w:color="auto" w:sz="4" w:space="0"/>
            </w:tcBorders>
            <w:shd w:val="clear" w:color="auto" w:fill="auto"/>
            <w:noWrap/>
            <w:tcMar>
              <w:top w:w="12" w:type="dxa"/>
              <w:left w:w="12" w:type="dxa"/>
              <w:right w:w="12" w:type="dxa"/>
            </w:tcMar>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22.58</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220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(24.75)</w:t>
            </w:r>
          </w:p>
        </w:tc>
        <w:tc>
          <w:tcPr>
            <w:tcW w:w="850" w:type="dxa"/>
            <w:tcBorders>
              <w:top w:val="single" w:color="auto" w:sz="4" w:space="0"/>
            </w:tcBorders>
            <w:shd w:val="clear" w:color="auto" w:fill="auto"/>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13.53</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399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(44.88)</w:t>
            </w:r>
          </w:p>
        </w:tc>
        <w:tc>
          <w:tcPr>
            <w:tcW w:w="850" w:type="dxa"/>
            <w:tcBorders>
              <w:top w:val="single" w:color="auto" w:sz="4" w:space="0"/>
            </w:tcBorders>
            <w:shd w:val="clear" w:color="auto" w:fill="auto"/>
            <w:vAlign w:val="center"/>
          </w:tcPr>
          <w:p>
            <w:pPr>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15.1</w:t>
            </w: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9.4-10.6</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655</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(12.25)</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(1.22)</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79.59</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(5.19)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47.24</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(19.24)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37.1</w:t>
            </w:r>
            <w:r>
              <w:rPr>
                <w:rFonts w:ascii="Times New Roman" w:hAnsi="Times New Roman" w:eastAsia="宋体" w:cs="Times New Roman"/>
                <w:color w:val="000000"/>
                <w:kern w:val="0"/>
                <w:sz w:val="20"/>
                <w:szCs w:val="20"/>
                <w:lang w:bidi="ar"/>
              </w:rPr>
              <w:t>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165</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(25.19)</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23.68</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322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(49.16)</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27.29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8.4-9.3</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914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(17.09)</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(0.44)</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87.76</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(2.3</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60.12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168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(18.38)</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56.45</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265</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(28.99)</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39.98</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456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(49.89)</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44.55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7.8-8.3</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373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(6.97)</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(0.27)</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89.8</w:t>
            </w:r>
            <w:r>
              <w:rPr>
                <w:rFonts w:ascii="Times New Roman" w:hAnsi="Times New Roman" w:eastAsia="宋体" w:cs="Times New Roman"/>
                <w:color w:val="000000"/>
                <w:kern w:val="0"/>
                <w:sz w:val="20"/>
                <w:szCs w:val="20"/>
                <w:lang w:bidi="ar"/>
              </w:rPr>
              <w:t>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(2.68)</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66.26</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(16.62)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63.59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(32.44)</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47.42</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179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(47.99)</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51.32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6.8-7.7</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530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(9.91)</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(0.75)</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97.96</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(2.64)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74.85</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(13.96)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72.12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174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(32.83)</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58.12</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264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(49.81)</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61.32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6.0-6.7</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629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(11.76)</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(0.16)</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(2.07)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82.82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(14.63)</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82.72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219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(34.82)</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71.59</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304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(48.33)</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72.82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5.3-5.9</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429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(8.02)</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(2.8</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90.18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(13.29)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89.29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143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(33.33)</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80.38</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217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(50.58)</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81.04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4.3-5.2</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329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(6.15)</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6</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(1.82)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93.87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(13.37)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94.35</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111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(33.74)</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87.21</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168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(51.06)</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87.4</w:t>
            </w:r>
            <w:r>
              <w:rPr>
                <w:rFonts w:ascii="Times New Roman" w:hAnsi="Times New Roman" w:eastAsia="宋体" w:cs="Times New Roman"/>
                <w:color w:val="000000"/>
                <w:kern w:val="0"/>
                <w:sz w:val="20"/>
                <w:szCs w:val="20"/>
                <w:lang w:bidi="ar"/>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2.9-4.2</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433</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(8.1</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(1.85)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98.77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41</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(9.47)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99.08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150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(34.64)</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96.43</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234</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(54.04)</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96.25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~2.8</w:t>
            </w:r>
          </w:p>
        </w:tc>
        <w:tc>
          <w:tcPr>
            <w:tcW w:w="1559"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167</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(3.12)</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(0</w:t>
            </w:r>
            <w:r>
              <w:rPr>
                <w:rFonts w:ascii="Times New Roman" w:hAnsi="Times New Roman" w:eastAsia="宋体" w:cs="Times New Roman"/>
                <w:color w:val="000000"/>
                <w:kern w:val="0"/>
                <w:sz w:val="20"/>
                <w:szCs w:val="20"/>
                <w:lang w:bidi="ar"/>
              </w:rPr>
              <w:t>.00</w:t>
            </w:r>
            <w:r>
              <w:rPr>
                <w:rFonts w:hint="eastAsia" w:ascii="Times New Roman" w:hAnsi="Times New Roman" w:eastAsia="宋体" w:cs="Times New Roman"/>
                <w:color w:val="000000"/>
                <w:kern w:val="0"/>
                <w:sz w:val="20"/>
                <w:szCs w:val="20"/>
                <w:lang w:bidi="ar"/>
              </w:rPr>
              <w:t>)</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2</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(1.2</w:t>
            </w:r>
            <w:r>
              <w:rPr>
                <w:rFonts w:ascii="Times New Roman" w:hAnsi="Times New Roman" w:eastAsia="宋体" w:cs="Times New Roman"/>
                <w:color w:val="000000"/>
                <w:kern w:val="0"/>
                <w:sz w:val="20"/>
                <w:szCs w:val="20"/>
                <w:lang w:bidi="ar"/>
              </w:rPr>
              <w:t>0</w:t>
            </w:r>
            <w:r>
              <w:rPr>
                <w:rFonts w:hint="eastAsia" w:ascii="Times New Roman" w:hAnsi="Times New Roman" w:eastAsia="宋体" w:cs="Times New Roman"/>
                <w:color w:val="000000"/>
                <w:kern w:val="0"/>
                <w:sz w:val="20"/>
                <w:szCs w:val="20"/>
                <w:lang w:bidi="ar"/>
              </w:rPr>
              <w:t>)</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(4.79)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58</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(34.73)</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c>
          <w:tcPr>
            <w:tcW w:w="1276"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99</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(59.28)</w:t>
            </w:r>
          </w:p>
        </w:tc>
        <w:tc>
          <w:tcPr>
            <w:tcW w:w="850" w:type="dxa"/>
            <w:shd w:val="clear" w:color="auto" w:fill="auto"/>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100</w:t>
            </w:r>
            <w:r>
              <w:rPr>
                <w:rFonts w:ascii="Times New Roman" w:hAnsi="Times New Roman" w:eastAsia="宋体" w:cs="Times New Roman"/>
                <w:color w:val="000000"/>
                <w:kern w:val="0"/>
                <w:sz w:val="20"/>
                <w:szCs w:val="20"/>
                <w:lang w:bidi="ar"/>
              </w:rPr>
              <w:t>.00</w:t>
            </w:r>
          </w:p>
        </w:tc>
      </w:tr>
    </w:tbl>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a </w:t>
      </w:r>
      <w:r>
        <w:rPr>
          <w:rFonts w:ascii="Times New Roman" w:hAnsi="Times New Roman" w:cs="Times New Roman"/>
          <w:sz w:val="20"/>
          <w:szCs w:val="20"/>
        </w:rPr>
        <w:t xml:space="preserve">The healthy lifestyle index was generated by integrating five modifiable lifestyle factors, i.e., BMI, smoking, alcohol use, consumption of fresh vegetables and fruits, and </w:t>
      </w:r>
      <w:r>
        <w:rPr>
          <w:rFonts w:hint="eastAsia" w:ascii="Times New Roman" w:hAnsi="Times New Roman" w:cs="Times New Roman"/>
          <w:sz w:val="20"/>
          <w:szCs w:val="20"/>
        </w:rPr>
        <w:t xml:space="preserve">salty </w:t>
      </w:r>
      <w:r>
        <w:rPr>
          <w:rFonts w:ascii="Times New Roman" w:hAnsi="Times New Roman" w:cs="Times New Roman"/>
          <w:sz w:val="20"/>
          <w:szCs w:val="20"/>
        </w:rPr>
        <w:t>food intake.</w:t>
      </w:r>
    </w:p>
    <w:p>
      <w:pPr>
        <w:jc w:val="left"/>
        <w:rPr>
          <w:rFonts w:ascii="Times New Roman" w:hAnsi="Times New Roman" w:cs="Times New Roman"/>
          <w:sz w:val="20"/>
          <w:szCs w:val="20"/>
        </w:rPr>
      </w:pPr>
      <w:r>
        <w:rPr>
          <w:rFonts w:ascii="Times New Roman" w:hAnsi="Times New Roman" w:eastAsia="宋体" w:cs="Times New Roman"/>
          <w:kern w:val="0"/>
          <w:sz w:val="20"/>
          <w:szCs w:val="20"/>
          <w:vertAlign w:val="superscript"/>
          <w:lang w:bidi="ar"/>
        </w:rPr>
        <w:t xml:space="preserve">b </w:t>
      </w:r>
      <w:r>
        <w:rPr>
          <w:rFonts w:ascii="Times New Roman" w:hAnsi="Times New Roman" w:eastAsia="宋体" w:cs="Times New Roman"/>
          <w:kern w:val="0"/>
          <w:sz w:val="20"/>
          <w:szCs w:val="20"/>
          <w:lang w:bidi="ar"/>
        </w:rPr>
        <w:t>Participants in the Yangzho</w:t>
      </w:r>
      <w:r>
        <w:rPr>
          <w:rFonts w:ascii="Times New Roman" w:hAnsi="Times New Roman" w:eastAsia="宋体" w:cs="Times New Roman"/>
          <w:color w:val="000000"/>
          <w:kern w:val="0"/>
          <w:sz w:val="20"/>
          <w:szCs w:val="20"/>
          <w:lang w:bidi="ar"/>
        </w:rPr>
        <w:t>u screening program were divided into divided into ten groups according to the cut-offs of the GCRS deciles in the CKB cohort. GCRS, gastric cancer risk score.</w:t>
      </w:r>
    </w:p>
    <w:p>
      <w:pPr>
        <w:jc w:val="left"/>
        <w:rPr>
          <w:rFonts w:ascii="Times New Roman" w:hAnsi="Times New Roman" w:cs="Times New Roman"/>
          <w:sz w:val="20"/>
          <w:szCs w:val="20"/>
        </w:rPr>
      </w:pPr>
      <w:r>
        <w:rPr>
          <w:rFonts w:ascii="Times New Roman" w:hAnsi="Times New Roman" w:cs="Times New Roman"/>
          <w:sz w:val="20"/>
          <w:szCs w:val="20"/>
          <w:vertAlign w:val="superscript"/>
        </w:rPr>
        <w:t>c</w:t>
      </w:r>
      <w:r>
        <w:rPr>
          <w:rFonts w:ascii="Times New Roman" w:hAnsi="Times New Roman" w:cs="Times New Roman"/>
          <w:sz w:val="20"/>
          <w:szCs w:val="20"/>
        </w:rPr>
        <w:t xml:space="preserve"> GC, gastric cancer. DYS, dysplasia. IM, intestinal metaplasia. AG, atrophic gastritis. “Normal” biopsy report includes the diagnosis of chronic superficial gastritis or no lesions.</w:t>
      </w:r>
    </w:p>
    <w:p>
      <w:pPr>
        <w:jc w:val="left"/>
        <w:rPr>
          <w:rFonts w:ascii="Times New Roman" w:hAnsi="Times New Roman" w:cs="Times New Roman"/>
          <w:sz w:val="20"/>
          <w:szCs w:val="20"/>
        </w:rPr>
      </w:pPr>
      <w:r>
        <w:rPr>
          <w:rFonts w:ascii="Times New Roman" w:hAnsi="Times New Roman" w:cs="Times New Roman"/>
          <w:sz w:val="20"/>
          <w:szCs w:val="20"/>
          <w:vertAlign w:val="superscript"/>
        </w:rPr>
        <w:t xml:space="preserve">d </w:t>
      </w:r>
      <w:r>
        <w:rPr>
          <w:rFonts w:ascii="Times New Roman" w:hAnsi="Times New Roman" w:cs="Times New Roman"/>
          <w:sz w:val="20"/>
          <w:szCs w:val="20"/>
        </w:rPr>
        <w:t>Cumulative proportion (CP) was calculated by dividing the number of each lesion accumulated to this category by the total number of each lesion.</w:t>
      </w:r>
    </w:p>
    <w:p>
      <w:pPr>
        <w:jc w:val="left"/>
        <w:rPr>
          <w:rFonts w:ascii="Times New Roman" w:hAnsi="Times New Roman" w:cs="Times New Roman"/>
          <w:sz w:val="16"/>
          <w:szCs w:val="16"/>
        </w:rPr>
        <w:sectPr>
          <w:pgSz w:w="16838" w:h="11906" w:orient="landscape"/>
          <w:pgMar w:top="1440" w:right="1440" w:bottom="1440" w:left="1440" w:header="851" w:footer="992" w:gutter="0"/>
          <w:cols w:space="0" w:num="1"/>
          <w:docGrid w:type="lines" w:linePitch="312" w:charSpace="0"/>
        </w:sectPr>
      </w:pPr>
      <w:r>
        <w:rPr>
          <w:rFonts w:ascii="Times New Roman" w:hAnsi="Times New Roman" w:cs="Times New Roman"/>
          <w:sz w:val="16"/>
          <w:szCs w:val="16"/>
        </w:rPr>
        <w:br w:type="page"/>
      </w:r>
    </w:p>
    <w:p>
      <w:pPr>
        <w:rPr>
          <w:rFonts w:ascii="Times New Roman" w:hAnsi="Times New Roman" w:cs="Times New Roman"/>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16</w:t>
      </w:r>
      <w:r>
        <w:rPr>
          <w:rFonts w:ascii="Times New Roman" w:hAnsi="Times New Roman" w:cs="Times New Roman"/>
          <w:b/>
          <w:bCs/>
          <w:sz w:val="20"/>
          <w:szCs w:val="20"/>
        </w:rPr>
        <w:t xml:space="preserve">. 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3:</w:t>
      </w:r>
      <w:r>
        <w:rPr>
          <w:rFonts w:ascii="Times New Roman" w:hAnsi="Times New Roman" w:cs="Times New Roman"/>
          <w:b/>
          <w:bCs/>
          <w:sz w:val="20"/>
          <w:szCs w:val="20"/>
        </w:rPr>
        <w:t xml:space="preserve"> excluding participants who had GC diagnosis within </w:t>
      </w:r>
      <w:r>
        <w:rPr>
          <w:rFonts w:hint="eastAsia" w:ascii="Times New Roman" w:hAnsi="Times New Roman" w:cs="Times New Roman"/>
          <w:b/>
          <w:bCs/>
          <w:sz w:val="20"/>
          <w:szCs w:val="20"/>
        </w:rPr>
        <w:t>the first year</w:t>
      </w:r>
      <w:r>
        <w:rPr>
          <w:rFonts w:ascii="Times New Roman" w:hAnsi="Times New Roman" w:cs="Times New Roman"/>
          <w:b/>
          <w:bCs/>
          <w:sz w:val="20"/>
          <w:szCs w:val="20"/>
        </w:rPr>
        <w:t xml:space="preserve"> after recruitment</w:t>
      </w:r>
    </w:p>
    <w:tbl>
      <w:tblPr>
        <w:tblStyle w:val="8"/>
        <w:tblW w:w="1390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714"/>
        <w:gridCol w:w="1559"/>
        <w:gridCol w:w="1276"/>
        <w:gridCol w:w="850"/>
        <w:gridCol w:w="1275"/>
        <w:gridCol w:w="851"/>
        <w:gridCol w:w="1276"/>
        <w:gridCol w:w="851"/>
        <w:gridCol w:w="1276"/>
        <w:gridCol w:w="850"/>
        <w:gridCol w:w="1276"/>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restart"/>
            <w:tcBorders>
              <w:top w:val="single" w:color="auto" w:sz="4" w:space="0"/>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GCRS</w:t>
            </w:r>
          </w:p>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cut-offs</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a</w:t>
            </w: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Total (n=5,348)</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GC (n=49)</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b</w:t>
            </w:r>
          </w:p>
        </w:tc>
        <w:tc>
          <w:tcPr>
            <w:tcW w:w="2126"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DYS (n=163)</w:t>
            </w:r>
          </w:p>
        </w:tc>
        <w:tc>
          <w:tcPr>
            <w:tcW w:w="2127"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IM (n=868)</w:t>
            </w:r>
          </w:p>
        </w:tc>
        <w:tc>
          <w:tcPr>
            <w:tcW w:w="2126" w:type="dxa"/>
            <w:gridSpan w:val="2"/>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AG (n=1,626)</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Normal (n=2,642)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continue"/>
            <w:tcBorders>
              <w:top w:val="nil"/>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sz w:val="20"/>
                <w:szCs w:val="20"/>
              </w:rPr>
            </w:pP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CP (%)</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c</w:t>
            </w:r>
          </w:p>
        </w:tc>
        <w:tc>
          <w:tcPr>
            <w:tcW w:w="1275"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CP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CP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CP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33.6~</w:t>
            </w:r>
          </w:p>
        </w:tc>
        <w:tc>
          <w:tcPr>
            <w:tcW w:w="1559"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916 (17.13)</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31 (3.38)</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63.27</w:t>
            </w:r>
          </w:p>
        </w:tc>
        <w:tc>
          <w:tcPr>
            <w:tcW w:w="1275"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42 (4.59)</w:t>
            </w:r>
          </w:p>
        </w:tc>
        <w:tc>
          <w:tcPr>
            <w:tcW w:w="85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25.77</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211 (23.03)</w:t>
            </w:r>
          </w:p>
        </w:tc>
        <w:tc>
          <w:tcPr>
            <w:tcW w:w="85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24.31</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222 (24.24)</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13.65</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410 (44.76)</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15.52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29.4-33.5</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691 (12.92)</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 (1.30)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81.63</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36 (5.21)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47.85</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121 (17.51)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38.25</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181 (26.19)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24.78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344 (49.78)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28.54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26.4-29.3</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661 (12.36)</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 (0.30)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85.71</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20 (3.03)</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60.12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120 (18.15)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52.07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210 (31.77)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37.70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309 (46.75)</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40.23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23.8-26.3</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619 (11.57)</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 (0.65)</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93.88</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 (2.26)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68.71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107 (17.29)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64.40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183 (29.56)</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48.95</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311 (50.24)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52.01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21.1-23.7</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605 (11.31)</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(0.17)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95.92</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12 (1.98)</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76.07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 (15.87)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75.46</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193 (31.90)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60.82</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303 (50.08)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63.47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18.9-21.0</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414 (7.74)</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95.92</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 (2.42)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82.21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49 (11.84)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81.11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147 (35.51)</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69.86</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208 (50.24)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71.35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15.3-18.8</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449 (8.40)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 (0.45)</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 (2.45)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88.96</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64 (14.25)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88.48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155 (34.52)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79.40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217 (48.33)</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79.56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12.9-15.2</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525 (9.82)</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 (2.10)</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95.71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66 (12.57)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96.08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169 (32.19)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89.79</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279 (53.14)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8.4-12.8</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325 (6.08)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 (1.85)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99.39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27 (8.31)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99.19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114 (35.08)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96.80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178 (54.77)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~8.3</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143 (2.67)</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(0.70)</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 (4.90)</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52 (36.36)</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83 (58.04)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r>
    </w:tbl>
    <w:p>
      <w:pPr>
        <w:jc w:val="left"/>
        <w:rPr>
          <w:rFonts w:ascii="Times New Roman" w:hAnsi="Times New Roman" w:cs="Times New Roman"/>
          <w:sz w:val="20"/>
          <w:szCs w:val="20"/>
        </w:rPr>
      </w:pPr>
      <w:r>
        <w:rPr>
          <w:rFonts w:hint="eastAsia" w:ascii="Times New Roman" w:hAnsi="Times New Roman" w:eastAsia="宋体" w:cs="Times New Roman"/>
          <w:kern w:val="0"/>
          <w:sz w:val="20"/>
          <w:szCs w:val="20"/>
          <w:vertAlign w:val="superscript"/>
          <w:lang w:bidi="ar"/>
        </w:rPr>
        <w:t>a</w:t>
      </w:r>
      <w:r>
        <w:rPr>
          <w:rFonts w:ascii="Times New Roman" w:hAnsi="Times New Roman" w:eastAsia="宋体" w:cs="Times New Roman"/>
          <w:kern w:val="0"/>
          <w:sz w:val="20"/>
          <w:szCs w:val="20"/>
          <w:vertAlign w:val="superscript"/>
          <w:lang w:bidi="ar"/>
        </w:rPr>
        <w:t xml:space="preserve"> </w:t>
      </w:r>
      <w:r>
        <w:rPr>
          <w:rFonts w:ascii="Times New Roman" w:hAnsi="Times New Roman" w:eastAsia="宋体" w:cs="Times New Roman"/>
          <w:kern w:val="0"/>
          <w:sz w:val="20"/>
          <w:szCs w:val="20"/>
          <w:lang w:bidi="ar"/>
        </w:rPr>
        <w:t>Participants in the Yangzhou screening program were divided into divided into ten groups according to the cut-offs of the GCRS deciles in the CKB cohort. GCRS, gastric cancer risk score.</w:t>
      </w:r>
    </w:p>
    <w:p>
      <w:pPr>
        <w:jc w:val="left"/>
        <w:rPr>
          <w:rFonts w:ascii="Times New Roman" w:hAnsi="Times New Roman" w:cs="Times New Roman"/>
          <w:sz w:val="20"/>
          <w:szCs w:val="20"/>
        </w:rPr>
      </w:pPr>
      <w:r>
        <w:rPr>
          <w:rFonts w:hint="eastAsia" w:ascii="Times New Roman" w:hAnsi="Times New Roman" w:cs="Times New Roman"/>
          <w:sz w:val="20"/>
          <w:szCs w:val="20"/>
          <w:vertAlign w:val="superscript"/>
        </w:rPr>
        <w:t>b</w:t>
      </w:r>
      <w:r>
        <w:rPr>
          <w:rFonts w:ascii="Times New Roman" w:hAnsi="Times New Roman" w:cs="Times New Roman"/>
          <w:sz w:val="20"/>
          <w:szCs w:val="20"/>
        </w:rPr>
        <w:t xml:space="preserve"> GC, gastric cancer. DYS, dysplasia. IM, intestinal metaplasia. AG, atrophic gastritis. “Normal” biopsy report includes the diagnosis of chronic superficial gastritis or no lesions.</w:t>
      </w:r>
    </w:p>
    <w:p>
      <w:pPr>
        <w:jc w:val="left"/>
        <w:rPr>
          <w:rFonts w:ascii="Times New Roman" w:hAnsi="Times New Roman" w:cs="Times New Roman"/>
          <w:sz w:val="20"/>
          <w:szCs w:val="20"/>
        </w:rPr>
      </w:pPr>
      <w:r>
        <w:rPr>
          <w:rFonts w:hint="eastAsia" w:ascii="Times New Roman" w:hAnsi="Times New Roman" w:cs="Times New Roman"/>
          <w:sz w:val="20"/>
          <w:szCs w:val="20"/>
          <w:vertAlign w:val="superscript"/>
        </w:rPr>
        <w:t>c</w:t>
      </w:r>
      <w:r>
        <w:rPr>
          <w:rFonts w:ascii="Times New Roman" w:hAnsi="Times New Roman" w:cs="Times New Roman"/>
          <w:sz w:val="20"/>
          <w:szCs w:val="20"/>
          <w:vertAlign w:val="superscript"/>
        </w:rPr>
        <w:t xml:space="preserve"> </w:t>
      </w:r>
      <w:r>
        <w:rPr>
          <w:rFonts w:ascii="Times New Roman" w:hAnsi="Times New Roman" w:cs="Times New Roman"/>
          <w:sz w:val="20"/>
          <w:szCs w:val="20"/>
        </w:rPr>
        <w:t>Cumulative proportion (CP) was calculated by dividing the number of each lesion accumulated to this category by the total number of each lesion.</w:t>
      </w:r>
    </w:p>
    <w:p>
      <w:pPr>
        <w:jc w:val="left"/>
        <w:rPr>
          <w:rFonts w:ascii="Times New Roman" w:hAnsi="Times New Roman" w:cs="Times New Roman"/>
          <w:sz w:val="16"/>
          <w:szCs w:val="16"/>
        </w:rPr>
      </w:pPr>
    </w:p>
    <w:p>
      <w:pPr>
        <w:jc w:val="left"/>
        <w:rPr>
          <w:rFonts w:ascii="Times New Roman" w:hAnsi="Times New Roman" w:cs="Times New Roman"/>
          <w:sz w:val="16"/>
          <w:szCs w:val="16"/>
        </w:rPr>
        <w:sectPr>
          <w:pgSz w:w="16838" w:h="11906" w:orient="landscape"/>
          <w:pgMar w:top="1440" w:right="1440" w:bottom="1440" w:left="1440" w:header="851" w:footer="992" w:gutter="0"/>
          <w:cols w:space="0" w:num="1"/>
          <w:docGrid w:type="lines" w:linePitch="312" w:charSpace="0"/>
        </w:sectPr>
      </w:pPr>
    </w:p>
    <w:p>
      <w:pPr>
        <w:rPr>
          <w:rFonts w:ascii="Times New Roman" w:hAnsi="Times New Roman" w:cs="Times New Roman"/>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17</w:t>
      </w:r>
      <w:r>
        <w:rPr>
          <w:rFonts w:ascii="Times New Roman" w:hAnsi="Times New Roman" w:cs="Times New Roman"/>
          <w:b/>
          <w:bCs/>
          <w:sz w:val="20"/>
          <w:szCs w:val="20"/>
        </w:rPr>
        <w:t xml:space="preserve">. Risk categories of different gastric lesions in the Yangzhou screening program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 xml:space="preserve">ensitivity analysis 4: </w:t>
      </w:r>
      <w:r>
        <w:rPr>
          <w:rFonts w:ascii="Times New Roman" w:hAnsi="Times New Roman" w:cs="Times New Roman"/>
          <w:b/>
          <w:bCs/>
          <w:sz w:val="20"/>
          <w:szCs w:val="20"/>
        </w:rPr>
        <w:t>excluding participants who had cancer at baseline</w:t>
      </w:r>
    </w:p>
    <w:tbl>
      <w:tblPr>
        <w:tblStyle w:val="8"/>
        <w:tblW w:w="1390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714"/>
        <w:gridCol w:w="1559"/>
        <w:gridCol w:w="1276"/>
        <w:gridCol w:w="850"/>
        <w:gridCol w:w="1275"/>
        <w:gridCol w:w="851"/>
        <w:gridCol w:w="1276"/>
        <w:gridCol w:w="851"/>
        <w:gridCol w:w="1276"/>
        <w:gridCol w:w="850"/>
        <w:gridCol w:w="1276"/>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restart"/>
            <w:tcBorders>
              <w:top w:val="single" w:color="auto" w:sz="4" w:space="0"/>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GCRS</w:t>
            </w:r>
          </w:p>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cut-offs</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a</w:t>
            </w: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Total (n=5,312)</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GC (n=49)</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b</w:t>
            </w:r>
          </w:p>
        </w:tc>
        <w:tc>
          <w:tcPr>
            <w:tcW w:w="2126"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DYS (n=162)</w:t>
            </w:r>
          </w:p>
        </w:tc>
        <w:tc>
          <w:tcPr>
            <w:tcW w:w="2127"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IM (n=863)</w:t>
            </w:r>
          </w:p>
        </w:tc>
        <w:tc>
          <w:tcPr>
            <w:tcW w:w="2126" w:type="dxa"/>
            <w:gridSpan w:val="2"/>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AG (n=1,609)</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Normal (n=2,629)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continue"/>
            <w:tcBorders>
              <w:top w:val="nil"/>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sz w:val="20"/>
                <w:szCs w:val="20"/>
              </w:rPr>
            </w:pP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CP (%)</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c</w:t>
            </w:r>
          </w:p>
        </w:tc>
        <w:tc>
          <w:tcPr>
            <w:tcW w:w="1275"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CP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CP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CP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34.6~</w:t>
            </w:r>
          </w:p>
        </w:tc>
        <w:tc>
          <w:tcPr>
            <w:tcW w:w="1559"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878 (16.53)</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31 (3.53)</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63.27</w:t>
            </w:r>
          </w:p>
        </w:tc>
        <w:tc>
          <w:tcPr>
            <w:tcW w:w="1275"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41 (4.67)</w:t>
            </w:r>
          </w:p>
        </w:tc>
        <w:tc>
          <w:tcPr>
            <w:tcW w:w="85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25.31</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201 (22.89)</w:t>
            </w:r>
          </w:p>
        </w:tc>
        <w:tc>
          <w:tcPr>
            <w:tcW w:w="85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23.29</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212 (24.15)</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13.18</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393 (44.76)</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30.0-34.5</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648 (12.20)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 (1.39)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81.63</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35 (5.40)</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46.91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114 (17.59)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36.50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164 (25.31)</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23.37</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326 (50.31)</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27.35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27.1-29.9</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715 (13.46)</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 (0.28)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85.71</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22 (3.08)</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60.49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137 (19.16)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52.38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221 (30.91)</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37.10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333 (46.57)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24.2-27.0</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668 (12.58)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 (0.60)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93.88</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 (2.10)</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69.14</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110 (16.47)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65.12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199 (29.79)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49.47</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341 (51.05)</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52.99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21.4-24.1</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578 (10.88)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(0.17)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95.92</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 (2.25)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77.16</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91 (15.74)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75.67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184 (31.83)</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60.91</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289 (50.00)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63.98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19.2-21.3</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372 (7.00)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 (0.54)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 (1.88)</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81.48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45 (12.10)</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80.88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132 (35.48)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69.11</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186 (50.00)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71.05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16.1-19.1</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414 (7.79)</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 (2.66)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88.27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58 (14.01)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87.60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146 (35.27)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78.19</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199 (48.07)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78.62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13.2-16.0</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572 (10.77)</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12 (2.10)</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95.68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73 (12.76)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96.06</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186 (32.52)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89.75</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301 (52.62)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8.8-13.1</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323 (6.08)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 (1.86)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99.38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27 (8.36)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99.19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111 (34.37)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96.64</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179 (55.42)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~8.7</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144 (2.71)</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(0.69)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 (4.86)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54 (37.50)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82 (56.94)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r>
    </w:tbl>
    <w:p>
      <w:pPr>
        <w:jc w:val="left"/>
        <w:rPr>
          <w:rFonts w:ascii="Times New Roman" w:hAnsi="Times New Roman" w:cs="Times New Roman"/>
          <w:sz w:val="20"/>
          <w:szCs w:val="20"/>
        </w:rPr>
      </w:pPr>
      <w:r>
        <w:rPr>
          <w:rFonts w:hint="eastAsia" w:ascii="Times New Roman" w:hAnsi="Times New Roman" w:eastAsia="宋体" w:cs="Times New Roman"/>
          <w:kern w:val="0"/>
          <w:sz w:val="20"/>
          <w:szCs w:val="20"/>
          <w:vertAlign w:val="superscript"/>
          <w:lang w:bidi="ar"/>
        </w:rPr>
        <w:t>a</w:t>
      </w:r>
      <w:r>
        <w:rPr>
          <w:rFonts w:ascii="Times New Roman" w:hAnsi="Times New Roman" w:eastAsia="宋体" w:cs="Times New Roman"/>
          <w:kern w:val="0"/>
          <w:sz w:val="20"/>
          <w:szCs w:val="20"/>
          <w:vertAlign w:val="superscript"/>
          <w:lang w:bidi="ar"/>
        </w:rPr>
        <w:t xml:space="preserve"> </w:t>
      </w:r>
      <w:r>
        <w:rPr>
          <w:rFonts w:ascii="Times New Roman" w:hAnsi="Times New Roman" w:eastAsia="宋体" w:cs="Times New Roman"/>
          <w:kern w:val="0"/>
          <w:sz w:val="20"/>
          <w:szCs w:val="20"/>
          <w:lang w:bidi="ar"/>
        </w:rPr>
        <w:t>Participants in the Yangzhou screening program were divided into divided into ten groups according to the cut-offs of the GCRS deciles in the CKB cohort. GCRS, gastric cancer risk score.</w:t>
      </w:r>
    </w:p>
    <w:p>
      <w:pPr>
        <w:jc w:val="left"/>
        <w:rPr>
          <w:rFonts w:ascii="Times New Roman" w:hAnsi="Times New Roman" w:cs="Times New Roman"/>
          <w:sz w:val="20"/>
          <w:szCs w:val="20"/>
        </w:rPr>
      </w:pPr>
      <w:r>
        <w:rPr>
          <w:rFonts w:hint="eastAsia" w:ascii="Times New Roman" w:hAnsi="Times New Roman" w:cs="Times New Roman"/>
          <w:sz w:val="20"/>
          <w:szCs w:val="20"/>
          <w:vertAlign w:val="superscript"/>
        </w:rPr>
        <w:t>b</w:t>
      </w:r>
      <w:r>
        <w:rPr>
          <w:rFonts w:ascii="Times New Roman" w:hAnsi="Times New Roman" w:cs="Times New Roman"/>
          <w:sz w:val="20"/>
          <w:szCs w:val="20"/>
        </w:rPr>
        <w:t xml:space="preserve"> GC, gastric cancer. DYS, dysplasia. IM, intestinal metaplasia. AG, atrophic gastritis. “Normal” biopsy report includes the diagnosis of chronic superficial gastritis or no lesions.</w:t>
      </w:r>
    </w:p>
    <w:p>
      <w:pPr>
        <w:jc w:val="left"/>
        <w:rPr>
          <w:rFonts w:ascii="Times New Roman" w:hAnsi="Times New Roman" w:cs="Times New Roman"/>
          <w:sz w:val="16"/>
          <w:szCs w:val="16"/>
        </w:rPr>
      </w:pPr>
      <w:r>
        <w:rPr>
          <w:rFonts w:hint="eastAsia" w:ascii="Times New Roman" w:hAnsi="Times New Roman" w:cs="Times New Roman"/>
          <w:sz w:val="20"/>
          <w:szCs w:val="20"/>
          <w:vertAlign w:val="superscript"/>
        </w:rPr>
        <w:t>c</w:t>
      </w:r>
      <w:r>
        <w:rPr>
          <w:rFonts w:ascii="Times New Roman" w:hAnsi="Times New Roman" w:cs="Times New Roman"/>
          <w:sz w:val="20"/>
          <w:szCs w:val="20"/>
          <w:vertAlign w:val="superscript"/>
        </w:rPr>
        <w:t xml:space="preserve"> </w:t>
      </w:r>
      <w:r>
        <w:rPr>
          <w:rFonts w:ascii="Times New Roman" w:hAnsi="Times New Roman" w:cs="Times New Roman"/>
          <w:sz w:val="20"/>
          <w:szCs w:val="20"/>
        </w:rPr>
        <w:t>Cumulative proportion (CP) was calculated by dividing the number of each lesion accumulated to this category by the total number of each lesion.</w:t>
      </w:r>
    </w:p>
    <w:p>
      <w:pPr>
        <w:jc w:val="left"/>
        <w:rPr>
          <w:rFonts w:ascii="Times New Roman" w:hAnsi="Times New Roman" w:cs="Times New Roman"/>
          <w:sz w:val="16"/>
          <w:szCs w:val="16"/>
        </w:rPr>
      </w:pPr>
    </w:p>
    <w:p>
      <w:pPr>
        <w:jc w:val="left"/>
        <w:rPr>
          <w:rFonts w:ascii="Times New Roman" w:hAnsi="Times New Roman" w:cs="Times New Roman"/>
          <w:sz w:val="16"/>
          <w:szCs w:val="16"/>
        </w:rPr>
        <w:sectPr>
          <w:pgSz w:w="16838" w:h="11906" w:orient="landscape"/>
          <w:pgMar w:top="1440" w:right="1440" w:bottom="1440" w:left="1440" w:header="851" w:footer="992" w:gutter="0"/>
          <w:cols w:space="0" w:num="1"/>
          <w:docGrid w:type="lines" w:linePitch="312" w:charSpace="0"/>
        </w:sectPr>
      </w:pPr>
    </w:p>
    <w:p>
      <w:pPr>
        <w:rPr>
          <w:rFonts w:ascii="Times New Roman" w:hAnsi="Times New Roman" w:cs="Times New Roman"/>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18</w:t>
      </w:r>
      <w:r>
        <w:rPr>
          <w:rFonts w:ascii="Times New Roman" w:hAnsi="Times New Roman" w:cs="Times New Roman"/>
          <w:b/>
          <w:bCs/>
          <w:sz w:val="20"/>
          <w:szCs w:val="20"/>
        </w:rPr>
        <w:t>. Risk categories of different gastric lesions in the Yangzhou screening program</w:t>
      </w:r>
      <w:r>
        <w:rPr>
          <w:rFonts w:hint="eastAsia" w:ascii="Times New Roman" w:hAnsi="Times New Roman" w:cs="Times New Roman"/>
          <w:b/>
          <w:bCs/>
          <w:sz w:val="20"/>
          <w:szCs w:val="20"/>
        </w:rPr>
        <w:t xml:space="preserve"> in</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5:</w:t>
      </w:r>
      <w:r>
        <w:rPr>
          <w:rFonts w:ascii="Times New Roman" w:hAnsi="Times New Roman" w:cs="Times New Roman"/>
          <w:b/>
          <w:bCs/>
          <w:sz w:val="20"/>
          <w:szCs w:val="20"/>
        </w:rPr>
        <w:t xml:space="preserve"> competing risk model</w:t>
      </w:r>
    </w:p>
    <w:tbl>
      <w:tblPr>
        <w:tblStyle w:val="8"/>
        <w:tblW w:w="1390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714"/>
        <w:gridCol w:w="1559"/>
        <w:gridCol w:w="1276"/>
        <w:gridCol w:w="850"/>
        <w:gridCol w:w="1275"/>
        <w:gridCol w:w="851"/>
        <w:gridCol w:w="1276"/>
        <w:gridCol w:w="851"/>
        <w:gridCol w:w="1276"/>
        <w:gridCol w:w="850"/>
        <w:gridCol w:w="1276"/>
        <w:gridCol w:w="8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restart"/>
            <w:tcBorders>
              <w:top w:val="single" w:color="auto" w:sz="4" w:space="0"/>
              <w:bottom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GCRS</w:t>
            </w:r>
          </w:p>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cut-offs</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a</w:t>
            </w: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Total (n=5,348)</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GC (n=49)</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b</w:t>
            </w:r>
          </w:p>
        </w:tc>
        <w:tc>
          <w:tcPr>
            <w:tcW w:w="2126"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DYS (n=163)</w:t>
            </w:r>
          </w:p>
        </w:tc>
        <w:tc>
          <w:tcPr>
            <w:tcW w:w="2127" w:type="dxa"/>
            <w:gridSpan w:val="2"/>
            <w:tcBorders>
              <w:top w:val="single" w:color="auto" w:sz="4" w:space="0"/>
              <w:bottom w:val="single" w:color="auto" w:sz="4" w:space="0"/>
            </w:tcBorders>
            <w:shd w:val="clear" w:color="auto" w:fill="auto"/>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IM (n=868)</w:t>
            </w:r>
          </w:p>
        </w:tc>
        <w:tc>
          <w:tcPr>
            <w:tcW w:w="2126" w:type="dxa"/>
            <w:gridSpan w:val="2"/>
            <w:tcBorders>
              <w:top w:val="single" w:color="auto" w:sz="4" w:space="0"/>
              <w:bottom w:val="single" w:color="auto" w:sz="4" w:space="0"/>
            </w:tcBorders>
            <w:shd w:val="clear" w:color="auto" w:fill="auto"/>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AG (n=1,626)</w:t>
            </w:r>
          </w:p>
        </w:tc>
        <w:tc>
          <w:tcPr>
            <w:tcW w:w="2126" w:type="dxa"/>
            <w:gridSpan w:val="2"/>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Normal (n=2,642)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vMerge w:val="continue"/>
            <w:tcBorders>
              <w:top w:val="nil"/>
              <w:bottom w:val="single" w:color="auto" w:sz="4" w:space="0"/>
            </w:tcBorders>
            <w:shd w:val="clear" w:color="auto" w:fill="auto"/>
            <w:noWrap/>
            <w:tcMar>
              <w:top w:w="12" w:type="dxa"/>
              <w:left w:w="12" w:type="dxa"/>
              <w:right w:w="12" w:type="dxa"/>
            </w:tcMar>
            <w:vAlign w:val="center"/>
          </w:tcPr>
          <w:p>
            <w:pPr>
              <w:jc w:val="center"/>
              <w:rPr>
                <w:rFonts w:ascii="Times New Roman" w:hAnsi="Times New Roman" w:eastAsia="宋体" w:cs="Times New Roman"/>
                <w:b/>
                <w:sz w:val="20"/>
                <w:szCs w:val="20"/>
              </w:rPr>
            </w:pPr>
          </w:p>
        </w:tc>
        <w:tc>
          <w:tcPr>
            <w:tcW w:w="1559"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CP (%)</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c</w:t>
            </w:r>
          </w:p>
        </w:tc>
        <w:tc>
          <w:tcPr>
            <w:tcW w:w="1275"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CP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1"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1276" w:type="dxa"/>
            <w:tcBorders>
              <w:top w:val="single" w:color="auto" w:sz="4" w:space="0"/>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kern w:val="0"/>
                <w:sz w:val="20"/>
                <w:szCs w:val="20"/>
                <w:lang w:bidi="ar"/>
              </w:rPr>
            </w:pPr>
            <w:r>
              <w:rPr>
                <w:rFonts w:ascii="Times New Roman" w:hAnsi="Times New Roman" w:eastAsia="宋体" w:cs="Times New Roman"/>
                <w:b/>
                <w:kern w:val="0"/>
                <w:sz w:val="20"/>
                <w:szCs w:val="20"/>
                <w:lang w:bidi="ar"/>
              </w:rPr>
              <w:t>CP (%)</w:t>
            </w:r>
          </w:p>
        </w:tc>
        <w:tc>
          <w:tcPr>
            <w:tcW w:w="1276"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No. (%)</w:t>
            </w:r>
          </w:p>
        </w:tc>
        <w:tc>
          <w:tcPr>
            <w:tcW w:w="850" w:type="dxa"/>
            <w:tcBorders>
              <w:top w:val="single" w:color="auto" w:sz="4" w:space="0"/>
              <w:bottom w:val="single" w:color="auto" w:sz="4" w:space="0"/>
            </w:tcBorders>
            <w:vAlign w:val="center"/>
          </w:tcPr>
          <w:p>
            <w:pPr>
              <w:widowControl/>
              <w:jc w:val="center"/>
              <w:textAlignment w:val="center"/>
              <w:rPr>
                <w:rFonts w:ascii="Times New Roman" w:hAnsi="Times New Roman" w:eastAsia="宋体" w:cs="Times New Roman"/>
                <w:b/>
                <w:sz w:val="20"/>
                <w:szCs w:val="20"/>
              </w:rPr>
            </w:pPr>
            <w:r>
              <w:rPr>
                <w:rFonts w:ascii="Times New Roman" w:hAnsi="Times New Roman" w:eastAsia="宋体" w:cs="Times New Roman"/>
                <w:b/>
                <w:kern w:val="0"/>
                <w:sz w:val="20"/>
                <w:szCs w:val="20"/>
                <w:lang w:bidi="ar"/>
              </w:rPr>
              <w:t>CP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35.8~</w:t>
            </w:r>
          </w:p>
        </w:tc>
        <w:tc>
          <w:tcPr>
            <w:tcW w:w="1559"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899 (16.81)</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31 (3.45)</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63.27</w:t>
            </w:r>
          </w:p>
        </w:tc>
        <w:tc>
          <w:tcPr>
            <w:tcW w:w="1275"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42 (4.67)</w:t>
            </w:r>
          </w:p>
        </w:tc>
        <w:tc>
          <w:tcPr>
            <w:tcW w:w="85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25.77</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206 (22.91)</w:t>
            </w:r>
          </w:p>
        </w:tc>
        <w:tc>
          <w:tcPr>
            <w:tcW w:w="851"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23.73</w:t>
            </w:r>
          </w:p>
        </w:tc>
        <w:tc>
          <w:tcPr>
            <w:tcW w:w="1276" w:type="dxa"/>
            <w:tcBorders>
              <w:top w:val="single" w:color="auto" w:sz="4" w:space="0"/>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223 (24.81)</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13.71</w:t>
            </w:r>
          </w:p>
        </w:tc>
        <w:tc>
          <w:tcPr>
            <w:tcW w:w="1276"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397 (44.16)</w:t>
            </w:r>
          </w:p>
        </w:tc>
        <w:tc>
          <w:tcPr>
            <w:tcW w:w="850" w:type="dxa"/>
            <w:tcBorders>
              <w:top w:val="single" w:color="auto" w:sz="4" w:space="0"/>
            </w:tcBorders>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15.03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31.2-35.7</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646 (12.08)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 (1.39)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81.63</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33 (5.11)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46.01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113 (17.49)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36.75</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165 (25.54)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23.86</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326 (50.46)</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27.37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28.1-31.1</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711 (13.29)</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 (0.28)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85.71</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23 (3.23)</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60.12</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131 (18.42)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51.84</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222 (31.22)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37.52</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333 (46.84)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39.97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25.3-28.0</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596 (11.14)</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 (0.67)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93.88</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12 (2.01)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67.48</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94 (15.77)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62.67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174 (29.19)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48.22</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312 (52.35)</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51.78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22.4-25.2</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667 (12.47)</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(0.15)</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95.92</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15 (2.25)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76.69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114 (17.09)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75.81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212 (31.78)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61.25</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325 (48.73)</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64.08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20.2-22.3</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344 (6.43)</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(0.29)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97.96</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 (1.74)</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80.37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41 (11.92)</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80.53</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123 (35.76)</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68.82</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173 (50.29)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70.63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16.6-20.1</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447 (8.36)</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(0.22)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13 (2.91)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88.34</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62 (13.87)</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87.67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157 (35.12)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78.47</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214 (47.87)</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78.73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13.9-16.5</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557 (10.42)</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12 (2.15)</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95.71</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72 (12.93)</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95.97</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179 (32.14)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89.48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294 (52.78)</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89.86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9.2-13.8</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337 (6.30)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6 (1.78)</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99.39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28 (8.31)</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99.19</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117 (34.72)</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96.68</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186 (55.19)</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96.90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jc w:val="center"/>
        </w:trPr>
        <w:tc>
          <w:tcPr>
            <w:tcW w:w="1714"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ascii="Times New Roman" w:hAnsi="Times New Roman" w:eastAsia="宋体" w:cs="Times New Roman"/>
                <w:kern w:val="0"/>
                <w:sz w:val="20"/>
                <w:szCs w:val="20"/>
                <w:lang w:bidi="ar"/>
              </w:rPr>
              <w:t>~9.1</w:t>
            </w:r>
          </w:p>
        </w:tc>
        <w:tc>
          <w:tcPr>
            <w:tcW w:w="1559"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144 (2.69)</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0 (0.00)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5"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 (0.69)</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7 (4.86)</w:t>
            </w:r>
          </w:p>
        </w:tc>
        <w:tc>
          <w:tcPr>
            <w:tcW w:w="851"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54 (37.50)</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c>
          <w:tcPr>
            <w:tcW w:w="1276"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82 (56.94)</w:t>
            </w:r>
          </w:p>
        </w:tc>
        <w:tc>
          <w:tcPr>
            <w:tcW w:w="850" w:type="dxa"/>
            <w:shd w:val="clear" w:color="auto" w:fill="auto"/>
            <w:vAlign w:val="center"/>
          </w:tcPr>
          <w:p>
            <w:pPr>
              <w:widowControl/>
              <w:jc w:val="center"/>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100.00</w:t>
            </w:r>
          </w:p>
        </w:tc>
      </w:tr>
    </w:tbl>
    <w:p>
      <w:pPr>
        <w:jc w:val="left"/>
        <w:rPr>
          <w:rFonts w:ascii="Times New Roman" w:hAnsi="Times New Roman" w:cs="Times New Roman"/>
          <w:sz w:val="20"/>
          <w:szCs w:val="20"/>
        </w:rPr>
      </w:pPr>
      <w:r>
        <w:rPr>
          <w:rFonts w:hint="eastAsia" w:ascii="Times New Roman" w:hAnsi="Times New Roman" w:eastAsia="宋体" w:cs="Times New Roman"/>
          <w:kern w:val="0"/>
          <w:sz w:val="20"/>
          <w:szCs w:val="20"/>
          <w:vertAlign w:val="superscript"/>
          <w:lang w:bidi="ar"/>
        </w:rPr>
        <w:t>a</w:t>
      </w:r>
      <w:r>
        <w:rPr>
          <w:rFonts w:ascii="Times New Roman" w:hAnsi="Times New Roman" w:eastAsia="宋体" w:cs="Times New Roman"/>
          <w:kern w:val="0"/>
          <w:sz w:val="20"/>
          <w:szCs w:val="20"/>
          <w:vertAlign w:val="superscript"/>
          <w:lang w:bidi="ar"/>
        </w:rPr>
        <w:t xml:space="preserve"> </w:t>
      </w:r>
      <w:r>
        <w:rPr>
          <w:rFonts w:ascii="Times New Roman" w:hAnsi="Times New Roman" w:eastAsia="宋体" w:cs="Times New Roman"/>
          <w:kern w:val="0"/>
          <w:sz w:val="20"/>
          <w:szCs w:val="20"/>
          <w:lang w:bidi="ar"/>
        </w:rPr>
        <w:t>Participants in the Yangzhou screening program were divided into divided into ten groups according to the cut-offs of the GCRS deciles in the CKB cohort. GCRS, gastric cancer risk score.</w:t>
      </w:r>
    </w:p>
    <w:p>
      <w:pPr>
        <w:jc w:val="left"/>
        <w:rPr>
          <w:rFonts w:ascii="Times New Roman" w:hAnsi="Times New Roman" w:cs="Times New Roman"/>
          <w:sz w:val="20"/>
          <w:szCs w:val="20"/>
        </w:rPr>
      </w:pPr>
      <w:r>
        <w:rPr>
          <w:rFonts w:hint="eastAsia" w:ascii="Times New Roman" w:hAnsi="Times New Roman" w:cs="Times New Roman"/>
          <w:sz w:val="20"/>
          <w:szCs w:val="20"/>
          <w:vertAlign w:val="superscript"/>
        </w:rPr>
        <w:t>b</w:t>
      </w:r>
      <w:r>
        <w:rPr>
          <w:rFonts w:ascii="Times New Roman" w:hAnsi="Times New Roman" w:cs="Times New Roman"/>
          <w:sz w:val="20"/>
          <w:szCs w:val="20"/>
        </w:rPr>
        <w:t xml:space="preserve"> GC, gastric cancer. DYS, dysplasia. IM, intestinal metaplasia. AG, atrophic gastritis. “Normal” biopsy report includes the diagnosis of chronic superficial gastritis or no lesions.</w:t>
      </w:r>
    </w:p>
    <w:p>
      <w:pPr>
        <w:jc w:val="left"/>
        <w:rPr>
          <w:rFonts w:ascii="Times New Roman" w:hAnsi="Times New Roman" w:cs="Times New Roman"/>
          <w:sz w:val="20"/>
          <w:szCs w:val="20"/>
        </w:rPr>
      </w:pPr>
      <w:r>
        <w:rPr>
          <w:rFonts w:hint="eastAsia" w:ascii="Times New Roman" w:hAnsi="Times New Roman" w:cs="Times New Roman"/>
          <w:sz w:val="20"/>
          <w:szCs w:val="20"/>
          <w:vertAlign w:val="superscript"/>
        </w:rPr>
        <w:t>c</w:t>
      </w:r>
      <w:r>
        <w:rPr>
          <w:rFonts w:ascii="Times New Roman" w:hAnsi="Times New Roman" w:cs="Times New Roman"/>
          <w:sz w:val="20"/>
          <w:szCs w:val="20"/>
          <w:vertAlign w:val="superscript"/>
        </w:rPr>
        <w:t xml:space="preserve"> </w:t>
      </w:r>
      <w:r>
        <w:rPr>
          <w:rFonts w:ascii="Times New Roman" w:hAnsi="Times New Roman" w:cs="Times New Roman"/>
          <w:sz w:val="20"/>
          <w:szCs w:val="20"/>
        </w:rPr>
        <w:t>Cumulative proportion (CP) was calculated by dividing the number of each lesion accumulated to this category by the total number of each lesion.</w:t>
      </w:r>
    </w:p>
    <w:p>
      <w:pPr>
        <w:jc w:val="left"/>
        <w:rPr>
          <w:rFonts w:ascii="Times New Roman" w:hAnsi="Times New Roman" w:cs="Times New Roman"/>
          <w:sz w:val="16"/>
          <w:szCs w:val="16"/>
        </w:rPr>
      </w:pPr>
    </w:p>
    <w:p>
      <w:pPr>
        <w:jc w:val="left"/>
        <w:rPr>
          <w:rFonts w:ascii="Times New Roman" w:hAnsi="Times New Roman" w:cs="Times New Roman"/>
          <w:sz w:val="16"/>
          <w:szCs w:val="16"/>
        </w:rPr>
        <w:sectPr>
          <w:pgSz w:w="16838" w:h="11906" w:orient="landscape"/>
          <w:pgMar w:top="1440" w:right="1440" w:bottom="1440" w:left="1440" w:header="851" w:footer="992" w:gutter="0"/>
          <w:cols w:space="0" w:num="1"/>
          <w:docGrid w:type="lines" w:linePitch="312" w:charSpace="0"/>
        </w:sectPr>
      </w:pPr>
    </w:p>
    <w:p>
      <w:pPr>
        <w:jc w:val="left"/>
        <w:rPr>
          <w:rFonts w:ascii="Times New Roman" w:hAnsi="Times New Roman" w:cs="Times New Roman"/>
          <w:b/>
          <w:bCs/>
          <w:sz w:val="20"/>
          <w:szCs w:val="20"/>
        </w:rPr>
      </w:pPr>
      <w:r>
        <w:rPr>
          <w:rFonts w:ascii="Times New Roman" w:hAnsi="Times New Roman" w:cs="Times New Roman"/>
          <w:b/>
          <w:bCs/>
          <w:sz w:val="20"/>
          <w:szCs w:val="20"/>
        </w:rPr>
        <w:t>Table S</w:t>
      </w:r>
      <w:r>
        <w:rPr>
          <w:rFonts w:hint="eastAsia" w:ascii="Times New Roman" w:hAnsi="Times New Roman" w:cs="Times New Roman"/>
          <w:b/>
          <w:bCs/>
          <w:sz w:val="20"/>
          <w:szCs w:val="20"/>
        </w:rPr>
        <w:t>19</w:t>
      </w:r>
      <w:r>
        <w:rPr>
          <w:rFonts w:ascii="Times New Roman" w:hAnsi="Times New Roman" w:cs="Times New Roman"/>
          <w:b/>
          <w:bCs/>
          <w:sz w:val="20"/>
          <w:szCs w:val="20"/>
        </w:rPr>
        <w:t>. The GCRS and corresponding 3-year, 5-year, and 10-year risk of incident GC derived from the CKB cohort</w:t>
      </w:r>
    </w:p>
    <w:tbl>
      <w:tblPr>
        <w:tblStyle w:val="8"/>
        <w:tblW w:w="9848" w:type="dxa"/>
        <w:jc w:val="center"/>
        <w:tblLayout w:type="fixed"/>
        <w:tblCellMar>
          <w:top w:w="0" w:type="dxa"/>
          <w:left w:w="0" w:type="dxa"/>
          <w:bottom w:w="0" w:type="dxa"/>
          <w:right w:w="0" w:type="dxa"/>
        </w:tblCellMar>
      </w:tblPr>
      <w:tblGrid>
        <w:gridCol w:w="759"/>
        <w:gridCol w:w="1367"/>
        <w:gridCol w:w="1342"/>
        <w:gridCol w:w="1352"/>
        <w:gridCol w:w="283"/>
        <w:gridCol w:w="709"/>
        <w:gridCol w:w="1276"/>
        <w:gridCol w:w="1276"/>
        <w:gridCol w:w="1484"/>
      </w:tblGrid>
      <w:tr>
        <w:tblPrEx>
          <w:tblCellMar>
            <w:top w:w="0" w:type="dxa"/>
            <w:left w:w="0" w:type="dxa"/>
            <w:bottom w:w="0" w:type="dxa"/>
            <w:right w:w="0" w:type="dxa"/>
          </w:tblCellMar>
        </w:tblPrEx>
        <w:trPr>
          <w:trHeight w:val="290" w:hRule="atLeast"/>
          <w:jc w:val="center"/>
        </w:trPr>
        <w:tc>
          <w:tcPr>
            <w:tcW w:w="759"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GCRS</w:t>
            </w:r>
            <w:r>
              <w:rPr>
                <w:rFonts w:hint="eastAsia" w:ascii="Times New Roman" w:hAnsi="Times New Roman" w:eastAsia="宋体" w:cs="Times New Roman"/>
                <w:b/>
                <w:kern w:val="0"/>
                <w:sz w:val="20"/>
                <w:szCs w:val="20"/>
                <w:lang w:bidi="ar"/>
              </w:rPr>
              <w:t xml:space="preserve"> </w:t>
            </w:r>
            <w:r>
              <w:rPr>
                <w:rFonts w:hint="eastAsia" w:ascii="Times New Roman" w:hAnsi="Times New Roman" w:eastAsia="宋体" w:cs="Times New Roman"/>
                <w:b/>
                <w:kern w:val="0"/>
                <w:sz w:val="20"/>
                <w:szCs w:val="20"/>
                <w:vertAlign w:val="superscript"/>
                <w:lang w:bidi="ar"/>
              </w:rPr>
              <w:t>a</w:t>
            </w:r>
          </w:p>
        </w:tc>
        <w:tc>
          <w:tcPr>
            <w:tcW w:w="1367"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3-year risk, %</w:t>
            </w:r>
          </w:p>
        </w:tc>
        <w:tc>
          <w:tcPr>
            <w:tcW w:w="1342"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5-year risk, %</w:t>
            </w:r>
          </w:p>
        </w:tc>
        <w:tc>
          <w:tcPr>
            <w:tcW w:w="1352"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10-year risk, %</w:t>
            </w:r>
          </w:p>
        </w:tc>
        <w:tc>
          <w:tcPr>
            <w:tcW w:w="283"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b/>
                <w:bCs/>
                <w:sz w:val="20"/>
                <w:szCs w:val="20"/>
              </w:rPr>
            </w:pPr>
          </w:p>
        </w:tc>
        <w:tc>
          <w:tcPr>
            <w:tcW w:w="709"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GCRS</w:t>
            </w:r>
          </w:p>
        </w:tc>
        <w:tc>
          <w:tcPr>
            <w:tcW w:w="1276"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3-year risk, %</w:t>
            </w:r>
          </w:p>
        </w:tc>
        <w:tc>
          <w:tcPr>
            <w:tcW w:w="1276"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5-year risk, %</w:t>
            </w:r>
          </w:p>
        </w:tc>
        <w:tc>
          <w:tcPr>
            <w:tcW w:w="1484" w:type="dxa"/>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10-year risk, %</w:t>
            </w:r>
          </w:p>
        </w:tc>
      </w:tr>
      <w:tr>
        <w:tblPrEx>
          <w:tblCellMar>
            <w:top w:w="0" w:type="dxa"/>
            <w:left w:w="0" w:type="dxa"/>
            <w:bottom w:w="0" w:type="dxa"/>
            <w:right w:w="0" w:type="dxa"/>
          </w:tblCellMar>
        </w:tblPrEx>
        <w:trPr>
          <w:trHeight w:val="290" w:hRule="atLeast"/>
          <w:jc w:val="center"/>
        </w:trPr>
        <w:tc>
          <w:tcPr>
            <w:tcW w:w="759"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w:t>
            </w:r>
          </w:p>
        </w:tc>
        <w:tc>
          <w:tcPr>
            <w:tcW w:w="1367"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0.01</w:t>
            </w:r>
          </w:p>
        </w:tc>
        <w:tc>
          <w:tcPr>
            <w:tcW w:w="1342"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w:t>
            </w:r>
          </w:p>
        </w:tc>
        <w:tc>
          <w:tcPr>
            <w:tcW w:w="1352"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w:t>
            </w:r>
          </w:p>
        </w:tc>
        <w:tc>
          <w:tcPr>
            <w:tcW w:w="283" w:type="dxa"/>
            <w:tcBorders>
              <w:top w:val="single" w:color="auto" w:sz="4" w:space="0"/>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34</w:t>
            </w:r>
          </w:p>
        </w:tc>
        <w:tc>
          <w:tcPr>
            <w:tcW w:w="1276"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0.44</w:t>
            </w:r>
          </w:p>
        </w:tc>
        <w:tc>
          <w:tcPr>
            <w:tcW w:w="1276"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0.73</w:t>
            </w:r>
          </w:p>
        </w:tc>
        <w:tc>
          <w:tcPr>
            <w:tcW w:w="1484" w:type="dxa"/>
            <w:tcBorders>
              <w:top w:val="single" w:color="auto" w:sz="4" w:space="0"/>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1.61</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0.49</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0.80</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1.78</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0.89</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1.97</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37</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0.98</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2.18</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0.08</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38</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0.67</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2.42</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0.09</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39</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1.20</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2.67</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1.33</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2.96</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1.47</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3.27</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1.63</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3.62</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0.13</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43</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1.80</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4.00</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0.14</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2.00</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4.43</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0.16</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2.21</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4.90</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0.08</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0.17</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46</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1.49</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2.44</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5.42</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0.09</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0.19</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2.70</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6.00</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0.21</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48</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1.83</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2.99</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6.63</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0.24</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49</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3.31</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7.34</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0.26</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3.66</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8.12</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0.08</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0.13</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0.29</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51</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2.48</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4.05</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8.98</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0.09</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0.32</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4.48</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9.93</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0.16</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0.35</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53</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3.03</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4.95</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10.99</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0.18</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0.39</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5.48</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12.16</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0.43</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3.71</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6.06</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13.45</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0.13</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0.22</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0.48</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56</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6.70</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14.88</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0.15</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0.53</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7.42</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16.46</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0.16</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0.26</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0.59</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58</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5.02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8.21</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18.21</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25</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0.18</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0.29</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0.65</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59</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5.56</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9.08</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20.15</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26</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0.20</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0.32</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0.72</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6.15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10.04</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22.29</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0.22</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0.36</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0.80</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61</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6.80</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11.11</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24.65</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0.24</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0.88</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7.52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12.29</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27.27</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29</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0.27</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0.97</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63</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8.32</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13.60</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30.17</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0.30</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0.49</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1.08</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64</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9.21</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15.04</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33.38</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31</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0.33</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0.54</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1.19</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65</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10.19</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16.64</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36.93</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32</w:t>
            </w:r>
          </w:p>
        </w:tc>
        <w:tc>
          <w:tcPr>
            <w:tcW w:w="1367"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0.36</w:t>
            </w:r>
          </w:p>
        </w:tc>
        <w:tc>
          <w:tcPr>
            <w:tcW w:w="134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0.59</w:t>
            </w:r>
          </w:p>
        </w:tc>
        <w:tc>
          <w:tcPr>
            <w:tcW w:w="1352"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1.32</w:t>
            </w:r>
          </w:p>
        </w:tc>
        <w:tc>
          <w:tcPr>
            <w:tcW w:w="283" w:type="dxa"/>
            <w:tcBorders>
              <w:top w:val="nil"/>
              <w:left w:val="nil"/>
              <w:bottom w:val="nil"/>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66</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11.27</w:t>
            </w:r>
          </w:p>
        </w:tc>
        <w:tc>
          <w:tcPr>
            <w:tcW w:w="1276"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18.41</w:t>
            </w:r>
          </w:p>
        </w:tc>
        <w:tc>
          <w:tcPr>
            <w:tcW w:w="1484" w:type="dxa"/>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40.85</w:t>
            </w:r>
          </w:p>
        </w:tc>
      </w:tr>
      <w:tr>
        <w:tblPrEx>
          <w:tblCellMar>
            <w:top w:w="0" w:type="dxa"/>
            <w:left w:w="0" w:type="dxa"/>
            <w:bottom w:w="0" w:type="dxa"/>
            <w:right w:w="0" w:type="dxa"/>
          </w:tblCellMar>
        </w:tblPrEx>
        <w:trPr>
          <w:trHeight w:val="290" w:hRule="atLeast"/>
          <w:jc w:val="center"/>
        </w:trPr>
        <w:tc>
          <w:tcPr>
            <w:tcW w:w="759"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w:t>
            </w:r>
          </w:p>
        </w:tc>
        <w:tc>
          <w:tcPr>
            <w:tcW w:w="1367"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0.40</w:t>
            </w:r>
          </w:p>
        </w:tc>
        <w:tc>
          <w:tcPr>
            <w:tcW w:w="134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0.66</w:t>
            </w:r>
          </w:p>
        </w:tc>
        <w:tc>
          <w:tcPr>
            <w:tcW w:w="1352"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1.46</w:t>
            </w:r>
          </w:p>
        </w:tc>
        <w:tc>
          <w:tcPr>
            <w:tcW w:w="283" w:type="dxa"/>
            <w:tcBorders>
              <w:top w:val="nil"/>
              <w:left w:val="nil"/>
              <w:bottom w:val="single" w:color="auto" w:sz="4" w:space="0"/>
              <w:right w:val="nil"/>
            </w:tcBorders>
            <w:shd w:val="clear" w:color="auto" w:fill="auto"/>
            <w:noWrap/>
            <w:tcMar>
              <w:top w:w="12" w:type="dxa"/>
              <w:left w:w="12" w:type="dxa"/>
              <w:right w:w="12" w:type="dxa"/>
            </w:tcMar>
            <w:vAlign w:val="center"/>
          </w:tcPr>
          <w:p>
            <w:pPr>
              <w:jc w:val="center"/>
              <w:rPr>
                <w:rFonts w:ascii="Times New Roman" w:hAnsi="Times New Roman" w:eastAsia="宋体" w:cs="Times New Roman"/>
                <w:sz w:val="20"/>
                <w:szCs w:val="20"/>
              </w:rPr>
            </w:pPr>
          </w:p>
        </w:tc>
        <w:tc>
          <w:tcPr>
            <w:tcW w:w="709"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67</w:t>
            </w:r>
          </w:p>
        </w:tc>
        <w:tc>
          <w:tcPr>
            <w:tcW w:w="1276"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12.47</w:t>
            </w:r>
          </w:p>
        </w:tc>
        <w:tc>
          <w:tcPr>
            <w:tcW w:w="1276"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20.36</w:t>
            </w:r>
          </w:p>
        </w:tc>
        <w:tc>
          <w:tcPr>
            <w:tcW w:w="1484" w:type="dxa"/>
            <w:tcBorders>
              <w:top w:val="nil"/>
              <w:left w:val="nil"/>
              <w:bottom w:val="single" w:color="auto" w:sz="4" w:space="0"/>
              <w:right w:val="nil"/>
            </w:tcBorders>
            <w:shd w:val="clear" w:color="auto" w:fill="auto"/>
            <w:noWrap/>
            <w:tcMar>
              <w:top w:w="12" w:type="dxa"/>
              <w:left w:w="12" w:type="dxa"/>
              <w:right w:w="12" w:type="dxa"/>
            </w:tcMar>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45.19</w:t>
            </w:r>
          </w:p>
        </w:tc>
      </w:tr>
    </w:tbl>
    <w:p>
      <w:pPr>
        <w:jc w:val="left"/>
        <w:rPr>
          <w:rFonts w:ascii="Times New Roman" w:hAnsi="Times New Roman" w:cs="Times New Roman"/>
          <w:sz w:val="20"/>
          <w:szCs w:val="20"/>
        </w:rPr>
      </w:pPr>
      <w:r>
        <w:rPr>
          <w:rFonts w:hint="eastAsia" w:ascii="Times New Roman" w:hAnsi="Times New Roman" w:eastAsia="宋体" w:cs="Times New Roman"/>
          <w:kern w:val="0"/>
          <w:sz w:val="20"/>
          <w:szCs w:val="20"/>
          <w:vertAlign w:val="superscript"/>
          <w:lang w:bidi="ar"/>
        </w:rPr>
        <w:t>a</w:t>
      </w:r>
      <w:r>
        <w:rPr>
          <w:rFonts w:ascii="Times New Roman" w:hAnsi="Times New Roman" w:eastAsia="宋体" w:cs="Times New Roman"/>
          <w:kern w:val="0"/>
          <w:sz w:val="20"/>
          <w:szCs w:val="20"/>
          <w:vertAlign w:val="superscript"/>
          <w:lang w:bidi="ar"/>
        </w:rPr>
        <w:t xml:space="preserve"> </w:t>
      </w:r>
      <w:r>
        <w:rPr>
          <w:rFonts w:hint="eastAsia" w:ascii="Times New Roman" w:hAnsi="Times New Roman" w:eastAsia="宋体" w:cs="Times New Roman"/>
          <w:kern w:val="0"/>
          <w:sz w:val="20"/>
          <w:szCs w:val="20"/>
          <w:lang w:bidi="ar"/>
        </w:rPr>
        <w:t>The GCRSs were rounded to integers</w:t>
      </w:r>
      <w:r>
        <w:rPr>
          <w:rFonts w:ascii="Times New Roman" w:hAnsi="Times New Roman" w:eastAsia="宋体" w:cs="Times New Roman"/>
          <w:kern w:val="0"/>
          <w:sz w:val="20"/>
          <w:szCs w:val="20"/>
          <w:lang w:bidi="ar"/>
        </w:rPr>
        <w:t>.</w:t>
      </w:r>
    </w:p>
    <w:p>
      <w:pPr>
        <w:jc w:val="left"/>
        <w:rPr>
          <w:rFonts w:ascii="Times New Roman" w:hAnsi="Times New Roman" w:cs="Times New Roman"/>
          <w:sz w:val="16"/>
          <w:szCs w:val="16"/>
        </w:rPr>
      </w:pPr>
    </w:p>
    <w:p>
      <w:pPr>
        <w:jc w:val="left"/>
        <w:rPr>
          <w:rFonts w:ascii="Times New Roman" w:hAnsi="Times New Roman" w:cs="Times New Roman"/>
          <w:sz w:val="16"/>
          <w:szCs w:val="16"/>
        </w:rPr>
        <w:sectPr>
          <w:pgSz w:w="11906" w:h="16838"/>
          <w:pgMar w:top="1440" w:right="1440" w:bottom="1440" w:left="1440" w:header="851" w:footer="992" w:gutter="0"/>
          <w:cols w:space="0" w:num="1"/>
          <w:docGrid w:type="lines" w:linePitch="312" w:charSpace="0"/>
        </w:sectPr>
      </w:pPr>
    </w:p>
    <w:p>
      <w:pPr>
        <w:jc w:val="left"/>
        <w:rPr>
          <w:rFonts w:ascii="Times New Roman" w:hAnsi="Times New Roman" w:cs="Times New Roman"/>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S1. Study design and eligible participants’ selection procedures in three studies</w:t>
      </w:r>
    </w:p>
    <w:p>
      <w:pPr>
        <w:jc w:val="center"/>
        <w:rPr>
          <w:rFonts w:ascii="Times New Roman" w:hAnsi="Times New Roman" w:cs="Times New Roman"/>
          <w:sz w:val="16"/>
          <w:szCs w:val="16"/>
        </w:rPr>
      </w:pPr>
      <w:r>
        <w:rPr>
          <w:rFonts w:ascii="Times New Roman" w:hAnsi="Times New Roman" w:cs="Times New Roman"/>
          <w:sz w:val="16"/>
          <w:szCs w:val="16"/>
        </w:rPr>
        <w:drawing>
          <wp:inline distT="0" distB="0" distL="0" distR="0">
            <wp:extent cx="7533640" cy="3886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49431" cy="3894053"/>
                    </a:xfrm>
                    <a:prstGeom prst="rect">
                      <a:avLst/>
                    </a:prstGeom>
                    <a:noFill/>
                  </pic:spPr>
                </pic:pic>
              </a:graphicData>
            </a:graphic>
          </wp:inline>
        </w:drawing>
      </w:r>
    </w:p>
    <w:p>
      <w:pPr>
        <w:jc w:val="left"/>
        <w:rPr>
          <w:rFonts w:ascii="Times New Roman" w:hAnsi="Times New Roman" w:cs="Times New Roman"/>
          <w:sz w:val="16"/>
          <w:szCs w:val="16"/>
        </w:rPr>
      </w:pPr>
    </w:p>
    <w:p>
      <w:pPr>
        <w:jc w:val="left"/>
        <w:rPr>
          <w:rFonts w:ascii="Times New Roman" w:hAnsi="Times New Roman" w:cs="Times New Roman"/>
          <w:b/>
          <w:bCs/>
          <w:szCs w:val="21"/>
        </w:rPr>
        <w:sectPr>
          <w:pgSz w:w="16838" w:h="11906" w:orient="landscape"/>
          <w:pgMar w:top="1440" w:right="1440" w:bottom="1440" w:left="1440" w:header="851" w:footer="992" w:gutter="0"/>
          <w:cols w:space="0" w:num="1"/>
          <w:docGrid w:type="lines" w:linePitch="312" w:charSpace="0"/>
        </w:sectPr>
      </w:pPr>
    </w:p>
    <w:p>
      <w:pPr>
        <w:jc w:val="left"/>
        <w:rPr>
          <w:rFonts w:ascii="Times New Roman" w:hAnsi="Times New Roman" w:cs="Times New Roman"/>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S2. The relationship of the GCRS with incident GC risk in the CKB cohort.</w:t>
      </w:r>
    </w:p>
    <w:p>
      <w:pPr>
        <w:jc w:val="center"/>
        <w:rPr>
          <w:rFonts w:ascii="Times New Roman" w:hAnsi="Times New Roman" w:cs="Times New Roman"/>
          <w:szCs w:val="21"/>
        </w:rPr>
      </w:pPr>
      <w:r>
        <w:rPr>
          <w:rFonts w:ascii="Times New Roman" w:hAnsi="Times New Roman" w:cs="Times New Roman"/>
        </w:rPr>
        <w:drawing>
          <wp:inline distT="0" distB="0" distL="0" distR="0">
            <wp:extent cx="4320540" cy="4320540"/>
            <wp:effectExtent l="0" t="0" r="3810" b="3810"/>
            <wp:docPr id="40" name="图片 40" descr="G:\实验室\筛查队列\Manuscript\Figure-JAMA Oncol-211227\eFigur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G:\实验室\筛查队列\Manuscript\Figure-JAMA Oncol-211227\eFigure 2.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320540" cy="4320540"/>
                    </a:xfrm>
                    <a:prstGeom prst="rect">
                      <a:avLst/>
                    </a:prstGeom>
                    <a:noFill/>
                    <a:ln>
                      <a:noFill/>
                    </a:ln>
                  </pic:spPr>
                </pic:pic>
              </a:graphicData>
            </a:graphic>
          </wp:inline>
        </w:drawing>
      </w:r>
    </w:p>
    <w:p>
      <w:pPr>
        <w:jc w:val="left"/>
        <w:rPr>
          <w:rFonts w:ascii="Times New Roman" w:hAnsi="Times New Roman" w:cs="Times New Roman"/>
          <w:sz w:val="20"/>
          <w:szCs w:val="20"/>
        </w:rPr>
      </w:pPr>
      <w:r>
        <w:rPr>
          <w:rFonts w:ascii="Times New Roman" w:hAnsi="Times New Roman" w:cs="Times New Roman"/>
          <w:sz w:val="20"/>
          <w:szCs w:val="20"/>
        </w:rPr>
        <w:t>Linear relationship between the GCRS and gastric cancer risk was assessed by using a restricted cubic spline analysis, and hazards ratios and 95% CIs were estimated. GCRS, gastric cancer risk score.</w:t>
      </w:r>
    </w:p>
    <w:p>
      <w:pPr>
        <w:jc w:val="left"/>
        <w:rPr>
          <w:rFonts w:ascii="Times New Roman" w:hAnsi="Times New Roman" w:cs="Times New Roman"/>
          <w:sz w:val="16"/>
          <w:szCs w:val="16"/>
        </w:rPr>
      </w:pPr>
    </w:p>
    <w:p>
      <w:pPr>
        <w:jc w:val="left"/>
        <w:rPr>
          <w:rFonts w:ascii="Times New Roman" w:hAnsi="Times New Roman" w:cs="Times New Roman"/>
          <w:sz w:val="16"/>
          <w:szCs w:val="16"/>
        </w:rPr>
      </w:pPr>
      <w:r>
        <w:rPr>
          <w:rFonts w:ascii="Times New Roman" w:hAnsi="Times New Roman" w:cs="Times New Roman"/>
          <w:sz w:val="16"/>
          <w:szCs w:val="16"/>
        </w:rPr>
        <w:br w:type="page"/>
      </w:r>
    </w:p>
    <w:p>
      <w:pPr>
        <w:jc w:val="left"/>
        <w:rPr>
          <w:rFonts w:ascii="Times New Roman" w:hAnsi="Times New Roman" w:cs="Times New Roman"/>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S3. The relationship of the GCRS with incident GC risk in the Changzhou cohort.</w:t>
      </w:r>
    </w:p>
    <w:p>
      <w:pPr>
        <w:jc w:val="center"/>
        <w:rPr>
          <w:rFonts w:ascii="Times New Roman" w:hAnsi="Times New Roman" w:cs="Times New Roman"/>
          <w:sz w:val="16"/>
          <w:szCs w:val="16"/>
        </w:rPr>
      </w:pPr>
      <w:r>
        <w:rPr>
          <w:rFonts w:ascii="Times New Roman" w:hAnsi="Times New Roman" w:cs="Times New Roman"/>
          <w:sz w:val="16"/>
          <w:szCs w:val="16"/>
        </w:rPr>
        <w:drawing>
          <wp:inline distT="0" distB="0" distL="0" distR="0">
            <wp:extent cx="4320540" cy="4320540"/>
            <wp:effectExtent l="0" t="0" r="3810" b="3810"/>
            <wp:docPr id="41" name="图片 41" descr="G:\实验室\筛查队列\Manuscript\Figure-JAMA Oncol-211227\eFigure 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G:\实验室\筛查队列\Manuscript\Figure-JAMA Oncol-211227\eFigure 3.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320540" cy="4320540"/>
                    </a:xfrm>
                    <a:prstGeom prst="rect">
                      <a:avLst/>
                    </a:prstGeom>
                    <a:noFill/>
                    <a:ln>
                      <a:noFill/>
                    </a:ln>
                  </pic:spPr>
                </pic:pic>
              </a:graphicData>
            </a:graphic>
          </wp:inline>
        </w:drawing>
      </w:r>
    </w:p>
    <w:p>
      <w:pPr>
        <w:jc w:val="left"/>
        <w:rPr>
          <w:rFonts w:ascii="Times New Roman" w:hAnsi="Times New Roman" w:cs="Times New Roman"/>
          <w:sz w:val="20"/>
          <w:szCs w:val="20"/>
        </w:rPr>
      </w:pPr>
      <w:r>
        <w:rPr>
          <w:rFonts w:ascii="Times New Roman" w:hAnsi="Times New Roman" w:cs="Times New Roman"/>
          <w:sz w:val="20"/>
          <w:szCs w:val="20"/>
        </w:rPr>
        <w:t>Linear relationship between the GCRS and gastric cancer risk was assessed by using a restricted cubic spline analysis, and hazards ratios and 95% CIs were estimated. GCRS, gastric cancer risk score.</w:t>
      </w:r>
    </w:p>
    <w:p>
      <w:pPr>
        <w:jc w:val="left"/>
        <w:rPr>
          <w:rFonts w:ascii="Times New Roman" w:hAnsi="Times New Roman" w:cs="Times New Roman"/>
          <w:sz w:val="16"/>
          <w:szCs w:val="16"/>
        </w:rPr>
      </w:pPr>
    </w:p>
    <w:p>
      <w:pPr>
        <w:jc w:val="left"/>
        <w:rPr>
          <w:rFonts w:ascii="Times New Roman" w:hAnsi="Times New Roman" w:cs="Times New Roman"/>
          <w:sz w:val="16"/>
          <w:szCs w:val="16"/>
        </w:rPr>
        <w:sectPr>
          <w:type w:val="continuous"/>
          <w:pgSz w:w="11906" w:h="16838"/>
          <w:pgMar w:top="1440" w:right="1440" w:bottom="1440" w:left="1440" w:header="851" w:footer="992" w:gutter="0"/>
          <w:cols w:space="0" w:num="1"/>
          <w:docGrid w:type="lines" w:linePitch="312" w:charSpace="0"/>
        </w:sectPr>
      </w:pPr>
    </w:p>
    <w:p>
      <w:pPr>
        <w:jc w:val="left"/>
        <w:rPr>
          <w:rFonts w:ascii="Times New Roman" w:hAnsi="Times New Roman" w:cs="Times New Roman"/>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w:t>
      </w:r>
      <w:r>
        <w:rPr>
          <w:rFonts w:hint="eastAsia" w:ascii="Times New Roman" w:hAnsi="Times New Roman" w:cs="Times New Roman"/>
          <w:b/>
          <w:bCs/>
          <w:sz w:val="20"/>
          <w:szCs w:val="20"/>
        </w:rPr>
        <w:t>4</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 xml:space="preserve">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1:</w:t>
      </w:r>
      <w:r>
        <w:rPr>
          <w:rFonts w:ascii="Times New Roman" w:hAnsi="Times New Roman" w:eastAsia="宋体" w:cs="Times New Roman"/>
          <w:b/>
          <w:bCs/>
          <w:kern w:val="0"/>
          <w:sz w:val="20"/>
          <w:szCs w:val="21"/>
        </w:rPr>
        <w:t xml:space="preserve"> excluding weak variables in the simplified model</w:t>
      </w:r>
    </w:p>
    <w:p>
      <w:pPr>
        <w:jc w:val="center"/>
        <w:rPr>
          <w:rFonts w:ascii="Times New Roman" w:hAnsi="Times New Roman" w:cs="Times New Roman"/>
          <w:sz w:val="16"/>
          <w:szCs w:val="16"/>
        </w:rPr>
      </w:pPr>
      <w:r>
        <w:rPr>
          <w:rFonts w:hint="eastAsia" w:ascii="Times New Roman" w:hAnsi="Times New Roman" w:cs="Times New Roman"/>
          <w:sz w:val="16"/>
          <w:szCs w:val="16"/>
        </w:rPr>
        <w:drawing>
          <wp:inline distT="0" distB="0" distL="114300" distR="114300">
            <wp:extent cx="4319270" cy="4319270"/>
            <wp:effectExtent l="0" t="0" r="8890" b="8890"/>
            <wp:docPr id="1" name="图片 1"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4"/>
                    <pic:cNvPicPr>
                      <a:picLocks noChangeAspect="1"/>
                    </pic:cNvPicPr>
                  </pic:nvPicPr>
                  <pic:blipFill>
                    <a:blip r:embed="rId9"/>
                    <a:stretch>
                      <a:fillRect/>
                    </a:stretch>
                  </pic:blipFill>
                  <pic:spPr>
                    <a:xfrm>
                      <a:off x="0" y="0"/>
                      <a:ext cx="4319270" cy="4319270"/>
                    </a:xfrm>
                    <a:prstGeom prst="rect">
                      <a:avLst/>
                    </a:prstGeom>
                  </pic:spPr>
                </pic:pic>
              </a:graphicData>
            </a:graphic>
          </wp:inline>
        </w:drawing>
      </w:r>
    </w:p>
    <w:p>
      <w:pPr>
        <w:jc w:val="left"/>
        <w:rPr>
          <w:rFonts w:ascii="Times New Roman" w:hAnsi="Times New Roman" w:cs="Times New Roman"/>
          <w:b/>
          <w:bCs/>
          <w:sz w:val="20"/>
          <w:szCs w:val="20"/>
        </w:rPr>
      </w:pPr>
      <w:r>
        <w:rPr>
          <w:rFonts w:ascii="Times New Roman" w:hAnsi="Times New Roman" w:cs="Times New Roman"/>
          <w:sz w:val="20"/>
          <w:szCs w:val="20"/>
        </w:rPr>
        <w:t xml:space="preserve">The simplified model was created based on a subset of strong predictors for gastric cancer (assigned points ≥4.0; including age, sex, education level, intake of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foods, family history of cancer in first-degree relatives, personal medical history of cancer and peptic ulcer). </w:t>
      </w:r>
      <w:r>
        <w:rPr>
          <w:rFonts w:ascii="Times New Roman" w:hAnsi="Times New Roman" w:cs="Times New Roman"/>
          <w:bCs/>
          <w:sz w:val="20"/>
          <w:szCs w:val="20"/>
        </w:rPr>
        <w:t>The observed 10-year probability of GC with 95% CIs was estimated by the Kaplan-Meier method within deciles of GCRS-based model predicted probability in the CKB cohort (A) and Changzhou cohort (</w:t>
      </w:r>
      <w:r>
        <w:rPr>
          <w:rFonts w:hint="eastAsia" w:ascii="Times New Roman" w:hAnsi="Times New Roman" w:cs="Times New Roman"/>
          <w:bCs/>
          <w:sz w:val="20"/>
          <w:szCs w:val="20"/>
          <w:lang w:val="en-US" w:eastAsia="zh-CN"/>
        </w:rPr>
        <w:t>C</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ascii="Times New Roman" w:hAnsi="Times New Roman" w:cs="Times New Roman"/>
          <w:i/>
          <w:sz w:val="20"/>
          <w:szCs w:val="20"/>
        </w:rPr>
        <w:t>R</w:t>
      </w:r>
      <w:r>
        <w:rPr>
          <w:rFonts w:ascii="Times New Roman" w:hAnsi="Times New Roman" w:cs="Times New Roman"/>
          <w:i/>
          <w:sz w:val="20"/>
          <w:szCs w:val="20"/>
          <w:vertAlign w:val="superscript"/>
        </w:rPr>
        <w:t>2</w:t>
      </w:r>
      <w:r>
        <w:rPr>
          <w:rFonts w:ascii="Times New Roman" w:hAnsi="Times New Roman" w:cs="Times New Roman"/>
          <w:sz w:val="20"/>
          <w:szCs w:val="20"/>
        </w:rPr>
        <w:t xml:space="preserve"> coefficient was 0.99</w:t>
      </w:r>
      <w:r>
        <w:rPr>
          <w:rFonts w:hint="eastAsia" w:ascii="Times New Roman" w:hAnsi="Times New Roman" w:cs="Times New Roman"/>
          <w:sz w:val="20"/>
          <w:szCs w:val="20"/>
        </w:rPr>
        <w:t>7</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0.98</w:t>
      </w:r>
      <w:r>
        <w:rPr>
          <w:rFonts w:hint="eastAsia" w:ascii="Times New Roman" w:hAnsi="Times New Roman" w:cs="Times New Roman"/>
          <w:sz w:val="20"/>
          <w:szCs w:val="20"/>
        </w:rPr>
        <w:t>8</w:t>
      </w:r>
      <w:r>
        <w:rPr>
          <w:rFonts w:ascii="Times New Roman" w:hAnsi="Times New Roman" w:cs="Times New Roman"/>
          <w:bCs/>
          <w:sz w:val="20"/>
          <w:szCs w:val="20"/>
        </w:rPr>
        <w:t xml:space="preserve"> for the Changzhou cohort. Receiver operating characteristic curve at 10 years in the CKB cohort (</w:t>
      </w:r>
      <w:r>
        <w:rPr>
          <w:rFonts w:hint="eastAsia" w:ascii="Times New Roman" w:hAnsi="Times New Roman" w:cs="Times New Roman"/>
          <w:bCs/>
          <w:sz w:val="20"/>
          <w:szCs w:val="20"/>
          <w:lang w:val="en-US" w:eastAsia="zh-CN"/>
        </w:rPr>
        <w:t>B</w:t>
      </w:r>
      <w:r>
        <w:rPr>
          <w:rFonts w:ascii="Times New Roman" w:hAnsi="Times New Roman" w:cs="Times New Roman"/>
          <w:bCs/>
          <w:sz w:val="20"/>
          <w:szCs w:val="20"/>
        </w:rPr>
        <w:t>) and Changzhou cohort (</w:t>
      </w:r>
      <w:r>
        <w:rPr>
          <w:rFonts w:ascii="Times New Roman" w:hAnsi="Times New Roman" w:cs="Times New Roman"/>
          <w:sz w:val="20"/>
          <w:szCs w:val="20"/>
        </w:rPr>
        <w:t>D</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hint="eastAsia" w:ascii="Times New Roman" w:hAnsi="Times New Roman" w:cs="Times New Roman"/>
          <w:sz w:val="20"/>
          <w:szCs w:val="20"/>
        </w:rPr>
        <w:t>Harrell</w:t>
      </w:r>
      <w:r>
        <w:rPr>
          <w:rFonts w:ascii="Times New Roman" w:hAnsi="Times New Roman" w:cs="Times New Roman"/>
          <w:sz w:val="20"/>
          <w:szCs w:val="20"/>
        </w:rPr>
        <w:t>’</w:t>
      </w:r>
      <w:r>
        <w:rPr>
          <w:rFonts w:hint="eastAsia" w:ascii="Times New Roman" w:hAnsi="Times New Roman" w:cs="Times New Roman"/>
          <w:sz w:val="20"/>
          <w:szCs w:val="20"/>
        </w:rPr>
        <w:t>s C-index</w:t>
      </w:r>
      <w:r>
        <w:rPr>
          <w:rFonts w:ascii="Times New Roman" w:hAnsi="Times New Roman" w:cs="Times New Roman"/>
          <w:sz w:val="20"/>
          <w:szCs w:val="20"/>
        </w:rPr>
        <w:t xml:space="preserve"> was 0.7</w:t>
      </w:r>
      <w:r>
        <w:rPr>
          <w:rFonts w:hint="eastAsia" w:ascii="Times New Roman" w:hAnsi="Times New Roman" w:cs="Times New Roman"/>
          <w:sz w:val="20"/>
          <w:szCs w:val="20"/>
        </w:rPr>
        <w:t>52</w:t>
      </w:r>
      <w:r>
        <w:rPr>
          <w:rFonts w:ascii="Times New Roman" w:hAnsi="Times New Roman" w:cs="Times New Roman"/>
          <w:sz w:val="20"/>
          <w:szCs w:val="20"/>
        </w:rPr>
        <w:t xml:space="preserve"> [0.74</w:t>
      </w:r>
      <w:r>
        <w:rPr>
          <w:rFonts w:hint="eastAsia" w:ascii="Times New Roman" w:hAnsi="Times New Roman" w:cs="Times New Roman"/>
          <w:sz w:val="20"/>
          <w:szCs w:val="20"/>
        </w:rPr>
        <w:t>4</w:t>
      </w:r>
      <w:r>
        <w:rPr>
          <w:rFonts w:ascii="Times New Roman" w:hAnsi="Times New Roman" w:cs="Times New Roman"/>
          <w:sz w:val="20"/>
          <w:szCs w:val="20"/>
        </w:rPr>
        <w:t>-0.7</w:t>
      </w:r>
      <w:r>
        <w:rPr>
          <w:rFonts w:hint="eastAsia" w:ascii="Times New Roman" w:hAnsi="Times New Roman" w:cs="Times New Roman"/>
          <w:sz w:val="20"/>
          <w:szCs w:val="20"/>
        </w:rPr>
        <w:t>61</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0.7</w:t>
      </w:r>
      <w:r>
        <w:rPr>
          <w:rFonts w:hint="eastAsia" w:ascii="Times New Roman" w:hAnsi="Times New Roman" w:cs="Times New Roman"/>
          <w:sz w:val="20"/>
          <w:szCs w:val="20"/>
        </w:rPr>
        <w:t>3</w:t>
      </w:r>
      <w:r>
        <w:rPr>
          <w:rFonts w:ascii="Times New Roman" w:hAnsi="Times New Roman" w:cs="Times New Roman"/>
          <w:sz w:val="20"/>
          <w:szCs w:val="20"/>
        </w:rPr>
        <w:t>5 [0.7</w:t>
      </w:r>
      <w:r>
        <w:rPr>
          <w:rFonts w:hint="eastAsia" w:ascii="Times New Roman" w:hAnsi="Times New Roman" w:cs="Times New Roman"/>
          <w:sz w:val="20"/>
          <w:szCs w:val="20"/>
        </w:rPr>
        <w:t>10</w:t>
      </w:r>
      <w:r>
        <w:rPr>
          <w:rFonts w:ascii="Times New Roman" w:hAnsi="Times New Roman" w:cs="Times New Roman"/>
          <w:sz w:val="20"/>
          <w:szCs w:val="20"/>
        </w:rPr>
        <w:t>-0.</w:t>
      </w:r>
      <w:r>
        <w:rPr>
          <w:rFonts w:hint="eastAsia" w:ascii="Times New Roman" w:hAnsi="Times New Roman" w:cs="Times New Roman"/>
          <w:sz w:val="20"/>
          <w:szCs w:val="20"/>
        </w:rPr>
        <w:t>761</w:t>
      </w:r>
      <w:r>
        <w:rPr>
          <w:rFonts w:ascii="Times New Roman" w:hAnsi="Times New Roman" w:cs="Times New Roman"/>
          <w:sz w:val="20"/>
          <w:szCs w:val="20"/>
        </w:rPr>
        <w:t>]</w:t>
      </w:r>
      <w:r>
        <w:rPr>
          <w:rFonts w:ascii="Times New Roman" w:hAnsi="Times New Roman" w:cs="Times New Roman"/>
          <w:bCs/>
          <w:sz w:val="20"/>
          <w:szCs w:val="20"/>
        </w:rPr>
        <w:t xml:space="preserve"> for the Changzhou cohort. GCRS, gastric cancer risk score. CKB, China Kadoorie Biobank.</w:t>
      </w:r>
    </w:p>
    <w:p>
      <w:pPr>
        <w:rPr>
          <w:rFonts w:ascii="Times New Roman" w:hAnsi="Times New Roman" w:cs="Times New Roman"/>
          <w:sz w:val="16"/>
          <w:szCs w:val="16"/>
        </w:rPr>
      </w:pPr>
    </w:p>
    <w:p>
      <w:pPr>
        <w:jc w:val="left"/>
        <w:rPr>
          <w:rFonts w:ascii="Times New Roman" w:hAnsi="Times New Roman" w:cs="Times New Roman"/>
          <w:sz w:val="16"/>
          <w:szCs w:val="16"/>
        </w:rPr>
      </w:pPr>
      <w:r>
        <w:rPr>
          <w:rFonts w:ascii="Times New Roman" w:hAnsi="Times New Roman" w:cs="Times New Roman"/>
          <w:sz w:val="16"/>
          <w:szCs w:val="16"/>
        </w:rPr>
        <w:br w:type="page"/>
      </w:r>
    </w:p>
    <w:p>
      <w:pPr>
        <w:jc w:val="left"/>
        <w:rPr>
          <w:rFonts w:ascii="Times New Roman" w:hAnsi="Times New Roman" w:cs="Times New Roman"/>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w:t>
      </w:r>
      <w:r>
        <w:rPr>
          <w:rFonts w:hint="eastAsia" w:ascii="Times New Roman" w:hAnsi="Times New Roman" w:cs="Times New Roman"/>
          <w:b/>
          <w:bCs/>
          <w:sz w:val="20"/>
          <w:szCs w:val="20"/>
        </w:rPr>
        <w:t>5</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 xml:space="preserve">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2:</w:t>
      </w:r>
      <w:r>
        <w:rPr>
          <w:rFonts w:ascii="Times New Roman" w:hAnsi="Times New Roman" w:eastAsia="宋体" w:cs="Times New Roman"/>
          <w:b/>
          <w:bCs/>
          <w:kern w:val="0"/>
          <w:sz w:val="20"/>
          <w:szCs w:val="21"/>
        </w:rPr>
        <w:t xml:space="preserve"> integrating lifestyle factors as an index</w:t>
      </w:r>
    </w:p>
    <w:p>
      <w:pPr>
        <w:jc w:val="center"/>
        <w:rPr>
          <w:rFonts w:ascii="Times New Roman" w:hAnsi="Times New Roman" w:cs="Times New Roman"/>
          <w:sz w:val="16"/>
          <w:szCs w:val="16"/>
        </w:rPr>
      </w:pPr>
      <w:r>
        <w:rPr>
          <w:rFonts w:hint="eastAsia" w:ascii="Times New Roman" w:hAnsi="Times New Roman" w:cs="Times New Roman"/>
          <w:sz w:val="16"/>
          <w:szCs w:val="16"/>
        </w:rPr>
        <w:drawing>
          <wp:inline distT="0" distB="0" distL="114300" distR="114300">
            <wp:extent cx="4319270" cy="4319270"/>
            <wp:effectExtent l="0" t="0" r="8890" b="8890"/>
            <wp:docPr id="2" name="图片 2"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5"/>
                    <pic:cNvPicPr>
                      <a:picLocks noChangeAspect="1"/>
                    </pic:cNvPicPr>
                  </pic:nvPicPr>
                  <pic:blipFill>
                    <a:blip r:embed="rId10"/>
                    <a:stretch>
                      <a:fillRect/>
                    </a:stretch>
                  </pic:blipFill>
                  <pic:spPr>
                    <a:xfrm>
                      <a:off x="0" y="0"/>
                      <a:ext cx="4319270" cy="4319270"/>
                    </a:xfrm>
                    <a:prstGeom prst="rect">
                      <a:avLst/>
                    </a:prstGeom>
                  </pic:spPr>
                </pic:pic>
              </a:graphicData>
            </a:graphic>
          </wp:inline>
        </w:drawing>
      </w:r>
    </w:p>
    <w:p>
      <w:pPr>
        <w:jc w:val="left"/>
        <w:rPr>
          <w:rFonts w:ascii="Times New Roman" w:hAnsi="Times New Roman" w:cs="Times New Roman"/>
          <w:sz w:val="20"/>
          <w:szCs w:val="20"/>
        </w:rPr>
      </w:pPr>
      <w:r>
        <w:rPr>
          <w:rFonts w:ascii="Times New Roman" w:hAnsi="Times New Roman" w:cs="Times New Roman"/>
          <w:sz w:val="20"/>
          <w:szCs w:val="20"/>
        </w:rPr>
        <w:t xml:space="preserve">The healthy lifestyle index was generated by integrating five modifiable lifestyle factors, i.e., BMI, smoking, alcohol use, consumption of fresh vegetables and fruits, and </w:t>
      </w:r>
      <w:r>
        <w:rPr>
          <w:rFonts w:hint="eastAsia" w:ascii="Times New Roman" w:hAnsi="Times New Roman" w:cs="Times New Roman"/>
          <w:sz w:val="20"/>
          <w:szCs w:val="20"/>
        </w:rPr>
        <w:t xml:space="preserve">salty </w:t>
      </w:r>
      <w:r>
        <w:rPr>
          <w:rFonts w:ascii="Times New Roman" w:hAnsi="Times New Roman" w:cs="Times New Roman"/>
          <w:sz w:val="20"/>
          <w:szCs w:val="20"/>
        </w:rPr>
        <w:t xml:space="preserve">food intake. </w:t>
      </w:r>
      <w:r>
        <w:rPr>
          <w:rFonts w:ascii="Times New Roman" w:hAnsi="Times New Roman" w:cs="Times New Roman"/>
          <w:bCs/>
          <w:sz w:val="20"/>
          <w:szCs w:val="20"/>
        </w:rPr>
        <w:t>The observed 10-year probability of GC with 95% CIs was estimated by the Kaplan-Meier method within deciles of GCRS-based model predicted probability in the CKB cohort (A) and Changzhou cohort (</w:t>
      </w:r>
      <w:r>
        <w:rPr>
          <w:rFonts w:hint="eastAsia" w:ascii="Times New Roman" w:hAnsi="Times New Roman" w:cs="Times New Roman"/>
          <w:bCs/>
          <w:sz w:val="20"/>
          <w:szCs w:val="20"/>
          <w:lang w:val="en-US" w:eastAsia="zh-CN"/>
        </w:rPr>
        <w:t>C</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ascii="Times New Roman" w:hAnsi="Times New Roman" w:cs="Times New Roman"/>
          <w:i/>
          <w:sz w:val="20"/>
          <w:szCs w:val="20"/>
        </w:rPr>
        <w:t>R</w:t>
      </w:r>
      <w:r>
        <w:rPr>
          <w:rFonts w:ascii="Times New Roman" w:hAnsi="Times New Roman" w:cs="Times New Roman"/>
          <w:i/>
          <w:sz w:val="20"/>
          <w:szCs w:val="20"/>
          <w:vertAlign w:val="superscript"/>
        </w:rPr>
        <w:t>2</w:t>
      </w:r>
      <w:r>
        <w:rPr>
          <w:rFonts w:ascii="Times New Roman" w:hAnsi="Times New Roman" w:cs="Times New Roman"/>
          <w:sz w:val="20"/>
          <w:szCs w:val="20"/>
        </w:rPr>
        <w:t xml:space="preserve"> coefficient was 0.9</w:t>
      </w:r>
      <w:r>
        <w:rPr>
          <w:rFonts w:hint="eastAsia" w:ascii="Times New Roman" w:hAnsi="Times New Roman" w:cs="Times New Roman"/>
          <w:sz w:val="20"/>
          <w:szCs w:val="20"/>
        </w:rPr>
        <w:t>9</w:t>
      </w:r>
      <w:r>
        <w:rPr>
          <w:rFonts w:ascii="Times New Roman" w:hAnsi="Times New Roman" w:cs="Times New Roman"/>
          <w:sz w:val="20"/>
          <w:szCs w:val="20"/>
        </w:rPr>
        <w:t xml:space="preserve">9 </w:t>
      </w:r>
      <w:r>
        <w:rPr>
          <w:rFonts w:ascii="Times New Roman" w:hAnsi="Times New Roman" w:cs="Times New Roman"/>
          <w:bCs/>
          <w:sz w:val="20"/>
          <w:szCs w:val="20"/>
        </w:rPr>
        <w:t xml:space="preserve">for the CKB cohort and </w:t>
      </w:r>
      <w:r>
        <w:rPr>
          <w:rFonts w:ascii="Times New Roman" w:hAnsi="Times New Roman" w:cs="Times New Roman"/>
          <w:sz w:val="20"/>
          <w:szCs w:val="20"/>
        </w:rPr>
        <w:t>0.9</w:t>
      </w:r>
      <w:r>
        <w:rPr>
          <w:rFonts w:hint="eastAsia" w:ascii="Times New Roman" w:hAnsi="Times New Roman" w:cs="Times New Roman"/>
          <w:sz w:val="20"/>
          <w:szCs w:val="20"/>
        </w:rPr>
        <w:t>79</w:t>
      </w:r>
      <w:r>
        <w:rPr>
          <w:rFonts w:ascii="Times New Roman" w:hAnsi="Times New Roman" w:cs="Times New Roman"/>
          <w:bCs/>
          <w:sz w:val="20"/>
          <w:szCs w:val="20"/>
        </w:rPr>
        <w:t xml:space="preserve"> for the Changzhou cohort. Receiver operating characteristic curve at 10 years in the CKB cohort (</w:t>
      </w:r>
      <w:r>
        <w:rPr>
          <w:rFonts w:hint="eastAsia" w:ascii="Times New Roman" w:hAnsi="Times New Roman" w:cs="Times New Roman"/>
          <w:bCs/>
          <w:sz w:val="20"/>
          <w:szCs w:val="20"/>
          <w:lang w:val="en-US" w:eastAsia="zh-CN"/>
        </w:rPr>
        <w:t>B</w:t>
      </w:r>
      <w:r>
        <w:rPr>
          <w:rFonts w:ascii="Times New Roman" w:hAnsi="Times New Roman" w:cs="Times New Roman"/>
          <w:bCs/>
          <w:sz w:val="20"/>
          <w:szCs w:val="20"/>
        </w:rPr>
        <w:t>) and Changzhou cohort (</w:t>
      </w:r>
      <w:r>
        <w:rPr>
          <w:rFonts w:ascii="Times New Roman" w:hAnsi="Times New Roman" w:cs="Times New Roman"/>
          <w:sz w:val="20"/>
          <w:szCs w:val="20"/>
        </w:rPr>
        <w:t>D</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hint="eastAsia" w:ascii="Times New Roman" w:hAnsi="Times New Roman" w:cs="Times New Roman"/>
          <w:sz w:val="20"/>
          <w:szCs w:val="20"/>
        </w:rPr>
        <w:t>Harrell</w:t>
      </w:r>
      <w:r>
        <w:rPr>
          <w:rFonts w:ascii="Times New Roman" w:hAnsi="Times New Roman" w:cs="Times New Roman"/>
          <w:sz w:val="20"/>
          <w:szCs w:val="20"/>
        </w:rPr>
        <w:t>’</w:t>
      </w:r>
      <w:r>
        <w:rPr>
          <w:rFonts w:hint="eastAsia" w:ascii="Times New Roman" w:hAnsi="Times New Roman" w:cs="Times New Roman"/>
          <w:sz w:val="20"/>
          <w:szCs w:val="20"/>
        </w:rPr>
        <w:t>s C-index</w:t>
      </w:r>
      <w:r>
        <w:rPr>
          <w:rFonts w:ascii="Times New Roman" w:hAnsi="Times New Roman" w:cs="Times New Roman"/>
          <w:sz w:val="20"/>
          <w:szCs w:val="20"/>
        </w:rPr>
        <w:t xml:space="preserve"> was 0.7</w:t>
      </w:r>
      <w:r>
        <w:rPr>
          <w:rFonts w:hint="eastAsia" w:ascii="Times New Roman" w:hAnsi="Times New Roman" w:cs="Times New Roman"/>
          <w:sz w:val="20"/>
          <w:szCs w:val="20"/>
        </w:rPr>
        <w:t>52</w:t>
      </w:r>
      <w:r>
        <w:rPr>
          <w:rFonts w:ascii="Times New Roman" w:hAnsi="Times New Roman" w:cs="Times New Roman"/>
          <w:sz w:val="20"/>
          <w:szCs w:val="20"/>
        </w:rPr>
        <w:t xml:space="preserve"> [0.74</w:t>
      </w:r>
      <w:r>
        <w:rPr>
          <w:rFonts w:hint="eastAsia" w:ascii="Times New Roman" w:hAnsi="Times New Roman" w:cs="Times New Roman"/>
          <w:sz w:val="20"/>
          <w:szCs w:val="20"/>
        </w:rPr>
        <w:t>3</w:t>
      </w:r>
      <w:r>
        <w:rPr>
          <w:rFonts w:ascii="Times New Roman" w:hAnsi="Times New Roman" w:cs="Times New Roman"/>
          <w:sz w:val="20"/>
          <w:szCs w:val="20"/>
        </w:rPr>
        <w:t>-0.7</w:t>
      </w:r>
      <w:r>
        <w:rPr>
          <w:rFonts w:hint="eastAsia" w:ascii="Times New Roman" w:hAnsi="Times New Roman" w:cs="Times New Roman"/>
          <w:sz w:val="20"/>
          <w:szCs w:val="20"/>
        </w:rPr>
        <w:t>60</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0.7</w:t>
      </w:r>
      <w:r>
        <w:rPr>
          <w:rFonts w:hint="eastAsia" w:ascii="Times New Roman" w:hAnsi="Times New Roman" w:cs="Times New Roman"/>
          <w:sz w:val="20"/>
          <w:szCs w:val="20"/>
        </w:rPr>
        <w:t>37</w:t>
      </w:r>
      <w:r>
        <w:rPr>
          <w:rFonts w:ascii="Times New Roman" w:hAnsi="Times New Roman" w:cs="Times New Roman"/>
          <w:sz w:val="20"/>
          <w:szCs w:val="20"/>
        </w:rPr>
        <w:t xml:space="preserve"> [0.7</w:t>
      </w:r>
      <w:r>
        <w:rPr>
          <w:rFonts w:hint="eastAsia" w:ascii="Times New Roman" w:hAnsi="Times New Roman" w:cs="Times New Roman"/>
          <w:sz w:val="20"/>
          <w:szCs w:val="20"/>
        </w:rPr>
        <w:t>11</w:t>
      </w:r>
      <w:r>
        <w:rPr>
          <w:rFonts w:ascii="Times New Roman" w:hAnsi="Times New Roman" w:cs="Times New Roman"/>
          <w:sz w:val="20"/>
          <w:szCs w:val="20"/>
        </w:rPr>
        <w:t>-0.</w:t>
      </w:r>
      <w:r>
        <w:rPr>
          <w:rFonts w:hint="eastAsia" w:ascii="Times New Roman" w:hAnsi="Times New Roman" w:cs="Times New Roman"/>
          <w:sz w:val="20"/>
          <w:szCs w:val="20"/>
        </w:rPr>
        <w:t>763</w:t>
      </w:r>
      <w:r>
        <w:rPr>
          <w:rFonts w:ascii="Times New Roman" w:hAnsi="Times New Roman" w:cs="Times New Roman"/>
          <w:sz w:val="20"/>
          <w:szCs w:val="20"/>
        </w:rPr>
        <w:t>]</w:t>
      </w:r>
      <w:r>
        <w:rPr>
          <w:rFonts w:ascii="Times New Roman" w:hAnsi="Times New Roman" w:cs="Times New Roman"/>
          <w:bCs/>
          <w:sz w:val="20"/>
          <w:szCs w:val="20"/>
        </w:rPr>
        <w:t xml:space="preserve"> for the Changzhou cohort. GCRS, gastric cancer risk score. CKB, China Kadoorie Biobank.</w:t>
      </w:r>
    </w:p>
    <w:p>
      <w:pPr>
        <w:widowControl/>
        <w:jc w:val="left"/>
        <w:rPr>
          <w:rFonts w:ascii="Times New Roman" w:hAnsi="Times New Roman" w:cs="Times New Roman"/>
          <w:b/>
          <w:sz w:val="20"/>
          <w:szCs w:val="20"/>
        </w:rPr>
        <w:sectPr>
          <w:pgSz w:w="11906" w:h="16838"/>
          <w:pgMar w:top="1440" w:right="1440" w:bottom="1440" w:left="1440" w:header="851" w:footer="992" w:gutter="0"/>
          <w:cols w:space="0" w:num="1"/>
          <w:docGrid w:type="lines" w:linePitch="312" w:charSpace="0"/>
        </w:sectPr>
      </w:pPr>
      <w:r>
        <w:rPr>
          <w:rFonts w:ascii="Times New Roman" w:hAnsi="Times New Roman" w:cs="Times New Roman"/>
          <w:b/>
          <w:sz w:val="20"/>
          <w:szCs w:val="20"/>
        </w:rPr>
        <w:br w:type="page"/>
      </w:r>
    </w:p>
    <w:p>
      <w:pPr>
        <w:widowControl/>
        <w:jc w:val="left"/>
        <w:rPr>
          <w:rFonts w:ascii="Times New Roman" w:hAnsi="Times New Roman" w:cs="Times New Roman"/>
          <w:b/>
          <w:bCs/>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w:t>
      </w:r>
      <w:r>
        <w:rPr>
          <w:rFonts w:hint="eastAsia" w:ascii="Times New Roman" w:hAnsi="Times New Roman" w:cs="Times New Roman"/>
          <w:b/>
          <w:bCs/>
          <w:sz w:val="20"/>
          <w:szCs w:val="20"/>
        </w:rPr>
        <w:t>6</w:t>
      </w:r>
      <w:r>
        <w:rPr>
          <w:rFonts w:ascii="Times New Roman" w:hAnsi="Times New Roman" w:cs="Times New Roman"/>
          <w:b/>
          <w:bCs/>
          <w:sz w:val="20"/>
          <w:szCs w:val="20"/>
        </w:rPr>
        <w:t xml:space="preserve">. 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3:</w:t>
      </w:r>
      <w:r>
        <w:rPr>
          <w:rFonts w:ascii="Times New Roman" w:hAnsi="Times New Roman" w:cs="Times New Roman"/>
          <w:b/>
          <w:bCs/>
          <w:sz w:val="20"/>
          <w:szCs w:val="20"/>
        </w:rPr>
        <w:t xml:space="preserve"> excluding participants who had GC diagnosis within </w:t>
      </w:r>
      <w:r>
        <w:rPr>
          <w:rFonts w:hint="eastAsia" w:ascii="Times New Roman" w:hAnsi="Times New Roman" w:cs="Times New Roman"/>
          <w:b/>
          <w:bCs/>
          <w:sz w:val="20"/>
          <w:szCs w:val="20"/>
        </w:rPr>
        <w:t>the first year</w:t>
      </w:r>
      <w:r>
        <w:rPr>
          <w:rFonts w:ascii="Times New Roman" w:hAnsi="Times New Roman" w:cs="Times New Roman"/>
          <w:b/>
          <w:bCs/>
          <w:sz w:val="20"/>
          <w:szCs w:val="20"/>
        </w:rPr>
        <w:t xml:space="preserve"> after recruitment</w:t>
      </w:r>
    </w:p>
    <w:p>
      <w:pPr>
        <w:widowControl/>
        <w:jc w:val="cente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4319270" cy="4319270"/>
            <wp:effectExtent l="0" t="0" r="8890" b="8890"/>
            <wp:docPr id="3" name="图片 3"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6"/>
                    <pic:cNvPicPr>
                      <a:picLocks noChangeAspect="1"/>
                    </pic:cNvPicPr>
                  </pic:nvPicPr>
                  <pic:blipFill>
                    <a:blip r:embed="rId11"/>
                    <a:stretch>
                      <a:fillRect/>
                    </a:stretch>
                  </pic:blipFill>
                  <pic:spPr>
                    <a:xfrm>
                      <a:off x="0" y="0"/>
                      <a:ext cx="4319270" cy="4319270"/>
                    </a:xfrm>
                    <a:prstGeom prst="rect">
                      <a:avLst/>
                    </a:prstGeom>
                  </pic:spPr>
                </pic:pic>
              </a:graphicData>
            </a:graphic>
          </wp:inline>
        </w:drawing>
      </w:r>
    </w:p>
    <w:p>
      <w:pPr>
        <w:widowControl/>
        <w:jc w:val="left"/>
        <w:rPr>
          <w:rFonts w:ascii="Times New Roman" w:hAnsi="Times New Roman" w:cs="Times New Roman"/>
          <w:b/>
          <w:bCs/>
          <w:sz w:val="20"/>
          <w:szCs w:val="20"/>
        </w:rPr>
      </w:pPr>
      <w:r>
        <w:rPr>
          <w:rFonts w:ascii="Times New Roman" w:hAnsi="Times New Roman" w:cs="Times New Roman"/>
          <w:bCs/>
          <w:sz w:val="20"/>
          <w:szCs w:val="20"/>
        </w:rPr>
        <w:t>The observed 10-year probability of GC with 95% CIs was estimated by the Kaplan-Meier method within deciles of GCRS-based model predicted probability in the CKB cohort (A) and Changzhou cohort (</w:t>
      </w:r>
      <w:r>
        <w:rPr>
          <w:rFonts w:hint="eastAsia" w:ascii="Times New Roman" w:hAnsi="Times New Roman" w:cs="Times New Roman"/>
          <w:bCs/>
          <w:sz w:val="20"/>
          <w:szCs w:val="20"/>
          <w:lang w:val="en-US" w:eastAsia="zh-CN"/>
        </w:rPr>
        <w:t>C</w:t>
      </w:r>
      <w:r>
        <w:rPr>
          <w:rFonts w:ascii="Times New Roman" w:hAnsi="Times New Roman" w:cs="Times New Roman"/>
          <w:bCs/>
          <w:sz w:val="20"/>
          <w:szCs w:val="20"/>
        </w:rPr>
        <w:t>)</w:t>
      </w:r>
      <w:r>
        <w:rPr>
          <w:rFonts w:hint="eastAsia" w:ascii="Times New Roman" w:hAnsi="Times New Roman" w:cs="Times New Roman"/>
          <w:bCs/>
          <w:sz w:val="20"/>
          <w:szCs w:val="20"/>
        </w:rPr>
        <w:t xml:space="preserve"> after excluding participants who had GC diagnosis within the first year after recruitment</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ascii="Times New Roman" w:hAnsi="Times New Roman" w:cs="Times New Roman"/>
          <w:i/>
          <w:sz w:val="20"/>
          <w:szCs w:val="20"/>
        </w:rPr>
        <w:t>R</w:t>
      </w:r>
      <w:r>
        <w:rPr>
          <w:rFonts w:ascii="Times New Roman" w:hAnsi="Times New Roman" w:cs="Times New Roman"/>
          <w:i/>
          <w:sz w:val="20"/>
          <w:szCs w:val="20"/>
          <w:vertAlign w:val="superscript"/>
        </w:rPr>
        <w:t>2</w:t>
      </w:r>
      <w:r>
        <w:rPr>
          <w:rFonts w:ascii="Times New Roman" w:hAnsi="Times New Roman" w:cs="Times New Roman"/>
          <w:sz w:val="20"/>
          <w:szCs w:val="20"/>
        </w:rPr>
        <w:t xml:space="preserve"> coefficient was </w:t>
      </w:r>
      <w:r>
        <w:rPr>
          <w:rFonts w:hint="eastAsia" w:ascii="Times New Roman" w:hAnsi="Times New Roman" w:cs="Times New Roman"/>
          <w:sz w:val="20"/>
          <w:szCs w:val="20"/>
        </w:rPr>
        <w:t>0.996</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0.9</w:t>
      </w:r>
      <w:r>
        <w:rPr>
          <w:rFonts w:hint="eastAsia" w:ascii="Times New Roman" w:hAnsi="Times New Roman" w:cs="Times New Roman"/>
          <w:sz w:val="20"/>
          <w:szCs w:val="20"/>
        </w:rPr>
        <w:t>7</w:t>
      </w:r>
      <w:r>
        <w:rPr>
          <w:rFonts w:ascii="Times New Roman" w:hAnsi="Times New Roman" w:cs="Times New Roman"/>
          <w:sz w:val="20"/>
          <w:szCs w:val="20"/>
        </w:rPr>
        <w:t>8</w:t>
      </w:r>
      <w:r>
        <w:rPr>
          <w:rFonts w:ascii="Times New Roman" w:hAnsi="Times New Roman" w:cs="Times New Roman"/>
          <w:bCs/>
          <w:sz w:val="20"/>
          <w:szCs w:val="20"/>
        </w:rPr>
        <w:t xml:space="preserve"> for the Changzhou cohort. Receiver operating characteristic curve at 10 years in the CKB cohort (</w:t>
      </w:r>
      <w:r>
        <w:rPr>
          <w:rFonts w:hint="eastAsia" w:ascii="Times New Roman" w:hAnsi="Times New Roman" w:cs="Times New Roman"/>
          <w:bCs/>
          <w:sz w:val="20"/>
          <w:szCs w:val="20"/>
          <w:lang w:val="en-US" w:eastAsia="zh-CN"/>
        </w:rPr>
        <w:t>B</w:t>
      </w:r>
      <w:r>
        <w:rPr>
          <w:rFonts w:ascii="Times New Roman" w:hAnsi="Times New Roman" w:cs="Times New Roman"/>
          <w:bCs/>
          <w:sz w:val="20"/>
          <w:szCs w:val="20"/>
        </w:rPr>
        <w:t>) and Changzhou cohort (</w:t>
      </w:r>
      <w:r>
        <w:rPr>
          <w:rFonts w:ascii="Times New Roman" w:hAnsi="Times New Roman" w:cs="Times New Roman"/>
          <w:sz w:val="20"/>
          <w:szCs w:val="20"/>
        </w:rPr>
        <w:t>D</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hint="eastAsia" w:ascii="Times New Roman" w:hAnsi="Times New Roman" w:cs="Times New Roman"/>
          <w:sz w:val="20"/>
          <w:szCs w:val="20"/>
        </w:rPr>
        <w:t>Harrell</w:t>
      </w:r>
      <w:r>
        <w:rPr>
          <w:rFonts w:ascii="Times New Roman" w:hAnsi="Times New Roman" w:cs="Times New Roman"/>
          <w:sz w:val="20"/>
          <w:szCs w:val="20"/>
        </w:rPr>
        <w:t>’</w:t>
      </w:r>
      <w:r>
        <w:rPr>
          <w:rFonts w:hint="eastAsia" w:ascii="Times New Roman" w:hAnsi="Times New Roman" w:cs="Times New Roman"/>
          <w:sz w:val="20"/>
          <w:szCs w:val="20"/>
        </w:rPr>
        <w:t>s C-index</w:t>
      </w:r>
      <w:r>
        <w:rPr>
          <w:rFonts w:ascii="Times New Roman" w:hAnsi="Times New Roman" w:cs="Times New Roman"/>
          <w:sz w:val="20"/>
          <w:szCs w:val="20"/>
        </w:rPr>
        <w:t xml:space="preserve"> was </w:t>
      </w:r>
      <w:r>
        <w:rPr>
          <w:rFonts w:hint="eastAsia" w:ascii="Times New Roman" w:hAnsi="Times New Roman" w:cs="Times New Roman"/>
          <w:sz w:val="20"/>
          <w:szCs w:val="20"/>
        </w:rPr>
        <w:t>0.750 [0.741-0.759]</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hint="eastAsia" w:ascii="Times New Roman" w:hAnsi="Times New Roman" w:cs="Times New Roman"/>
          <w:sz w:val="20"/>
          <w:szCs w:val="20"/>
        </w:rPr>
        <w:t>0.733 [0.707-0.760]</w:t>
      </w:r>
      <w:r>
        <w:rPr>
          <w:rFonts w:ascii="Times New Roman" w:hAnsi="Times New Roman" w:cs="Times New Roman"/>
          <w:bCs/>
          <w:sz w:val="20"/>
          <w:szCs w:val="20"/>
        </w:rPr>
        <w:t xml:space="preserve"> for the Changzhou cohort. GCRS, gastric cancer risk score. CKB, China Kadoorie Biobank.</w:t>
      </w:r>
    </w:p>
    <w:p>
      <w:pPr>
        <w:widowControl/>
        <w:jc w:val="left"/>
        <w:rPr>
          <w:rFonts w:ascii="Times New Roman" w:hAnsi="Times New Roman" w:cs="Times New Roman"/>
          <w:b/>
          <w:bCs/>
          <w:sz w:val="20"/>
          <w:szCs w:val="20"/>
        </w:rPr>
      </w:pPr>
    </w:p>
    <w:p>
      <w:pPr>
        <w:widowControl/>
        <w:jc w:val="left"/>
        <w:rPr>
          <w:rFonts w:ascii="Times New Roman" w:hAnsi="Times New Roman" w:cs="Times New Roman"/>
          <w:b/>
          <w:bCs/>
          <w:sz w:val="20"/>
          <w:szCs w:val="20"/>
        </w:rPr>
        <w:sectPr>
          <w:pgSz w:w="11906" w:h="16838"/>
          <w:pgMar w:top="1440" w:right="1440" w:bottom="1440" w:left="1440" w:header="851" w:footer="992" w:gutter="0"/>
          <w:cols w:space="0" w:num="1"/>
          <w:docGrid w:type="lines" w:linePitch="312" w:charSpace="0"/>
        </w:sectPr>
      </w:pPr>
    </w:p>
    <w:p>
      <w:pPr>
        <w:widowControl/>
        <w:jc w:val="left"/>
        <w:rPr>
          <w:rFonts w:ascii="Times New Roman" w:hAnsi="Times New Roman" w:cs="Times New Roman"/>
          <w:b/>
          <w:bCs/>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w:t>
      </w:r>
      <w:r>
        <w:rPr>
          <w:rFonts w:hint="eastAsia" w:ascii="Times New Roman" w:hAnsi="Times New Roman" w:cs="Times New Roman"/>
          <w:b/>
          <w:bCs/>
          <w:sz w:val="20"/>
          <w:szCs w:val="20"/>
        </w:rPr>
        <w:t>7</w:t>
      </w:r>
      <w:r>
        <w:rPr>
          <w:rFonts w:ascii="Times New Roman" w:hAnsi="Times New Roman" w:cs="Times New Roman"/>
          <w:b/>
          <w:bCs/>
          <w:sz w:val="20"/>
          <w:szCs w:val="20"/>
        </w:rPr>
        <w:t xml:space="preserve">. Calibration and discrimination of the GCRS </w:t>
      </w:r>
      <w:r>
        <w:rPr>
          <w:rFonts w:hint="eastAsia" w:ascii="Times New Roman" w:hAnsi="Times New Roman" w:eastAsia="宋体" w:cs="Times New Roman"/>
          <w:b/>
          <w:bCs/>
          <w:kern w:val="0"/>
          <w:sz w:val="20"/>
          <w:szCs w:val="21"/>
        </w:rPr>
        <w:t xml:space="preserve">in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 xml:space="preserve">ensitivity analysis 4: </w:t>
      </w:r>
      <w:r>
        <w:rPr>
          <w:rFonts w:ascii="Times New Roman" w:hAnsi="Times New Roman" w:cs="Times New Roman"/>
          <w:b/>
          <w:bCs/>
          <w:sz w:val="20"/>
          <w:szCs w:val="20"/>
        </w:rPr>
        <w:t>excluding participants who had cancer at baseline</w:t>
      </w:r>
    </w:p>
    <w:p>
      <w:pPr>
        <w:widowControl/>
        <w:jc w:val="cente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4319270" cy="4319270"/>
            <wp:effectExtent l="0" t="0" r="8890" b="8890"/>
            <wp:docPr id="8" name="图片 8"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7"/>
                    <pic:cNvPicPr>
                      <a:picLocks noChangeAspect="1"/>
                    </pic:cNvPicPr>
                  </pic:nvPicPr>
                  <pic:blipFill>
                    <a:blip r:embed="rId12"/>
                    <a:stretch>
                      <a:fillRect/>
                    </a:stretch>
                  </pic:blipFill>
                  <pic:spPr>
                    <a:xfrm>
                      <a:off x="0" y="0"/>
                      <a:ext cx="4319270" cy="4319270"/>
                    </a:xfrm>
                    <a:prstGeom prst="rect">
                      <a:avLst/>
                    </a:prstGeom>
                  </pic:spPr>
                </pic:pic>
              </a:graphicData>
            </a:graphic>
          </wp:inline>
        </w:drawing>
      </w:r>
    </w:p>
    <w:p>
      <w:pPr>
        <w:widowControl/>
        <w:jc w:val="left"/>
        <w:rPr>
          <w:rFonts w:ascii="Times New Roman" w:hAnsi="Times New Roman" w:cs="Times New Roman"/>
          <w:b/>
          <w:bCs/>
          <w:sz w:val="20"/>
          <w:szCs w:val="20"/>
        </w:rPr>
      </w:pPr>
      <w:r>
        <w:rPr>
          <w:rFonts w:ascii="Times New Roman" w:hAnsi="Times New Roman" w:cs="Times New Roman"/>
          <w:bCs/>
          <w:sz w:val="20"/>
          <w:szCs w:val="20"/>
        </w:rPr>
        <w:t>The observed 10-year probability of GC with 95% CIs was estimated by the Kaplan-Meier method within deciles of GCRS-based model predicted probability in the CKB cohort (A) and Changzhou cohort (</w:t>
      </w:r>
      <w:r>
        <w:rPr>
          <w:rFonts w:hint="eastAsia" w:ascii="Times New Roman" w:hAnsi="Times New Roman" w:cs="Times New Roman"/>
          <w:bCs/>
          <w:sz w:val="20"/>
          <w:szCs w:val="20"/>
          <w:lang w:val="en-US" w:eastAsia="zh-CN"/>
        </w:rPr>
        <w:t>C</w:t>
      </w:r>
      <w:r>
        <w:rPr>
          <w:rFonts w:ascii="Times New Roman" w:hAnsi="Times New Roman" w:cs="Times New Roman"/>
          <w:bCs/>
          <w:sz w:val="20"/>
          <w:szCs w:val="20"/>
        </w:rPr>
        <w:t>)</w:t>
      </w:r>
      <w:r>
        <w:rPr>
          <w:rFonts w:hint="eastAsia" w:ascii="Times New Roman" w:hAnsi="Times New Roman" w:cs="Times New Roman"/>
          <w:bCs/>
          <w:sz w:val="20"/>
          <w:szCs w:val="20"/>
        </w:rPr>
        <w:t xml:space="preserve"> after excluding participants who had cancer at baseline</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ascii="Times New Roman" w:hAnsi="Times New Roman" w:cs="Times New Roman"/>
          <w:i/>
          <w:sz w:val="20"/>
          <w:szCs w:val="20"/>
        </w:rPr>
        <w:t>R</w:t>
      </w:r>
      <w:r>
        <w:rPr>
          <w:rFonts w:ascii="Times New Roman" w:hAnsi="Times New Roman" w:cs="Times New Roman"/>
          <w:i/>
          <w:sz w:val="20"/>
          <w:szCs w:val="20"/>
          <w:vertAlign w:val="superscript"/>
        </w:rPr>
        <w:t>2</w:t>
      </w:r>
      <w:r>
        <w:rPr>
          <w:rFonts w:ascii="Times New Roman" w:hAnsi="Times New Roman" w:cs="Times New Roman"/>
          <w:sz w:val="20"/>
          <w:szCs w:val="20"/>
        </w:rPr>
        <w:t xml:space="preserve"> coefficient was 0.99</w:t>
      </w:r>
      <w:r>
        <w:rPr>
          <w:rFonts w:hint="eastAsia" w:ascii="Times New Roman" w:hAnsi="Times New Roman" w:cs="Times New Roman"/>
          <w:sz w:val="20"/>
          <w:szCs w:val="20"/>
        </w:rPr>
        <w:t>8</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0.9</w:t>
      </w:r>
      <w:r>
        <w:rPr>
          <w:rFonts w:hint="eastAsia" w:ascii="Times New Roman" w:hAnsi="Times New Roman" w:cs="Times New Roman"/>
          <w:sz w:val="20"/>
          <w:szCs w:val="20"/>
        </w:rPr>
        <w:t>78</w:t>
      </w:r>
      <w:r>
        <w:rPr>
          <w:rFonts w:ascii="Times New Roman" w:hAnsi="Times New Roman" w:cs="Times New Roman"/>
          <w:bCs/>
          <w:sz w:val="20"/>
          <w:szCs w:val="20"/>
        </w:rPr>
        <w:t xml:space="preserve"> for the Changzhou cohort. Receiver operating characteristic curve at 10 years in the CKB cohort (</w:t>
      </w:r>
      <w:r>
        <w:rPr>
          <w:rFonts w:hint="eastAsia" w:ascii="Times New Roman" w:hAnsi="Times New Roman" w:cs="Times New Roman"/>
          <w:bCs/>
          <w:sz w:val="20"/>
          <w:szCs w:val="20"/>
          <w:lang w:val="en-US" w:eastAsia="zh-CN"/>
        </w:rPr>
        <w:t>B</w:t>
      </w:r>
      <w:r>
        <w:rPr>
          <w:rFonts w:ascii="Times New Roman" w:hAnsi="Times New Roman" w:cs="Times New Roman"/>
          <w:bCs/>
          <w:sz w:val="20"/>
          <w:szCs w:val="20"/>
        </w:rPr>
        <w:t>) and Changzhou cohort (</w:t>
      </w:r>
      <w:r>
        <w:rPr>
          <w:rFonts w:ascii="Times New Roman" w:hAnsi="Times New Roman" w:cs="Times New Roman"/>
          <w:sz w:val="20"/>
          <w:szCs w:val="20"/>
        </w:rPr>
        <w:t>D</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hint="eastAsia" w:ascii="Times New Roman" w:hAnsi="Times New Roman" w:cs="Times New Roman"/>
          <w:sz w:val="20"/>
          <w:szCs w:val="20"/>
        </w:rPr>
        <w:t>Harrell</w:t>
      </w:r>
      <w:r>
        <w:rPr>
          <w:rFonts w:ascii="Times New Roman" w:hAnsi="Times New Roman" w:cs="Times New Roman"/>
          <w:sz w:val="20"/>
          <w:szCs w:val="20"/>
        </w:rPr>
        <w:t>’</w:t>
      </w:r>
      <w:r>
        <w:rPr>
          <w:rFonts w:hint="eastAsia" w:ascii="Times New Roman" w:hAnsi="Times New Roman" w:cs="Times New Roman"/>
          <w:sz w:val="20"/>
          <w:szCs w:val="20"/>
        </w:rPr>
        <w:t>s C-index</w:t>
      </w:r>
      <w:r>
        <w:rPr>
          <w:rFonts w:ascii="Times New Roman" w:hAnsi="Times New Roman" w:cs="Times New Roman"/>
          <w:sz w:val="20"/>
          <w:szCs w:val="20"/>
        </w:rPr>
        <w:t xml:space="preserve"> was 0.7</w:t>
      </w:r>
      <w:r>
        <w:rPr>
          <w:rFonts w:hint="eastAsia" w:ascii="Times New Roman" w:hAnsi="Times New Roman" w:cs="Times New Roman"/>
          <w:sz w:val="20"/>
          <w:szCs w:val="20"/>
        </w:rPr>
        <w:t>53</w:t>
      </w:r>
      <w:r>
        <w:rPr>
          <w:rFonts w:ascii="Times New Roman" w:hAnsi="Times New Roman" w:cs="Times New Roman"/>
          <w:sz w:val="20"/>
          <w:szCs w:val="20"/>
        </w:rPr>
        <w:t xml:space="preserve"> [0.7</w:t>
      </w:r>
      <w:r>
        <w:rPr>
          <w:rFonts w:hint="eastAsia" w:ascii="Times New Roman" w:hAnsi="Times New Roman" w:cs="Times New Roman"/>
          <w:sz w:val="20"/>
          <w:szCs w:val="20"/>
        </w:rPr>
        <w:t>44</w:t>
      </w:r>
      <w:r>
        <w:rPr>
          <w:rFonts w:ascii="Times New Roman" w:hAnsi="Times New Roman" w:cs="Times New Roman"/>
          <w:sz w:val="20"/>
          <w:szCs w:val="20"/>
        </w:rPr>
        <w:t>-0.7</w:t>
      </w:r>
      <w:r>
        <w:rPr>
          <w:rFonts w:hint="eastAsia" w:ascii="Times New Roman" w:hAnsi="Times New Roman" w:cs="Times New Roman"/>
          <w:sz w:val="20"/>
          <w:szCs w:val="20"/>
        </w:rPr>
        <w:t>61</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0.7</w:t>
      </w:r>
      <w:r>
        <w:rPr>
          <w:rFonts w:hint="eastAsia" w:ascii="Times New Roman" w:hAnsi="Times New Roman" w:cs="Times New Roman"/>
          <w:sz w:val="20"/>
          <w:szCs w:val="20"/>
        </w:rPr>
        <w:t>36</w:t>
      </w:r>
      <w:r>
        <w:rPr>
          <w:rFonts w:ascii="Times New Roman" w:hAnsi="Times New Roman" w:cs="Times New Roman"/>
          <w:sz w:val="20"/>
          <w:szCs w:val="20"/>
        </w:rPr>
        <w:t xml:space="preserve"> [0.7</w:t>
      </w:r>
      <w:r>
        <w:rPr>
          <w:rFonts w:hint="eastAsia" w:ascii="Times New Roman" w:hAnsi="Times New Roman" w:cs="Times New Roman"/>
          <w:sz w:val="20"/>
          <w:szCs w:val="20"/>
        </w:rPr>
        <w:t>10</w:t>
      </w:r>
      <w:r>
        <w:rPr>
          <w:rFonts w:ascii="Times New Roman" w:hAnsi="Times New Roman" w:cs="Times New Roman"/>
          <w:sz w:val="20"/>
          <w:szCs w:val="20"/>
        </w:rPr>
        <w:t>-0.</w:t>
      </w:r>
      <w:r>
        <w:rPr>
          <w:rFonts w:hint="eastAsia" w:ascii="Times New Roman" w:hAnsi="Times New Roman" w:cs="Times New Roman"/>
          <w:sz w:val="20"/>
          <w:szCs w:val="20"/>
        </w:rPr>
        <w:t>762</w:t>
      </w:r>
      <w:r>
        <w:rPr>
          <w:rFonts w:ascii="Times New Roman" w:hAnsi="Times New Roman" w:cs="Times New Roman"/>
          <w:sz w:val="20"/>
          <w:szCs w:val="20"/>
        </w:rPr>
        <w:t>]</w:t>
      </w:r>
      <w:r>
        <w:rPr>
          <w:rFonts w:ascii="Times New Roman" w:hAnsi="Times New Roman" w:cs="Times New Roman"/>
          <w:bCs/>
          <w:sz w:val="20"/>
          <w:szCs w:val="20"/>
        </w:rPr>
        <w:t xml:space="preserve"> for the Changzhou cohort. GCRS, gastric cancer risk score. CKB, China Kadoorie Biobank.</w:t>
      </w:r>
    </w:p>
    <w:p>
      <w:pPr>
        <w:widowControl/>
        <w:jc w:val="left"/>
        <w:rPr>
          <w:rFonts w:ascii="Times New Roman" w:hAnsi="Times New Roman" w:cs="Times New Roman"/>
          <w:b/>
          <w:bCs/>
          <w:sz w:val="20"/>
          <w:szCs w:val="20"/>
        </w:rPr>
      </w:pPr>
    </w:p>
    <w:p>
      <w:pPr>
        <w:widowControl/>
        <w:jc w:val="left"/>
        <w:rPr>
          <w:rFonts w:ascii="Times New Roman" w:hAnsi="Times New Roman" w:cs="Times New Roman"/>
          <w:b/>
          <w:bCs/>
          <w:sz w:val="20"/>
          <w:szCs w:val="20"/>
        </w:rPr>
        <w:sectPr>
          <w:pgSz w:w="11906" w:h="16838"/>
          <w:pgMar w:top="1440" w:right="1440" w:bottom="1440" w:left="1440" w:header="851" w:footer="992" w:gutter="0"/>
          <w:cols w:space="0" w:num="1"/>
          <w:docGrid w:type="lines" w:linePitch="312" w:charSpace="0"/>
        </w:sectPr>
      </w:pPr>
    </w:p>
    <w:p>
      <w:pPr>
        <w:widowControl/>
        <w:jc w:val="left"/>
        <w:rPr>
          <w:rFonts w:ascii="Times New Roman" w:hAnsi="Times New Roman" w:cs="Times New Roman"/>
          <w:b/>
          <w:bCs/>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lang w:val="en-US" w:eastAsia="zh-CN"/>
        </w:rPr>
        <w:t>.</w:t>
      </w:r>
      <w:r>
        <w:rPr>
          <w:rFonts w:ascii="Times New Roman" w:hAnsi="Times New Roman" w:cs="Times New Roman"/>
          <w:b/>
          <w:bCs/>
          <w:sz w:val="20"/>
          <w:szCs w:val="20"/>
        </w:rPr>
        <w:t xml:space="preserve"> S</w:t>
      </w:r>
      <w:r>
        <w:rPr>
          <w:rFonts w:hint="eastAsia" w:ascii="Times New Roman" w:hAnsi="Times New Roman" w:cs="Times New Roman"/>
          <w:b/>
          <w:bCs/>
          <w:sz w:val="20"/>
          <w:szCs w:val="20"/>
        </w:rPr>
        <w:t>8</w:t>
      </w:r>
      <w:r>
        <w:rPr>
          <w:rFonts w:ascii="Times New Roman" w:hAnsi="Times New Roman" w:cs="Times New Roman"/>
          <w:b/>
          <w:bCs/>
          <w:sz w:val="20"/>
          <w:szCs w:val="20"/>
        </w:rPr>
        <w:t xml:space="preserve">. Calibration and discrimination of the GCRS </w:t>
      </w:r>
      <w:r>
        <w:rPr>
          <w:rFonts w:hint="eastAsia" w:ascii="Times New Roman" w:hAnsi="Times New Roman" w:cs="Times New Roman"/>
          <w:b/>
          <w:bCs/>
          <w:sz w:val="20"/>
          <w:szCs w:val="20"/>
        </w:rPr>
        <w:t>in</w:t>
      </w:r>
      <w:r>
        <w:rPr>
          <w:rFonts w:ascii="Times New Roman" w:hAnsi="Times New Roman" w:cs="Times New Roman"/>
          <w:b/>
          <w:bCs/>
          <w:sz w:val="20"/>
          <w:szCs w:val="20"/>
        </w:rPr>
        <w:t xml:space="preserve"> </w:t>
      </w:r>
      <w:r>
        <w:rPr>
          <w:rFonts w:ascii="Times New Roman" w:hAnsi="Times New Roman" w:eastAsia="宋体" w:cs="Times New Roman"/>
          <w:b/>
          <w:bCs/>
          <w:kern w:val="0"/>
          <w:sz w:val="20"/>
          <w:szCs w:val="21"/>
        </w:rPr>
        <w:t>s</w:t>
      </w:r>
      <w:r>
        <w:rPr>
          <w:rFonts w:hint="eastAsia" w:ascii="Times New Roman" w:hAnsi="Times New Roman" w:eastAsia="宋体" w:cs="Times New Roman"/>
          <w:b/>
          <w:bCs/>
          <w:kern w:val="0"/>
          <w:sz w:val="20"/>
          <w:szCs w:val="21"/>
        </w:rPr>
        <w:t>ensitivity analysis 5:</w:t>
      </w:r>
      <w:r>
        <w:rPr>
          <w:rFonts w:ascii="Times New Roman" w:hAnsi="Times New Roman" w:cs="Times New Roman"/>
          <w:b/>
          <w:bCs/>
          <w:sz w:val="20"/>
          <w:szCs w:val="20"/>
        </w:rPr>
        <w:t xml:space="preserve"> competing risk model</w:t>
      </w:r>
    </w:p>
    <w:p>
      <w:pPr>
        <w:widowControl/>
        <w:jc w:val="center"/>
        <w:rPr>
          <w:rFonts w:ascii="Times New Roman" w:hAnsi="Times New Roman" w:cs="Times New Roman"/>
          <w:b/>
          <w:bCs/>
          <w:sz w:val="20"/>
          <w:szCs w:val="20"/>
        </w:rPr>
      </w:pPr>
      <w:r>
        <w:rPr>
          <w:rFonts w:hint="eastAsia" w:ascii="Times New Roman" w:hAnsi="Times New Roman" w:cs="Times New Roman"/>
          <w:b/>
          <w:bCs/>
          <w:sz w:val="20"/>
          <w:szCs w:val="20"/>
        </w:rPr>
        <w:drawing>
          <wp:inline distT="0" distB="0" distL="114300" distR="114300">
            <wp:extent cx="4319270" cy="4319270"/>
            <wp:effectExtent l="0" t="0" r="8890" b="8890"/>
            <wp:docPr id="9" name="图片 9"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8"/>
                    <pic:cNvPicPr>
                      <a:picLocks noChangeAspect="1"/>
                    </pic:cNvPicPr>
                  </pic:nvPicPr>
                  <pic:blipFill>
                    <a:blip r:embed="rId13"/>
                    <a:stretch>
                      <a:fillRect/>
                    </a:stretch>
                  </pic:blipFill>
                  <pic:spPr>
                    <a:xfrm>
                      <a:off x="0" y="0"/>
                      <a:ext cx="4319270" cy="4319270"/>
                    </a:xfrm>
                    <a:prstGeom prst="rect">
                      <a:avLst/>
                    </a:prstGeom>
                  </pic:spPr>
                </pic:pic>
              </a:graphicData>
            </a:graphic>
          </wp:inline>
        </w:drawing>
      </w:r>
    </w:p>
    <w:p>
      <w:pPr>
        <w:widowControl/>
        <w:jc w:val="left"/>
      </w:pPr>
      <w:r>
        <w:rPr>
          <w:rFonts w:ascii="Times New Roman" w:hAnsi="Times New Roman" w:cs="Times New Roman"/>
          <w:bCs/>
          <w:sz w:val="20"/>
          <w:szCs w:val="20"/>
        </w:rPr>
        <w:t>The observed 10-year probability of GC with 95% CIs was estimated by the Kaplan-Meier method within deciles of GCRS-based model predicted probability in the CKB cohort (A) and Changzhou cohort (</w:t>
      </w:r>
      <w:r>
        <w:rPr>
          <w:rFonts w:hint="eastAsia" w:ascii="Times New Roman" w:hAnsi="Times New Roman" w:cs="Times New Roman"/>
          <w:bCs/>
          <w:sz w:val="20"/>
          <w:szCs w:val="20"/>
          <w:lang w:val="en-US" w:eastAsia="zh-CN"/>
        </w:rPr>
        <w:t>C</w:t>
      </w:r>
      <w:r>
        <w:rPr>
          <w:rFonts w:ascii="Times New Roman" w:hAnsi="Times New Roman" w:cs="Times New Roman"/>
          <w:bCs/>
          <w:sz w:val="20"/>
          <w:szCs w:val="20"/>
        </w:rPr>
        <w:t>)</w:t>
      </w:r>
      <w:r>
        <w:rPr>
          <w:rFonts w:hint="eastAsia" w:ascii="Times New Roman" w:hAnsi="Times New Roman" w:cs="Times New Roman"/>
          <w:bCs/>
          <w:sz w:val="20"/>
          <w:szCs w:val="20"/>
        </w:rPr>
        <w:t xml:space="preserve"> in the competing risk model</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ascii="Times New Roman" w:hAnsi="Times New Roman" w:cs="Times New Roman"/>
          <w:i/>
          <w:sz w:val="20"/>
          <w:szCs w:val="20"/>
        </w:rPr>
        <w:t>R</w:t>
      </w:r>
      <w:r>
        <w:rPr>
          <w:rFonts w:ascii="Times New Roman" w:hAnsi="Times New Roman" w:cs="Times New Roman"/>
          <w:i/>
          <w:sz w:val="20"/>
          <w:szCs w:val="20"/>
          <w:vertAlign w:val="superscript"/>
        </w:rPr>
        <w:t>2</w:t>
      </w:r>
      <w:r>
        <w:rPr>
          <w:rFonts w:ascii="Times New Roman" w:hAnsi="Times New Roman" w:cs="Times New Roman"/>
          <w:sz w:val="20"/>
          <w:szCs w:val="20"/>
        </w:rPr>
        <w:t xml:space="preserve"> coefficient was 0.99</w:t>
      </w:r>
      <w:r>
        <w:rPr>
          <w:rFonts w:hint="eastAsia" w:ascii="Times New Roman" w:hAnsi="Times New Roman" w:cs="Times New Roman"/>
          <w:sz w:val="20"/>
          <w:szCs w:val="20"/>
        </w:rPr>
        <w:t>7</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0.9</w:t>
      </w:r>
      <w:r>
        <w:rPr>
          <w:rFonts w:hint="eastAsia" w:ascii="Times New Roman" w:hAnsi="Times New Roman" w:cs="Times New Roman"/>
          <w:sz w:val="20"/>
          <w:szCs w:val="20"/>
        </w:rPr>
        <w:t>63</w:t>
      </w:r>
      <w:r>
        <w:rPr>
          <w:rFonts w:ascii="Times New Roman" w:hAnsi="Times New Roman" w:cs="Times New Roman"/>
          <w:bCs/>
          <w:sz w:val="20"/>
          <w:szCs w:val="20"/>
        </w:rPr>
        <w:t xml:space="preserve"> for the Changzhou cohort. Receiver operating characteristic curve at 10 years in the CKB cohort (</w:t>
      </w:r>
      <w:r>
        <w:rPr>
          <w:rFonts w:hint="eastAsia" w:ascii="Times New Roman" w:hAnsi="Times New Roman" w:cs="Times New Roman"/>
          <w:bCs/>
          <w:sz w:val="20"/>
          <w:szCs w:val="20"/>
          <w:lang w:val="en-US" w:eastAsia="zh-CN"/>
        </w:rPr>
        <w:t>B</w:t>
      </w:r>
      <w:r>
        <w:rPr>
          <w:rFonts w:ascii="Times New Roman" w:hAnsi="Times New Roman" w:cs="Times New Roman"/>
          <w:bCs/>
          <w:sz w:val="20"/>
          <w:szCs w:val="20"/>
        </w:rPr>
        <w:t>) and Changzhou cohort (</w:t>
      </w:r>
      <w:r>
        <w:rPr>
          <w:rFonts w:ascii="Times New Roman" w:hAnsi="Times New Roman" w:cs="Times New Roman"/>
          <w:sz w:val="20"/>
          <w:szCs w:val="20"/>
        </w:rPr>
        <w:t>D</w:t>
      </w:r>
      <w:r>
        <w:rPr>
          <w:rFonts w:ascii="Times New Roman" w:hAnsi="Times New Roman" w:cs="Times New Roman"/>
          <w:bCs/>
          <w:sz w:val="20"/>
          <w:szCs w:val="20"/>
        </w:rPr>
        <w:t>).</w:t>
      </w:r>
      <w:r>
        <w:rPr>
          <w:rFonts w:ascii="Times New Roman" w:hAnsi="Times New Roman" w:cs="Times New Roman"/>
          <w:sz w:val="20"/>
          <w:szCs w:val="20"/>
        </w:rPr>
        <w:t xml:space="preserve"> The </w:t>
      </w:r>
      <w:r>
        <w:rPr>
          <w:rFonts w:hint="eastAsia" w:ascii="Times New Roman" w:hAnsi="Times New Roman" w:cs="Times New Roman"/>
          <w:sz w:val="20"/>
          <w:szCs w:val="20"/>
        </w:rPr>
        <w:t>Harrell</w:t>
      </w:r>
      <w:r>
        <w:rPr>
          <w:rFonts w:ascii="Times New Roman" w:hAnsi="Times New Roman" w:cs="Times New Roman"/>
          <w:sz w:val="20"/>
          <w:szCs w:val="20"/>
        </w:rPr>
        <w:t>’</w:t>
      </w:r>
      <w:r>
        <w:rPr>
          <w:rFonts w:hint="eastAsia" w:ascii="Times New Roman" w:hAnsi="Times New Roman" w:cs="Times New Roman"/>
          <w:sz w:val="20"/>
          <w:szCs w:val="20"/>
        </w:rPr>
        <w:t>s C-index</w:t>
      </w:r>
      <w:r>
        <w:rPr>
          <w:rFonts w:ascii="Times New Roman" w:hAnsi="Times New Roman" w:cs="Times New Roman"/>
          <w:sz w:val="20"/>
          <w:szCs w:val="20"/>
        </w:rPr>
        <w:t xml:space="preserve"> was 0.7</w:t>
      </w:r>
      <w:r>
        <w:rPr>
          <w:rFonts w:hint="eastAsia" w:ascii="Times New Roman" w:hAnsi="Times New Roman" w:cs="Times New Roman"/>
          <w:sz w:val="20"/>
          <w:szCs w:val="20"/>
        </w:rPr>
        <w:t>54</w:t>
      </w:r>
      <w:r>
        <w:rPr>
          <w:rFonts w:ascii="Times New Roman" w:hAnsi="Times New Roman" w:cs="Times New Roman"/>
          <w:sz w:val="20"/>
          <w:szCs w:val="20"/>
        </w:rPr>
        <w:t xml:space="preserve"> [0.7</w:t>
      </w:r>
      <w:r>
        <w:rPr>
          <w:rFonts w:hint="eastAsia" w:ascii="Times New Roman" w:hAnsi="Times New Roman" w:cs="Times New Roman"/>
          <w:sz w:val="20"/>
          <w:szCs w:val="20"/>
        </w:rPr>
        <w:t>45</w:t>
      </w:r>
      <w:r>
        <w:rPr>
          <w:rFonts w:ascii="Times New Roman" w:hAnsi="Times New Roman" w:cs="Times New Roman"/>
          <w:sz w:val="20"/>
          <w:szCs w:val="20"/>
        </w:rPr>
        <w:t>-0.7</w:t>
      </w:r>
      <w:r>
        <w:rPr>
          <w:rFonts w:hint="eastAsia" w:ascii="Times New Roman" w:hAnsi="Times New Roman" w:cs="Times New Roman"/>
          <w:sz w:val="20"/>
          <w:szCs w:val="20"/>
        </w:rPr>
        <w:t>62</w:t>
      </w:r>
      <w:r>
        <w:rPr>
          <w:rFonts w:ascii="Times New Roman" w:hAnsi="Times New Roman" w:cs="Times New Roman"/>
          <w:sz w:val="20"/>
          <w:szCs w:val="20"/>
        </w:rPr>
        <w:t xml:space="preserve">] </w:t>
      </w:r>
      <w:r>
        <w:rPr>
          <w:rFonts w:ascii="Times New Roman" w:hAnsi="Times New Roman" w:cs="Times New Roman"/>
          <w:bCs/>
          <w:sz w:val="20"/>
          <w:szCs w:val="20"/>
        </w:rPr>
        <w:t xml:space="preserve">for the CKB cohort and </w:t>
      </w:r>
      <w:r>
        <w:rPr>
          <w:rFonts w:ascii="Times New Roman" w:hAnsi="Times New Roman" w:cs="Times New Roman"/>
          <w:sz w:val="20"/>
          <w:szCs w:val="20"/>
        </w:rPr>
        <w:t>0.7</w:t>
      </w:r>
      <w:r>
        <w:rPr>
          <w:rFonts w:hint="eastAsia" w:ascii="Times New Roman" w:hAnsi="Times New Roman" w:cs="Times New Roman"/>
          <w:sz w:val="20"/>
          <w:szCs w:val="20"/>
        </w:rPr>
        <w:t>36</w:t>
      </w:r>
      <w:r>
        <w:rPr>
          <w:rFonts w:ascii="Times New Roman" w:hAnsi="Times New Roman" w:cs="Times New Roman"/>
          <w:sz w:val="20"/>
          <w:szCs w:val="20"/>
        </w:rPr>
        <w:t xml:space="preserve"> [0.7</w:t>
      </w:r>
      <w:r>
        <w:rPr>
          <w:rFonts w:hint="eastAsia" w:ascii="Times New Roman" w:hAnsi="Times New Roman" w:cs="Times New Roman"/>
          <w:sz w:val="20"/>
          <w:szCs w:val="20"/>
        </w:rPr>
        <w:t>10</w:t>
      </w:r>
      <w:r>
        <w:rPr>
          <w:rFonts w:ascii="Times New Roman" w:hAnsi="Times New Roman" w:cs="Times New Roman"/>
          <w:sz w:val="20"/>
          <w:szCs w:val="20"/>
        </w:rPr>
        <w:t>-0.</w:t>
      </w:r>
      <w:r>
        <w:rPr>
          <w:rFonts w:hint="eastAsia" w:ascii="Times New Roman" w:hAnsi="Times New Roman" w:cs="Times New Roman"/>
          <w:sz w:val="20"/>
          <w:szCs w:val="20"/>
        </w:rPr>
        <w:t>761</w:t>
      </w:r>
      <w:r>
        <w:rPr>
          <w:rFonts w:ascii="Times New Roman" w:hAnsi="Times New Roman" w:cs="Times New Roman"/>
          <w:sz w:val="20"/>
          <w:szCs w:val="20"/>
        </w:rPr>
        <w:t>]</w:t>
      </w:r>
      <w:r>
        <w:rPr>
          <w:rFonts w:ascii="Times New Roman" w:hAnsi="Times New Roman" w:cs="Times New Roman"/>
          <w:bCs/>
          <w:sz w:val="20"/>
          <w:szCs w:val="20"/>
        </w:rPr>
        <w:t xml:space="preserve"> for the Changzhou cohort. GCRS, gastric cancer risk score. CKB, China Kadoorie Biobank.</w:t>
      </w:r>
    </w:p>
    <w:sectPr>
      <w:pgSz w:w="11906" w:h="16838"/>
      <w:pgMar w:top="1440" w:right="1440" w:bottom="1440"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4581570"/>
    </w:sdtPr>
    <w:sdtContent>
      <w:p>
        <w:pPr>
          <w:pStyle w:val="4"/>
          <w:jc w:val="right"/>
        </w:pPr>
        <w:r>
          <w:fldChar w:fldCharType="begin"/>
        </w:r>
        <w:r>
          <w:instrText xml:space="preserve">PAGE   \* MERGEFORMAT</w:instrText>
        </w:r>
        <w:r>
          <w:fldChar w:fldCharType="separate"/>
        </w:r>
        <w:r>
          <w:rPr>
            <w:lang w:val="zh-CN"/>
          </w:rPr>
          <w:t>6</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052914"/>
    </w:sdtPr>
    <w:sdtContent>
      <w:p>
        <w:pPr>
          <w:pStyle w:val="4"/>
          <w:jc w:val="right"/>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Times New Roman&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x2padw0vxztuepfdsv2vtu5s00dffzx0wd&quot;&gt;My EndNote Library&lt;record-ids&gt;&lt;item&gt;1227&lt;/item&gt;&lt;/record-ids&gt;&lt;/item&gt;&lt;/Libraries&gt;"/>
  </w:docVars>
  <w:rsids>
    <w:rsidRoot w:val="00D33991"/>
    <w:rsid w:val="0002628B"/>
    <w:rsid w:val="0003772B"/>
    <w:rsid w:val="0004641B"/>
    <w:rsid w:val="000912BE"/>
    <w:rsid w:val="000B77AA"/>
    <w:rsid w:val="00115619"/>
    <w:rsid w:val="00193D51"/>
    <w:rsid w:val="00217E6B"/>
    <w:rsid w:val="0024282E"/>
    <w:rsid w:val="00273003"/>
    <w:rsid w:val="002B3D0D"/>
    <w:rsid w:val="002F16AF"/>
    <w:rsid w:val="0037475C"/>
    <w:rsid w:val="003D5170"/>
    <w:rsid w:val="00441B66"/>
    <w:rsid w:val="004801BD"/>
    <w:rsid w:val="00495CA1"/>
    <w:rsid w:val="00517DA9"/>
    <w:rsid w:val="00523BEE"/>
    <w:rsid w:val="005674FB"/>
    <w:rsid w:val="005E0E78"/>
    <w:rsid w:val="00705F3B"/>
    <w:rsid w:val="00782764"/>
    <w:rsid w:val="007B5B3E"/>
    <w:rsid w:val="008116F4"/>
    <w:rsid w:val="00830F0B"/>
    <w:rsid w:val="00837EA0"/>
    <w:rsid w:val="008963C7"/>
    <w:rsid w:val="008C5A84"/>
    <w:rsid w:val="00930AB4"/>
    <w:rsid w:val="00930D76"/>
    <w:rsid w:val="0095650D"/>
    <w:rsid w:val="009E067D"/>
    <w:rsid w:val="00A11700"/>
    <w:rsid w:val="00A178DB"/>
    <w:rsid w:val="00A33D73"/>
    <w:rsid w:val="00A412D4"/>
    <w:rsid w:val="00A55ACD"/>
    <w:rsid w:val="00A60FD1"/>
    <w:rsid w:val="00AD5CD9"/>
    <w:rsid w:val="00BD29AB"/>
    <w:rsid w:val="00C32E79"/>
    <w:rsid w:val="00C8435B"/>
    <w:rsid w:val="00C92F84"/>
    <w:rsid w:val="00C935F1"/>
    <w:rsid w:val="00D33991"/>
    <w:rsid w:val="00D7202E"/>
    <w:rsid w:val="00D866AB"/>
    <w:rsid w:val="00E0432E"/>
    <w:rsid w:val="00E5433D"/>
    <w:rsid w:val="00E7663E"/>
    <w:rsid w:val="00EA4BBE"/>
    <w:rsid w:val="00ED45AD"/>
    <w:rsid w:val="00F10004"/>
    <w:rsid w:val="00F17657"/>
    <w:rsid w:val="00F3430C"/>
    <w:rsid w:val="00F37E61"/>
    <w:rsid w:val="00F672C4"/>
    <w:rsid w:val="00F76C52"/>
    <w:rsid w:val="023E099E"/>
    <w:rsid w:val="028E16C7"/>
    <w:rsid w:val="04796204"/>
    <w:rsid w:val="059C5FBD"/>
    <w:rsid w:val="07FB2E30"/>
    <w:rsid w:val="08A642EF"/>
    <w:rsid w:val="1F7778EC"/>
    <w:rsid w:val="20956803"/>
    <w:rsid w:val="25C93B0B"/>
    <w:rsid w:val="28475F04"/>
    <w:rsid w:val="300054B0"/>
    <w:rsid w:val="31237CD0"/>
    <w:rsid w:val="37E90F87"/>
    <w:rsid w:val="3B9F0CD4"/>
    <w:rsid w:val="3D017F80"/>
    <w:rsid w:val="3D0A484F"/>
    <w:rsid w:val="427B2E0C"/>
    <w:rsid w:val="45345A0E"/>
    <w:rsid w:val="45731DE0"/>
    <w:rsid w:val="4CF25245"/>
    <w:rsid w:val="54014CE2"/>
    <w:rsid w:val="553C197F"/>
    <w:rsid w:val="637E461D"/>
    <w:rsid w:val="677F6A5C"/>
    <w:rsid w:val="68652B13"/>
    <w:rsid w:val="699F3677"/>
    <w:rsid w:val="69A73A4B"/>
    <w:rsid w:val="69BD1C53"/>
    <w:rsid w:val="6F2557C9"/>
    <w:rsid w:val="71C71BFC"/>
    <w:rsid w:val="741C608B"/>
    <w:rsid w:val="764E15CA"/>
    <w:rsid w:val="772D5308"/>
    <w:rsid w:val="7BF3239D"/>
    <w:rsid w:val="7D8F4159"/>
    <w:rsid w:val="7E142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4"/>
    <w:qFormat/>
    <w:uiPriority w:val="0"/>
    <w:pPr>
      <w:jc w:val="left"/>
    </w:pPr>
  </w:style>
  <w:style w:type="paragraph" w:styleId="3">
    <w:name w:val="Balloon Text"/>
    <w:basedOn w:val="1"/>
    <w:link w:val="23"/>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annotation subject"/>
    <w:basedOn w:val="2"/>
    <w:next w:val="2"/>
    <w:link w:val="25"/>
    <w:qFormat/>
    <w:uiPriority w:val="0"/>
    <w:rPr>
      <w:b/>
      <w:bCs/>
    </w:rPr>
  </w:style>
  <w:style w:type="table" w:styleId="9">
    <w:name w:val="Table Grid"/>
    <w:basedOn w:val="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line number"/>
    <w:basedOn w:val="10"/>
    <w:semiHidden/>
    <w:unhideWhenUsed/>
    <w:qFormat/>
    <w:uiPriority w:val="99"/>
  </w:style>
  <w:style w:type="character" w:styleId="12">
    <w:name w:val="annotation reference"/>
    <w:basedOn w:val="10"/>
    <w:qFormat/>
    <w:uiPriority w:val="0"/>
    <w:rPr>
      <w:sz w:val="21"/>
      <w:szCs w:val="21"/>
    </w:rPr>
  </w:style>
  <w:style w:type="character" w:customStyle="1" w:styleId="13">
    <w:name w:val="页脚 Char"/>
    <w:basedOn w:val="10"/>
    <w:link w:val="4"/>
    <w:qFormat/>
    <w:uiPriority w:val="99"/>
    <w:rPr>
      <w:sz w:val="18"/>
      <w:szCs w:val="18"/>
    </w:rPr>
  </w:style>
  <w:style w:type="character" w:customStyle="1" w:styleId="14">
    <w:name w:val="页眉 Char"/>
    <w:basedOn w:val="10"/>
    <w:link w:val="5"/>
    <w:qFormat/>
    <w:uiPriority w:val="0"/>
    <w:rPr>
      <w:sz w:val="18"/>
      <w:szCs w:val="18"/>
    </w:rPr>
  </w:style>
  <w:style w:type="character" w:customStyle="1" w:styleId="15">
    <w:name w:val="font01"/>
    <w:basedOn w:val="10"/>
    <w:qFormat/>
    <w:uiPriority w:val="0"/>
    <w:rPr>
      <w:rFonts w:hint="eastAsia" w:ascii="宋体" w:hAnsi="宋体" w:eastAsia="宋体" w:cs="宋体"/>
      <w:color w:val="000000"/>
      <w:sz w:val="22"/>
      <w:szCs w:val="22"/>
      <w:u w:val="none"/>
    </w:rPr>
  </w:style>
  <w:style w:type="character" w:customStyle="1" w:styleId="16">
    <w:name w:val="font31"/>
    <w:basedOn w:val="10"/>
    <w:qFormat/>
    <w:uiPriority w:val="0"/>
    <w:rPr>
      <w:rFonts w:hint="default" w:ascii="Times New Roman" w:hAnsi="Times New Roman" w:cs="Times New Roman"/>
      <w:color w:val="000000"/>
      <w:sz w:val="22"/>
      <w:szCs w:val="22"/>
      <w:u w:val="none"/>
    </w:rPr>
  </w:style>
  <w:style w:type="character" w:customStyle="1" w:styleId="17">
    <w:name w:val="font11"/>
    <w:basedOn w:val="10"/>
    <w:qFormat/>
    <w:uiPriority w:val="0"/>
    <w:rPr>
      <w:rFonts w:hint="default" w:ascii="Times New Roman" w:hAnsi="Times New Roman" w:cs="Times New Roman"/>
      <w:color w:val="000000"/>
      <w:sz w:val="22"/>
      <w:szCs w:val="22"/>
      <w:u w:val="none"/>
    </w:rPr>
  </w:style>
  <w:style w:type="paragraph" w:customStyle="1" w:styleId="18">
    <w:name w:val="EndNote Bibliography Title"/>
    <w:basedOn w:val="1"/>
    <w:link w:val="19"/>
    <w:qFormat/>
    <w:uiPriority w:val="0"/>
    <w:pPr>
      <w:jc w:val="center"/>
    </w:pPr>
    <w:rPr>
      <w:rFonts w:ascii="Times New Roman" w:hAnsi="Times New Roman" w:cs="Times New Roman"/>
      <w:sz w:val="20"/>
    </w:rPr>
  </w:style>
  <w:style w:type="character" w:customStyle="1" w:styleId="19">
    <w:name w:val="EndNote Bibliography Title Char"/>
    <w:basedOn w:val="10"/>
    <w:link w:val="18"/>
    <w:qFormat/>
    <w:uiPriority w:val="0"/>
    <w:rPr>
      <w:rFonts w:eastAsiaTheme="minorEastAsia"/>
      <w:kern w:val="2"/>
      <w:szCs w:val="24"/>
    </w:rPr>
  </w:style>
  <w:style w:type="paragraph" w:customStyle="1" w:styleId="20">
    <w:name w:val="EndNote Bibliography"/>
    <w:basedOn w:val="1"/>
    <w:link w:val="21"/>
    <w:qFormat/>
    <w:uiPriority w:val="0"/>
    <w:rPr>
      <w:rFonts w:ascii="Times New Roman" w:hAnsi="Times New Roman" w:cs="Times New Roman"/>
      <w:sz w:val="20"/>
    </w:rPr>
  </w:style>
  <w:style w:type="character" w:customStyle="1" w:styleId="21">
    <w:name w:val="EndNote Bibliography Char"/>
    <w:basedOn w:val="10"/>
    <w:link w:val="20"/>
    <w:qFormat/>
    <w:uiPriority w:val="0"/>
    <w:rPr>
      <w:rFonts w:eastAsiaTheme="minorEastAsia"/>
      <w:kern w:val="2"/>
      <w:szCs w:val="24"/>
    </w:rPr>
  </w:style>
  <w:style w:type="paragraph" w:styleId="22">
    <w:name w:val="List Paragraph"/>
    <w:basedOn w:val="1"/>
    <w:qFormat/>
    <w:uiPriority w:val="99"/>
    <w:pPr>
      <w:ind w:firstLine="420" w:firstLineChars="200"/>
    </w:pPr>
  </w:style>
  <w:style w:type="character" w:customStyle="1" w:styleId="23">
    <w:name w:val="批注框文本 Char"/>
    <w:basedOn w:val="10"/>
    <w:link w:val="3"/>
    <w:qFormat/>
    <w:uiPriority w:val="0"/>
    <w:rPr>
      <w:sz w:val="18"/>
      <w:szCs w:val="18"/>
    </w:rPr>
  </w:style>
  <w:style w:type="character" w:customStyle="1" w:styleId="24">
    <w:name w:val="批注文字 Char"/>
    <w:basedOn w:val="10"/>
    <w:link w:val="2"/>
    <w:qFormat/>
    <w:uiPriority w:val="0"/>
    <w:rPr>
      <w:szCs w:val="24"/>
    </w:rPr>
  </w:style>
  <w:style w:type="character" w:customStyle="1" w:styleId="25">
    <w:name w:val="批注主题 Char"/>
    <w:basedOn w:val="24"/>
    <w:link w:val="7"/>
    <w:qFormat/>
    <w:uiPriority w:val="0"/>
    <w:rPr>
      <w:b/>
      <w:bCs/>
      <w:szCs w:val="24"/>
    </w:rPr>
  </w:style>
  <w:style w:type="paragraph" w:customStyle="1" w:styleId="26">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7">
    <w:name w:val="font21"/>
    <w:basedOn w:val="10"/>
    <w:qFormat/>
    <w:uiPriority w:val="0"/>
    <w:rPr>
      <w:rFonts w:hint="default" w:ascii="Times New Roman" w:hAnsi="Times New Roman" w:cs="Times New Roman"/>
      <w:color w:val="000000"/>
      <w:sz w:val="22"/>
      <w:szCs w:val="22"/>
      <w:u w:val="none"/>
    </w:rPr>
  </w:style>
  <w:style w:type="character" w:customStyle="1" w:styleId="28">
    <w:name w:val="font41"/>
    <w:basedOn w:val="10"/>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7.tiff"/><Relationship Id="rId12" Type="http://schemas.openxmlformats.org/officeDocument/2006/relationships/image" Target="media/image6.tiff"/><Relationship Id="rId11" Type="http://schemas.openxmlformats.org/officeDocument/2006/relationships/image" Target="media/image5.tiff"/><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21C7C8-AFE9-4A8A-A6BE-66CAD57181AD}">
  <ds:schemaRefs/>
</ds:datastoreItem>
</file>

<file path=docProps/app.xml><?xml version="1.0" encoding="utf-8"?>
<Properties xmlns="http://schemas.openxmlformats.org/officeDocument/2006/extended-properties" xmlns:vt="http://schemas.openxmlformats.org/officeDocument/2006/docPropsVTypes">
  <Template>Normal.dotm</Template>
  <Pages>36</Pages>
  <Words>8421</Words>
  <Characters>48001</Characters>
  <Lines>400</Lines>
  <Paragraphs>112</Paragraphs>
  <TotalTime>130</TotalTime>
  <ScaleCrop>false</ScaleCrop>
  <LinksUpToDate>false</LinksUpToDate>
  <CharactersWithSpaces>56310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2023-01-20T05:27:00Z</dcterms:created>
  <dc:creator>Xia Zhu</dc:creator>
  <cp:lastModifiedBy>Xia Zhu</cp:lastModifiedBy>
  <dcterms:modified xsi:type="dcterms:W3CDTF">2023-04-26T11:39:09Z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