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7577C" w14:textId="40743C03" w:rsidR="000A3ACF" w:rsidRDefault="000A3ACF" w:rsidP="006D0890">
      <w:bookmarkStart w:id="0" w:name="_GoBack"/>
      <w:bookmarkEnd w:id="0"/>
    </w:p>
    <w:p w14:paraId="462F249E" w14:textId="199C9FF6" w:rsidR="000A3ACF" w:rsidRDefault="000A3ACF" w:rsidP="006D0890"/>
    <w:p w14:paraId="0C3AA173" w14:textId="1E411ABF" w:rsidR="00F71FED" w:rsidRDefault="004A04A5" w:rsidP="00F71FED">
      <w:pPr>
        <w:rPr>
          <w:b/>
          <w:bCs/>
        </w:rPr>
      </w:pPr>
      <w:r>
        <w:rPr>
          <w:b/>
          <w:bCs/>
        </w:rPr>
        <w:t>Supplement</w:t>
      </w:r>
      <w:r w:rsidR="00665B85" w:rsidRPr="00665B85">
        <w:rPr>
          <w:b/>
          <w:bCs/>
        </w:rPr>
        <w:t xml:space="preserve"> 1</w:t>
      </w:r>
      <w:r w:rsidR="00F71FED" w:rsidRPr="00665B85">
        <w:rPr>
          <w:b/>
          <w:bCs/>
        </w:rPr>
        <w:t>: Development</w:t>
      </w:r>
      <w:r w:rsidR="00F71FED" w:rsidRPr="00161FAF">
        <w:rPr>
          <w:b/>
          <w:bCs/>
        </w:rPr>
        <w:t xml:space="preserve"> of the FVVA</w:t>
      </w:r>
      <w:r w:rsidR="00F71FED">
        <w:rPr>
          <w:b/>
          <w:bCs/>
        </w:rPr>
        <w:t xml:space="preserve"> (could be a  text box)</w:t>
      </w:r>
    </w:p>
    <w:p w14:paraId="472E176D" w14:textId="77777777" w:rsidR="00F71FED" w:rsidRPr="00161FAF" w:rsidRDefault="00F71FED" w:rsidP="00A62857">
      <w:pPr>
        <w:rPr>
          <w:b/>
          <w:bCs/>
        </w:rPr>
      </w:pPr>
    </w:p>
    <w:p w14:paraId="4BAD9A86" w14:textId="1BE5E8A8" w:rsidR="00F71FED" w:rsidRDefault="00F71FED" w:rsidP="00F71FED">
      <w:pPr>
        <w:jc w:val="both"/>
      </w:pPr>
      <w:r>
        <w:t>The development of the FVVA framework has been inspired by seminal papers and events over the last decade.</w:t>
      </w:r>
    </w:p>
    <w:p w14:paraId="40507279" w14:textId="4B53A6DD" w:rsidR="00F71FED" w:rsidRPr="008E13A6" w:rsidRDefault="00A62857" w:rsidP="00F71FED">
      <w:pPr>
        <w:jc w:val="both"/>
      </w:pPr>
      <w:r>
        <w:rPr>
          <w:lang w:val="en-GB"/>
        </w:rPr>
        <w:t xml:space="preserve">- </w:t>
      </w:r>
      <w:r w:rsidR="00E66075">
        <w:rPr>
          <w:lang w:val="en-GB"/>
        </w:rPr>
        <w:t xml:space="preserve">In their </w:t>
      </w:r>
      <w:r w:rsidR="00F71FED" w:rsidRPr="008E13A6">
        <w:rPr>
          <w:lang w:val="en-GB"/>
        </w:rPr>
        <w:t>paper</w:t>
      </w:r>
      <w:r w:rsidR="00E66075">
        <w:rPr>
          <w:lang w:val="en-GB"/>
        </w:rPr>
        <w:t xml:space="preserve"> in 2008 </w:t>
      </w:r>
      <w:proofErr w:type="spellStart"/>
      <w:r w:rsidR="00E66075">
        <w:rPr>
          <w:lang w:val="en-GB"/>
        </w:rPr>
        <w:t>Beutels</w:t>
      </w:r>
      <w:proofErr w:type="spellEnd"/>
      <w:r w:rsidR="00E66075">
        <w:rPr>
          <w:lang w:val="en-GB"/>
        </w:rPr>
        <w:t xml:space="preserve"> and </w:t>
      </w:r>
      <w:r w:rsidR="005B09DB">
        <w:rPr>
          <w:lang w:val="en-GB"/>
        </w:rPr>
        <w:t>colleagues</w:t>
      </w:r>
      <w:r w:rsidR="0080017B">
        <w:fldChar w:fldCharType="begin" w:fldLock="1"/>
      </w:r>
      <w:r w:rsidR="0065634F">
        <w:instrText>ADDIN CSL_CITATION {"citationItems":[{"id":"ITEM-1","itemData":{"DOI":"10.1016/S1473-3099(08)70258-5","ISSN":"1473-3099","author":[{"dropping-particle":"","family":"Beutels","given":"Philippe","non-dropping-particle":"","parse-names":false,"suffix":""},{"dropping-particle":"","family":"Scuffham","given":"Paul A","non-dropping-particle":"","parse-names":false,"suffix":""},{"dropping-particle":"","family":"MacIntyre","given":"C Raina","non-dropping-particle":"","parse-names":false,"suffix":""}],"container-title":"The Lancet Infectious Diseases","id":"ITEM-1","issue":"11","issued":{"date-parts":[["2008","11"]]},"page":"727-733","publisher":"Elsevier","title":"Funding of drugs: do vaccines warrant a different approach?","type":"article-journal","volume":"8"},"uris":["http://www.mendeley.com/documents/?uuid=bc8ab731-e419-4947-a72b-8c34d213f759"]}],"mendeley":{"formattedCitation":"&lt;sup&gt;1&lt;/sup&gt;","plainTextFormattedCitation":"1","previouslyFormattedCitation":"&lt;sup&gt;1&lt;/sup&gt;"},"properties":{"noteIndex":0},"schema":"https://github.com/citation-style-language/schema/raw/master/csl-citation.json"}</w:instrText>
      </w:r>
      <w:r w:rsidR="0080017B">
        <w:fldChar w:fldCharType="separate"/>
      </w:r>
      <w:r w:rsidR="0065634F" w:rsidRPr="0065634F">
        <w:rPr>
          <w:noProof/>
          <w:vertAlign w:val="superscript"/>
        </w:rPr>
        <w:t>1</w:t>
      </w:r>
      <w:r w:rsidR="0080017B">
        <w:fldChar w:fldCharType="end"/>
      </w:r>
      <w:r w:rsidR="0080017B">
        <w:t xml:space="preserve"> </w:t>
      </w:r>
      <w:r w:rsidR="00F71FED" w:rsidRPr="008E13A6">
        <w:rPr>
          <w:lang w:val="en-GB"/>
        </w:rPr>
        <w:t>stat</w:t>
      </w:r>
      <w:r w:rsidR="00E66075">
        <w:rPr>
          <w:lang w:val="en-GB"/>
        </w:rPr>
        <w:t>e</w:t>
      </w:r>
      <w:r w:rsidR="00A04638">
        <w:rPr>
          <w:lang w:val="en-GB"/>
        </w:rPr>
        <w:t>d</w:t>
      </w:r>
      <w:r w:rsidR="00F71FED" w:rsidRPr="008E13A6">
        <w:rPr>
          <w:lang w:val="en-GB"/>
        </w:rPr>
        <w:t xml:space="preserve"> that vaccines need to be on a level playing field with other interventions.</w:t>
      </w:r>
      <w:r w:rsidR="00E66075">
        <w:rPr>
          <w:lang w:val="en-GB"/>
        </w:rPr>
        <w:t xml:space="preserve"> In particular </w:t>
      </w:r>
      <w:r w:rsidR="00A04638">
        <w:rPr>
          <w:lang w:val="en-GB"/>
        </w:rPr>
        <w:t xml:space="preserve">features </w:t>
      </w:r>
      <w:proofErr w:type="gramStart"/>
      <w:r w:rsidR="00A04638">
        <w:rPr>
          <w:lang w:val="en-GB"/>
        </w:rPr>
        <w:t>that are</w:t>
      </w:r>
      <w:proofErr w:type="gramEnd"/>
      <w:r w:rsidR="00A04638">
        <w:rPr>
          <w:lang w:val="en-GB"/>
        </w:rPr>
        <w:t xml:space="preserve"> related to herd immunity, quality of life in young children, parental case and work loss, time preference, macroeconomics and tiered pricing relevant to</w:t>
      </w:r>
      <w:r w:rsidR="00E66075">
        <w:rPr>
          <w:lang w:val="en-GB"/>
        </w:rPr>
        <w:t xml:space="preserve"> decision making for vaccines, or for pharmaceuticals in general should be considered when assessing their cost-effectiveness</w:t>
      </w:r>
      <w:r w:rsidR="006834BE">
        <w:rPr>
          <w:lang w:val="en-GB"/>
        </w:rPr>
        <w:t>.</w:t>
      </w:r>
      <w:r w:rsidR="0080017B" w:rsidRPr="008E13A6">
        <w:t xml:space="preserve"> </w:t>
      </w:r>
    </w:p>
    <w:p w14:paraId="6944608D" w14:textId="23ED973B" w:rsidR="00F71FED" w:rsidRPr="0018715E" w:rsidRDefault="00F71FED" w:rsidP="00F71FED">
      <w:pPr>
        <w:jc w:val="both"/>
      </w:pPr>
      <w:r>
        <w:rPr>
          <w:lang w:val="en-GB"/>
        </w:rPr>
        <w:t xml:space="preserve">- </w:t>
      </w:r>
      <w:r w:rsidR="00E66075">
        <w:rPr>
          <w:lang w:val="en-GB"/>
        </w:rPr>
        <w:t>In early 2010s w</w:t>
      </w:r>
      <w:r w:rsidRPr="008E13A6">
        <w:rPr>
          <w:lang w:val="en-GB"/>
        </w:rPr>
        <w:t>ork on the broader economic impact of vaccines</w:t>
      </w:r>
      <w:r w:rsidR="00E66075">
        <w:rPr>
          <w:lang w:val="en-GB"/>
        </w:rPr>
        <w:t xml:space="preserve"> proposed a broader </w:t>
      </w:r>
      <w:r w:rsidR="00A04638">
        <w:rPr>
          <w:lang w:val="en-GB"/>
        </w:rPr>
        <w:t>perspective in evaluations in different generic and vaccine preventable disease specific framework (</w:t>
      </w:r>
      <w:r w:rsidRPr="008E13A6">
        <w:rPr>
          <w:lang w:val="en-GB"/>
        </w:rPr>
        <w:t xml:space="preserve">e.g. by </w:t>
      </w:r>
      <w:proofErr w:type="spellStart"/>
      <w:r w:rsidRPr="008E13A6">
        <w:rPr>
          <w:lang w:val="en-GB"/>
        </w:rPr>
        <w:t>Barnighausen</w:t>
      </w:r>
      <w:proofErr w:type="spellEnd"/>
      <w:r w:rsidRPr="008E13A6">
        <w:rPr>
          <w:lang w:val="en-GB"/>
        </w:rPr>
        <w:t xml:space="preserve"> &amp; Bloom</w:t>
      </w:r>
      <w:r w:rsidR="00063AAB">
        <w:rPr>
          <w:lang w:val="en-GB"/>
        </w:rPr>
        <w:fldChar w:fldCharType="begin" w:fldLock="1"/>
      </w:r>
      <w:r w:rsidR="0065634F">
        <w:rPr>
          <w:lang w:val="en-GB"/>
        </w:rPr>
        <w:instrText>ADDIN CSL_CITATION {"citationItems":[{"id":"ITEM-1","itemData":{"DOI":"https://doi.org/10.1016/j.vaccine.2010.11.090","ISSN":"0264-410X","abstract":"Economic evaluations of health interventions, such as vaccinations, are important tools for informing health policy. Approaching the analysis from the appropriate perspective is critical to ensuring the validity of evaluation results for particular policy decisions. Using the example of cost–benefit analysis (CBA) of Haemophilus influenzae type b (Hib) vaccination, we demonstrate that past economic evaluations have mostly adopted narrow evaluation perspectives, focusing primarily on health gains, health-care cost savings, and reductions in the time costs of caring, while usually ignoring other important benefits including outcome-related productivity gains (improved economic productivity due to prevention of mental and physical disabilities), behavior-related productivity gains (economic growth due to fertility reductions as vaccination improves child survival), and community externalities (herd immunity and prevention of antibiotic resistance). We further show that potential cost reductions that could be attained through changes in the delivery of the Hib vaccine have also generally been ignored in economic evaluations. Future economic evaluations of childhood vaccinations should take full account of benefits and costs, so that policymakers have sufficient information to make well-informed decisions on vaccination implementation.","author":[{"dropping-particle":"","family":"Bärnighausen","given":"Till","non-dropping-particle":"","parse-names":false,"suffix":""},{"dropping-particle":"","family":"Bloom","given":"David E","non-dropping-particle":"","parse-names":false,"suffix":""},{"dropping-particle":"","family":"Canning","given":"David","non-dropping-particle":"","parse-names":false,"suffix":""},{"dropping-particle":"","family":"Friedman","given":"Abigail","non-dropping-particle":"","parse-names":false,"suffix":""},{"dropping-particle":"","family":"Levine","given":"Orin S","non-dropping-particle":"","parse-names":false,"suffix":""},{"dropping-particle":"","family":"O’Brien","given":"Jennifer","non-dropping-particle":"","parse-names":false,"suffix":""},{"dropping-particle":"","family":"Privor-Dumm","given":"Lois","non-dropping-particle":"","parse-names":false,"suffix":""},{"dropping-particle":"","family":"Walker","given":"Damian","non-dropping-particle":"","parse-names":false,"suffix":""}],"container-title":"Vaccine","id":"ITEM-1","issue":"13","issued":{"date-parts":[["2011"]]},"page":"2371-2380","title":"Rethinking the benefits and costs of childhood vaccination: The example of the Haemophilus influenzae type b vaccine","type":"article-journal","volume":"29"},"uris":["http://www.mendeley.com/documents/?uuid=6e90ff5f-e1e0-4d56-a954-649c89d47283"]},{"id":"ITEM-2","itemData":{"DOI":"10.1016/S2214-109X(13)70170-0","ISSN":"2214109X","author":[{"dropping-particle":"","family":"Bärnighausen","given":"T.","non-dropping-particle":"","parse-names":false,"suffix":""},{"dropping-particle":"","family":"Berkley","given":"S.","non-dropping-particle":"","parse-names":false,"suffix":""},{"dropping-particle":"","family":"Bhutta","given":"Z.A.","non-dropping-particle":"","parse-names":false,"suffix":""},{"dropping-particle":"","family":"Bishai","given":"D.M.","non-dropping-particle":"","parse-names":false,"suffix":""},{"dropping-particle":"","family":"Black","given":"M.M.","non-dropping-particle":"","parse-names":false,"suffix":""},{"dropping-particle":"","family":"Bloom","given":"D.E.","non-dropping-particle":"","parse-names":false,"suffix":""},{"dropping-particle":"","family":"Constenla","given":"D.","non-dropping-particle":"","parse-names":false,"suffix":""},{"dropping-particle":"","family":"Driessen","given":"J.","non-dropping-particle":"","parse-names":false,"suffix":""},{"dropping-particle":"","family":"Edmunds","given":"J.","non-dropping-particle":"","parse-names":false,"suffix":""},{"dropping-particle":"","family":"Evans","given":"D.","non-dropping-particle":"","parse-names":false,"suffix":""},{"dropping-particle":"","family":"Griffiths","given":"U.","non-dropping-particle":"","parse-names":false,"suffix":""},{"dropping-particle":"","family":"Hansen","given":"P.","non-dropping-particle":"","parse-names":false,"suffix":""},{"dropping-particle":"","family":"Hashmani","given":"F.N.","non-dropping-particle":"","parse-names":false,"suffix":""},{"dropping-particle":"","family":"Hutubessy","given":"R.","non-dropping-particle":"","parse-names":false,"suffix":""},{"dropping-particle":"","family":"Jamison","given":"D.T.","non-dropping-particle":"","parse-names":false,"suffix":""},{"dropping-particle":"","family":"Jha","given":"P.","non-dropping-particle":"","parse-names":false,"suffix":""},{"dropping-particle":"","family":"Jit","given":"M.","non-dropping-particle":"","parse-names":false,"suffix":""},{"dropping-particle":"","family":"Johnson","given":"H.","non-dropping-particle":"","parse-names":false,"suffix":""},{"dropping-particle":"","family":"Laxminarayan","given":"R.","non-dropping-particle":"","parse-names":false,"suffix":""},{"dropping-particle":"","family":"Lee","given":"B.Y.","non-dropping-particle":"","parse-names":false,"suffix":""},{"dropping-particle":"","family":"Mhatre","given":"S.","non-dropping-particle":"","parse-names":false,"suffix":""},{"dropping-particle":"","family":"Mills","given":"A.","non-dropping-particle":"","parse-names":false,"suffix":""},{"dropping-particle":"","family":"Nordström","given":"A.","non-dropping-particle":"","parse-names":false,"suffix":""},{"dropping-particle":"","family":"Ozawa","given":"S.","non-dropping-particle":"","parse-names":false,"suffix":""},{"dropping-particle":"","family":"Prosser","given":"L.","non-dropping-particle":"","parse-names":false,"suffix":""},{"dropping-particle":"","family":"Silver","given":"K.","non-dropping-particle":"","parse-names":false,"suffix":""},{"dropping-particle":"","family":"Benn","given":"C.S.","non-dropping-particle":"","parse-names":false,"suffix":""},{"dropping-particle":"","family":"Standaert","given":"B.","non-dropping-particle":"","parse-names":false,"suffix":""},{"dropping-particle":"","family":"Walker","given":"D.","non-dropping-particle":"","parse-names":false,"suffix":""}],"container-title":"The Lancet Global Health","id":"ITEM-2","issue":"5","issued":{"date-parts":[["2014"]]},"title":"Reassessing the value of vaccines","type":"article-journal","volume":"2"},"uris":["http://www.mendeley.com/documents/?uuid=3f91b309-0ab5-3fc1-be30-50d1c1538834"]}],"mendeley":{"formattedCitation":"&lt;sup&gt;2,3&lt;/sup&gt;","plainTextFormattedCitation":"2,3","previouslyFormattedCitation":"&lt;sup&gt;2,3&lt;/sup&gt;"},"properties":{"noteIndex":0},"schema":"https://github.com/citation-style-language/schema/raw/master/csl-citation.json"}</w:instrText>
      </w:r>
      <w:r w:rsidR="00063AAB">
        <w:rPr>
          <w:lang w:val="en-GB"/>
        </w:rPr>
        <w:fldChar w:fldCharType="separate"/>
      </w:r>
      <w:r w:rsidR="0065634F" w:rsidRPr="0065634F">
        <w:rPr>
          <w:noProof/>
          <w:vertAlign w:val="superscript"/>
          <w:lang w:val="fr-FR"/>
        </w:rPr>
        <w:t>2,3</w:t>
      </w:r>
      <w:r w:rsidR="00063AAB">
        <w:rPr>
          <w:lang w:val="en-GB"/>
        </w:rPr>
        <w:fldChar w:fldCharType="end"/>
      </w:r>
      <w:r w:rsidRPr="00063AAB">
        <w:rPr>
          <w:lang w:val="fr-FR"/>
        </w:rPr>
        <w:t xml:space="preserve">, </w:t>
      </w:r>
      <w:proofErr w:type="spellStart"/>
      <w:r w:rsidRPr="00063AAB">
        <w:rPr>
          <w:lang w:val="fr-FR"/>
        </w:rPr>
        <w:t>reviews</w:t>
      </w:r>
      <w:proofErr w:type="spellEnd"/>
      <w:r w:rsidRPr="00063AAB">
        <w:rPr>
          <w:lang w:val="fr-FR"/>
        </w:rPr>
        <w:t xml:space="preserve"> by Ozawa</w:t>
      </w:r>
      <w:r w:rsidR="00E66075" w:rsidRPr="00063AAB">
        <w:rPr>
          <w:lang w:val="fr-FR"/>
        </w:rPr>
        <w:t xml:space="preserve"> et al</w:t>
      </w:r>
      <w:r w:rsidR="00BB733F">
        <w:rPr>
          <w:lang w:val="fr-FR"/>
        </w:rPr>
        <w:t>.</w:t>
      </w:r>
      <w:r w:rsidR="00063AAB">
        <w:rPr>
          <w:lang w:val="en-GB"/>
        </w:rPr>
        <w:fldChar w:fldCharType="begin" w:fldLock="1"/>
      </w:r>
      <w:r w:rsidR="0065634F">
        <w:rPr>
          <w:lang w:val="en-GB"/>
        </w:rPr>
        <w:instrText>ADDIN CSL_CITATION {"citationItems":[{"id":"ITEM-1","itemData":{"DOI":"https://doi.org/10.1016/j.vaccine.2012.10.103","ISSN":"0264-410X","abstract":"Background Public health interventions that prevent mortality and morbidity have greatly increased over the past decade. Immunization is one of these preventive interventions, with a potential to bring economic benefits beyond just health benefits. While vaccines are considered to be a cost-effective public health intervention, implementation has become increasingly challenging. As vaccine costs rise and competing priorities increase, economic evidence is likely to play an increasingly important role in vaccination decisions. Methods To assist policy decisions today and potential investments in the future, we provide a systematic review of the literature on the cost-effectiveness and economic benefits of vaccines in low- and middle-income countries from 2000 to 2010. The review identified 108 relevant articles from 51 countries spanning 23 vaccines from three major electronic databases (Pubmed, Embase and Econlit). Results Among the 44 articles that reported costs per disability-adjusted life year (DALY) averted, vaccines cost less than or equal to $100 per DALY averted in 23 articles (52%). Vaccines cost less than $500 per DALY averted in 34 articles (77%), and less than $1000 per DALY averted in 38 articles (86%) in one of the scenarios. 24 articles (22%) examined broad level economic benefits of vaccines such as greater future wage-earning capacity and cost savings from averting disease outbreaks. 60 articles (56%) gathered data from a primary source. There were little data on long-term and societal economic benefits such as morbidity-related productivity gains, averting catastrophic health expenditures, growth in gross domestic product (GDP), and economic implications of demographic changes resulting from vaccination. Conclusions This review documents the available evidence and shows that vaccination in low- and middle-income countries brings important economic benefits. The cost-effectiveness studies reviewed suggest to policy makers that vaccines are an efficient investment. This review further highlights key gaps in the available literature that would benefit from additional research, especially in the area of evaluating the broader economic benefits of vaccination in the developing world.","author":[{"dropping-particle":"","family":"Ozawa","given":"Sachiko","non-dropping-particle":"","parse-names":false,"suffix":""},{"dropping-particle":"","family":"Mirelman","given":"Andrew","non-dropping-particle":"","parse-names":false,"suffix":""},{"dropping-particle":"","family":"Stack","given":"Meghan L","non-dropping-particle":"","parse-names":false,"suffix":""},{"dropping-particle":"","family":"Walker","given":"Damian G","non-dropping-particle":"","parse-names":false,"suffix":""},{"dropping-particle":"","family":"Levine","given":"Orin S","non-dropping-particle":"","parse-names":false,"suffix":""}],"container-title":"Vaccine","id":"ITEM-1","issue":"1","issued":{"date-parts":[["2012"]]},"page":"96-108","title":"Cost-effectiveness and economic benefits of vaccines in low- and middle-income countries: A systematic review","type":"article-journal","volume":"31"},"uris":["http://www.mendeley.com/documents/?uuid=03912e55-0903-45e3-9cb5-2381f9e8663a"]}],"mendeley":{"formattedCitation":"&lt;sup&gt;4&lt;/sup&gt;","plainTextFormattedCitation":"4","previouslyFormattedCitation":"&lt;sup&gt;4&lt;/sup&gt;"},"properties":{"noteIndex":0},"schema":"https://github.com/citation-style-language/schema/raw/master/csl-citation.json"}</w:instrText>
      </w:r>
      <w:r w:rsidR="00063AAB">
        <w:rPr>
          <w:lang w:val="en-GB"/>
        </w:rPr>
        <w:fldChar w:fldCharType="separate"/>
      </w:r>
      <w:r w:rsidR="0065634F" w:rsidRPr="0065634F">
        <w:rPr>
          <w:noProof/>
          <w:vertAlign w:val="superscript"/>
          <w:lang w:val="en-GB"/>
        </w:rPr>
        <w:t>4</w:t>
      </w:r>
      <w:r w:rsidR="00063AAB">
        <w:rPr>
          <w:lang w:val="en-GB"/>
        </w:rPr>
        <w:fldChar w:fldCharType="end"/>
      </w:r>
      <w:r w:rsidR="00E66075" w:rsidRPr="00063AAB">
        <w:rPr>
          <w:lang w:val="fr-FR"/>
        </w:rPr>
        <w:t xml:space="preserve">, </w:t>
      </w:r>
      <w:proofErr w:type="spellStart"/>
      <w:r w:rsidRPr="00063AAB">
        <w:rPr>
          <w:lang w:val="fr-FR"/>
        </w:rPr>
        <w:t>Deogaonkar</w:t>
      </w:r>
      <w:proofErr w:type="spellEnd"/>
      <w:r w:rsidR="00E66075" w:rsidRPr="00063AAB">
        <w:rPr>
          <w:lang w:val="fr-FR"/>
        </w:rPr>
        <w:t xml:space="preserve"> et al. </w:t>
      </w:r>
      <w:r w:rsidRPr="00063AAB">
        <w:rPr>
          <w:lang w:val="fr-FR"/>
        </w:rPr>
        <w:t>,</w:t>
      </w:r>
      <w:proofErr w:type="spellStart"/>
      <w:r w:rsidR="00E66075" w:rsidRPr="00063AAB">
        <w:rPr>
          <w:lang w:val="fr-FR"/>
        </w:rPr>
        <w:t>Jit</w:t>
      </w:r>
      <w:proofErr w:type="spellEnd"/>
      <w:r w:rsidR="00E66075" w:rsidRPr="00063AAB">
        <w:rPr>
          <w:lang w:val="fr-FR"/>
        </w:rPr>
        <w:t xml:space="preserve"> et al.</w:t>
      </w:r>
      <w:r w:rsidR="00063AAB">
        <w:rPr>
          <w:lang w:val="en-GB"/>
        </w:rPr>
        <w:fldChar w:fldCharType="begin" w:fldLock="1"/>
      </w:r>
      <w:r w:rsidR="0065634F">
        <w:rPr>
          <w:lang w:val="fr-FR"/>
        </w:rPr>
        <w:instrText>ADDIN CSL_CITATION {"citationItems":[{"id":"ITEM-1","itemData":{"DOI":"10.1186/s12916-015-0446-9","ISSN":"1741-7015","abstract":"Microeconomic evaluations of public health programmes such as immunisation typically only consider direct health benefits and medical cost savings. Broader economic benefits around childhood development, household behaviour, and macro-economic indicators are increasingly important, but the evidence linking immunization to such benefits is unclear.","author":[{"dropping-particle":"","family":"Jit","given":"Mark","non-dropping-particle":"","parse-names":false,"suffix":""},{"dropping-particle":"","family":"Hutubessy","given":"Raymond","non-dropping-particle":"","parse-names":false,"suffix":""},{"dropping-particle":"","family":"Png","given":"May Ee","non-dropping-particle":"","parse-names":false,"suffix":""},{"dropping-particle":"","family":"Sundaram","given":"Neisha","non-dropping-particle":"","parse-names":false,"suffix":""},{"dropping-particle":"","family":"Audimulam","given":"Jananie","non-dropping-particle":"","parse-names":false,"suffix":""},{"dropping-particle":"","family":"Salim","given":"Safiyah","non-dropping-particle":"","parse-names":false,"suffix":""},{"dropping-particle":"","family":"Yoong","given":"Joanne","non-dropping-particle":"","parse-names":false,"suffix":""}],"container-title":"BMC Medicine","id":"ITEM-1","issue":"1","issued":{"date-parts":[["2015"]]},"page":"209","title":"The broader economic impact of vaccination: reviewing and appraising the strength of evidence","type":"article-journal","volume":"13"},"uris":["http://www.mendeley.com/documents/?uuid=b3930322-b178-4198-9ef7-ea62cc779faa"]},{"id":"ITEM-2","itemData":{"DOI":"10.1186/1471-2458-12-878","ISSN":"14712458","abstract":"Background: Most health economic evaluations of childhood vaccination only capture the health and short-term economic benefits. Measuring broader, long-term effects of vaccination on productivity and externalities could provide a more complete picture of the value of vaccines. Method. MEDLINE, EconLit and NHS-EED databases were searched for articles published between January 1990 and July 2011, which captured broader economic benefits of vaccines in low and middle income countries. Studies were included if they captured at least one of the following categories on broader economic impact: outcome-related productivity gains, behaviour-related productivity gains, ecological externalities, equity gains, financial sustainability gains or macroeconomic benefits . Results: Twenty-six relevant studies were found, including observational studies, economic models and contingent valuation studies. Of the identified broader impacts, outcome-related productivity gains and ecological externalities were most commonly accounted for. No studies captured behaviour-related productivity gains or macroeconomic effects. There was some evidence to show that vaccinated children 8-14 years of age benefit from increased cognitive ability. Productivity loss due to morbidity and mortality was generally measured using the human capital approach. When included, herd immunity effects were functions of coverage rates or based on reduction in disease outcomes. External effects of vaccines were observed in terms of equitable health outcomes and contribution towards synergistic and financially sustainable healthcare programs. Conclusion: Despite substantial variation in the methods of measurement and outcomes used, the inclusion of broader economic impact was found to improve the attractiveness of vaccination. Further research is needed on how different tools and techniques can be used in combination to capture the broader impact of vaccination in a way that is consistent with other health economic evaluations. In addition, more country level evidence is needed from low and middle income countries to justify future investments in vaccines and immunization programs. Finally, the proposed broader econom</w:instrText>
      </w:r>
      <w:r w:rsidR="0065634F" w:rsidRPr="0065634F">
        <w:instrText>ic impact framework may contribute towards better communication of the economic arguments surrounding vaccine uptake, leading to investments in immunization by stakeholders outside of the traditional health care sector such as ministries of finance and national treasuries. © 2012 Deogaonkar …","author":[{"dropping-particle":"","family":"Deogaonkar","given":"R.","non-dropping-particle":"","parse-names":false,"suffix":""},{"dropping-particle":"","family":"Hutubessy","given":"R.","non-dropping-particle":"","parse-names":false,"suffix":""},{"dropping-particle":"","family":"Putten","given":"I.","non-dropping-particle":"Van Der","parse-names":false,"suffix":""},{"dropping-particle":"","family":"Evers","given":"S.","non-dropping-particle":"","parse-names":false,"suffix":""},{"dropping-particle":"","family":"Jit","given":"M.","non-dropping-particle":"","parse-names":false,"suffix":""}],"container-title":"BMC Public Health","id":"ITEM-2","issue":"1","issued":{"date-parts":[["2012"]]},"title":"Systematic review of studies evaluating the broader economic impact of vaccination in low and middle income countries","type":"article-journal","volume":"12"},"uris":["http://www.mendeley.com/documents/?uuid=72ac132c-3106-3df9-9533-146fc084a3d6"]}],"mendeley":{"formattedCitation":"&lt;sup&gt;5,6&lt;/sup&gt;","plainTextFormattedCitation":"5,6","previouslyFormattedCitation":"&lt;sup&gt;5,6&lt;/sup&gt;"},"properties":{"noteIndex":0},"schema":"https://github.com/citation-style-language/schema/raw/master/csl-citation.json"}</w:instrText>
      </w:r>
      <w:r w:rsidR="00063AAB">
        <w:rPr>
          <w:lang w:val="en-GB"/>
        </w:rPr>
        <w:fldChar w:fldCharType="separate"/>
      </w:r>
      <w:r w:rsidR="0065634F" w:rsidRPr="0065634F">
        <w:rPr>
          <w:noProof/>
          <w:vertAlign w:val="superscript"/>
        </w:rPr>
        <w:t>5,6</w:t>
      </w:r>
      <w:r w:rsidR="00063AAB">
        <w:rPr>
          <w:lang w:val="en-GB"/>
        </w:rPr>
        <w:fldChar w:fldCharType="end"/>
      </w:r>
      <w:r w:rsidR="00A04638" w:rsidRPr="0018715E">
        <w:t>)</w:t>
      </w:r>
      <w:r w:rsidR="00063AAB" w:rsidRPr="0018715E">
        <w:t xml:space="preserve"> </w:t>
      </w:r>
    </w:p>
    <w:p w14:paraId="7F38DDD5" w14:textId="633B84A3" w:rsidR="00F71FED" w:rsidRPr="008E13A6" w:rsidRDefault="00F71FED" w:rsidP="00F71FED">
      <w:pPr>
        <w:jc w:val="both"/>
      </w:pPr>
      <w:r w:rsidRPr="0080017B">
        <w:t xml:space="preserve">- </w:t>
      </w:r>
      <w:r w:rsidR="005A5FA9" w:rsidRPr="0080017B">
        <w:t>Between</w:t>
      </w:r>
      <w:r w:rsidR="0097606C" w:rsidRPr="0080017B">
        <w:t xml:space="preserve"> 201</w:t>
      </w:r>
      <w:r w:rsidR="005A5FA9" w:rsidRPr="0080017B">
        <w:t>5</w:t>
      </w:r>
      <w:r w:rsidR="0097606C" w:rsidRPr="0080017B">
        <w:t xml:space="preserve"> and 2017 </w:t>
      </w:r>
      <w:r w:rsidR="005A5FA9" w:rsidRPr="0080017B">
        <w:t xml:space="preserve">several </w:t>
      </w:r>
      <w:r w:rsidRPr="0080017B">
        <w:t>meeting</w:t>
      </w:r>
      <w:r w:rsidR="0097606C" w:rsidRPr="0080017B">
        <w:t>s</w:t>
      </w:r>
      <w:r w:rsidR="002C3D56" w:rsidRPr="0080017B">
        <w:t xml:space="preserve"> </w:t>
      </w:r>
      <w:r w:rsidR="0097606C" w:rsidRPr="0080017B">
        <w:t xml:space="preserve">took place </w:t>
      </w:r>
      <w:r w:rsidR="005A5FA9" w:rsidRPr="0080017B">
        <w:t xml:space="preserve">at the </w:t>
      </w:r>
      <w:proofErr w:type="spellStart"/>
      <w:r w:rsidR="005A5FA9" w:rsidRPr="0080017B">
        <w:t>Fondation</w:t>
      </w:r>
      <w:proofErr w:type="spellEnd"/>
      <w:r w:rsidR="005A5FA9" w:rsidRPr="0080017B">
        <w:t xml:space="preserve"> </w:t>
      </w:r>
      <w:proofErr w:type="spellStart"/>
      <w:r w:rsidR="005A5FA9" w:rsidRPr="0080017B">
        <w:t>Mérieux</w:t>
      </w:r>
      <w:proofErr w:type="spellEnd"/>
      <w:r w:rsidR="0097606C" w:rsidRPr="0080017B">
        <w:t xml:space="preserve"> </w:t>
      </w:r>
      <w:r w:rsidR="002C3D56" w:rsidRPr="0080017B">
        <w:t>place where</w:t>
      </w:r>
      <w:r w:rsidR="005A5FA9" w:rsidRPr="0080017B">
        <w:t xml:space="preserve">by </w:t>
      </w:r>
      <w:r w:rsidR="0097606C" w:rsidRPr="0080017B">
        <w:t>Gessner and colleagues</w:t>
      </w:r>
      <w:r w:rsidR="0080017B">
        <w:rPr>
          <w:lang w:val="fr-FR"/>
        </w:rPr>
        <w:fldChar w:fldCharType="begin" w:fldLock="1"/>
      </w:r>
      <w:r w:rsidR="0065634F">
        <w:instrText>ADDIN CSL_CITATION {"citationItems":[{"id":"ITEM-1","itemData":{"DOI":"https://doi.org/10.1016/j.vaccine.2017.09.048","ISSN":"0264-410X","abstract":"There is an enhanced focus on considering the full public health value (FPHV) of vaccination when setting priorities, making regulatory decisions and establishing implementation policy for public health activities. Historically, a therapeutic paradigm has been applied to the evaluation of prophylactic vaccines and focuses on an individual benefit-risk assessment in prospective and individually-randomized phase III trials to assess safety and efficacy against etiologically-confirmed clinical outcomes. By contrast, a public health paradigm considers the population impact and encompasses measures of community benefits against a range of outcomes. For example, measurement of the FPHV of vaccination may incorporate health inequity, social and political disruption, disruption of household integrity, school absenteeism and work loss, health care utilization, long-term/on-going disability, the development of antibiotic resistance, and a range of non-etiologically and etiologically defined clinical outcomes. Following an initial conference at the Fondation Mérieux in mid-2015, a second conference (December 2016) was held to further describe the efficacy of using the FPHV of vaccination on a variety of prophylactic vaccines. The wider scope of vaccine benefits, improvement in risk assessment, and the need for partnership and coalition building across interventions has also been discussed during the 2014 and 2016 Global Vaccine and Immunization Research Forums and the 2016 Geneva Health Forum, as well as in numerous publications including a special issue of Health Affairs in February 2016. The December 2016 expert panel concluded that while progress has been made, additional efforts will be necessary to have a more fully formulated assessment of the FPHV of vaccines included into the evidence-base for the value proposition and analysis of unmet medical need to prioritize vaccine development, vaccine licensure, implementation policies and financing decisions. The desired outcomes of these efforts to establish an alternative framework for vaccine evaluation are a more robust vaccine pipeline, improved appreciation of vaccine value and hence of its relative affordability, and greater public access and acceptance of vaccines.","author":[{"dropping-particle":"","family":"Gessner","given":"Bradford D","non-dropping-particle":"","parse-names":false,"suffix":""},{"dropping-particle":"","family":"Kaslow","given":"David","non-dropping-particle":"","parse-names":false,"suffix":""},{"dropping-particle":"","family":"Louis","given":"Jacques","non-dropping-particle":"","parse-names":false,"suffix":""},{"dropping-particle":"","family":"Neuzil","given":"Kathleen","non-dropping-particle":"","parse-names":false,"suffix":""},{"dropping-particle":"","family":"O'Brien","given":"Katherine L","non-dropping-particle":"","parse-names":false,"suffix":""},{"dropping-particle":"","family":"Picot","given":"Valentina","non-dropping-particle":"","parse-names":false,"suffix":""},{"dropping-particle":"","family":"Pang","given":"Tikki","non-dropping-particle":"","parse-names":false,"suffix":""},{"dropping-particle":"","family":"Parashar","given":"Umesh D","non-dropping-particle":"","parse-names":false,"suffix":""},{"dropping-particle":"","family":"Saadatian-Elahi","given":"Mitra","non-dropping-particle":"","parse-names":false,"suffix":""},{"dropping-particle":"","family":"Nelson","given":"Christopher B","non-dropping-particle":"","parse-names":false,"suffix":""}],"container-title":"Vaccine","id":"ITEM-1","issue":"46","issued":{"date-parts":[["2017"]]},"page":"6255-6263","title":"Estimating the full public health value of vaccination","type":"article-journal","volume":"35"},"uris":["http://www.mendeley.com/documents/?uuid=1f621e6d-1e75-4b4c-b362-45cce9cbe1c0"]}],"mendeley":{"formattedCitation":"&lt;sup&gt;7&lt;/sup&gt;","plainTextFormattedCitation":"7","previouslyFormattedCitation":"&lt;sup&gt;7&lt;/sup&gt;"},"properties":{"noteIndex":0},"schema":"https://github.com/citation-style-language/schema/raw/master/csl-citation.json"}</w:instrText>
      </w:r>
      <w:r w:rsidR="0080017B">
        <w:rPr>
          <w:lang w:val="fr-FR"/>
        </w:rPr>
        <w:fldChar w:fldCharType="separate"/>
      </w:r>
      <w:r w:rsidR="0065634F" w:rsidRPr="0065634F">
        <w:rPr>
          <w:noProof/>
          <w:vertAlign w:val="superscript"/>
        </w:rPr>
        <w:t>7</w:t>
      </w:r>
      <w:r w:rsidR="0080017B">
        <w:rPr>
          <w:lang w:val="fr-FR"/>
        </w:rPr>
        <w:fldChar w:fldCharType="end"/>
      </w:r>
      <w:r w:rsidR="005A5FA9" w:rsidRPr="0080017B">
        <w:t xml:space="preserve"> eventually proposed</w:t>
      </w:r>
      <w:r w:rsidR="002C3D56" w:rsidRPr="0080017B">
        <w:t xml:space="preserve"> to go beyond</w:t>
      </w:r>
      <w:r w:rsidR="005A5FA9" w:rsidRPr="0080017B">
        <w:t xml:space="preserve"> the therapeutic paradigm applied to the evaluation of prophylactic vaccines that focuses on individual benefit-risk assessment. </w:t>
      </w:r>
      <w:r w:rsidR="005A5FA9" w:rsidRPr="0018715E">
        <w:t xml:space="preserve">By contrast they propose a public </w:t>
      </w:r>
      <w:r w:rsidR="00494453" w:rsidRPr="0018715E">
        <w:t>health</w:t>
      </w:r>
      <w:r w:rsidR="005A5FA9" w:rsidRPr="0018715E">
        <w:t xml:space="preserve"> paradigm instead that </w:t>
      </w:r>
      <w:r w:rsidR="00494453" w:rsidRPr="0018715E">
        <w:t>considered</w:t>
      </w:r>
      <w:r w:rsidR="005A5FA9" w:rsidRPr="0018715E">
        <w:t xml:space="preserve"> </w:t>
      </w:r>
      <w:proofErr w:type="gramStart"/>
      <w:r w:rsidR="00B92BEB" w:rsidRPr="0018715E">
        <w:t>population</w:t>
      </w:r>
      <w:r w:rsidR="005A5FA9" w:rsidRPr="0018715E">
        <w:t xml:space="preserve">  impact</w:t>
      </w:r>
      <w:proofErr w:type="gramEnd"/>
      <w:r w:rsidR="005A5FA9" w:rsidRPr="0018715E">
        <w:t xml:space="preserve"> and community benefits against a range of outcomes. </w:t>
      </w:r>
      <w:r w:rsidR="005A5FA9" w:rsidRPr="0080017B">
        <w:t>F</w:t>
      </w:r>
      <w:r w:rsidRPr="0080017B">
        <w:t xml:space="preserve">ollow up articles by David </w:t>
      </w:r>
      <w:proofErr w:type="spellStart"/>
      <w:r w:rsidRPr="0080017B">
        <w:t>Kaslow</w:t>
      </w:r>
      <w:proofErr w:type="spellEnd"/>
      <w:r w:rsidRPr="0080017B">
        <w:t xml:space="preserve"> and </w:t>
      </w:r>
      <w:r w:rsidR="00981634" w:rsidRPr="0080017B">
        <w:t>col</w:t>
      </w:r>
      <w:r w:rsidR="0080017B" w:rsidRPr="0080017B">
        <w:t>l</w:t>
      </w:r>
      <w:r w:rsidR="00981634" w:rsidRPr="0080017B">
        <w:t>eagues</w:t>
      </w:r>
      <w:r w:rsidR="0080017B">
        <w:rPr>
          <w:lang w:val="en-GB"/>
        </w:rPr>
        <w:fldChar w:fldCharType="begin" w:fldLock="1"/>
      </w:r>
      <w:r w:rsidR="0065634F">
        <w:instrText>ADDIN CSL_CITATION {"citationItems":[{"id":"ITEM-1","itemData":{"DOI":"10.1038/d41586-018-07758-3","ISSN":"1476-4687 (Electronic)","PMID":"30560957","author":[{"dropping-particle":"","family":"Kaslow","given":"David C","non-dropping-particle":"","parse-names":false,"suffix":""},{"dropping-particle":"","family":"Black","given":"Steve","non-dropping-particle":"","parse-names":false,"suffix":""},{"dropping-particle":"","family":"Bloom","given":"David E","non-dropping-particle":"","parse-names":false,"suffix":""},{"dropping-particle":"","family":"Datla","given":"Mahima","non-dropping-particle":"","parse-names":false,"suffix":""},{"dropping-particle":"","family":"Salisbury","given":"David","non-dropping-particle":"","parse-names":false,"suffix":""},{"dropping-particle":"","family":"Rappuoli","given":"Rino","non-dropping-particle":"","parse-names":false,"suffix":""}],"container-title":"Nature","id":"ITEM-1","issue":"7736","issued":{"date-parts":[["2018","12"]]},"language":"eng","page":"337-339","publisher-place":"England","title":"Vaccine candidates for poor nations are going to waste.","type":"article","volume":"564"},"uris":["http://www.mendeley.com/documents/?uuid=e096f0b9-ae16-429a-a152-a404a330083b"]}],"mendeley":{"formattedCitation":"&lt;sup&gt;8&lt;/sup&gt;","plainTextFormattedCitation":"8","previouslyFormattedCitation":"&lt;sup&gt;8&lt;/sup&gt;"},"properties":{"noteIndex":0},"schema":"https://github.com/citation-style-language/schema/raw/master/csl-citation.json"}</w:instrText>
      </w:r>
      <w:r w:rsidR="0080017B">
        <w:rPr>
          <w:lang w:val="en-GB"/>
        </w:rPr>
        <w:fldChar w:fldCharType="separate"/>
      </w:r>
      <w:r w:rsidR="0065634F" w:rsidRPr="0065634F">
        <w:rPr>
          <w:noProof/>
          <w:vertAlign w:val="superscript"/>
          <w:lang w:val="en-GB"/>
        </w:rPr>
        <w:t>8</w:t>
      </w:r>
      <w:r w:rsidR="0080017B">
        <w:rPr>
          <w:lang w:val="en-GB"/>
        </w:rPr>
        <w:fldChar w:fldCharType="end"/>
      </w:r>
      <w:r w:rsidR="00981634">
        <w:rPr>
          <w:lang w:val="en-GB"/>
        </w:rPr>
        <w:t xml:space="preserve"> </w:t>
      </w:r>
      <w:r w:rsidR="00A04638">
        <w:rPr>
          <w:lang w:val="en-GB"/>
        </w:rPr>
        <w:t>raised issues around</w:t>
      </w:r>
      <w:r w:rsidR="005A5FA9">
        <w:rPr>
          <w:lang w:val="en-GB"/>
        </w:rPr>
        <w:t xml:space="preserve"> </w:t>
      </w:r>
      <w:r w:rsidRPr="008E13A6">
        <w:rPr>
          <w:lang w:val="en-GB"/>
        </w:rPr>
        <w:t>problems in financing vaccine development</w:t>
      </w:r>
      <w:r w:rsidR="005A5FA9">
        <w:rPr>
          <w:lang w:val="en-GB"/>
        </w:rPr>
        <w:t xml:space="preserve"> </w:t>
      </w:r>
      <w:r w:rsidR="00981634">
        <w:rPr>
          <w:lang w:val="en-GB"/>
        </w:rPr>
        <w:t xml:space="preserve"> relevant to LMICs</w:t>
      </w:r>
      <w:r w:rsidR="0080017B">
        <w:rPr>
          <w:lang w:val="en-GB"/>
        </w:rPr>
        <w:t>.</w:t>
      </w:r>
    </w:p>
    <w:p w14:paraId="43A321B3" w14:textId="5D083A3F" w:rsidR="00F71FED" w:rsidRPr="008E13A6" w:rsidRDefault="00F71FED" w:rsidP="00F71FED">
      <w:pPr>
        <w:jc w:val="both"/>
      </w:pPr>
      <w:r>
        <w:rPr>
          <w:lang w:val="en-GB"/>
        </w:rPr>
        <w:t xml:space="preserve">- </w:t>
      </w:r>
      <w:r w:rsidRPr="008E13A6">
        <w:rPr>
          <w:lang w:val="en-GB"/>
        </w:rPr>
        <w:t xml:space="preserve">Subsequent statements from </w:t>
      </w:r>
      <w:r w:rsidR="00F31A72">
        <w:rPr>
          <w:lang w:val="en-GB"/>
        </w:rPr>
        <w:t xml:space="preserve">WHO’s advisory committees, including </w:t>
      </w:r>
      <w:r w:rsidRPr="008E13A6">
        <w:rPr>
          <w:lang w:val="en-GB"/>
        </w:rPr>
        <w:t>PDVAC</w:t>
      </w:r>
      <w:r w:rsidR="00A04638">
        <w:rPr>
          <w:lang w:val="en-GB"/>
        </w:rPr>
        <w:t xml:space="preserve">, </w:t>
      </w:r>
      <w:r w:rsidRPr="008E13A6">
        <w:rPr>
          <w:lang w:val="en-GB"/>
        </w:rPr>
        <w:t xml:space="preserve">IVIR-AC </w:t>
      </w:r>
      <w:r w:rsidR="00A04638">
        <w:rPr>
          <w:lang w:val="en-GB"/>
        </w:rPr>
        <w:t xml:space="preserve">and SAGE </w:t>
      </w:r>
      <w:r w:rsidRPr="008E13A6">
        <w:rPr>
          <w:lang w:val="en-GB"/>
        </w:rPr>
        <w:t>asking for clarity in this area</w:t>
      </w:r>
      <w:r w:rsidR="005A5FA9">
        <w:rPr>
          <w:lang w:val="en-GB"/>
        </w:rPr>
        <w:t xml:space="preserve"> (add refs)</w:t>
      </w:r>
      <w:r w:rsidRPr="008E13A6">
        <w:rPr>
          <w:lang w:val="en-GB"/>
        </w:rPr>
        <w:t>.</w:t>
      </w:r>
    </w:p>
    <w:p w14:paraId="6450AA77" w14:textId="6B6FB6CF" w:rsidR="00F71FED" w:rsidRDefault="00F71FED" w:rsidP="00F71FED">
      <w:pPr>
        <w:jc w:val="both"/>
        <w:rPr>
          <w:lang w:val="en-GB"/>
        </w:rPr>
      </w:pPr>
      <w:r>
        <w:rPr>
          <w:lang w:val="en-GB"/>
        </w:rPr>
        <w:t xml:space="preserve">- </w:t>
      </w:r>
      <w:r w:rsidRPr="008E13A6">
        <w:rPr>
          <w:lang w:val="en-GB"/>
        </w:rPr>
        <w:t>Funding of investment cases in GBS,</w:t>
      </w:r>
      <w:r w:rsidR="00480C73">
        <w:rPr>
          <w:lang w:val="en-GB"/>
        </w:rPr>
        <w:t xml:space="preserve"> GAS, Shigella, </w:t>
      </w:r>
      <w:r w:rsidR="00502708">
        <w:rPr>
          <w:lang w:val="en-GB"/>
        </w:rPr>
        <w:t>MR-MAP</w:t>
      </w:r>
      <w:r w:rsidR="002C3D56">
        <w:rPr>
          <w:lang w:val="en-GB"/>
        </w:rPr>
        <w:t xml:space="preserve"> and </w:t>
      </w:r>
      <w:r w:rsidRPr="008E13A6">
        <w:rPr>
          <w:lang w:val="en-GB"/>
        </w:rPr>
        <w:t>TB</w:t>
      </w:r>
      <w:r w:rsidR="0080017B">
        <w:rPr>
          <w:lang w:val="en-GB"/>
        </w:rPr>
        <w:fldChar w:fldCharType="begin" w:fldLock="1"/>
      </w:r>
      <w:r w:rsidR="0065634F">
        <w:rPr>
          <w:lang w:val="en-GB"/>
        </w:rPr>
        <w:instrText>ADDIN CSL_CITATION {"citationItems":[{"id":"ITEM-1","itemData":{"DOI":"10.1183/13993003.02414-2019","ISSN":"1399-3003 (Electronic)","PMID":"32198269","author":[{"dropping-particle":"","family":"Gebreselassie","given":"Nebiat","non-dropping-particle":"","parse-names":false,"suffix":""},{"dropping-particle":"","family":"Hutubessy","given":"Raymond","non-dropping-particle":"","parse-names":false,"suffix":""},{"dropping-particle":"","family":"Vekemans","given":"Johan","non-dropping-particle":"","parse-names":false,"suffix":""},{"dropping-particle":"","family":"Boon","given":"Saskia","non-dropping-particle":"den","parse-names":false,"suffix":""},{"dropping-particle":"","family":"Kasaeva","given":"Tereza","non-dropping-particle":"","parse-names":false,"suffix":""},{"dropping-particle":"","family":"Zignol","given":"Matteo","non-dropping-particle":"","parse-names":false,"suffix":""}],"container-title":"The European respiratory journal","id":"ITEM-1","issue":"3","issued":{"date-parts":[["2020","3"]]},"language":"eng","publisher-place":"England","title":"The case for assessing the full value of new tuberculosis vaccines.","type":"article","volume":"55"},"uris":["http://www.mendeley.com/documents/?uuid=f9317b66-d6b9-4edc-a4ca-b5e1d3c97c82"]}],"mendeley":{"formattedCitation":"&lt;sup&gt;9&lt;/sup&gt;","plainTextFormattedCitation":"9","previouslyFormattedCitation":"&lt;sup&gt;9&lt;/sup&gt;"},"properties":{"noteIndex":0},"schema":"https://github.com/citation-style-language/schema/raw/master/csl-citation.json"}</w:instrText>
      </w:r>
      <w:r w:rsidR="0080017B">
        <w:rPr>
          <w:lang w:val="en-GB"/>
        </w:rPr>
        <w:fldChar w:fldCharType="separate"/>
      </w:r>
      <w:r w:rsidR="0065634F" w:rsidRPr="0065634F">
        <w:rPr>
          <w:noProof/>
          <w:vertAlign w:val="superscript"/>
          <w:lang w:val="en-GB"/>
        </w:rPr>
        <w:t>9</w:t>
      </w:r>
      <w:r w:rsidR="0080017B">
        <w:rPr>
          <w:lang w:val="en-GB"/>
        </w:rPr>
        <w:fldChar w:fldCharType="end"/>
      </w:r>
      <w:r w:rsidRPr="008E13A6">
        <w:rPr>
          <w:lang w:val="en-GB"/>
        </w:rPr>
        <w:t xml:space="preserve"> which take a broader perspective.</w:t>
      </w:r>
    </w:p>
    <w:p w14:paraId="5B7BDA52" w14:textId="44CB9F03" w:rsidR="00981634" w:rsidRDefault="00981634" w:rsidP="00981634">
      <w:pPr>
        <w:jc w:val="both"/>
        <w:rPr>
          <w:lang w:val="en-GB"/>
        </w:rPr>
      </w:pPr>
      <w:r>
        <w:rPr>
          <w:lang w:val="en-GB"/>
        </w:rPr>
        <w:t xml:space="preserve">- </w:t>
      </w:r>
      <w:r w:rsidRPr="00981634">
        <w:rPr>
          <w:lang w:val="en-GB"/>
        </w:rPr>
        <w:t>Gavi VIS criteria that have bro</w:t>
      </w:r>
      <w:r w:rsidR="0080017B">
        <w:rPr>
          <w:lang w:val="en-GB"/>
        </w:rPr>
        <w:t>a</w:t>
      </w:r>
      <w:r w:rsidRPr="00981634">
        <w:rPr>
          <w:lang w:val="en-GB"/>
        </w:rPr>
        <w:t xml:space="preserve">der </w:t>
      </w:r>
      <w:r w:rsidR="00494453" w:rsidRPr="00981634">
        <w:rPr>
          <w:lang w:val="en-GB"/>
        </w:rPr>
        <w:t>criteria</w:t>
      </w:r>
      <w:r w:rsidRPr="00981634">
        <w:rPr>
          <w:lang w:val="en-GB"/>
        </w:rPr>
        <w:t>:</w:t>
      </w:r>
      <w:r>
        <w:rPr>
          <w:lang w:val="en-GB"/>
        </w:rPr>
        <w:t xml:space="preserve"> </w:t>
      </w:r>
      <w:hyperlink r:id="rId12" w:history="1">
        <w:r w:rsidRPr="009005E3">
          <w:rPr>
            <w:rStyle w:val="Hyperlink"/>
            <w:lang w:val="en-GB"/>
          </w:rPr>
          <w:t>https://www.gavi.org/our-alliance/strategy/vaccine-investment-strateg</w:t>
        </w:r>
      </w:hyperlink>
    </w:p>
    <w:p w14:paraId="69D8C90C" w14:textId="1327DBE9" w:rsidR="00981634" w:rsidRPr="00981634" w:rsidRDefault="00981634" w:rsidP="00981634">
      <w:pPr>
        <w:jc w:val="both"/>
        <w:rPr>
          <w:lang w:val="en-GB"/>
        </w:rPr>
      </w:pPr>
      <w:r>
        <w:rPr>
          <w:lang w:val="en-GB"/>
        </w:rPr>
        <w:t xml:space="preserve">- </w:t>
      </w:r>
      <w:r w:rsidRPr="00981634">
        <w:rPr>
          <w:lang w:val="en-GB"/>
        </w:rPr>
        <w:t>WHO AMR framework</w:t>
      </w:r>
      <w:r>
        <w:rPr>
          <w:lang w:val="en-GB"/>
        </w:rPr>
        <w:t xml:space="preserve"> l</w:t>
      </w:r>
      <w:r w:rsidRPr="00981634">
        <w:rPr>
          <w:lang w:val="en-GB"/>
        </w:rPr>
        <w:t>everaging Vaccines to Reduce Antibiotic Use and Prevent Antimicrobial Resistance: An Action Framework:</w:t>
      </w:r>
    </w:p>
    <w:p w14:paraId="540F81AD" w14:textId="52099CCE" w:rsidR="00981634" w:rsidRPr="008E13A6" w:rsidRDefault="004407A6" w:rsidP="00981634">
      <w:pPr>
        <w:jc w:val="both"/>
      </w:pPr>
      <w:hyperlink r:id="rId13" w:history="1">
        <w:r w:rsidR="00981634" w:rsidRPr="009005E3">
          <w:rPr>
            <w:rStyle w:val="Hyperlink"/>
            <w:lang w:val="en-GB"/>
          </w:rPr>
          <w:t>https://cdn.who.int/media/docs/default-source/immunization/product-and-delivery-research/action-framework-final.pdf?sfvrsn=13c119f3_5&amp;download=true</w:t>
        </w:r>
      </w:hyperlink>
      <w:r w:rsidR="00981634">
        <w:rPr>
          <w:lang w:val="en-GB"/>
        </w:rPr>
        <w:t xml:space="preserve"> </w:t>
      </w:r>
    </w:p>
    <w:p w14:paraId="05A87A4A" w14:textId="77777777" w:rsidR="00F71FED" w:rsidRDefault="00F71FED" w:rsidP="00F71FED">
      <w:pPr>
        <w:jc w:val="both"/>
        <w:rPr>
          <w:lang w:val="en-GB"/>
        </w:rPr>
      </w:pPr>
      <w:r>
        <w:t xml:space="preserve">- </w:t>
      </w:r>
      <w:r w:rsidRPr="008E13A6">
        <w:rPr>
          <w:lang w:val="en-GB"/>
        </w:rPr>
        <w:t>Possibly we could also mention the relevance to COVID-19 vaccines where a pure health sector perspective alone is clearly too narrow to capture all the benefits that society is interested in, and where WHO SAGE has explicitly laid down ethical principles for vaccine prioritisation.</w:t>
      </w:r>
    </w:p>
    <w:p w14:paraId="2B68214E" w14:textId="743E79E3" w:rsidR="00F71FED" w:rsidRPr="008E13A6" w:rsidRDefault="00F71FED" w:rsidP="00F71FED">
      <w:pPr>
        <w:jc w:val="both"/>
      </w:pPr>
      <w:r>
        <w:rPr>
          <w:lang w:val="en-GB"/>
        </w:rPr>
        <w:t xml:space="preserve">- </w:t>
      </w:r>
      <w:r w:rsidR="0080017B">
        <w:rPr>
          <w:lang w:val="en-GB"/>
        </w:rPr>
        <w:t>I</w:t>
      </w:r>
      <w:r w:rsidR="00A04638">
        <w:rPr>
          <w:lang w:val="en-GB"/>
        </w:rPr>
        <w:t xml:space="preserve">n preparation of the </w:t>
      </w:r>
      <w:r>
        <w:rPr>
          <w:lang w:val="en-GB"/>
        </w:rPr>
        <w:t>IA2030</w:t>
      </w:r>
      <w:r w:rsidR="00A04638">
        <w:rPr>
          <w:lang w:val="en-GB"/>
        </w:rPr>
        <w:t xml:space="preserve"> </w:t>
      </w:r>
      <w:r w:rsidR="009228B3">
        <w:rPr>
          <w:lang w:val="en-GB"/>
        </w:rPr>
        <w:t xml:space="preserve">global </w:t>
      </w:r>
      <w:r w:rsidR="00A04638">
        <w:rPr>
          <w:lang w:val="en-GB"/>
        </w:rPr>
        <w:t xml:space="preserve">strategy </w:t>
      </w:r>
      <w:r>
        <w:rPr>
          <w:lang w:val="en-GB"/>
        </w:rPr>
        <w:t>the full benefits of vaccines</w:t>
      </w:r>
      <w:r w:rsidR="00A04638">
        <w:rPr>
          <w:lang w:val="en-GB"/>
        </w:rPr>
        <w:t xml:space="preserve"> to everyone contributing to good health and well-being</w:t>
      </w:r>
      <w:r>
        <w:rPr>
          <w:lang w:val="en-GB"/>
        </w:rPr>
        <w:t xml:space="preserve"> </w:t>
      </w:r>
      <w:r w:rsidR="00A04638">
        <w:rPr>
          <w:lang w:val="en-GB"/>
        </w:rPr>
        <w:t>play</w:t>
      </w:r>
      <w:r>
        <w:rPr>
          <w:lang w:val="en-GB"/>
        </w:rPr>
        <w:t xml:space="preserve"> a prominent role.</w:t>
      </w:r>
    </w:p>
    <w:p w14:paraId="65D08992" w14:textId="77777777" w:rsidR="00F71FED" w:rsidRDefault="00F71FED" w:rsidP="006D0890"/>
    <w:p w14:paraId="4E92A891" w14:textId="77777777" w:rsidR="000A3ACF" w:rsidRPr="00762136" w:rsidRDefault="000A3ACF" w:rsidP="006D0890"/>
    <w:p w14:paraId="189AEBBC" w14:textId="0FAC9BA1" w:rsidR="00A96B69" w:rsidRDefault="00A96B69">
      <w:pPr>
        <w:spacing w:after="160" w:line="259" w:lineRule="auto"/>
      </w:pPr>
      <w:r>
        <w:br w:type="page"/>
      </w:r>
    </w:p>
    <w:p w14:paraId="738B5388" w14:textId="2B7A8BA8" w:rsidR="00A96B69" w:rsidRPr="003A7512" w:rsidRDefault="004A04A5" w:rsidP="00A96B69">
      <w:pPr>
        <w:rPr>
          <w:b/>
          <w:bCs/>
        </w:rPr>
      </w:pPr>
      <w:r>
        <w:rPr>
          <w:b/>
          <w:bCs/>
        </w:rPr>
        <w:lastRenderedPageBreak/>
        <w:t>Supplement</w:t>
      </w:r>
      <w:r w:rsidR="00A96B69" w:rsidRPr="003A7512">
        <w:rPr>
          <w:b/>
          <w:bCs/>
        </w:rPr>
        <w:t xml:space="preserve"> </w:t>
      </w:r>
      <w:r w:rsidR="00731427">
        <w:rPr>
          <w:b/>
          <w:bCs/>
        </w:rPr>
        <w:t>2:</w:t>
      </w:r>
      <w:r w:rsidR="00A96B69" w:rsidRPr="003A7512">
        <w:rPr>
          <w:b/>
          <w:bCs/>
        </w:rPr>
        <w:t xml:space="preserve"> Glossary of </w:t>
      </w:r>
      <w:r w:rsidR="00D4404D">
        <w:rPr>
          <w:b/>
          <w:bCs/>
        </w:rPr>
        <w:t>abbreviations</w:t>
      </w:r>
      <w:r w:rsidR="00A96B69" w:rsidRPr="003A7512">
        <w:rPr>
          <w:b/>
          <w:bCs/>
        </w:rPr>
        <w:t xml:space="preserve"> and definitions</w:t>
      </w:r>
    </w:p>
    <w:p w14:paraId="43108C81" w14:textId="77777777" w:rsidR="00A96B69" w:rsidRDefault="00A96B69" w:rsidP="00A96B69"/>
    <w:p w14:paraId="6CEB13B1" w14:textId="531C71DC" w:rsidR="00A96B69" w:rsidRDefault="00731427" w:rsidP="00A96B69">
      <w:r>
        <w:t>2</w:t>
      </w:r>
      <w:r w:rsidR="00A96B69">
        <w:t xml:space="preserve">.1 </w:t>
      </w:r>
      <w:r w:rsidR="00D4404D">
        <w:t>Abbreviations</w:t>
      </w:r>
      <w:r w:rsidR="00A96B69">
        <w:t xml:space="preserve"> </w:t>
      </w:r>
    </w:p>
    <w:p w14:paraId="115F5D8C" w14:textId="77777777" w:rsidR="00A96B69" w:rsidRDefault="00A96B69" w:rsidP="00A96B69"/>
    <w:p w14:paraId="12947B3C" w14:textId="77777777" w:rsidR="00A96B69" w:rsidRDefault="00A96B69" w:rsidP="00A96B69">
      <w:r>
        <w:t xml:space="preserve">CAPACITI: Country-led Assessment for Prioritization of </w:t>
      </w:r>
      <w:proofErr w:type="spellStart"/>
      <w:r>
        <w:t>Immunisation</w:t>
      </w:r>
      <w:proofErr w:type="spellEnd"/>
    </w:p>
    <w:p w14:paraId="65486930" w14:textId="77777777" w:rsidR="00A96B69" w:rsidRDefault="00A96B69" w:rsidP="00A96B69">
      <w:r>
        <w:t xml:space="preserve">CEPI: The Coalition for Epidemic Preparedness Innovations </w:t>
      </w:r>
    </w:p>
    <w:p w14:paraId="25F83FB7" w14:textId="77777777" w:rsidR="00A96B69" w:rsidRDefault="00A96B69" w:rsidP="00A96B69">
      <w:r w:rsidRPr="00810AF4">
        <w:t>FPVHP</w:t>
      </w:r>
      <w:r>
        <w:t>: Full Public Health Value Propositions for Vaccines</w:t>
      </w:r>
    </w:p>
    <w:p w14:paraId="3FB10AD3" w14:textId="77777777" w:rsidR="00A96B69" w:rsidRDefault="00A96B69" w:rsidP="00A96B69">
      <w:r>
        <w:t>FVVA: Full Value of Vaccines Assessment</w:t>
      </w:r>
    </w:p>
    <w:p w14:paraId="05F9151A" w14:textId="77777777" w:rsidR="00A96B69" w:rsidRDefault="00A96B69" w:rsidP="00A96B69">
      <w:r>
        <w:t>HTA: Health Technology Assessment</w:t>
      </w:r>
    </w:p>
    <w:p w14:paraId="3FAB2EC2" w14:textId="77777777" w:rsidR="00A96B69" w:rsidRPr="0054449F" w:rsidRDefault="00A96B69" w:rsidP="00A96B69">
      <w:r w:rsidRPr="0054449F">
        <w:t>IVIR-AC:</w:t>
      </w:r>
      <w:r w:rsidRPr="005840A3">
        <w:t xml:space="preserve"> Immunization</w:t>
      </w:r>
      <w:r>
        <w:t xml:space="preserve">- </w:t>
      </w:r>
      <w:r w:rsidRPr="005840A3">
        <w:t>and V</w:t>
      </w:r>
      <w:r>
        <w:t>accine-related Implementation Research Advisory Committee</w:t>
      </w:r>
    </w:p>
    <w:p w14:paraId="252D97AD" w14:textId="77777777" w:rsidR="00A96B69" w:rsidRDefault="00A96B69" w:rsidP="00A96B69">
      <w:r w:rsidRPr="00C3472C">
        <w:t xml:space="preserve">IPAC: </w:t>
      </w:r>
      <w:r>
        <w:t xml:space="preserve">Immunization Practices Advisory Committee </w:t>
      </w:r>
    </w:p>
    <w:p w14:paraId="6120A176" w14:textId="77777777" w:rsidR="00A96B69" w:rsidRDefault="00A96B69" w:rsidP="00A96B69">
      <w:r>
        <w:t>PDP: Product Development Partnerships (PDPs)</w:t>
      </w:r>
    </w:p>
    <w:p w14:paraId="3BDF0EFF" w14:textId="77777777" w:rsidR="00A96B69" w:rsidRDefault="00A96B69" w:rsidP="00A96B69">
      <w:r w:rsidRPr="0054449F">
        <w:t>PDVAC:</w:t>
      </w:r>
      <w:r w:rsidRPr="005840A3">
        <w:t xml:space="preserve"> Product Development for V</w:t>
      </w:r>
      <w:r>
        <w:t>accines Advisory Committee</w:t>
      </w:r>
    </w:p>
    <w:p w14:paraId="774F3263" w14:textId="77777777" w:rsidR="00A96B69" w:rsidRPr="00C3472C" w:rsidRDefault="00A96B69" w:rsidP="00A96B69">
      <w:r>
        <w:t>PPC: Preferred Product Characteristics</w:t>
      </w:r>
    </w:p>
    <w:p w14:paraId="344CF36E" w14:textId="77777777" w:rsidR="00A96B69" w:rsidRDefault="00A96B69" w:rsidP="00A96B69">
      <w:r w:rsidRPr="00C3472C">
        <w:t>SAGE:</w:t>
      </w:r>
      <w:r>
        <w:t xml:space="preserve"> Strategic Advisory Group of Experts on Immunization</w:t>
      </w:r>
    </w:p>
    <w:p w14:paraId="0723995B" w14:textId="77777777" w:rsidR="00A96B69" w:rsidRDefault="00A96B69" w:rsidP="00A96B69">
      <w:r>
        <w:t>TPP: Target Product Profiles</w:t>
      </w:r>
    </w:p>
    <w:p w14:paraId="7BBEFC17" w14:textId="77777777" w:rsidR="00A96B69" w:rsidRDefault="00A96B69" w:rsidP="00A96B69">
      <w:r>
        <w:t>TSE: Total Systems Effectiveness</w:t>
      </w:r>
    </w:p>
    <w:p w14:paraId="68D9FBDC" w14:textId="77777777" w:rsidR="00A96B69" w:rsidRPr="00C3472C" w:rsidRDefault="00A96B69" w:rsidP="00A96B69">
      <w:r>
        <w:t>MDB: Multilateral Development Bank</w:t>
      </w:r>
    </w:p>
    <w:p w14:paraId="0DA00A5B" w14:textId="77777777" w:rsidR="00A96B69" w:rsidRDefault="00A96B69" w:rsidP="00A96B69"/>
    <w:p w14:paraId="4FB9F9F5" w14:textId="77777777" w:rsidR="00A96B69" w:rsidRDefault="00A96B69" w:rsidP="00A96B69"/>
    <w:p w14:paraId="2CB70EFC" w14:textId="4D64BC3A" w:rsidR="00A96B69" w:rsidRDefault="00731427" w:rsidP="00A96B69">
      <w:r>
        <w:t>2</w:t>
      </w:r>
      <w:r w:rsidR="00A96B69">
        <w:t>.2 Definitions</w:t>
      </w:r>
    </w:p>
    <w:tbl>
      <w:tblPr>
        <w:tblStyle w:val="TableGrid"/>
        <w:tblW w:w="0" w:type="auto"/>
        <w:tblLook w:val="04A0" w:firstRow="1" w:lastRow="0" w:firstColumn="1" w:lastColumn="0" w:noHBand="0" w:noVBand="1"/>
      </w:tblPr>
      <w:tblGrid>
        <w:gridCol w:w="4132"/>
        <w:gridCol w:w="5218"/>
      </w:tblGrid>
      <w:tr w:rsidR="00A96B69" w14:paraId="35B7518F" w14:textId="77777777" w:rsidTr="002F7D45">
        <w:tc>
          <w:tcPr>
            <w:tcW w:w="4132" w:type="dxa"/>
          </w:tcPr>
          <w:p w14:paraId="05C6B15E" w14:textId="77777777" w:rsidR="00A96B69" w:rsidRDefault="00A96B69" w:rsidP="002F7D45">
            <w:r>
              <w:t>Terms</w:t>
            </w:r>
          </w:p>
        </w:tc>
        <w:tc>
          <w:tcPr>
            <w:tcW w:w="5218" w:type="dxa"/>
          </w:tcPr>
          <w:p w14:paraId="328F1221" w14:textId="77777777" w:rsidR="00A96B69" w:rsidRDefault="00A96B69" w:rsidP="002F7D45">
            <w:r>
              <w:t>Definitions</w:t>
            </w:r>
          </w:p>
        </w:tc>
      </w:tr>
      <w:tr w:rsidR="00A96B69" w14:paraId="0F8DAD30" w14:textId="77777777" w:rsidTr="002F7D45">
        <w:trPr>
          <w:trHeight w:val="917"/>
        </w:trPr>
        <w:tc>
          <w:tcPr>
            <w:tcW w:w="4132" w:type="dxa"/>
          </w:tcPr>
          <w:p w14:paraId="54C09F0F" w14:textId="77777777" w:rsidR="00A96B69" w:rsidRDefault="00A96B69" w:rsidP="002F7D45">
            <w:r>
              <w:t>Preferred Product Characteristics (PPC)</w:t>
            </w:r>
          </w:p>
        </w:tc>
        <w:tc>
          <w:tcPr>
            <w:tcW w:w="5218" w:type="dxa"/>
          </w:tcPr>
          <w:p w14:paraId="7CA2E08E" w14:textId="77777777" w:rsidR="00A96B69" w:rsidRPr="003E31DA" w:rsidRDefault="00A96B69" w:rsidP="002F7D45">
            <w:pPr>
              <w:pStyle w:val="CommentText"/>
              <w:spacing w:after="0"/>
            </w:pPr>
            <w:r w:rsidRPr="001C700A">
              <w:rPr>
                <w:rFonts w:ascii="Times New Roman" w:hAnsi="Times New Roman" w:cs="Times New Roman"/>
              </w:rPr>
              <w:t xml:space="preserve">PPCs are developed by WHO IVB and provide guidance as to WHO’s preferences for new vaccines in priority disease areas. The objective is to promote the development of vaccines with optimal effectiveness and suitability, for use in LMICs, thereby maximizing global vaccine impact. </w:t>
            </w:r>
          </w:p>
        </w:tc>
      </w:tr>
      <w:tr w:rsidR="00A96B69" w14:paraId="6E424B08" w14:textId="77777777" w:rsidTr="002F7D45">
        <w:tc>
          <w:tcPr>
            <w:tcW w:w="4132" w:type="dxa"/>
          </w:tcPr>
          <w:p w14:paraId="4939B8D1" w14:textId="77777777" w:rsidR="00A96B69" w:rsidRDefault="00A96B69" w:rsidP="002F7D45">
            <w:r>
              <w:t>Target Product Profiles (TPP)</w:t>
            </w:r>
          </w:p>
        </w:tc>
        <w:tc>
          <w:tcPr>
            <w:tcW w:w="5218" w:type="dxa"/>
          </w:tcPr>
          <w:p w14:paraId="46741479" w14:textId="77777777" w:rsidR="00A96B69" w:rsidRPr="003E31DA" w:rsidRDefault="00A96B69" w:rsidP="002F7D45">
            <w:pPr>
              <w:rPr>
                <w:sz w:val="20"/>
                <w:szCs w:val="20"/>
              </w:rPr>
            </w:pPr>
            <w:r w:rsidRPr="003E31DA">
              <w:rPr>
                <w:sz w:val="20"/>
                <w:szCs w:val="20"/>
              </w:rPr>
              <w:t>The TPPs are pathogen rather than product specific and define a mandatory set of product attribute. The intent of WHO TPPs is to provide early technical guidance into the various product</w:t>
            </w:r>
            <w:r>
              <w:rPr>
                <w:sz w:val="20"/>
                <w:szCs w:val="20"/>
              </w:rPr>
              <w:t>-</w:t>
            </w:r>
            <w:r w:rsidRPr="003E31DA">
              <w:rPr>
                <w:sz w:val="20"/>
                <w:szCs w:val="20"/>
              </w:rPr>
              <w:t>specific vaccine TPPs that are developed by individual vaccine manufacturers</w:t>
            </w:r>
          </w:p>
        </w:tc>
      </w:tr>
      <w:tr w:rsidR="00A96B69" w14:paraId="532AD900" w14:textId="77777777" w:rsidTr="002F7D45">
        <w:tc>
          <w:tcPr>
            <w:tcW w:w="4132" w:type="dxa"/>
          </w:tcPr>
          <w:p w14:paraId="00457363" w14:textId="77777777" w:rsidR="00A96B69" w:rsidRDefault="00A96B69" w:rsidP="002F7D45">
            <w:r>
              <w:t>Health Technology Assessment (HTA)</w:t>
            </w:r>
          </w:p>
        </w:tc>
        <w:tc>
          <w:tcPr>
            <w:tcW w:w="5218" w:type="dxa"/>
          </w:tcPr>
          <w:p w14:paraId="03684BA6" w14:textId="77777777" w:rsidR="00A96B69" w:rsidRPr="003E31DA" w:rsidRDefault="00A96B69" w:rsidP="002F7D45">
            <w:pPr>
              <w:rPr>
                <w:sz w:val="20"/>
                <w:szCs w:val="20"/>
              </w:rPr>
            </w:pPr>
            <w:r w:rsidRPr="003E31DA">
              <w:rPr>
                <w:sz w:val="20"/>
                <w:szCs w:val="20"/>
              </w:rPr>
              <w:t>A multidisciplinary process that uses explicit methods to determine the value of a health technology at different points in its lifecycle. The purpose is to inform decision-making in order to promote an equitable, efficient, and high-quality health system</w:t>
            </w:r>
          </w:p>
        </w:tc>
      </w:tr>
      <w:tr w:rsidR="00A96B69" w14:paraId="3769136F" w14:textId="77777777" w:rsidTr="002F7D45">
        <w:trPr>
          <w:trHeight w:val="1619"/>
        </w:trPr>
        <w:tc>
          <w:tcPr>
            <w:tcW w:w="4132" w:type="dxa"/>
          </w:tcPr>
          <w:p w14:paraId="2DD3B7F8" w14:textId="77777777" w:rsidR="00A96B69" w:rsidRDefault="00A96B69" w:rsidP="002F7D45">
            <w:r>
              <w:t>Investment cases, business cases, value propositions</w:t>
            </w:r>
          </w:p>
        </w:tc>
        <w:tc>
          <w:tcPr>
            <w:tcW w:w="5218" w:type="dxa"/>
          </w:tcPr>
          <w:p w14:paraId="2E45660F" w14:textId="77777777" w:rsidR="00A96B69" w:rsidRPr="003E31DA" w:rsidRDefault="00A96B69" w:rsidP="002F7D45">
            <w:pPr>
              <w:pStyle w:val="CommentText"/>
              <w:spacing w:after="0"/>
            </w:pPr>
            <w:r w:rsidRPr="001C700A">
              <w:rPr>
                <w:rFonts w:ascii="Times New Roman" w:hAnsi="Times New Roman" w:cs="Times New Roman"/>
              </w:rPr>
              <w:t>A body of work, as a compilation of outcomes from existing analyses and studies, that aims to provide information needed for decisions around technical or financial support for vaccine introduction by donors and country stakeholders, or investment decisions on vaccine development made by donors or private investors. Some aim to advocate for specific goals or agenda related to disease control and immunization programs.</w:t>
            </w:r>
          </w:p>
        </w:tc>
      </w:tr>
      <w:tr w:rsidR="00A96B69" w14:paraId="4DBD3754" w14:textId="77777777" w:rsidTr="002F7D45">
        <w:tc>
          <w:tcPr>
            <w:tcW w:w="4132" w:type="dxa"/>
          </w:tcPr>
          <w:p w14:paraId="551B55D3" w14:textId="77777777" w:rsidR="00A96B69" w:rsidRDefault="00A96B69" w:rsidP="002F7D45">
            <w:r>
              <w:t>Full Value of Vaccines Assessment (FVVA)</w:t>
            </w:r>
          </w:p>
          <w:p w14:paraId="14B86AF4" w14:textId="77777777" w:rsidR="00A96B69" w:rsidRDefault="00A96B69" w:rsidP="002F7D45"/>
        </w:tc>
        <w:tc>
          <w:tcPr>
            <w:tcW w:w="5218" w:type="dxa"/>
          </w:tcPr>
          <w:p w14:paraId="01EBCA51" w14:textId="77777777" w:rsidR="00A96B69" w:rsidRPr="003E31DA" w:rsidRDefault="00A96B69" w:rsidP="002F7D45">
            <w:pPr>
              <w:rPr>
                <w:sz w:val="20"/>
                <w:szCs w:val="20"/>
              </w:rPr>
            </w:pPr>
            <w:r w:rsidRPr="003E31DA">
              <w:rPr>
                <w:sz w:val="20"/>
                <w:szCs w:val="20"/>
              </w:rPr>
              <w:t>A framework that guides assessment and communication of the value of vaccines and informs decision making around vaccine development and introduction as well as sustainable implementation of immunization programs.</w:t>
            </w:r>
          </w:p>
        </w:tc>
      </w:tr>
    </w:tbl>
    <w:p w14:paraId="6F006A4E" w14:textId="77777777" w:rsidR="00A96B69" w:rsidRPr="00762136" w:rsidRDefault="00A96B69" w:rsidP="00A96B69"/>
    <w:p w14:paraId="7DFB2C8A" w14:textId="77777777" w:rsidR="00A96B69" w:rsidRPr="00F1010B" w:rsidRDefault="00A96B69" w:rsidP="00A96B69"/>
    <w:p w14:paraId="3C1595E8" w14:textId="52844B24" w:rsidR="0065634F" w:rsidRDefault="0065634F" w:rsidP="0065634F"/>
    <w:p w14:paraId="384393CC" w14:textId="1389CC48" w:rsidR="0065634F" w:rsidRDefault="0065634F" w:rsidP="0065634F"/>
    <w:p w14:paraId="286EB176" w14:textId="399AC466" w:rsidR="0065634F" w:rsidRDefault="0065634F" w:rsidP="0065634F"/>
    <w:p w14:paraId="68668280" w14:textId="7B662196" w:rsidR="0065634F" w:rsidRPr="0065634F" w:rsidRDefault="0065634F" w:rsidP="0065634F">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Pr="0065634F">
        <w:rPr>
          <w:noProof/>
        </w:rPr>
        <w:t xml:space="preserve">1. </w:t>
      </w:r>
      <w:r w:rsidRPr="0065634F">
        <w:rPr>
          <w:noProof/>
        </w:rPr>
        <w:tab/>
        <w:t xml:space="preserve">Beutels P, Scuffham PA, MacIntyre CR. Funding of drugs: do vaccines warrant a different approach? </w:t>
      </w:r>
      <w:r w:rsidRPr="0065634F">
        <w:rPr>
          <w:i/>
          <w:iCs/>
          <w:noProof/>
        </w:rPr>
        <w:t>Lancet Infect Dis</w:t>
      </w:r>
      <w:r w:rsidRPr="0065634F">
        <w:rPr>
          <w:noProof/>
        </w:rPr>
        <w:t>. 2008;8(11):727-733. doi:10.1016/S1473-3099(08)70258-5</w:t>
      </w:r>
    </w:p>
    <w:p w14:paraId="3FA96448"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2. </w:t>
      </w:r>
      <w:r w:rsidRPr="0065634F">
        <w:rPr>
          <w:noProof/>
        </w:rPr>
        <w:tab/>
        <w:t xml:space="preserve">Bärnighausen T, Bloom DE, Canning D, et al. Rethinking the benefits and costs of childhood vaccination: The example of the Haemophilus influenzae type b vaccine. </w:t>
      </w:r>
      <w:r w:rsidRPr="0065634F">
        <w:rPr>
          <w:i/>
          <w:iCs/>
          <w:noProof/>
        </w:rPr>
        <w:t>Vaccine</w:t>
      </w:r>
      <w:r w:rsidRPr="0065634F">
        <w:rPr>
          <w:noProof/>
        </w:rPr>
        <w:t>. 2011;29(13):2371-2380. doi:https://doi.org/10.1016/j.vaccine.2010.11.090</w:t>
      </w:r>
    </w:p>
    <w:p w14:paraId="6078FAB1"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3. </w:t>
      </w:r>
      <w:r w:rsidRPr="0065634F">
        <w:rPr>
          <w:noProof/>
        </w:rPr>
        <w:tab/>
        <w:t xml:space="preserve">Bärnighausen T, Berkley S, Bhutta ZA, et al. Reassessing the value of vaccines. </w:t>
      </w:r>
      <w:r w:rsidRPr="0065634F">
        <w:rPr>
          <w:i/>
          <w:iCs/>
          <w:noProof/>
        </w:rPr>
        <w:t>Lancet Glob Heal</w:t>
      </w:r>
      <w:r w:rsidRPr="0065634F">
        <w:rPr>
          <w:noProof/>
        </w:rPr>
        <w:t>. 2014;2(5). doi:10.1016/S2214-109X(13)70170-0</w:t>
      </w:r>
    </w:p>
    <w:p w14:paraId="1C363EA8" w14:textId="77777777" w:rsidR="0065634F" w:rsidRPr="00A96B69" w:rsidRDefault="0065634F" w:rsidP="0065634F">
      <w:pPr>
        <w:widowControl w:val="0"/>
        <w:autoSpaceDE w:val="0"/>
        <w:autoSpaceDN w:val="0"/>
        <w:adjustRightInd w:val="0"/>
        <w:ind w:left="640" w:hanging="640"/>
        <w:rPr>
          <w:noProof/>
          <w:lang w:val="fr-FR"/>
        </w:rPr>
      </w:pPr>
      <w:r w:rsidRPr="0065634F">
        <w:rPr>
          <w:noProof/>
        </w:rPr>
        <w:t xml:space="preserve">4. </w:t>
      </w:r>
      <w:r w:rsidRPr="0065634F">
        <w:rPr>
          <w:noProof/>
        </w:rPr>
        <w:tab/>
        <w:t xml:space="preserve">Ozawa S, Mirelman A, Stack ML, Walker DG, Levine OS. Cost-effectiveness and economic benefits of vaccines in low- and middle-income countries: A systematic review. </w:t>
      </w:r>
      <w:r w:rsidRPr="00A96B69">
        <w:rPr>
          <w:i/>
          <w:iCs/>
          <w:noProof/>
          <w:lang w:val="fr-FR"/>
        </w:rPr>
        <w:t>Vaccine</w:t>
      </w:r>
      <w:r w:rsidRPr="00A96B69">
        <w:rPr>
          <w:noProof/>
          <w:lang w:val="fr-FR"/>
        </w:rPr>
        <w:t>. 2012;31(1):96-108. doi:https://doi.org/10.1016/j.vaccine.2012.10.103</w:t>
      </w:r>
    </w:p>
    <w:p w14:paraId="680E6B27" w14:textId="77777777" w:rsidR="0065634F" w:rsidRPr="0065634F" w:rsidRDefault="0065634F" w:rsidP="0065634F">
      <w:pPr>
        <w:widowControl w:val="0"/>
        <w:autoSpaceDE w:val="0"/>
        <w:autoSpaceDN w:val="0"/>
        <w:adjustRightInd w:val="0"/>
        <w:ind w:left="640" w:hanging="640"/>
        <w:rPr>
          <w:noProof/>
        </w:rPr>
      </w:pPr>
      <w:r w:rsidRPr="00A96B69">
        <w:rPr>
          <w:noProof/>
          <w:lang w:val="fr-FR"/>
        </w:rPr>
        <w:t xml:space="preserve">5. </w:t>
      </w:r>
      <w:r w:rsidRPr="00A96B69">
        <w:rPr>
          <w:noProof/>
          <w:lang w:val="fr-FR"/>
        </w:rPr>
        <w:tab/>
        <w:t xml:space="preserve">Jit M, Hutubessy R, Png ME, et al. </w:t>
      </w:r>
      <w:r w:rsidRPr="0065634F">
        <w:rPr>
          <w:noProof/>
        </w:rPr>
        <w:t xml:space="preserve">The broader economic impact of vaccination: reviewing and appraising the strength of evidence. </w:t>
      </w:r>
      <w:r w:rsidRPr="0065634F">
        <w:rPr>
          <w:i/>
          <w:iCs/>
          <w:noProof/>
        </w:rPr>
        <w:t>BMC Med</w:t>
      </w:r>
      <w:r w:rsidRPr="0065634F">
        <w:rPr>
          <w:noProof/>
        </w:rPr>
        <w:t>. 2015;13(1):209. doi:10.1186/s12916-015-0446-9</w:t>
      </w:r>
    </w:p>
    <w:p w14:paraId="0C3192E2"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6. </w:t>
      </w:r>
      <w:r w:rsidRPr="0065634F">
        <w:rPr>
          <w:noProof/>
        </w:rPr>
        <w:tab/>
        <w:t xml:space="preserve">Deogaonkar R, Hutubessy R, Van Der Putten I, Evers S, Jit M. Systematic review of studies evaluating the broader economic impact of vaccination in low and middle income countries. </w:t>
      </w:r>
      <w:r w:rsidRPr="0065634F">
        <w:rPr>
          <w:i/>
          <w:iCs/>
          <w:noProof/>
        </w:rPr>
        <w:t>BMC Public Health</w:t>
      </w:r>
      <w:r w:rsidRPr="0065634F">
        <w:rPr>
          <w:noProof/>
        </w:rPr>
        <w:t>. 2012;12(1). doi:10.1186/1471-2458-12-878</w:t>
      </w:r>
    </w:p>
    <w:p w14:paraId="64DCA82A"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7. </w:t>
      </w:r>
      <w:r w:rsidRPr="0065634F">
        <w:rPr>
          <w:noProof/>
        </w:rPr>
        <w:tab/>
        <w:t xml:space="preserve">Gessner BD, Kaslow D, Louis J, et al. Estimating the full public health value of vaccination. </w:t>
      </w:r>
      <w:r w:rsidRPr="0065634F">
        <w:rPr>
          <w:i/>
          <w:iCs/>
          <w:noProof/>
        </w:rPr>
        <w:t>Vaccine</w:t>
      </w:r>
      <w:r w:rsidRPr="0065634F">
        <w:rPr>
          <w:noProof/>
        </w:rPr>
        <w:t>. 2017;35(46):6255-6263. doi:https://doi.org/10.1016/j.vaccine.2017.09.048</w:t>
      </w:r>
    </w:p>
    <w:p w14:paraId="002C38B7"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8. </w:t>
      </w:r>
      <w:r w:rsidRPr="0065634F">
        <w:rPr>
          <w:noProof/>
        </w:rPr>
        <w:tab/>
        <w:t xml:space="preserve">Kaslow DC, Black S, Bloom DE, Datla M, Salisbury D, Rappuoli R. Vaccine candidates for poor nations are going to waste. </w:t>
      </w:r>
      <w:r w:rsidRPr="0065634F">
        <w:rPr>
          <w:i/>
          <w:iCs/>
          <w:noProof/>
        </w:rPr>
        <w:t>Nature</w:t>
      </w:r>
      <w:r w:rsidRPr="0065634F">
        <w:rPr>
          <w:noProof/>
        </w:rPr>
        <w:t>. 2018;564(7736):337-339. doi:10.1038/d41586-018-07758-3</w:t>
      </w:r>
    </w:p>
    <w:p w14:paraId="3B8875B5"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9. </w:t>
      </w:r>
      <w:r w:rsidRPr="0065634F">
        <w:rPr>
          <w:noProof/>
        </w:rPr>
        <w:tab/>
        <w:t xml:space="preserve">Gebreselassie N, Hutubessy R, Vekemans J, den Boon S, Kasaeva T, Zignol M. The case for assessing the full value of new tuberculosis vaccines. </w:t>
      </w:r>
      <w:r w:rsidRPr="0065634F">
        <w:rPr>
          <w:i/>
          <w:iCs/>
          <w:noProof/>
        </w:rPr>
        <w:t>Eur Respir J</w:t>
      </w:r>
      <w:r w:rsidRPr="0065634F">
        <w:rPr>
          <w:noProof/>
        </w:rPr>
        <w:t>. 2020;55(3). doi:10.1183/13993003.02414-2019</w:t>
      </w:r>
    </w:p>
    <w:p w14:paraId="7D18878E"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10. </w:t>
      </w:r>
      <w:r w:rsidRPr="0065634F">
        <w:rPr>
          <w:noProof/>
        </w:rPr>
        <w:tab/>
        <w:t xml:space="preserve">Lauer, JA; Morton, A; Culyer, AJ; Chalkidou K. </w:t>
      </w:r>
      <w:r w:rsidRPr="0065634F">
        <w:rPr>
          <w:i/>
          <w:iCs/>
          <w:noProof/>
        </w:rPr>
        <w:t>What Counts in Economic Evaluations in Health? Benefit-Cost Analysis Compared to Other Forms of Economic Evaluations. (Health Systems Financing and Governance, Working Paper No. 14).</w:t>
      </w:r>
      <w:r w:rsidRPr="0065634F">
        <w:rPr>
          <w:noProof/>
        </w:rPr>
        <w:t xml:space="preserve"> Geneva; 2020.</w:t>
      </w:r>
    </w:p>
    <w:p w14:paraId="311542E8"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11. </w:t>
      </w:r>
      <w:r w:rsidRPr="0065634F">
        <w:rPr>
          <w:noProof/>
        </w:rPr>
        <w:tab/>
        <w:t xml:space="preserve">Lauer A.J, Morton, A, Culyer A, Chalkidou K. </w:t>
      </w:r>
      <w:r w:rsidRPr="0065634F">
        <w:rPr>
          <w:i/>
          <w:iCs/>
          <w:noProof/>
        </w:rPr>
        <w:t>What Counts in Economic Evaluations in Health? Benefit-Cost Analysis Compared to Other Forms of Economic Evaluations.</w:t>
      </w:r>
      <w:r w:rsidRPr="0065634F">
        <w:rPr>
          <w:noProof/>
        </w:rPr>
        <w:t>; 2019.</w:t>
      </w:r>
    </w:p>
    <w:p w14:paraId="17B47C8D" w14:textId="77777777" w:rsidR="0065634F" w:rsidRPr="0065634F" w:rsidRDefault="0065634F" w:rsidP="0065634F">
      <w:pPr>
        <w:widowControl w:val="0"/>
        <w:autoSpaceDE w:val="0"/>
        <w:autoSpaceDN w:val="0"/>
        <w:adjustRightInd w:val="0"/>
        <w:ind w:left="640" w:hanging="640"/>
        <w:rPr>
          <w:noProof/>
        </w:rPr>
      </w:pPr>
      <w:r w:rsidRPr="0065634F">
        <w:rPr>
          <w:noProof/>
        </w:rPr>
        <w:t xml:space="preserve">12. </w:t>
      </w:r>
      <w:r w:rsidRPr="0065634F">
        <w:rPr>
          <w:noProof/>
        </w:rPr>
        <w:tab/>
        <w:t xml:space="preserve">Ruger JP. Global health justice and governance. </w:t>
      </w:r>
      <w:r w:rsidRPr="0065634F">
        <w:rPr>
          <w:i/>
          <w:iCs/>
          <w:noProof/>
        </w:rPr>
        <w:t>Am J Bioeth</w:t>
      </w:r>
      <w:r w:rsidRPr="0065634F">
        <w:rPr>
          <w:noProof/>
        </w:rPr>
        <w:t>. 2012;12(12):35-54. doi:10.1080/15265161.2012.733060</w:t>
      </w:r>
    </w:p>
    <w:p w14:paraId="016D504E" w14:textId="021ADE88" w:rsidR="0065634F" w:rsidRPr="0065634F" w:rsidRDefault="0065634F" w:rsidP="0065634F">
      <w:r>
        <w:fldChar w:fldCharType="end"/>
      </w:r>
    </w:p>
    <w:p w14:paraId="54A7EFB7" w14:textId="49A42C93" w:rsidR="0065634F" w:rsidRPr="0065634F" w:rsidRDefault="0065634F" w:rsidP="0065634F"/>
    <w:p w14:paraId="3A4EEF3A" w14:textId="013C4629" w:rsidR="0065634F" w:rsidRPr="0065634F" w:rsidRDefault="0065634F" w:rsidP="0065634F"/>
    <w:p w14:paraId="005C4E51" w14:textId="70352E79" w:rsidR="0065634F" w:rsidRPr="0065634F" w:rsidRDefault="0065634F" w:rsidP="0065634F"/>
    <w:p w14:paraId="37339F98" w14:textId="545BF1FF" w:rsidR="0065634F" w:rsidRPr="0065634F" w:rsidRDefault="0065634F" w:rsidP="0065634F">
      <w:pPr>
        <w:tabs>
          <w:tab w:val="left" w:pos="3538"/>
        </w:tabs>
      </w:pPr>
    </w:p>
    <w:sectPr w:rsidR="0065634F" w:rsidRPr="0065634F" w:rsidSect="004A04A5">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D26E0" w14:textId="77777777" w:rsidR="004407A6" w:rsidRDefault="004407A6" w:rsidP="00896AF7">
      <w:r>
        <w:separator/>
      </w:r>
    </w:p>
  </w:endnote>
  <w:endnote w:type="continuationSeparator" w:id="0">
    <w:p w14:paraId="5216CCDF" w14:textId="77777777" w:rsidR="004407A6" w:rsidRDefault="004407A6" w:rsidP="00896AF7">
      <w:r>
        <w:continuationSeparator/>
      </w:r>
    </w:p>
  </w:endnote>
  <w:endnote w:type="continuationNotice" w:id="1">
    <w:p w14:paraId="57DDE29D" w14:textId="77777777" w:rsidR="004407A6" w:rsidRDefault="004407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829858"/>
      <w:docPartObj>
        <w:docPartGallery w:val="Page Numbers (Bottom of Page)"/>
        <w:docPartUnique/>
      </w:docPartObj>
    </w:sdtPr>
    <w:sdtEndPr>
      <w:rPr>
        <w:noProof/>
      </w:rPr>
    </w:sdtEndPr>
    <w:sdtContent>
      <w:p w14:paraId="7F6707DA" w14:textId="1141CE88" w:rsidR="00CA1B47" w:rsidRDefault="00CA1B47">
        <w:pPr>
          <w:pStyle w:val="Footer"/>
          <w:jc w:val="right"/>
        </w:pPr>
        <w:r>
          <w:fldChar w:fldCharType="begin"/>
        </w:r>
        <w:r>
          <w:instrText xml:space="preserve"> PAGE   \* MERGEFORMAT </w:instrText>
        </w:r>
        <w:r>
          <w:fldChar w:fldCharType="separate"/>
        </w:r>
        <w:r w:rsidR="00DB3903">
          <w:rPr>
            <w:noProof/>
          </w:rPr>
          <w:t>3</w:t>
        </w:r>
        <w:r>
          <w:rPr>
            <w:noProof/>
          </w:rPr>
          <w:fldChar w:fldCharType="end"/>
        </w:r>
      </w:p>
    </w:sdtContent>
  </w:sdt>
  <w:p w14:paraId="51E076B7" w14:textId="77777777" w:rsidR="00CA1B47" w:rsidRDefault="00CA1B47">
    <w:pPr>
      <w:pStyle w:val="Footer"/>
    </w:pPr>
  </w:p>
  <w:p w14:paraId="13C28606" w14:textId="77777777" w:rsidR="00CA1B47" w:rsidRDefault="00CA1B47"/>
  <w:p w14:paraId="0E405F9C" w14:textId="77777777" w:rsidR="00CA1B47" w:rsidRDefault="00CA1B4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DB134" w14:textId="77777777" w:rsidR="004407A6" w:rsidRDefault="004407A6" w:rsidP="00896AF7">
      <w:r>
        <w:separator/>
      </w:r>
    </w:p>
  </w:footnote>
  <w:footnote w:type="continuationSeparator" w:id="0">
    <w:p w14:paraId="6E44DBB2" w14:textId="77777777" w:rsidR="004407A6" w:rsidRDefault="004407A6" w:rsidP="00896AF7">
      <w:r>
        <w:continuationSeparator/>
      </w:r>
    </w:p>
  </w:footnote>
  <w:footnote w:type="continuationNotice" w:id="1">
    <w:p w14:paraId="296E95F3" w14:textId="77777777" w:rsidR="004407A6" w:rsidRDefault="004407A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169DB"/>
    <w:multiLevelType w:val="hybridMultilevel"/>
    <w:tmpl w:val="F88CA662"/>
    <w:lvl w:ilvl="0" w:tplc="09DC7EF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0B666ACA"/>
    <w:multiLevelType w:val="hybridMultilevel"/>
    <w:tmpl w:val="AD00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1007C"/>
    <w:multiLevelType w:val="hybridMultilevel"/>
    <w:tmpl w:val="4ED0DC04"/>
    <w:lvl w:ilvl="0" w:tplc="CBAE705E">
      <w:start w:val="3"/>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670891"/>
    <w:multiLevelType w:val="hybridMultilevel"/>
    <w:tmpl w:val="AB9C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362E69"/>
    <w:multiLevelType w:val="hybridMultilevel"/>
    <w:tmpl w:val="6E6823CE"/>
    <w:lvl w:ilvl="0" w:tplc="15E8CB1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CE3408"/>
    <w:multiLevelType w:val="hybridMultilevel"/>
    <w:tmpl w:val="769CD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6E2A74"/>
    <w:multiLevelType w:val="hybridMultilevel"/>
    <w:tmpl w:val="A16070BA"/>
    <w:lvl w:ilvl="0" w:tplc="99A6F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C523D1"/>
    <w:multiLevelType w:val="hybridMultilevel"/>
    <w:tmpl w:val="6AB64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E05B4B"/>
    <w:multiLevelType w:val="hybridMultilevel"/>
    <w:tmpl w:val="48CAF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512C3"/>
    <w:multiLevelType w:val="multilevel"/>
    <w:tmpl w:val="F34EB6F0"/>
    <w:lvl w:ilvl="0">
      <w:start w:val="1"/>
      <w:numFmt w:val="decimal"/>
      <w:pStyle w:val="Heading2"/>
      <w:lvlText w:val="%1."/>
      <w:lvlJc w:val="left"/>
      <w:pPr>
        <w:ind w:left="360" w:hanging="360"/>
      </w:pPr>
      <w:rPr>
        <w:rFonts w:hint="default"/>
      </w:rPr>
    </w:lvl>
    <w:lvl w:ilvl="1">
      <w:start w:val="1"/>
      <w:numFmt w:val="decimal"/>
      <w:isLgl/>
      <w:lvlText w:val="%1.%2"/>
      <w:lvlJc w:val="left"/>
      <w:pPr>
        <w:ind w:left="77" w:hanging="360"/>
      </w:pPr>
      <w:rPr>
        <w:rFonts w:hint="default"/>
      </w:rPr>
    </w:lvl>
    <w:lvl w:ilvl="2">
      <w:start w:val="1"/>
      <w:numFmt w:val="decimal"/>
      <w:isLgl/>
      <w:lvlText w:val="%1.%2.%3"/>
      <w:lvlJc w:val="left"/>
      <w:pPr>
        <w:ind w:left="437" w:hanging="720"/>
      </w:pPr>
      <w:rPr>
        <w:rFonts w:hint="default"/>
      </w:rPr>
    </w:lvl>
    <w:lvl w:ilvl="3">
      <w:start w:val="1"/>
      <w:numFmt w:val="decimal"/>
      <w:isLgl/>
      <w:lvlText w:val="%1.%2.%3.%4"/>
      <w:lvlJc w:val="left"/>
      <w:pPr>
        <w:ind w:left="437" w:hanging="720"/>
      </w:pPr>
      <w:rPr>
        <w:rFonts w:hint="default"/>
      </w:rPr>
    </w:lvl>
    <w:lvl w:ilvl="4">
      <w:start w:val="1"/>
      <w:numFmt w:val="decimal"/>
      <w:isLgl/>
      <w:lvlText w:val="%1.%2.%3.%4.%5"/>
      <w:lvlJc w:val="left"/>
      <w:pPr>
        <w:ind w:left="797" w:hanging="1080"/>
      </w:pPr>
      <w:rPr>
        <w:rFonts w:hint="default"/>
      </w:rPr>
    </w:lvl>
    <w:lvl w:ilvl="5">
      <w:start w:val="1"/>
      <w:numFmt w:val="decimal"/>
      <w:isLgl/>
      <w:lvlText w:val="%1.%2.%3.%4.%5.%6"/>
      <w:lvlJc w:val="left"/>
      <w:pPr>
        <w:ind w:left="797" w:hanging="1080"/>
      </w:pPr>
      <w:rPr>
        <w:rFonts w:hint="default"/>
      </w:rPr>
    </w:lvl>
    <w:lvl w:ilvl="6">
      <w:start w:val="1"/>
      <w:numFmt w:val="decimal"/>
      <w:isLgl/>
      <w:lvlText w:val="%1.%2.%3.%4.%5.%6.%7"/>
      <w:lvlJc w:val="left"/>
      <w:pPr>
        <w:ind w:left="1157" w:hanging="1440"/>
      </w:pPr>
      <w:rPr>
        <w:rFonts w:hint="default"/>
      </w:rPr>
    </w:lvl>
    <w:lvl w:ilvl="7">
      <w:start w:val="1"/>
      <w:numFmt w:val="decimal"/>
      <w:isLgl/>
      <w:lvlText w:val="%1.%2.%3.%4.%5.%6.%7.%8"/>
      <w:lvlJc w:val="left"/>
      <w:pPr>
        <w:ind w:left="1157" w:hanging="1440"/>
      </w:pPr>
      <w:rPr>
        <w:rFonts w:hint="default"/>
      </w:rPr>
    </w:lvl>
    <w:lvl w:ilvl="8">
      <w:start w:val="1"/>
      <w:numFmt w:val="decimal"/>
      <w:isLgl/>
      <w:lvlText w:val="%1.%2.%3.%4.%5.%6.%7.%8.%9"/>
      <w:lvlJc w:val="left"/>
      <w:pPr>
        <w:ind w:left="1517" w:hanging="1800"/>
      </w:pPr>
      <w:rPr>
        <w:rFonts w:hint="default"/>
      </w:rPr>
    </w:lvl>
  </w:abstractNum>
  <w:abstractNum w:abstractNumId="10">
    <w:nsid w:val="33630861"/>
    <w:multiLevelType w:val="hybridMultilevel"/>
    <w:tmpl w:val="1E006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74556B"/>
    <w:multiLevelType w:val="hybridMultilevel"/>
    <w:tmpl w:val="88A0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51303D"/>
    <w:multiLevelType w:val="hybridMultilevel"/>
    <w:tmpl w:val="5358F0AC"/>
    <w:lvl w:ilvl="0" w:tplc="88CEB384">
      <w:start w:val="3"/>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5B1CB7"/>
    <w:multiLevelType w:val="hybridMultilevel"/>
    <w:tmpl w:val="B3D20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995AE7"/>
    <w:multiLevelType w:val="hybridMultilevel"/>
    <w:tmpl w:val="7E120AE2"/>
    <w:lvl w:ilvl="0" w:tplc="A6522F4A">
      <w:start w:val="1"/>
      <w:numFmt w:val="bullet"/>
      <w:lvlText w:val=""/>
      <w:lvlJc w:val="left"/>
      <w:pPr>
        <w:ind w:left="720" w:hanging="360"/>
      </w:pPr>
      <w:rPr>
        <w:rFonts w:ascii="Wingdings" w:eastAsia="Batang"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252B60"/>
    <w:multiLevelType w:val="hybridMultilevel"/>
    <w:tmpl w:val="BD76D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823E9B"/>
    <w:multiLevelType w:val="hybridMultilevel"/>
    <w:tmpl w:val="EA6E1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BA1F0C"/>
    <w:multiLevelType w:val="hybridMultilevel"/>
    <w:tmpl w:val="3FC4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1806382"/>
    <w:multiLevelType w:val="hybridMultilevel"/>
    <w:tmpl w:val="8E96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C11BC3"/>
    <w:multiLevelType w:val="hybridMultilevel"/>
    <w:tmpl w:val="66E85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FB1D3B"/>
    <w:multiLevelType w:val="hybridMultilevel"/>
    <w:tmpl w:val="0BDA1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8D3B8C"/>
    <w:multiLevelType w:val="hybridMultilevel"/>
    <w:tmpl w:val="BC9A0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1A4A61"/>
    <w:multiLevelType w:val="multilevel"/>
    <w:tmpl w:val="440C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7C2E33"/>
    <w:multiLevelType w:val="hybridMultilevel"/>
    <w:tmpl w:val="1E006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C3605B"/>
    <w:multiLevelType w:val="hybridMultilevel"/>
    <w:tmpl w:val="97481B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4"/>
  </w:num>
  <w:num w:numId="3">
    <w:abstractNumId w:val="21"/>
  </w:num>
  <w:num w:numId="4">
    <w:abstractNumId w:val="20"/>
  </w:num>
  <w:num w:numId="5">
    <w:abstractNumId w:val="19"/>
  </w:num>
  <w:num w:numId="6">
    <w:abstractNumId w:val="7"/>
  </w:num>
  <w:num w:numId="7">
    <w:abstractNumId w:val="0"/>
  </w:num>
  <w:num w:numId="8">
    <w:abstractNumId w:val="14"/>
  </w:num>
  <w:num w:numId="9">
    <w:abstractNumId w:val="9"/>
  </w:num>
  <w:num w:numId="10">
    <w:abstractNumId w:val="24"/>
  </w:num>
  <w:num w:numId="11">
    <w:abstractNumId w:val="3"/>
  </w:num>
  <w:num w:numId="12">
    <w:abstractNumId w:val="2"/>
  </w:num>
  <w:num w:numId="13">
    <w:abstractNumId w:val="12"/>
  </w:num>
  <w:num w:numId="14">
    <w:abstractNumId w:val="13"/>
  </w:num>
  <w:num w:numId="15">
    <w:abstractNumId w:val="8"/>
  </w:num>
  <w:num w:numId="16">
    <w:abstractNumId w:val="16"/>
  </w:num>
  <w:num w:numId="17">
    <w:abstractNumId w:val="18"/>
  </w:num>
  <w:num w:numId="18">
    <w:abstractNumId w:val="1"/>
  </w:num>
  <w:num w:numId="19">
    <w:abstractNumId w:val="17"/>
  </w:num>
  <w:num w:numId="20">
    <w:abstractNumId w:val="11"/>
  </w:num>
  <w:num w:numId="21">
    <w:abstractNumId w:val="10"/>
  </w:num>
  <w:num w:numId="22">
    <w:abstractNumId w:val="23"/>
  </w:num>
  <w:num w:numId="23">
    <w:abstractNumId w:val="5"/>
  </w:num>
  <w:num w:numId="24">
    <w:abstractNumId w:val="2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C21C18"/>
    <w:rsid w:val="00000178"/>
    <w:rsid w:val="00000911"/>
    <w:rsid w:val="00000BDC"/>
    <w:rsid w:val="00002E56"/>
    <w:rsid w:val="00003801"/>
    <w:rsid w:val="00003B93"/>
    <w:rsid w:val="000040D9"/>
    <w:rsid w:val="0000455C"/>
    <w:rsid w:val="000056A0"/>
    <w:rsid w:val="0000574C"/>
    <w:rsid w:val="00005F67"/>
    <w:rsid w:val="000061D1"/>
    <w:rsid w:val="00006501"/>
    <w:rsid w:val="0001088C"/>
    <w:rsid w:val="00012079"/>
    <w:rsid w:val="00012361"/>
    <w:rsid w:val="000127A7"/>
    <w:rsid w:val="000134E4"/>
    <w:rsid w:val="0001367F"/>
    <w:rsid w:val="0001393A"/>
    <w:rsid w:val="00013B5F"/>
    <w:rsid w:val="00014F80"/>
    <w:rsid w:val="00015337"/>
    <w:rsid w:val="00015843"/>
    <w:rsid w:val="00015A7A"/>
    <w:rsid w:val="00015E50"/>
    <w:rsid w:val="0001617B"/>
    <w:rsid w:val="00021D33"/>
    <w:rsid w:val="00021F52"/>
    <w:rsid w:val="00022316"/>
    <w:rsid w:val="00023143"/>
    <w:rsid w:val="000234A0"/>
    <w:rsid w:val="00024517"/>
    <w:rsid w:val="000245ED"/>
    <w:rsid w:val="00024915"/>
    <w:rsid w:val="00024CB7"/>
    <w:rsid w:val="00024ED1"/>
    <w:rsid w:val="00025C43"/>
    <w:rsid w:val="000272A6"/>
    <w:rsid w:val="0002757F"/>
    <w:rsid w:val="000302F9"/>
    <w:rsid w:val="00030363"/>
    <w:rsid w:val="00030A06"/>
    <w:rsid w:val="000314D9"/>
    <w:rsid w:val="00031741"/>
    <w:rsid w:val="000320F7"/>
    <w:rsid w:val="000325DD"/>
    <w:rsid w:val="00032978"/>
    <w:rsid w:val="00032A79"/>
    <w:rsid w:val="00032FB2"/>
    <w:rsid w:val="000336B2"/>
    <w:rsid w:val="000337BA"/>
    <w:rsid w:val="00033D90"/>
    <w:rsid w:val="00033E9D"/>
    <w:rsid w:val="00033F5A"/>
    <w:rsid w:val="00034507"/>
    <w:rsid w:val="0003478B"/>
    <w:rsid w:val="00034B0A"/>
    <w:rsid w:val="00034BD2"/>
    <w:rsid w:val="00035DF9"/>
    <w:rsid w:val="00035E1D"/>
    <w:rsid w:val="00037BA4"/>
    <w:rsid w:val="00037D5E"/>
    <w:rsid w:val="00037E58"/>
    <w:rsid w:val="00041427"/>
    <w:rsid w:val="00041786"/>
    <w:rsid w:val="00041EF5"/>
    <w:rsid w:val="00042C33"/>
    <w:rsid w:val="000431CA"/>
    <w:rsid w:val="0004363E"/>
    <w:rsid w:val="00043CA1"/>
    <w:rsid w:val="00044AAB"/>
    <w:rsid w:val="00044E80"/>
    <w:rsid w:val="00044EBC"/>
    <w:rsid w:val="000451CF"/>
    <w:rsid w:val="00045B89"/>
    <w:rsid w:val="00045E81"/>
    <w:rsid w:val="000462E3"/>
    <w:rsid w:val="00046495"/>
    <w:rsid w:val="000507FB"/>
    <w:rsid w:val="0005092F"/>
    <w:rsid w:val="000516FF"/>
    <w:rsid w:val="00052366"/>
    <w:rsid w:val="00052AA6"/>
    <w:rsid w:val="00052C10"/>
    <w:rsid w:val="00052E10"/>
    <w:rsid w:val="000530C7"/>
    <w:rsid w:val="00053465"/>
    <w:rsid w:val="000538B4"/>
    <w:rsid w:val="00053B64"/>
    <w:rsid w:val="00053FF4"/>
    <w:rsid w:val="0005496C"/>
    <w:rsid w:val="0005586E"/>
    <w:rsid w:val="0005622A"/>
    <w:rsid w:val="00056FEA"/>
    <w:rsid w:val="000571D1"/>
    <w:rsid w:val="000576C1"/>
    <w:rsid w:val="00060D86"/>
    <w:rsid w:val="00060E3B"/>
    <w:rsid w:val="000621C5"/>
    <w:rsid w:val="000628D0"/>
    <w:rsid w:val="00063AAB"/>
    <w:rsid w:val="0006484A"/>
    <w:rsid w:val="00065B09"/>
    <w:rsid w:val="00065BB3"/>
    <w:rsid w:val="00065CE2"/>
    <w:rsid w:val="0006636B"/>
    <w:rsid w:val="0006789E"/>
    <w:rsid w:val="0007011E"/>
    <w:rsid w:val="000703EF"/>
    <w:rsid w:val="0007040D"/>
    <w:rsid w:val="00071299"/>
    <w:rsid w:val="000714C7"/>
    <w:rsid w:val="000719BC"/>
    <w:rsid w:val="00072FE0"/>
    <w:rsid w:val="000734E2"/>
    <w:rsid w:val="000736A7"/>
    <w:rsid w:val="00073728"/>
    <w:rsid w:val="000738BF"/>
    <w:rsid w:val="000739BF"/>
    <w:rsid w:val="00073BD1"/>
    <w:rsid w:val="00073BD6"/>
    <w:rsid w:val="00073BF9"/>
    <w:rsid w:val="00074221"/>
    <w:rsid w:val="000745B2"/>
    <w:rsid w:val="00075761"/>
    <w:rsid w:val="00075906"/>
    <w:rsid w:val="00075C86"/>
    <w:rsid w:val="00076FC5"/>
    <w:rsid w:val="00077EAC"/>
    <w:rsid w:val="00077F0E"/>
    <w:rsid w:val="00077F38"/>
    <w:rsid w:val="00080D63"/>
    <w:rsid w:val="0008106F"/>
    <w:rsid w:val="000817D4"/>
    <w:rsid w:val="00081840"/>
    <w:rsid w:val="00081FF2"/>
    <w:rsid w:val="00082E96"/>
    <w:rsid w:val="0008340C"/>
    <w:rsid w:val="00083697"/>
    <w:rsid w:val="000844C1"/>
    <w:rsid w:val="00084C26"/>
    <w:rsid w:val="00085DA4"/>
    <w:rsid w:val="00087A6D"/>
    <w:rsid w:val="000912E0"/>
    <w:rsid w:val="000914DA"/>
    <w:rsid w:val="00091510"/>
    <w:rsid w:val="000931E5"/>
    <w:rsid w:val="00093477"/>
    <w:rsid w:val="00094C99"/>
    <w:rsid w:val="00096158"/>
    <w:rsid w:val="0009654F"/>
    <w:rsid w:val="00096A9D"/>
    <w:rsid w:val="000A0900"/>
    <w:rsid w:val="000A0E70"/>
    <w:rsid w:val="000A1AB7"/>
    <w:rsid w:val="000A3685"/>
    <w:rsid w:val="000A394A"/>
    <w:rsid w:val="000A3ACF"/>
    <w:rsid w:val="000A4DD5"/>
    <w:rsid w:val="000A518A"/>
    <w:rsid w:val="000A7833"/>
    <w:rsid w:val="000A7CBD"/>
    <w:rsid w:val="000B0012"/>
    <w:rsid w:val="000B15CA"/>
    <w:rsid w:val="000B2F0E"/>
    <w:rsid w:val="000B3825"/>
    <w:rsid w:val="000B3D30"/>
    <w:rsid w:val="000B5276"/>
    <w:rsid w:val="000B52B2"/>
    <w:rsid w:val="000B54D8"/>
    <w:rsid w:val="000B55DB"/>
    <w:rsid w:val="000B58D3"/>
    <w:rsid w:val="000B61A3"/>
    <w:rsid w:val="000B7330"/>
    <w:rsid w:val="000B774A"/>
    <w:rsid w:val="000B7B8F"/>
    <w:rsid w:val="000C04E5"/>
    <w:rsid w:val="000C19FF"/>
    <w:rsid w:val="000C1EBF"/>
    <w:rsid w:val="000C210F"/>
    <w:rsid w:val="000C316F"/>
    <w:rsid w:val="000C3DF9"/>
    <w:rsid w:val="000C4BAE"/>
    <w:rsid w:val="000C68E4"/>
    <w:rsid w:val="000C6B2D"/>
    <w:rsid w:val="000C74CA"/>
    <w:rsid w:val="000C754D"/>
    <w:rsid w:val="000D0014"/>
    <w:rsid w:val="000D0E04"/>
    <w:rsid w:val="000D1AD7"/>
    <w:rsid w:val="000D3082"/>
    <w:rsid w:val="000D37D2"/>
    <w:rsid w:val="000D3AEB"/>
    <w:rsid w:val="000D3EF3"/>
    <w:rsid w:val="000D3F01"/>
    <w:rsid w:val="000D4934"/>
    <w:rsid w:val="000D4CAC"/>
    <w:rsid w:val="000D72A9"/>
    <w:rsid w:val="000D7C5B"/>
    <w:rsid w:val="000D7CBF"/>
    <w:rsid w:val="000E02E2"/>
    <w:rsid w:val="000E0DB6"/>
    <w:rsid w:val="000E0DE2"/>
    <w:rsid w:val="000E15C2"/>
    <w:rsid w:val="000E1A5C"/>
    <w:rsid w:val="000E3320"/>
    <w:rsid w:val="000E354D"/>
    <w:rsid w:val="000E3AB6"/>
    <w:rsid w:val="000E3C25"/>
    <w:rsid w:val="000E45FA"/>
    <w:rsid w:val="000E572F"/>
    <w:rsid w:val="000E6BF0"/>
    <w:rsid w:val="000E6DA9"/>
    <w:rsid w:val="000E7093"/>
    <w:rsid w:val="000E73A0"/>
    <w:rsid w:val="000E79E6"/>
    <w:rsid w:val="000E7B78"/>
    <w:rsid w:val="000F0633"/>
    <w:rsid w:val="000F0964"/>
    <w:rsid w:val="000F0B36"/>
    <w:rsid w:val="000F1278"/>
    <w:rsid w:val="000F19F6"/>
    <w:rsid w:val="000F2A6E"/>
    <w:rsid w:val="000F33D2"/>
    <w:rsid w:val="000F3435"/>
    <w:rsid w:val="000F35C2"/>
    <w:rsid w:val="000F439B"/>
    <w:rsid w:val="000F4965"/>
    <w:rsid w:val="000F4F04"/>
    <w:rsid w:val="000F50F7"/>
    <w:rsid w:val="000F5382"/>
    <w:rsid w:val="000F585B"/>
    <w:rsid w:val="000F6BB7"/>
    <w:rsid w:val="001014C5"/>
    <w:rsid w:val="001024BE"/>
    <w:rsid w:val="0010268B"/>
    <w:rsid w:val="001026D3"/>
    <w:rsid w:val="001038C5"/>
    <w:rsid w:val="00104457"/>
    <w:rsid w:val="0010457C"/>
    <w:rsid w:val="001057D1"/>
    <w:rsid w:val="00105D9D"/>
    <w:rsid w:val="001101F1"/>
    <w:rsid w:val="001112B9"/>
    <w:rsid w:val="001128FA"/>
    <w:rsid w:val="00112DAD"/>
    <w:rsid w:val="00113EEC"/>
    <w:rsid w:val="001144C1"/>
    <w:rsid w:val="0011585B"/>
    <w:rsid w:val="00116066"/>
    <w:rsid w:val="001161F2"/>
    <w:rsid w:val="00116756"/>
    <w:rsid w:val="00117E4D"/>
    <w:rsid w:val="00120644"/>
    <w:rsid w:val="00120F9E"/>
    <w:rsid w:val="0012200A"/>
    <w:rsid w:val="00122513"/>
    <w:rsid w:val="0012320F"/>
    <w:rsid w:val="001249C8"/>
    <w:rsid w:val="001276BB"/>
    <w:rsid w:val="00127A62"/>
    <w:rsid w:val="001302DC"/>
    <w:rsid w:val="00130F39"/>
    <w:rsid w:val="001311E3"/>
    <w:rsid w:val="001322AF"/>
    <w:rsid w:val="001332CE"/>
    <w:rsid w:val="00133C0A"/>
    <w:rsid w:val="00133FD6"/>
    <w:rsid w:val="0013401E"/>
    <w:rsid w:val="0013454B"/>
    <w:rsid w:val="00135645"/>
    <w:rsid w:val="001357DC"/>
    <w:rsid w:val="00135E76"/>
    <w:rsid w:val="001360E0"/>
    <w:rsid w:val="00136DC8"/>
    <w:rsid w:val="001373D4"/>
    <w:rsid w:val="00141758"/>
    <w:rsid w:val="001429F4"/>
    <w:rsid w:val="00142C17"/>
    <w:rsid w:val="00142D11"/>
    <w:rsid w:val="001433C0"/>
    <w:rsid w:val="00143D56"/>
    <w:rsid w:val="00143F21"/>
    <w:rsid w:val="001452CC"/>
    <w:rsid w:val="001457CE"/>
    <w:rsid w:val="0014638C"/>
    <w:rsid w:val="001472A8"/>
    <w:rsid w:val="00147E0D"/>
    <w:rsid w:val="001506E7"/>
    <w:rsid w:val="0015099A"/>
    <w:rsid w:val="00150FC0"/>
    <w:rsid w:val="00152C02"/>
    <w:rsid w:val="00154ED2"/>
    <w:rsid w:val="00155AEF"/>
    <w:rsid w:val="00156D45"/>
    <w:rsid w:val="00157575"/>
    <w:rsid w:val="0015789C"/>
    <w:rsid w:val="00160125"/>
    <w:rsid w:val="00160257"/>
    <w:rsid w:val="00160B40"/>
    <w:rsid w:val="00160CA3"/>
    <w:rsid w:val="001612F6"/>
    <w:rsid w:val="00161B0C"/>
    <w:rsid w:val="00161CE2"/>
    <w:rsid w:val="00162214"/>
    <w:rsid w:val="00163D2B"/>
    <w:rsid w:val="00164AD2"/>
    <w:rsid w:val="00166620"/>
    <w:rsid w:val="0016686C"/>
    <w:rsid w:val="00167DDF"/>
    <w:rsid w:val="00171A66"/>
    <w:rsid w:val="00171E19"/>
    <w:rsid w:val="00172940"/>
    <w:rsid w:val="00172975"/>
    <w:rsid w:val="001729EA"/>
    <w:rsid w:val="00173FB2"/>
    <w:rsid w:val="00174028"/>
    <w:rsid w:val="00174493"/>
    <w:rsid w:val="001750E9"/>
    <w:rsid w:val="001754C1"/>
    <w:rsid w:val="00176A70"/>
    <w:rsid w:val="00176B59"/>
    <w:rsid w:val="001775E5"/>
    <w:rsid w:val="001813D2"/>
    <w:rsid w:val="00181AAA"/>
    <w:rsid w:val="0018233F"/>
    <w:rsid w:val="001826D5"/>
    <w:rsid w:val="0018303C"/>
    <w:rsid w:val="00183509"/>
    <w:rsid w:val="00183BF1"/>
    <w:rsid w:val="00184828"/>
    <w:rsid w:val="00184AAC"/>
    <w:rsid w:val="00184C50"/>
    <w:rsid w:val="001852CB"/>
    <w:rsid w:val="00185AFD"/>
    <w:rsid w:val="00186527"/>
    <w:rsid w:val="00186E5C"/>
    <w:rsid w:val="0018715E"/>
    <w:rsid w:val="0018781F"/>
    <w:rsid w:val="00187A87"/>
    <w:rsid w:val="00191CF3"/>
    <w:rsid w:val="0019207A"/>
    <w:rsid w:val="001935A0"/>
    <w:rsid w:val="001937E7"/>
    <w:rsid w:val="00193F00"/>
    <w:rsid w:val="00194085"/>
    <w:rsid w:val="001943CF"/>
    <w:rsid w:val="001949A1"/>
    <w:rsid w:val="00194A03"/>
    <w:rsid w:val="00194FE3"/>
    <w:rsid w:val="00195393"/>
    <w:rsid w:val="00195401"/>
    <w:rsid w:val="00195CC7"/>
    <w:rsid w:val="00196157"/>
    <w:rsid w:val="001963AA"/>
    <w:rsid w:val="00196598"/>
    <w:rsid w:val="00196A43"/>
    <w:rsid w:val="00197783"/>
    <w:rsid w:val="001A070A"/>
    <w:rsid w:val="001A09E4"/>
    <w:rsid w:val="001A0CC3"/>
    <w:rsid w:val="001A0DA5"/>
    <w:rsid w:val="001A2224"/>
    <w:rsid w:val="001A2D7C"/>
    <w:rsid w:val="001A4504"/>
    <w:rsid w:val="001A45E7"/>
    <w:rsid w:val="001A528D"/>
    <w:rsid w:val="001A5F56"/>
    <w:rsid w:val="001A6257"/>
    <w:rsid w:val="001A63CC"/>
    <w:rsid w:val="001A67D0"/>
    <w:rsid w:val="001A705E"/>
    <w:rsid w:val="001B0995"/>
    <w:rsid w:val="001B1721"/>
    <w:rsid w:val="001B27CD"/>
    <w:rsid w:val="001B28A6"/>
    <w:rsid w:val="001B38C5"/>
    <w:rsid w:val="001B41C6"/>
    <w:rsid w:val="001B484E"/>
    <w:rsid w:val="001B4E63"/>
    <w:rsid w:val="001B6448"/>
    <w:rsid w:val="001B647C"/>
    <w:rsid w:val="001B71B7"/>
    <w:rsid w:val="001B72C8"/>
    <w:rsid w:val="001C0E0C"/>
    <w:rsid w:val="001C142B"/>
    <w:rsid w:val="001C34BC"/>
    <w:rsid w:val="001C4F87"/>
    <w:rsid w:val="001C5BD3"/>
    <w:rsid w:val="001C5E71"/>
    <w:rsid w:val="001C6CDD"/>
    <w:rsid w:val="001C700A"/>
    <w:rsid w:val="001C7D62"/>
    <w:rsid w:val="001D0A5E"/>
    <w:rsid w:val="001D27FB"/>
    <w:rsid w:val="001D3378"/>
    <w:rsid w:val="001D41AF"/>
    <w:rsid w:val="001D511B"/>
    <w:rsid w:val="001D5472"/>
    <w:rsid w:val="001D55AC"/>
    <w:rsid w:val="001D565E"/>
    <w:rsid w:val="001D63C9"/>
    <w:rsid w:val="001D6683"/>
    <w:rsid w:val="001D6EB8"/>
    <w:rsid w:val="001D745D"/>
    <w:rsid w:val="001D75DA"/>
    <w:rsid w:val="001D7632"/>
    <w:rsid w:val="001E00CE"/>
    <w:rsid w:val="001E0517"/>
    <w:rsid w:val="001E0FE6"/>
    <w:rsid w:val="001E1587"/>
    <w:rsid w:val="001E1995"/>
    <w:rsid w:val="001E2432"/>
    <w:rsid w:val="001E366B"/>
    <w:rsid w:val="001E3BA3"/>
    <w:rsid w:val="001E3BB2"/>
    <w:rsid w:val="001E3F14"/>
    <w:rsid w:val="001E483E"/>
    <w:rsid w:val="001E487C"/>
    <w:rsid w:val="001E4A22"/>
    <w:rsid w:val="001E5800"/>
    <w:rsid w:val="001E5EB1"/>
    <w:rsid w:val="001E65D1"/>
    <w:rsid w:val="001E7231"/>
    <w:rsid w:val="001E7F5A"/>
    <w:rsid w:val="001F2538"/>
    <w:rsid w:val="001F261E"/>
    <w:rsid w:val="001F275F"/>
    <w:rsid w:val="001F39FA"/>
    <w:rsid w:val="001F4B72"/>
    <w:rsid w:val="001F4FCE"/>
    <w:rsid w:val="001F6B1C"/>
    <w:rsid w:val="001F6D86"/>
    <w:rsid w:val="001F7EDC"/>
    <w:rsid w:val="0020102B"/>
    <w:rsid w:val="00201082"/>
    <w:rsid w:val="0020126A"/>
    <w:rsid w:val="002013C3"/>
    <w:rsid w:val="002016C5"/>
    <w:rsid w:val="00201C13"/>
    <w:rsid w:val="00202863"/>
    <w:rsid w:val="00203342"/>
    <w:rsid w:val="00203A28"/>
    <w:rsid w:val="00204EBA"/>
    <w:rsid w:val="0020516E"/>
    <w:rsid w:val="00205BA4"/>
    <w:rsid w:val="00206B1F"/>
    <w:rsid w:val="00206D38"/>
    <w:rsid w:val="002075AF"/>
    <w:rsid w:val="00211BA6"/>
    <w:rsid w:val="00212A4B"/>
    <w:rsid w:val="00212BC6"/>
    <w:rsid w:val="0021552C"/>
    <w:rsid w:val="00215826"/>
    <w:rsid w:val="00215969"/>
    <w:rsid w:val="00215CC6"/>
    <w:rsid w:val="002174A2"/>
    <w:rsid w:val="002176D8"/>
    <w:rsid w:val="00217B16"/>
    <w:rsid w:val="00217B23"/>
    <w:rsid w:val="002207B0"/>
    <w:rsid w:val="00220BD3"/>
    <w:rsid w:val="0022112D"/>
    <w:rsid w:val="002215CF"/>
    <w:rsid w:val="00222132"/>
    <w:rsid w:val="00222C74"/>
    <w:rsid w:val="00222F09"/>
    <w:rsid w:val="0022441E"/>
    <w:rsid w:val="002247A4"/>
    <w:rsid w:val="0022592C"/>
    <w:rsid w:val="00225942"/>
    <w:rsid w:val="00225A48"/>
    <w:rsid w:val="00225ABE"/>
    <w:rsid w:val="00226CFA"/>
    <w:rsid w:val="00226D16"/>
    <w:rsid w:val="002274F4"/>
    <w:rsid w:val="00230718"/>
    <w:rsid w:val="00231834"/>
    <w:rsid w:val="00231DA7"/>
    <w:rsid w:val="00232101"/>
    <w:rsid w:val="002321F4"/>
    <w:rsid w:val="0023299E"/>
    <w:rsid w:val="00233311"/>
    <w:rsid w:val="0023341C"/>
    <w:rsid w:val="0023342E"/>
    <w:rsid w:val="00233607"/>
    <w:rsid w:val="00233C02"/>
    <w:rsid w:val="00233C8D"/>
    <w:rsid w:val="0023405E"/>
    <w:rsid w:val="0023411C"/>
    <w:rsid w:val="00234AE2"/>
    <w:rsid w:val="00234F68"/>
    <w:rsid w:val="0023501C"/>
    <w:rsid w:val="0023568A"/>
    <w:rsid w:val="00235925"/>
    <w:rsid w:val="00235CB4"/>
    <w:rsid w:val="00236D1C"/>
    <w:rsid w:val="002375B9"/>
    <w:rsid w:val="00237679"/>
    <w:rsid w:val="002378AA"/>
    <w:rsid w:val="00237DF7"/>
    <w:rsid w:val="0024082B"/>
    <w:rsid w:val="002424D5"/>
    <w:rsid w:val="0024273A"/>
    <w:rsid w:val="00242A87"/>
    <w:rsid w:val="00242E0E"/>
    <w:rsid w:val="00242F87"/>
    <w:rsid w:val="002434D0"/>
    <w:rsid w:val="00243821"/>
    <w:rsid w:val="0024391F"/>
    <w:rsid w:val="00243A39"/>
    <w:rsid w:val="00245D42"/>
    <w:rsid w:val="00246F22"/>
    <w:rsid w:val="00250952"/>
    <w:rsid w:val="002509FC"/>
    <w:rsid w:val="00250A47"/>
    <w:rsid w:val="00250F17"/>
    <w:rsid w:val="002512C2"/>
    <w:rsid w:val="00252C7C"/>
    <w:rsid w:val="00252DA9"/>
    <w:rsid w:val="00253F1F"/>
    <w:rsid w:val="00254019"/>
    <w:rsid w:val="00254305"/>
    <w:rsid w:val="00254E83"/>
    <w:rsid w:val="0025535B"/>
    <w:rsid w:val="002554EF"/>
    <w:rsid w:val="00255B4B"/>
    <w:rsid w:val="00256704"/>
    <w:rsid w:val="00256BB3"/>
    <w:rsid w:val="00257BF0"/>
    <w:rsid w:val="00257F1E"/>
    <w:rsid w:val="00257F68"/>
    <w:rsid w:val="002605E0"/>
    <w:rsid w:val="00260B7D"/>
    <w:rsid w:val="00262552"/>
    <w:rsid w:val="002625E6"/>
    <w:rsid w:val="00264489"/>
    <w:rsid w:val="00264652"/>
    <w:rsid w:val="00264B7E"/>
    <w:rsid w:val="00264F5E"/>
    <w:rsid w:val="00265336"/>
    <w:rsid w:val="00265A6C"/>
    <w:rsid w:val="00270462"/>
    <w:rsid w:val="002716B1"/>
    <w:rsid w:val="00271A60"/>
    <w:rsid w:val="00273B0A"/>
    <w:rsid w:val="00274DEC"/>
    <w:rsid w:val="002756CD"/>
    <w:rsid w:val="0027603D"/>
    <w:rsid w:val="0027639E"/>
    <w:rsid w:val="00276702"/>
    <w:rsid w:val="002769D0"/>
    <w:rsid w:val="00280797"/>
    <w:rsid w:val="00281DF5"/>
    <w:rsid w:val="00281FB0"/>
    <w:rsid w:val="00282E36"/>
    <w:rsid w:val="00283ECF"/>
    <w:rsid w:val="00285670"/>
    <w:rsid w:val="00285E75"/>
    <w:rsid w:val="002860A0"/>
    <w:rsid w:val="00286314"/>
    <w:rsid w:val="0028634B"/>
    <w:rsid w:val="00286C83"/>
    <w:rsid w:val="00287510"/>
    <w:rsid w:val="00287911"/>
    <w:rsid w:val="00290672"/>
    <w:rsid w:val="00290828"/>
    <w:rsid w:val="002910E9"/>
    <w:rsid w:val="0029177D"/>
    <w:rsid w:val="0029312C"/>
    <w:rsid w:val="0029343F"/>
    <w:rsid w:val="00293A64"/>
    <w:rsid w:val="00293DF7"/>
    <w:rsid w:val="002942D6"/>
    <w:rsid w:val="00294FA0"/>
    <w:rsid w:val="00295403"/>
    <w:rsid w:val="002958DE"/>
    <w:rsid w:val="002959B0"/>
    <w:rsid w:val="00295E9D"/>
    <w:rsid w:val="00295EF4"/>
    <w:rsid w:val="0029689C"/>
    <w:rsid w:val="002A03F8"/>
    <w:rsid w:val="002A0556"/>
    <w:rsid w:val="002A10DD"/>
    <w:rsid w:val="002A1565"/>
    <w:rsid w:val="002A29C8"/>
    <w:rsid w:val="002A3BA3"/>
    <w:rsid w:val="002A3D20"/>
    <w:rsid w:val="002A4320"/>
    <w:rsid w:val="002A4A4E"/>
    <w:rsid w:val="002A4BCB"/>
    <w:rsid w:val="002A58BE"/>
    <w:rsid w:val="002A69F3"/>
    <w:rsid w:val="002A6AA5"/>
    <w:rsid w:val="002B108B"/>
    <w:rsid w:val="002B1B5A"/>
    <w:rsid w:val="002B2D6F"/>
    <w:rsid w:val="002B364C"/>
    <w:rsid w:val="002B3B30"/>
    <w:rsid w:val="002B3D39"/>
    <w:rsid w:val="002B3DB3"/>
    <w:rsid w:val="002B3EB4"/>
    <w:rsid w:val="002B4E45"/>
    <w:rsid w:val="002B538F"/>
    <w:rsid w:val="002B5777"/>
    <w:rsid w:val="002B6204"/>
    <w:rsid w:val="002B637B"/>
    <w:rsid w:val="002B6D1C"/>
    <w:rsid w:val="002B7399"/>
    <w:rsid w:val="002B74CB"/>
    <w:rsid w:val="002C06F1"/>
    <w:rsid w:val="002C098C"/>
    <w:rsid w:val="002C0DA6"/>
    <w:rsid w:val="002C0DB3"/>
    <w:rsid w:val="002C1667"/>
    <w:rsid w:val="002C1890"/>
    <w:rsid w:val="002C31FD"/>
    <w:rsid w:val="002C3D56"/>
    <w:rsid w:val="002C4003"/>
    <w:rsid w:val="002C483C"/>
    <w:rsid w:val="002C5E5B"/>
    <w:rsid w:val="002C7152"/>
    <w:rsid w:val="002C7DC6"/>
    <w:rsid w:val="002D000C"/>
    <w:rsid w:val="002D2DF8"/>
    <w:rsid w:val="002D3357"/>
    <w:rsid w:val="002D3835"/>
    <w:rsid w:val="002D39B7"/>
    <w:rsid w:val="002D513E"/>
    <w:rsid w:val="002D5377"/>
    <w:rsid w:val="002D5E07"/>
    <w:rsid w:val="002D5E96"/>
    <w:rsid w:val="002E0139"/>
    <w:rsid w:val="002E025E"/>
    <w:rsid w:val="002E1153"/>
    <w:rsid w:val="002E125F"/>
    <w:rsid w:val="002E172E"/>
    <w:rsid w:val="002E1DAD"/>
    <w:rsid w:val="002E2EBD"/>
    <w:rsid w:val="002E34C5"/>
    <w:rsid w:val="002E3E86"/>
    <w:rsid w:val="002E6306"/>
    <w:rsid w:val="002E6B29"/>
    <w:rsid w:val="002E7904"/>
    <w:rsid w:val="002E7FC6"/>
    <w:rsid w:val="002F08A4"/>
    <w:rsid w:val="002F1C0D"/>
    <w:rsid w:val="002F1C66"/>
    <w:rsid w:val="002F2A91"/>
    <w:rsid w:val="002F2BC3"/>
    <w:rsid w:val="002F2E18"/>
    <w:rsid w:val="002F2F2E"/>
    <w:rsid w:val="002F31D5"/>
    <w:rsid w:val="002F3535"/>
    <w:rsid w:val="002F36D5"/>
    <w:rsid w:val="002F4296"/>
    <w:rsid w:val="002F44F7"/>
    <w:rsid w:val="002F462F"/>
    <w:rsid w:val="002F46CA"/>
    <w:rsid w:val="002F4BB8"/>
    <w:rsid w:val="002F4DC0"/>
    <w:rsid w:val="002F4F86"/>
    <w:rsid w:val="002F5013"/>
    <w:rsid w:val="002F6565"/>
    <w:rsid w:val="002F696E"/>
    <w:rsid w:val="002F70C2"/>
    <w:rsid w:val="002F7B54"/>
    <w:rsid w:val="00300ADA"/>
    <w:rsid w:val="00301006"/>
    <w:rsid w:val="0030207F"/>
    <w:rsid w:val="0030238D"/>
    <w:rsid w:val="00302529"/>
    <w:rsid w:val="00303107"/>
    <w:rsid w:val="00303371"/>
    <w:rsid w:val="0030368E"/>
    <w:rsid w:val="00303750"/>
    <w:rsid w:val="00303818"/>
    <w:rsid w:val="00303A93"/>
    <w:rsid w:val="0030422B"/>
    <w:rsid w:val="0030463C"/>
    <w:rsid w:val="00304C25"/>
    <w:rsid w:val="00305259"/>
    <w:rsid w:val="00305931"/>
    <w:rsid w:val="00305C53"/>
    <w:rsid w:val="003060F1"/>
    <w:rsid w:val="003064D9"/>
    <w:rsid w:val="00306BD0"/>
    <w:rsid w:val="00307858"/>
    <w:rsid w:val="00307869"/>
    <w:rsid w:val="003079D2"/>
    <w:rsid w:val="003101FF"/>
    <w:rsid w:val="003104E5"/>
    <w:rsid w:val="00311772"/>
    <w:rsid w:val="003147AE"/>
    <w:rsid w:val="00316B62"/>
    <w:rsid w:val="003178B6"/>
    <w:rsid w:val="00320550"/>
    <w:rsid w:val="00320FE4"/>
    <w:rsid w:val="00321F2F"/>
    <w:rsid w:val="003220E2"/>
    <w:rsid w:val="00322BC9"/>
    <w:rsid w:val="003230B2"/>
    <w:rsid w:val="0032369C"/>
    <w:rsid w:val="00324849"/>
    <w:rsid w:val="00324B86"/>
    <w:rsid w:val="0032551C"/>
    <w:rsid w:val="0032557D"/>
    <w:rsid w:val="00327DAD"/>
    <w:rsid w:val="0033029B"/>
    <w:rsid w:val="00331693"/>
    <w:rsid w:val="0033239B"/>
    <w:rsid w:val="00332856"/>
    <w:rsid w:val="00332AD8"/>
    <w:rsid w:val="00333613"/>
    <w:rsid w:val="0033389A"/>
    <w:rsid w:val="003356BC"/>
    <w:rsid w:val="003357C4"/>
    <w:rsid w:val="00336C34"/>
    <w:rsid w:val="00336CB9"/>
    <w:rsid w:val="00337111"/>
    <w:rsid w:val="003379EE"/>
    <w:rsid w:val="003418A2"/>
    <w:rsid w:val="00342E31"/>
    <w:rsid w:val="00343F55"/>
    <w:rsid w:val="00344ADD"/>
    <w:rsid w:val="003455C6"/>
    <w:rsid w:val="00345FE6"/>
    <w:rsid w:val="003462EE"/>
    <w:rsid w:val="00346AE8"/>
    <w:rsid w:val="00346FFF"/>
    <w:rsid w:val="003473CC"/>
    <w:rsid w:val="00347CEB"/>
    <w:rsid w:val="00347EAE"/>
    <w:rsid w:val="00350749"/>
    <w:rsid w:val="00351349"/>
    <w:rsid w:val="0035211C"/>
    <w:rsid w:val="003524FD"/>
    <w:rsid w:val="00352A93"/>
    <w:rsid w:val="00352CD4"/>
    <w:rsid w:val="00352F1B"/>
    <w:rsid w:val="0035391F"/>
    <w:rsid w:val="00353954"/>
    <w:rsid w:val="00353FC4"/>
    <w:rsid w:val="00354E11"/>
    <w:rsid w:val="003558DB"/>
    <w:rsid w:val="00357115"/>
    <w:rsid w:val="00357190"/>
    <w:rsid w:val="00357A72"/>
    <w:rsid w:val="00357B44"/>
    <w:rsid w:val="00357CD7"/>
    <w:rsid w:val="00360769"/>
    <w:rsid w:val="00360FAF"/>
    <w:rsid w:val="003625BB"/>
    <w:rsid w:val="00362751"/>
    <w:rsid w:val="00362ED9"/>
    <w:rsid w:val="0036443E"/>
    <w:rsid w:val="00364938"/>
    <w:rsid w:val="0036553D"/>
    <w:rsid w:val="003655C2"/>
    <w:rsid w:val="00365E34"/>
    <w:rsid w:val="003662B7"/>
    <w:rsid w:val="003667CF"/>
    <w:rsid w:val="00366D11"/>
    <w:rsid w:val="00366E2B"/>
    <w:rsid w:val="00367CC4"/>
    <w:rsid w:val="00370639"/>
    <w:rsid w:val="00370861"/>
    <w:rsid w:val="00370B26"/>
    <w:rsid w:val="00371710"/>
    <w:rsid w:val="003720A6"/>
    <w:rsid w:val="003726E9"/>
    <w:rsid w:val="00372F18"/>
    <w:rsid w:val="00372FA7"/>
    <w:rsid w:val="0037338E"/>
    <w:rsid w:val="00373B16"/>
    <w:rsid w:val="0037429D"/>
    <w:rsid w:val="00374E37"/>
    <w:rsid w:val="003751FB"/>
    <w:rsid w:val="00375EA3"/>
    <w:rsid w:val="0037647A"/>
    <w:rsid w:val="00376B73"/>
    <w:rsid w:val="00376EA7"/>
    <w:rsid w:val="003771C2"/>
    <w:rsid w:val="003773E3"/>
    <w:rsid w:val="0037741A"/>
    <w:rsid w:val="00377BB6"/>
    <w:rsid w:val="003801F6"/>
    <w:rsid w:val="003809A3"/>
    <w:rsid w:val="00380A1D"/>
    <w:rsid w:val="00380D0C"/>
    <w:rsid w:val="00381B7B"/>
    <w:rsid w:val="003828F8"/>
    <w:rsid w:val="00383AC7"/>
    <w:rsid w:val="00384E26"/>
    <w:rsid w:val="00385758"/>
    <w:rsid w:val="00386498"/>
    <w:rsid w:val="00386AF3"/>
    <w:rsid w:val="00390C62"/>
    <w:rsid w:val="00391626"/>
    <w:rsid w:val="003929D5"/>
    <w:rsid w:val="0039305E"/>
    <w:rsid w:val="00393744"/>
    <w:rsid w:val="00393BA9"/>
    <w:rsid w:val="00394391"/>
    <w:rsid w:val="00394649"/>
    <w:rsid w:val="0039471C"/>
    <w:rsid w:val="00396258"/>
    <w:rsid w:val="00397666"/>
    <w:rsid w:val="00397723"/>
    <w:rsid w:val="00397EFA"/>
    <w:rsid w:val="003A0038"/>
    <w:rsid w:val="003A015B"/>
    <w:rsid w:val="003A02C6"/>
    <w:rsid w:val="003A0409"/>
    <w:rsid w:val="003A1B91"/>
    <w:rsid w:val="003A1D6E"/>
    <w:rsid w:val="003A2AFF"/>
    <w:rsid w:val="003A2D11"/>
    <w:rsid w:val="003A3E80"/>
    <w:rsid w:val="003A48CC"/>
    <w:rsid w:val="003A4A80"/>
    <w:rsid w:val="003A5CEF"/>
    <w:rsid w:val="003A6421"/>
    <w:rsid w:val="003A64EF"/>
    <w:rsid w:val="003A6FE9"/>
    <w:rsid w:val="003A70EA"/>
    <w:rsid w:val="003A745F"/>
    <w:rsid w:val="003A7509"/>
    <w:rsid w:val="003A7512"/>
    <w:rsid w:val="003A7733"/>
    <w:rsid w:val="003B0343"/>
    <w:rsid w:val="003B0393"/>
    <w:rsid w:val="003B06F8"/>
    <w:rsid w:val="003B0891"/>
    <w:rsid w:val="003B0936"/>
    <w:rsid w:val="003B0F97"/>
    <w:rsid w:val="003B106D"/>
    <w:rsid w:val="003B1F16"/>
    <w:rsid w:val="003B21FB"/>
    <w:rsid w:val="003B2C82"/>
    <w:rsid w:val="003B38B0"/>
    <w:rsid w:val="003B3F30"/>
    <w:rsid w:val="003B43CF"/>
    <w:rsid w:val="003B48CB"/>
    <w:rsid w:val="003B50BD"/>
    <w:rsid w:val="003B547F"/>
    <w:rsid w:val="003B55C5"/>
    <w:rsid w:val="003B6A2A"/>
    <w:rsid w:val="003B6C38"/>
    <w:rsid w:val="003B7165"/>
    <w:rsid w:val="003B72D7"/>
    <w:rsid w:val="003B769D"/>
    <w:rsid w:val="003B789C"/>
    <w:rsid w:val="003B7AEF"/>
    <w:rsid w:val="003B7E2D"/>
    <w:rsid w:val="003C01FD"/>
    <w:rsid w:val="003C0494"/>
    <w:rsid w:val="003C1D9A"/>
    <w:rsid w:val="003C3AEE"/>
    <w:rsid w:val="003C42AA"/>
    <w:rsid w:val="003C5500"/>
    <w:rsid w:val="003C57D7"/>
    <w:rsid w:val="003C5AF9"/>
    <w:rsid w:val="003C5C50"/>
    <w:rsid w:val="003C6006"/>
    <w:rsid w:val="003C720F"/>
    <w:rsid w:val="003C7843"/>
    <w:rsid w:val="003D1764"/>
    <w:rsid w:val="003D194A"/>
    <w:rsid w:val="003D1CA4"/>
    <w:rsid w:val="003D278A"/>
    <w:rsid w:val="003D2DF2"/>
    <w:rsid w:val="003D2F25"/>
    <w:rsid w:val="003D4327"/>
    <w:rsid w:val="003D4A7D"/>
    <w:rsid w:val="003D5D8E"/>
    <w:rsid w:val="003D6347"/>
    <w:rsid w:val="003D73DE"/>
    <w:rsid w:val="003D79D7"/>
    <w:rsid w:val="003D7CAC"/>
    <w:rsid w:val="003E0594"/>
    <w:rsid w:val="003E0BE6"/>
    <w:rsid w:val="003E15D0"/>
    <w:rsid w:val="003E2975"/>
    <w:rsid w:val="003E2AFA"/>
    <w:rsid w:val="003E306A"/>
    <w:rsid w:val="003E30AC"/>
    <w:rsid w:val="003E3BD2"/>
    <w:rsid w:val="003E4990"/>
    <w:rsid w:val="003E6FE3"/>
    <w:rsid w:val="003E7B2D"/>
    <w:rsid w:val="003F04BD"/>
    <w:rsid w:val="003F0563"/>
    <w:rsid w:val="003F08B6"/>
    <w:rsid w:val="003F0BF3"/>
    <w:rsid w:val="003F13E8"/>
    <w:rsid w:val="003F1A98"/>
    <w:rsid w:val="003F29F2"/>
    <w:rsid w:val="003F48AE"/>
    <w:rsid w:val="003F5059"/>
    <w:rsid w:val="003F5861"/>
    <w:rsid w:val="003F58CF"/>
    <w:rsid w:val="003F66E7"/>
    <w:rsid w:val="003F718C"/>
    <w:rsid w:val="003F726A"/>
    <w:rsid w:val="003F74EA"/>
    <w:rsid w:val="0040045D"/>
    <w:rsid w:val="004005D5"/>
    <w:rsid w:val="00400C05"/>
    <w:rsid w:val="004010AA"/>
    <w:rsid w:val="0040159D"/>
    <w:rsid w:val="004015E4"/>
    <w:rsid w:val="00401A02"/>
    <w:rsid w:val="00401FD2"/>
    <w:rsid w:val="004021AB"/>
    <w:rsid w:val="00402369"/>
    <w:rsid w:val="004023F3"/>
    <w:rsid w:val="0040281F"/>
    <w:rsid w:val="004028E2"/>
    <w:rsid w:val="00403690"/>
    <w:rsid w:val="00403D7B"/>
    <w:rsid w:val="00403DE2"/>
    <w:rsid w:val="00404278"/>
    <w:rsid w:val="0040688C"/>
    <w:rsid w:val="004068CD"/>
    <w:rsid w:val="00407EB6"/>
    <w:rsid w:val="00410C84"/>
    <w:rsid w:val="00410D88"/>
    <w:rsid w:val="00410DF0"/>
    <w:rsid w:val="00411F21"/>
    <w:rsid w:val="00412D74"/>
    <w:rsid w:val="0041316B"/>
    <w:rsid w:val="004142D8"/>
    <w:rsid w:val="004142F8"/>
    <w:rsid w:val="004148D1"/>
    <w:rsid w:val="004151BD"/>
    <w:rsid w:val="00415751"/>
    <w:rsid w:val="0041663B"/>
    <w:rsid w:val="004166B2"/>
    <w:rsid w:val="004168F2"/>
    <w:rsid w:val="00416A04"/>
    <w:rsid w:val="00416D7C"/>
    <w:rsid w:val="00417522"/>
    <w:rsid w:val="00422211"/>
    <w:rsid w:val="00422469"/>
    <w:rsid w:val="004230CF"/>
    <w:rsid w:val="00424850"/>
    <w:rsid w:val="00425C7A"/>
    <w:rsid w:val="004267E0"/>
    <w:rsid w:val="0042782E"/>
    <w:rsid w:val="0042790F"/>
    <w:rsid w:val="004307D2"/>
    <w:rsid w:val="00430B5E"/>
    <w:rsid w:val="004327F9"/>
    <w:rsid w:val="0043402E"/>
    <w:rsid w:val="00434226"/>
    <w:rsid w:val="0043436A"/>
    <w:rsid w:val="004343C7"/>
    <w:rsid w:val="004344B5"/>
    <w:rsid w:val="00434BD5"/>
    <w:rsid w:val="00434FF4"/>
    <w:rsid w:val="00436402"/>
    <w:rsid w:val="00437CB7"/>
    <w:rsid w:val="004407A6"/>
    <w:rsid w:val="00441AD3"/>
    <w:rsid w:val="00442264"/>
    <w:rsid w:val="0044436A"/>
    <w:rsid w:val="0044549D"/>
    <w:rsid w:val="00447791"/>
    <w:rsid w:val="00447976"/>
    <w:rsid w:val="00450C49"/>
    <w:rsid w:val="00451C4D"/>
    <w:rsid w:val="00454DFD"/>
    <w:rsid w:val="0045512F"/>
    <w:rsid w:val="00457205"/>
    <w:rsid w:val="004572A5"/>
    <w:rsid w:val="004619F1"/>
    <w:rsid w:val="00461C68"/>
    <w:rsid w:val="00463359"/>
    <w:rsid w:val="00465BD5"/>
    <w:rsid w:val="00466C99"/>
    <w:rsid w:val="004673C0"/>
    <w:rsid w:val="00467C15"/>
    <w:rsid w:val="00467ED8"/>
    <w:rsid w:val="00470018"/>
    <w:rsid w:val="00470632"/>
    <w:rsid w:val="00470ACC"/>
    <w:rsid w:val="004716DA"/>
    <w:rsid w:val="004718B5"/>
    <w:rsid w:val="004726C7"/>
    <w:rsid w:val="00472910"/>
    <w:rsid w:val="0047320D"/>
    <w:rsid w:val="004734E5"/>
    <w:rsid w:val="0047353C"/>
    <w:rsid w:val="00473850"/>
    <w:rsid w:val="00473B22"/>
    <w:rsid w:val="00473BC8"/>
    <w:rsid w:val="00474203"/>
    <w:rsid w:val="0047474B"/>
    <w:rsid w:val="0047476C"/>
    <w:rsid w:val="00474CC6"/>
    <w:rsid w:val="00474DE5"/>
    <w:rsid w:val="00475295"/>
    <w:rsid w:val="004754BF"/>
    <w:rsid w:val="00475A78"/>
    <w:rsid w:val="00476693"/>
    <w:rsid w:val="00476D51"/>
    <w:rsid w:val="00476DA6"/>
    <w:rsid w:val="00477902"/>
    <w:rsid w:val="00477D3A"/>
    <w:rsid w:val="00477F4D"/>
    <w:rsid w:val="00477FD4"/>
    <w:rsid w:val="0048058A"/>
    <w:rsid w:val="00480C73"/>
    <w:rsid w:val="00481773"/>
    <w:rsid w:val="0048183E"/>
    <w:rsid w:val="00481F87"/>
    <w:rsid w:val="00482AE9"/>
    <w:rsid w:val="00483777"/>
    <w:rsid w:val="00483A33"/>
    <w:rsid w:val="00484109"/>
    <w:rsid w:val="0048424C"/>
    <w:rsid w:val="004843EA"/>
    <w:rsid w:val="0048484B"/>
    <w:rsid w:val="0048608F"/>
    <w:rsid w:val="00486230"/>
    <w:rsid w:val="004872A4"/>
    <w:rsid w:val="00490036"/>
    <w:rsid w:val="004902D8"/>
    <w:rsid w:val="004904E1"/>
    <w:rsid w:val="00490690"/>
    <w:rsid w:val="00490AD4"/>
    <w:rsid w:val="00491967"/>
    <w:rsid w:val="00491B5E"/>
    <w:rsid w:val="00491D09"/>
    <w:rsid w:val="00491DB0"/>
    <w:rsid w:val="00491F3C"/>
    <w:rsid w:val="004922A0"/>
    <w:rsid w:val="00492846"/>
    <w:rsid w:val="00494453"/>
    <w:rsid w:val="00494EA4"/>
    <w:rsid w:val="00496B51"/>
    <w:rsid w:val="00497163"/>
    <w:rsid w:val="004979EF"/>
    <w:rsid w:val="004A032D"/>
    <w:rsid w:val="004A04A5"/>
    <w:rsid w:val="004A155D"/>
    <w:rsid w:val="004A19D7"/>
    <w:rsid w:val="004A1E38"/>
    <w:rsid w:val="004A2273"/>
    <w:rsid w:val="004A246D"/>
    <w:rsid w:val="004A2BFC"/>
    <w:rsid w:val="004A38CB"/>
    <w:rsid w:val="004A3A5A"/>
    <w:rsid w:val="004A456B"/>
    <w:rsid w:val="004A48AB"/>
    <w:rsid w:val="004A4B87"/>
    <w:rsid w:val="004A60E2"/>
    <w:rsid w:val="004A696C"/>
    <w:rsid w:val="004A6F0F"/>
    <w:rsid w:val="004A6FF5"/>
    <w:rsid w:val="004A71A9"/>
    <w:rsid w:val="004B088E"/>
    <w:rsid w:val="004B1741"/>
    <w:rsid w:val="004B1F68"/>
    <w:rsid w:val="004B1FF8"/>
    <w:rsid w:val="004B2039"/>
    <w:rsid w:val="004B3891"/>
    <w:rsid w:val="004B39E2"/>
    <w:rsid w:val="004B3A69"/>
    <w:rsid w:val="004B4656"/>
    <w:rsid w:val="004B49F5"/>
    <w:rsid w:val="004B4ADD"/>
    <w:rsid w:val="004B5082"/>
    <w:rsid w:val="004B5279"/>
    <w:rsid w:val="004B5F8C"/>
    <w:rsid w:val="004B64AD"/>
    <w:rsid w:val="004B7B0F"/>
    <w:rsid w:val="004B7F6B"/>
    <w:rsid w:val="004B7FA6"/>
    <w:rsid w:val="004C0A6E"/>
    <w:rsid w:val="004C1058"/>
    <w:rsid w:val="004C2534"/>
    <w:rsid w:val="004C3248"/>
    <w:rsid w:val="004C45EA"/>
    <w:rsid w:val="004C5ED0"/>
    <w:rsid w:val="004C6144"/>
    <w:rsid w:val="004C6661"/>
    <w:rsid w:val="004C6AA1"/>
    <w:rsid w:val="004C6C9B"/>
    <w:rsid w:val="004C6F6C"/>
    <w:rsid w:val="004C7377"/>
    <w:rsid w:val="004C78C5"/>
    <w:rsid w:val="004C7D60"/>
    <w:rsid w:val="004D030E"/>
    <w:rsid w:val="004D0654"/>
    <w:rsid w:val="004D0DAB"/>
    <w:rsid w:val="004D31E9"/>
    <w:rsid w:val="004D3BC2"/>
    <w:rsid w:val="004D3D71"/>
    <w:rsid w:val="004D439E"/>
    <w:rsid w:val="004D48E5"/>
    <w:rsid w:val="004D499C"/>
    <w:rsid w:val="004D511C"/>
    <w:rsid w:val="004D59CC"/>
    <w:rsid w:val="004D5A1C"/>
    <w:rsid w:val="004D5EDF"/>
    <w:rsid w:val="004D680F"/>
    <w:rsid w:val="004D69D1"/>
    <w:rsid w:val="004D7CCB"/>
    <w:rsid w:val="004E06B5"/>
    <w:rsid w:val="004E0F87"/>
    <w:rsid w:val="004E1C60"/>
    <w:rsid w:val="004E1D13"/>
    <w:rsid w:val="004E1EFD"/>
    <w:rsid w:val="004E22F6"/>
    <w:rsid w:val="004E2591"/>
    <w:rsid w:val="004E327F"/>
    <w:rsid w:val="004E3999"/>
    <w:rsid w:val="004E3A3E"/>
    <w:rsid w:val="004E42B0"/>
    <w:rsid w:val="004E4B58"/>
    <w:rsid w:val="004E609C"/>
    <w:rsid w:val="004E67A6"/>
    <w:rsid w:val="004E7427"/>
    <w:rsid w:val="004E7654"/>
    <w:rsid w:val="004E7C96"/>
    <w:rsid w:val="004E7E3B"/>
    <w:rsid w:val="004E7E67"/>
    <w:rsid w:val="004F10AE"/>
    <w:rsid w:val="004F1E2F"/>
    <w:rsid w:val="004F1F92"/>
    <w:rsid w:val="004F2343"/>
    <w:rsid w:val="004F29C5"/>
    <w:rsid w:val="004F2FAC"/>
    <w:rsid w:val="004F423D"/>
    <w:rsid w:val="004F44E4"/>
    <w:rsid w:val="004F7180"/>
    <w:rsid w:val="005005C4"/>
    <w:rsid w:val="0050231A"/>
    <w:rsid w:val="00502708"/>
    <w:rsid w:val="00502F41"/>
    <w:rsid w:val="005031A4"/>
    <w:rsid w:val="00504AD1"/>
    <w:rsid w:val="00504E08"/>
    <w:rsid w:val="00506AA0"/>
    <w:rsid w:val="0050726F"/>
    <w:rsid w:val="005078A2"/>
    <w:rsid w:val="00507A7F"/>
    <w:rsid w:val="0051001E"/>
    <w:rsid w:val="005107A2"/>
    <w:rsid w:val="00510D39"/>
    <w:rsid w:val="0051178E"/>
    <w:rsid w:val="00511900"/>
    <w:rsid w:val="00512B3B"/>
    <w:rsid w:val="00512E44"/>
    <w:rsid w:val="005133E7"/>
    <w:rsid w:val="00514847"/>
    <w:rsid w:val="00514E1B"/>
    <w:rsid w:val="00515396"/>
    <w:rsid w:val="00516F11"/>
    <w:rsid w:val="005173B0"/>
    <w:rsid w:val="0051764F"/>
    <w:rsid w:val="0052013F"/>
    <w:rsid w:val="0052039A"/>
    <w:rsid w:val="005207B9"/>
    <w:rsid w:val="00521494"/>
    <w:rsid w:val="00521A94"/>
    <w:rsid w:val="00521ACA"/>
    <w:rsid w:val="005225E0"/>
    <w:rsid w:val="00522875"/>
    <w:rsid w:val="00525364"/>
    <w:rsid w:val="00525D9E"/>
    <w:rsid w:val="0052621C"/>
    <w:rsid w:val="00527156"/>
    <w:rsid w:val="00530924"/>
    <w:rsid w:val="005309D7"/>
    <w:rsid w:val="005313D2"/>
    <w:rsid w:val="00531484"/>
    <w:rsid w:val="00531D68"/>
    <w:rsid w:val="0053250E"/>
    <w:rsid w:val="00532A8F"/>
    <w:rsid w:val="00533008"/>
    <w:rsid w:val="00533059"/>
    <w:rsid w:val="0053484C"/>
    <w:rsid w:val="00534BFA"/>
    <w:rsid w:val="005354A9"/>
    <w:rsid w:val="00536862"/>
    <w:rsid w:val="00536BFF"/>
    <w:rsid w:val="005370A5"/>
    <w:rsid w:val="005373BF"/>
    <w:rsid w:val="00537710"/>
    <w:rsid w:val="005377CB"/>
    <w:rsid w:val="00537F98"/>
    <w:rsid w:val="00540893"/>
    <w:rsid w:val="005419B8"/>
    <w:rsid w:val="00541D4C"/>
    <w:rsid w:val="005422BA"/>
    <w:rsid w:val="00542306"/>
    <w:rsid w:val="00542478"/>
    <w:rsid w:val="00543CA1"/>
    <w:rsid w:val="0054417A"/>
    <w:rsid w:val="0054449F"/>
    <w:rsid w:val="005449FE"/>
    <w:rsid w:val="005462C3"/>
    <w:rsid w:val="00547885"/>
    <w:rsid w:val="00547D2D"/>
    <w:rsid w:val="00547E4B"/>
    <w:rsid w:val="00552CCC"/>
    <w:rsid w:val="00552F9C"/>
    <w:rsid w:val="00553874"/>
    <w:rsid w:val="005546CD"/>
    <w:rsid w:val="0055503C"/>
    <w:rsid w:val="00555375"/>
    <w:rsid w:val="00557510"/>
    <w:rsid w:val="005575AA"/>
    <w:rsid w:val="00557E8F"/>
    <w:rsid w:val="00560975"/>
    <w:rsid w:val="00560B32"/>
    <w:rsid w:val="00560E63"/>
    <w:rsid w:val="0056103F"/>
    <w:rsid w:val="005616A4"/>
    <w:rsid w:val="005617C6"/>
    <w:rsid w:val="00562597"/>
    <w:rsid w:val="0056288C"/>
    <w:rsid w:val="00562E28"/>
    <w:rsid w:val="00562FA5"/>
    <w:rsid w:val="005632B0"/>
    <w:rsid w:val="00563B9E"/>
    <w:rsid w:val="005643F7"/>
    <w:rsid w:val="005653AE"/>
    <w:rsid w:val="0056670D"/>
    <w:rsid w:val="0056679A"/>
    <w:rsid w:val="0056701C"/>
    <w:rsid w:val="0056766A"/>
    <w:rsid w:val="005705BA"/>
    <w:rsid w:val="005709DF"/>
    <w:rsid w:val="0057117D"/>
    <w:rsid w:val="00573120"/>
    <w:rsid w:val="0057318B"/>
    <w:rsid w:val="005735D2"/>
    <w:rsid w:val="00574C9F"/>
    <w:rsid w:val="00575179"/>
    <w:rsid w:val="005752A7"/>
    <w:rsid w:val="00575F14"/>
    <w:rsid w:val="00576379"/>
    <w:rsid w:val="0057687A"/>
    <w:rsid w:val="00576ADA"/>
    <w:rsid w:val="00581188"/>
    <w:rsid w:val="00581B22"/>
    <w:rsid w:val="00582588"/>
    <w:rsid w:val="00583804"/>
    <w:rsid w:val="00583DF6"/>
    <w:rsid w:val="00584995"/>
    <w:rsid w:val="00586835"/>
    <w:rsid w:val="00590445"/>
    <w:rsid w:val="0059163C"/>
    <w:rsid w:val="00592952"/>
    <w:rsid w:val="005937D8"/>
    <w:rsid w:val="00593DE9"/>
    <w:rsid w:val="00593FA8"/>
    <w:rsid w:val="0059460A"/>
    <w:rsid w:val="00595B76"/>
    <w:rsid w:val="00596C94"/>
    <w:rsid w:val="00597B1F"/>
    <w:rsid w:val="00597F36"/>
    <w:rsid w:val="005A006A"/>
    <w:rsid w:val="005A0467"/>
    <w:rsid w:val="005A0B9E"/>
    <w:rsid w:val="005A10E9"/>
    <w:rsid w:val="005A16B7"/>
    <w:rsid w:val="005A19D6"/>
    <w:rsid w:val="005A24D8"/>
    <w:rsid w:val="005A3569"/>
    <w:rsid w:val="005A484F"/>
    <w:rsid w:val="005A5418"/>
    <w:rsid w:val="005A5944"/>
    <w:rsid w:val="005A5C86"/>
    <w:rsid w:val="005A5CF7"/>
    <w:rsid w:val="005A5FA9"/>
    <w:rsid w:val="005A6005"/>
    <w:rsid w:val="005A6B22"/>
    <w:rsid w:val="005A7DC7"/>
    <w:rsid w:val="005B09DB"/>
    <w:rsid w:val="005B0F20"/>
    <w:rsid w:val="005B110A"/>
    <w:rsid w:val="005B1BAC"/>
    <w:rsid w:val="005B266A"/>
    <w:rsid w:val="005B2C51"/>
    <w:rsid w:val="005B2F7F"/>
    <w:rsid w:val="005B2FE7"/>
    <w:rsid w:val="005B34B6"/>
    <w:rsid w:val="005B3B2D"/>
    <w:rsid w:val="005B4609"/>
    <w:rsid w:val="005B4A2D"/>
    <w:rsid w:val="005B50B1"/>
    <w:rsid w:val="005B572F"/>
    <w:rsid w:val="005B79FC"/>
    <w:rsid w:val="005B7E42"/>
    <w:rsid w:val="005B7F8F"/>
    <w:rsid w:val="005C0D88"/>
    <w:rsid w:val="005C164F"/>
    <w:rsid w:val="005C17B9"/>
    <w:rsid w:val="005C1B83"/>
    <w:rsid w:val="005C2236"/>
    <w:rsid w:val="005C24FD"/>
    <w:rsid w:val="005C2C8A"/>
    <w:rsid w:val="005C2F9D"/>
    <w:rsid w:val="005C32F1"/>
    <w:rsid w:val="005C3C84"/>
    <w:rsid w:val="005C4203"/>
    <w:rsid w:val="005C4CFB"/>
    <w:rsid w:val="005C4FC7"/>
    <w:rsid w:val="005C51A3"/>
    <w:rsid w:val="005C5B3A"/>
    <w:rsid w:val="005C66CF"/>
    <w:rsid w:val="005C6782"/>
    <w:rsid w:val="005C6868"/>
    <w:rsid w:val="005D01A0"/>
    <w:rsid w:val="005D03F3"/>
    <w:rsid w:val="005D0C00"/>
    <w:rsid w:val="005D0EB1"/>
    <w:rsid w:val="005D131F"/>
    <w:rsid w:val="005D1437"/>
    <w:rsid w:val="005D1D99"/>
    <w:rsid w:val="005D38F1"/>
    <w:rsid w:val="005D54E4"/>
    <w:rsid w:val="005D5E4A"/>
    <w:rsid w:val="005D6100"/>
    <w:rsid w:val="005D62A2"/>
    <w:rsid w:val="005D7597"/>
    <w:rsid w:val="005E0E0A"/>
    <w:rsid w:val="005E15F5"/>
    <w:rsid w:val="005E227F"/>
    <w:rsid w:val="005E2564"/>
    <w:rsid w:val="005E267C"/>
    <w:rsid w:val="005E3939"/>
    <w:rsid w:val="005E3F4D"/>
    <w:rsid w:val="005E4282"/>
    <w:rsid w:val="005E65A1"/>
    <w:rsid w:val="005E6C7D"/>
    <w:rsid w:val="005E7230"/>
    <w:rsid w:val="005F0065"/>
    <w:rsid w:val="005F1497"/>
    <w:rsid w:val="005F277A"/>
    <w:rsid w:val="005F32D2"/>
    <w:rsid w:val="005F3825"/>
    <w:rsid w:val="005F44E9"/>
    <w:rsid w:val="005F5A76"/>
    <w:rsid w:val="005F5D26"/>
    <w:rsid w:val="005F70B0"/>
    <w:rsid w:val="005F7714"/>
    <w:rsid w:val="00600B83"/>
    <w:rsid w:val="00601A6B"/>
    <w:rsid w:val="0060227B"/>
    <w:rsid w:val="00602D8F"/>
    <w:rsid w:val="0060540D"/>
    <w:rsid w:val="00605897"/>
    <w:rsid w:val="00605BB0"/>
    <w:rsid w:val="00605C26"/>
    <w:rsid w:val="006067A5"/>
    <w:rsid w:val="00607A9C"/>
    <w:rsid w:val="00611511"/>
    <w:rsid w:val="006115AE"/>
    <w:rsid w:val="00612827"/>
    <w:rsid w:val="00612A5F"/>
    <w:rsid w:val="0061310D"/>
    <w:rsid w:val="006135FC"/>
    <w:rsid w:val="00616106"/>
    <w:rsid w:val="00616B5D"/>
    <w:rsid w:val="00616EAF"/>
    <w:rsid w:val="00617747"/>
    <w:rsid w:val="006205C0"/>
    <w:rsid w:val="0062187C"/>
    <w:rsid w:val="00621ECF"/>
    <w:rsid w:val="00622594"/>
    <w:rsid w:val="0062275F"/>
    <w:rsid w:val="0062312E"/>
    <w:rsid w:val="0062355A"/>
    <w:rsid w:val="00623BD1"/>
    <w:rsid w:val="006247CB"/>
    <w:rsid w:val="00625096"/>
    <w:rsid w:val="006250F6"/>
    <w:rsid w:val="0062529A"/>
    <w:rsid w:val="00625CA0"/>
    <w:rsid w:val="006272BC"/>
    <w:rsid w:val="00627AF3"/>
    <w:rsid w:val="00627C66"/>
    <w:rsid w:val="00627F51"/>
    <w:rsid w:val="00630226"/>
    <w:rsid w:val="0063093F"/>
    <w:rsid w:val="006312BD"/>
    <w:rsid w:val="00631681"/>
    <w:rsid w:val="00631C3A"/>
    <w:rsid w:val="006336AA"/>
    <w:rsid w:val="00634A01"/>
    <w:rsid w:val="00635B5B"/>
    <w:rsid w:val="00635CCD"/>
    <w:rsid w:val="00635FD2"/>
    <w:rsid w:val="00636958"/>
    <w:rsid w:val="00637321"/>
    <w:rsid w:val="006373F7"/>
    <w:rsid w:val="006374B8"/>
    <w:rsid w:val="00640270"/>
    <w:rsid w:val="0064060B"/>
    <w:rsid w:val="0064154D"/>
    <w:rsid w:val="006415D8"/>
    <w:rsid w:val="00641A2A"/>
    <w:rsid w:val="00641B9F"/>
    <w:rsid w:val="00641F6D"/>
    <w:rsid w:val="00642667"/>
    <w:rsid w:val="006435D0"/>
    <w:rsid w:val="00643C7B"/>
    <w:rsid w:val="00643FC3"/>
    <w:rsid w:val="006443B4"/>
    <w:rsid w:val="00644774"/>
    <w:rsid w:val="00644C0A"/>
    <w:rsid w:val="00644F0B"/>
    <w:rsid w:val="00645465"/>
    <w:rsid w:val="00645AE5"/>
    <w:rsid w:val="00646360"/>
    <w:rsid w:val="00650545"/>
    <w:rsid w:val="00651971"/>
    <w:rsid w:val="00652451"/>
    <w:rsid w:val="0065418D"/>
    <w:rsid w:val="006549AD"/>
    <w:rsid w:val="00654F3D"/>
    <w:rsid w:val="00655218"/>
    <w:rsid w:val="006559B6"/>
    <w:rsid w:val="0065634F"/>
    <w:rsid w:val="006565A2"/>
    <w:rsid w:val="00656814"/>
    <w:rsid w:val="0065705B"/>
    <w:rsid w:val="00657145"/>
    <w:rsid w:val="00657519"/>
    <w:rsid w:val="00657624"/>
    <w:rsid w:val="00657805"/>
    <w:rsid w:val="006603D8"/>
    <w:rsid w:val="006604E7"/>
    <w:rsid w:val="0066084E"/>
    <w:rsid w:val="006608FC"/>
    <w:rsid w:val="00661AF9"/>
    <w:rsid w:val="00661F27"/>
    <w:rsid w:val="00664DFF"/>
    <w:rsid w:val="00665B6E"/>
    <w:rsid w:val="00665B85"/>
    <w:rsid w:val="00666B95"/>
    <w:rsid w:val="00667000"/>
    <w:rsid w:val="0067046C"/>
    <w:rsid w:val="00670A2A"/>
    <w:rsid w:val="00670BDE"/>
    <w:rsid w:val="00670F24"/>
    <w:rsid w:val="00670F4A"/>
    <w:rsid w:val="00671977"/>
    <w:rsid w:val="00671C03"/>
    <w:rsid w:val="00671F0C"/>
    <w:rsid w:val="00672A76"/>
    <w:rsid w:val="0067358C"/>
    <w:rsid w:val="00673EE6"/>
    <w:rsid w:val="00674034"/>
    <w:rsid w:val="00674362"/>
    <w:rsid w:val="00674CF7"/>
    <w:rsid w:val="00674F55"/>
    <w:rsid w:val="00677E7B"/>
    <w:rsid w:val="00680B03"/>
    <w:rsid w:val="006819AF"/>
    <w:rsid w:val="00683314"/>
    <w:rsid w:val="006834BE"/>
    <w:rsid w:val="00683BC4"/>
    <w:rsid w:val="00684E06"/>
    <w:rsid w:val="006855CB"/>
    <w:rsid w:val="0068658A"/>
    <w:rsid w:val="00686AEC"/>
    <w:rsid w:val="00686F29"/>
    <w:rsid w:val="006872EC"/>
    <w:rsid w:val="006877DF"/>
    <w:rsid w:val="0069079E"/>
    <w:rsid w:val="006907C8"/>
    <w:rsid w:val="00692529"/>
    <w:rsid w:val="006927CA"/>
    <w:rsid w:val="00692B2E"/>
    <w:rsid w:val="00692C0A"/>
    <w:rsid w:val="00693B35"/>
    <w:rsid w:val="00693D25"/>
    <w:rsid w:val="00694392"/>
    <w:rsid w:val="00696B47"/>
    <w:rsid w:val="00696FD4"/>
    <w:rsid w:val="00697488"/>
    <w:rsid w:val="00697E5F"/>
    <w:rsid w:val="00697EA6"/>
    <w:rsid w:val="00697EE7"/>
    <w:rsid w:val="006A0391"/>
    <w:rsid w:val="006A11C5"/>
    <w:rsid w:val="006A1A47"/>
    <w:rsid w:val="006A2075"/>
    <w:rsid w:val="006A26B0"/>
    <w:rsid w:val="006A2B00"/>
    <w:rsid w:val="006A32BC"/>
    <w:rsid w:val="006A47EB"/>
    <w:rsid w:val="006A4C73"/>
    <w:rsid w:val="006A4CEF"/>
    <w:rsid w:val="006A526C"/>
    <w:rsid w:val="006A604D"/>
    <w:rsid w:val="006A6ABD"/>
    <w:rsid w:val="006A6D4C"/>
    <w:rsid w:val="006A7A69"/>
    <w:rsid w:val="006A7E42"/>
    <w:rsid w:val="006B0A9A"/>
    <w:rsid w:val="006B14E7"/>
    <w:rsid w:val="006B2C30"/>
    <w:rsid w:val="006B3205"/>
    <w:rsid w:val="006B38DA"/>
    <w:rsid w:val="006B38FB"/>
    <w:rsid w:val="006B43E8"/>
    <w:rsid w:val="006B4CD8"/>
    <w:rsid w:val="006B4D3E"/>
    <w:rsid w:val="006B69F8"/>
    <w:rsid w:val="006B6F79"/>
    <w:rsid w:val="006B7344"/>
    <w:rsid w:val="006C031E"/>
    <w:rsid w:val="006C09D1"/>
    <w:rsid w:val="006C1189"/>
    <w:rsid w:val="006C2553"/>
    <w:rsid w:val="006C31E0"/>
    <w:rsid w:val="006C37AC"/>
    <w:rsid w:val="006C4413"/>
    <w:rsid w:val="006C524F"/>
    <w:rsid w:val="006C5462"/>
    <w:rsid w:val="006C64CC"/>
    <w:rsid w:val="006C6789"/>
    <w:rsid w:val="006C6858"/>
    <w:rsid w:val="006C77A0"/>
    <w:rsid w:val="006C7929"/>
    <w:rsid w:val="006D05AA"/>
    <w:rsid w:val="006D0712"/>
    <w:rsid w:val="006D0890"/>
    <w:rsid w:val="006D09FB"/>
    <w:rsid w:val="006D0C4F"/>
    <w:rsid w:val="006D1EB5"/>
    <w:rsid w:val="006D1FD2"/>
    <w:rsid w:val="006D26E1"/>
    <w:rsid w:val="006D2BC3"/>
    <w:rsid w:val="006D2DD8"/>
    <w:rsid w:val="006D325A"/>
    <w:rsid w:val="006D32F7"/>
    <w:rsid w:val="006D448B"/>
    <w:rsid w:val="006D475E"/>
    <w:rsid w:val="006D49AC"/>
    <w:rsid w:val="006D4B29"/>
    <w:rsid w:val="006D5578"/>
    <w:rsid w:val="006D6D45"/>
    <w:rsid w:val="006D6E21"/>
    <w:rsid w:val="006D7429"/>
    <w:rsid w:val="006D79CD"/>
    <w:rsid w:val="006E0C3A"/>
    <w:rsid w:val="006E146B"/>
    <w:rsid w:val="006E1828"/>
    <w:rsid w:val="006E1876"/>
    <w:rsid w:val="006E18F0"/>
    <w:rsid w:val="006E1BEF"/>
    <w:rsid w:val="006E34E6"/>
    <w:rsid w:val="006E437E"/>
    <w:rsid w:val="006E7076"/>
    <w:rsid w:val="006E7E5E"/>
    <w:rsid w:val="006F01F5"/>
    <w:rsid w:val="006F073F"/>
    <w:rsid w:val="006F1F3A"/>
    <w:rsid w:val="006F2B5F"/>
    <w:rsid w:val="006F46E7"/>
    <w:rsid w:val="006F4FEF"/>
    <w:rsid w:val="006F5291"/>
    <w:rsid w:val="006F529F"/>
    <w:rsid w:val="006F5DF4"/>
    <w:rsid w:val="006F67DB"/>
    <w:rsid w:val="006F72AF"/>
    <w:rsid w:val="006F7B67"/>
    <w:rsid w:val="006F7BD4"/>
    <w:rsid w:val="006F7C5B"/>
    <w:rsid w:val="007008FD"/>
    <w:rsid w:val="00701671"/>
    <w:rsid w:val="00701A0F"/>
    <w:rsid w:val="007028A0"/>
    <w:rsid w:val="00702962"/>
    <w:rsid w:val="0070348B"/>
    <w:rsid w:val="007049F2"/>
    <w:rsid w:val="00706E1F"/>
    <w:rsid w:val="007101B2"/>
    <w:rsid w:val="0071138B"/>
    <w:rsid w:val="00711536"/>
    <w:rsid w:val="00711D54"/>
    <w:rsid w:val="007122F7"/>
    <w:rsid w:val="00712CC9"/>
    <w:rsid w:val="00712EE9"/>
    <w:rsid w:val="00713937"/>
    <w:rsid w:val="00713A01"/>
    <w:rsid w:val="00713B04"/>
    <w:rsid w:val="00713C77"/>
    <w:rsid w:val="00714025"/>
    <w:rsid w:val="007147FD"/>
    <w:rsid w:val="00714878"/>
    <w:rsid w:val="00716269"/>
    <w:rsid w:val="0071652B"/>
    <w:rsid w:val="00716D4D"/>
    <w:rsid w:val="00716F10"/>
    <w:rsid w:val="00717570"/>
    <w:rsid w:val="00717E80"/>
    <w:rsid w:val="0072027D"/>
    <w:rsid w:val="007205A4"/>
    <w:rsid w:val="00721754"/>
    <w:rsid w:val="00721F54"/>
    <w:rsid w:val="0072210B"/>
    <w:rsid w:val="007222B8"/>
    <w:rsid w:val="007223FD"/>
    <w:rsid w:val="00722567"/>
    <w:rsid w:val="0072268C"/>
    <w:rsid w:val="00722A8F"/>
    <w:rsid w:val="00723376"/>
    <w:rsid w:val="00723D5C"/>
    <w:rsid w:val="007242E3"/>
    <w:rsid w:val="00724B0B"/>
    <w:rsid w:val="00725945"/>
    <w:rsid w:val="00726129"/>
    <w:rsid w:val="007274D8"/>
    <w:rsid w:val="007309C2"/>
    <w:rsid w:val="00731427"/>
    <w:rsid w:val="007314C9"/>
    <w:rsid w:val="00732311"/>
    <w:rsid w:val="0073280A"/>
    <w:rsid w:val="00732921"/>
    <w:rsid w:val="007342D4"/>
    <w:rsid w:val="00735FAE"/>
    <w:rsid w:val="0073673F"/>
    <w:rsid w:val="007370BF"/>
    <w:rsid w:val="00737F15"/>
    <w:rsid w:val="007411EE"/>
    <w:rsid w:val="00741B19"/>
    <w:rsid w:val="00742D21"/>
    <w:rsid w:val="00742F39"/>
    <w:rsid w:val="00744797"/>
    <w:rsid w:val="00744A64"/>
    <w:rsid w:val="00744DB3"/>
    <w:rsid w:val="00745CB4"/>
    <w:rsid w:val="00746B9E"/>
    <w:rsid w:val="00747B59"/>
    <w:rsid w:val="00747C08"/>
    <w:rsid w:val="00750ABE"/>
    <w:rsid w:val="00750DE6"/>
    <w:rsid w:val="007516CE"/>
    <w:rsid w:val="00752AD3"/>
    <w:rsid w:val="00752F5C"/>
    <w:rsid w:val="0075322B"/>
    <w:rsid w:val="00753264"/>
    <w:rsid w:val="007538A6"/>
    <w:rsid w:val="00753AF9"/>
    <w:rsid w:val="00754104"/>
    <w:rsid w:val="00754B1D"/>
    <w:rsid w:val="00755D21"/>
    <w:rsid w:val="0075631F"/>
    <w:rsid w:val="00756545"/>
    <w:rsid w:val="00756F9A"/>
    <w:rsid w:val="00757394"/>
    <w:rsid w:val="007579E4"/>
    <w:rsid w:val="007608EA"/>
    <w:rsid w:val="00760FC2"/>
    <w:rsid w:val="00762015"/>
    <w:rsid w:val="007639BF"/>
    <w:rsid w:val="00763B1E"/>
    <w:rsid w:val="00765155"/>
    <w:rsid w:val="0076525D"/>
    <w:rsid w:val="00765800"/>
    <w:rsid w:val="00766354"/>
    <w:rsid w:val="00766457"/>
    <w:rsid w:val="00767460"/>
    <w:rsid w:val="007674F3"/>
    <w:rsid w:val="00770D90"/>
    <w:rsid w:val="00770E88"/>
    <w:rsid w:val="007733E8"/>
    <w:rsid w:val="00773DB0"/>
    <w:rsid w:val="007759A7"/>
    <w:rsid w:val="00775B6A"/>
    <w:rsid w:val="00776856"/>
    <w:rsid w:val="0077698B"/>
    <w:rsid w:val="007776E1"/>
    <w:rsid w:val="00782215"/>
    <w:rsid w:val="00782965"/>
    <w:rsid w:val="0078316F"/>
    <w:rsid w:val="00784248"/>
    <w:rsid w:val="00784A78"/>
    <w:rsid w:val="00785236"/>
    <w:rsid w:val="0078568E"/>
    <w:rsid w:val="00785863"/>
    <w:rsid w:val="00785936"/>
    <w:rsid w:val="0078748B"/>
    <w:rsid w:val="00787815"/>
    <w:rsid w:val="00787E82"/>
    <w:rsid w:val="007900D1"/>
    <w:rsid w:val="007927DA"/>
    <w:rsid w:val="00792A79"/>
    <w:rsid w:val="00793195"/>
    <w:rsid w:val="00794A0A"/>
    <w:rsid w:val="0079527D"/>
    <w:rsid w:val="00796A3A"/>
    <w:rsid w:val="0079703F"/>
    <w:rsid w:val="0079706C"/>
    <w:rsid w:val="007972CD"/>
    <w:rsid w:val="007A06B1"/>
    <w:rsid w:val="007A0747"/>
    <w:rsid w:val="007A1B84"/>
    <w:rsid w:val="007A1F53"/>
    <w:rsid w:val="007A2452"/>
    <w:rsid w:val="007A2984"/>
    <w:rsid w:val="007A2B4F"/>
    <w:rsid w:val="007A2E87"/>
    <w:rsid w:val="007A2E89"/>
    <w:rsid w:val="007A3938"/>
    <w:rsid w:val="007A4D54"/>
    <w:rsid w:val="007A5440"/>
    <w:rsid w:val="007A573F"/>
    <w:rsid w:val="007A5F34"/>
    <w:rsid w:val="007A7DE1"/>
    <w:rsid w:val="007B00E2"/>
    <w:rsid w:val="007B05CA"/>
    <w:rsid w:val="007B096D"/>
    <w:rsid w:val="007B1277"/>
    <w:rsid w:val="007B1290"/>
    <w:rsid w:val="007B16EC"/>
    <w:rsid w:val="007B253B"/>
    <w:rsid w:val="007B3971"/>
    <w:rsid w:val="007B3CAF"/>
    <w:rsid w:val="007B5AA5"/>
    <w:rsid w:val="007B68DA"/>
    <w:rsid w:val="007B691B"/>
    <w:rsid w:val="007B6EA0"/>
    <w:rsid w:val="007C05BD"/>
    <w:rsid w:val="007C06E6"/>
    <w:rsid w:val="007C0AD5"/>
    <w:rsid w:val="007C0E76"/>
    <w:rsid w:val="007C1043"/>
    <w:rsid w:val="007C1294"/>
    <w:rsid w:val="007C2045"/>
    <w:rsid w:val="007C24BC"/>
    <w:rsid w:val="007C254F"/>
    <w:rsid w:val="007C2FFD"/>
    <w:rsid w:val="007C39F1"/>
    <w:rsid w:val="007C4465"/>
    <w:rsid w:val="007C48A8"/>
    <w:rsid w:val="007C4D29"/>
    <w:rsid w:val="007C51EA"/>
    <w:rsid w:val="007C5289"/>
    <w:rsid w:val="007C6D03"/>
    <w:rsid w:val="007C7275"/>
    <w:rsid w:val="007C7AA7"/>
    <w:rsid w:val="007C7EC8"/>
    <w:rsid w:val="007D1421"/>
    <w:rsid w:val="007D23A3"/>
    <w:rsid w:val="007D300B"/>
    <w:rsid w:val="007D40E4"/>
    <w:rsid w:val="007D40E5"/>
    <w:rsid w:val="007D6491"/>
    <w:rsid w:val="007D65C9"/>
    <w:rsid w:val="007D6D4C"/>
    <w:rsid w:val="007D6DDC"/>
    <w:rsid w:val="007D74AA"/>
    <w:rsid w:val="007D78C1"/>
    <w:rsid w:val="007E0654"/>
    <w:rsid w:val="007E0880"/>
    <w:rsid w:val="007E0BAF"/>
    <w:rsid w:val="007E0CA3"/>
    <w:rsid w:val="007E0CD6"/>
    <w:rsid w:val="007E0E3B"/>
    <w:rsid w:val="007E0EB7"/>
    <w:rsid w:val="007E2D5B"/>
    <w:rsid w:val="007E33D9"/>
    <w:rsid w:val="007E34EA"/>
    <w:rsid w:val="007E3A2C"/>
    <w:rsid w:val="007E456B"/>
    <w:rsid w:val="007E49AE"/>
    <w:rsid w:val="007E4B41"/>
    <w:rsid w:val="007E547B"/>
    <w:rsid w:val="007E548F"/>
    <w:rsid w:val="007E5CB4"/>
    <w:rsid w:val="007E6908"/>
    <w:rsid w:val="007E701D"/>
    <w:rsid w:val="007E7A36"/>
    <w:rsid w:val="007E7EEF"/>
    <w:rsid w:val="007F0684"/>
    <w:rsid w:val="007F0AA9"/>
    <w:rsid w:val="007F0FCE"/>
    <w:rsid w:val="007F105C"/>
    <w:rsid w:val="007F148E"/>
    <w:rsid w:val="007F2590"/>
    <w:rsid w:val="007F29EE"/>
    <w:rsid w:val="007F4003"/>
    <w:rsid w:val="007F413E"/>
    <w:rsid w:val="007F4972"/>
    <w:rsid w:val="007F5368"/>
    <w:rsid w:val="007F5BE5"/>
    <w:rsid w:val="007F628E"/>
    <w:rsid w:val="007F78AD"/>
    <w:rsid w:val="007F7CD2"/>
    <w:rsid w:val="0080017B"/>
    <w:rsid w:val="008002E3"/>
    <w:rsid w:val="008007A0"/>
    <w:rsid w:val="00801428"/>
    <w:rsid w:val="008022E1"/>
    <w:rsid w:val="00802515"/>
    <w:rsid w:val="00803B67"/>
    <w:rsid w:val="008046D6"/>
    <w:rsid w:val="00804853"/>
    <w:rsid w:val="00804F34"/>
    <w:rsid w:val="008059B8"/>
    <w:rsid w:val="00806EB0"/>
    <w:rsid w:val="00806F48"/>
    <w:rsid w:val="00810459"/>
    <w:rsid w:val="0081048D"/>
    <w:rsid w:val="00810AF4"/>
    <w:rsid w:val="00811621"/>
    <w:rsid w:val="0081199D"/>
    <w:rsid w:val="00811B98"/>
    <w:rsid w:val="00811FF7"/>
    <w:rsid w:val="00812663"/>
    <w:rsid w:val="00812835"/>
    <w:rsid w:val="00812F03"/>
    <w:rsid w:val="0081307E"/>
    <w:rsid w:val="008149A5"/>
    <w:rsid w:val="00815859"/>
    <w:rsid w:val="00815C55"/>
    <w:rsid w:val="00815CC6"/>
    <w:rsid w:val="008171E7"/>
    <w:rsid w:val="00817ADA"/>
    <w:rsid w:val="00820225"/>
    <w:rsid w:val="0082267B"/>
    <w:rsid w:val="0082339E"/>
    <w:rsid w:val="008237C6"/>
    <w:rsid w:val="00824793"/>
    <w:rsid w:val="008247BA"/>
    <w:rsid w:val="00824A7D"/>
    <w:rsid w:val="008253D8"/>
    <w:rsid w:val="00827164"/>
    <w:rsid w:val="0082759F"/>
    <w:rsid w:val="008277CC"/>
    <w:rsid w:val="00831AC8"/>
    <w:rsid w:val="00832B94"/>
    <w:rsid w:val="00832DFC"/>
    <w:rsid w:val="00833688"/>
    <w:rsid w:val="00833FFD"/>
    <w:rsid w:val="0083538C"/>
    <w:rsid w:val="008353DA"/>
    <w:rsid w:val="00836DE9"/>
    <w:rsid w:val="00836DF3"/>
    <w:rsid w:val="00836E8B"/>
    <w:rsid w:val="00837317"/>
    <w:rsid w:val="00837446"/>
    <w:rsid w:val="008376B6"/>
    <w:rsid w:val="008402D6"/>
    <w:rsid w:val="00840D04"/>
    <w:rsid w:val="00842010"/>
    <w:rsid w:val="00842431"/>
    <w:rsid w:val="00842810"/>
    <w:rsid w:val="008439F1"/>
    <w:rsid w:val="00844321"/>
    <w:rsid w:val="00844448"/>
    <w:rsid w:val="00844D79"/>
    <w:rsid w:val="00845CC4"/>
    <w:rsid w:val="00846415"/>
    <w:rsid w:val="00846B42"/>
    <w:rsid w:val="008470F0"/>
    <w:rsid w:val="008471CD"/>
    <w:rsid w:val="00847642"/>
    <w:rsid w:val="008505B7"/>
    <w:rsid w:val="008506F2"/>
    <w:rsid w:val="008515C4"/>
    <w:rsid w:val="00851AA3"/>
    <w:rsid w:val="008527EB"/>
    <w:rsid w:val="00853AF3"/>
    <w:rsid w:val="00853D78"/>
    <w:rsid w:val="0085494C"/>
    <w:rsid w:val="00854AB2"/>
    <w:rsid w:val="00854BEF"/>
    <w:rsid w:val="00855750"/>
    <w:rsid w:val="00855D71"/>
    <w:rsid w:val="00856270"/>
    <w:rsid w:val="008567D8"/>
    <w:rsid w:val="00856A17"/>
    <w:rsid w:val="00856A27"/>
    <w:rsid w:val="00856A38"/>
    <w:rsid w:val="00856C6F"/>
    <w:rsid w:val="00857328"/>
    <w:rsid w:val="00857440"/>
    <w:rsid w:val="00860235"/>
    <w:rsid w:val="008605AF"/>
    <w:rsid w:val="008611B3"/>
    <w:rsid w:val="008612C5"/>
    <w:rsid w:val="00861391"/>
    <w:rsid w:val="00861799"/>
    <w:rsid w:val="0086232C"/>
    <w:rsid w:val="00862853"/>
    <w:rsid w:val="0086320F"/>
    <w:rsid w:val="008636D4"/>
    <w:rsid w:val="00864644"/>
    <w:rsid w:val="0086492D"/>
    <w:rsid w:val="008661F9"/>
    <w:rsid w:val="00867197"/>
    <w:rsid w:val="00867888"/>
    <w:rsid w:val="00867B35"/>
    <w:rsid w:val="00870184"/>
    <w:rsid w:val="008702BB"/>
    <w:rsid w:val="008702E9"/>
    <w:rsid w:val="0087048E"/>
    <w:rsid w:val="008712F8"/>
    <w:rsid w:val="0087233A"/>
    <w:rsid w:val="00872C8E"/>
    <w:rsid w:val="00873234"/>
    <w:rsid w:val="008732BE"/>
    <w:rsid w:val="0087454C"/>
    <w:rsid w:val="00874817"/>
    <w:rsid w:val="00874AB0"/>
    <w:rsid w:val="00874FDC"/>
    <w:rsid w:val="00875054"/>
    <w:rsid w:val="008751EE"/>
    <w:rsid w:val="008754D4"/>
    <w:rsid w:val="00875696"/>
    <w:rsid w:val="0087779D"/>
    <w:rsid w:val="0088087E"/>
    <w:rsid w:val="00880A37"/>
    <w:rsid w:val="00880DA8"/>
    <w:rsid w:val="008814A2"/>
    <w:rsid w:val="00881A90"/>
    <w:rsid w:val="008822B3"/>
    <w:rsid w:val="00882481"/>
    <w:rsid w:val="00883A85"/>
    <w:rsid w:val="00883E5E"/>
    <w:rsid w:val="00885205"/>
    <w:rsid w:val="0088541D"/>
    <w:rsid w:val="0088549E"/>
    <w:rsid w:val="00885509"/>
    <w:rsid w:val="0088557D"/>
    <w:rsid w:val="00886473"/>
    <w:rsid w:val="00886F56"/>
    <w:rsid w:val="00887028"/>
    <w:rsid w:val="008902B9"/>
    <w:rsid w:val="008902D9"/>
    <w:rsid w:val="00890738"/>
    <w:rsid w:val="00890891"/>
    <w:rsid w:val="00891E72"/>
    <w:rsid w:val="00892035"/>
    <w:rsid w:val="00892079"/>
    <w:rsid w:val="0089257D"/>
    <w:rsid w:val="00893218"/>
    <w:rsid w:val="0089398D"/>
    <w:rsid w:val="00895245"/>
    <w:rsid w:val="008956FD"/>
    <w:rsid w:val="00896AF7"/>
    <w:rsid w:val="00896F66"/>
    <w:rsid w:val="00897ED2"/>
    <w:rsid w:val="008A00BB"/>
    <w:rsid w:val="008A2C66"/>
    <w:rsid w:val="008A33DD"/>
    <w:rsid w:val="008A3B95"/>
    <w:rsid w:val="008A46F5"/>
    <w:rsid w:val="008A4AD3"/>
    <w:rsid w:val="008A6142"/>
    <w:rsid w:val="008A6211"/>
    <w:rsid w:val="008A632A"/>
    <w:rsid w:val="008A6EAF"/>
    <w:rsid w:val="008A7292"/>
    <w:rsid w:val="008A79B0"/>
    <w:rsid w:val="008A7EA2"/>
    <w:rsid w:val="008A7EFB"/>
    <w:rsid w:val="008A7FA8"/>
    <w:rsid w:val="008B0586"/>
    <w:rsid w:val="008B09AF"/>
    <w:rsid w:val="008B132E"/>
    <w:rsid w:val="008B13E7"/>
    <w:rsid w:val="008B1513"/>
    <w:rsid w:val="008B1664"/>
    <w:rsid w:val="008B1900"/>
    <w:rsid w:val="008B1A61"/>
    <w:rsid w:val="008B1E33"/>
    <w:rsid w:val="008B2727"/>
    <w:rsid w:val="008B3467"/>
    <w:rsid w:val="008B3C58"/>
    <w:rsid w:val="008B3D44"/>
    <w:rsid w:val="008B4D22"/>
    <w:rsid w:val="008B4F4C"/>
    <w:rsid w:val="008B5235"/>
    <w:rsid w:val="008B5362"/>
    <w:rsid w:val="008B6756"/>
    <w:rsid w:val="008B6925"/>
    <w:rsid w:val="008B72DB"/>
    <w:rsid w:val="008C0E9A"/>
    <w:rsid w:val="008C1117"/>
    <w:rsid w:val="008C17B7"/>
    <w:rsid w:val="008C19C4"/>
    <w:rsid w:val="008C1D7D"/>
    <w:rsid w:val="008C2035"/>
    <w:rsid w:val="008C22E6"/>
    <w:rsid w:val="008C2A25"/>
    <w:rsid w:val="008C367A"/>
    <w:rsid w:val="008C3B45"/>
    <w:rsid w:val="008C4645"/>
    <w:rsid w:val="008C4873"/>
    <w:rsid w:val="008C52E9"/>
    <w:rsid w:val="008C7141"/>
    <w:rsid w:val="008C7171"/>
    <w:rsid w:val="008D00E6"/>
    <w:rsid w:val="008D0357"/>
    <w:rsid w:val="008D0FAF"/>
    <w:rsid w:val="008D200C"/>
    <w:rsid w:val="008D394C"/>
    <w:rsid w:val="008D3CD1"/>
    <w:rsid w:val="008D3F7C"/>
    <w:rsid w:val="008D54D5"/>
    <w:rsid w:val="008D588A"/>
    <w:rsid w:val="008D6E62"/>
    <w:rsid w:val="008D7147"/>
    <w:rsid w:val="008D7C82"/>
    <w:rsid w:val="008D7EE8"/>
    <w:rsid w:val="008E0565"/>
    <w:rsid w:val="008E0E54"/>
    <w:rsid w:val="008E13A6"/>
    <w:rsid w:val="008E147C"/>
    <w:rsid w:val="008E2AE4"/>
    <w:rsid w:val="008E4585"/>
    <w:rsid w:val="008E45DA"/>
    <w:rsid w:val="008E6565"/>
    <w:rsid w:val="008E666D"/>
    <w:rsid w:val="008E6FA7"/>
    <w:rsid w:val="008E7F1E"/>
    <w:rsid w:val="008F003E"/>
    <w:rsid w:val="008F07B2"/>
    <w:rsid w:val="008F0BB0"/>
    <w:rsid w:val="008F2F30"/>
    <w:rsid w:val="008F3555"/>
    <w:rsid w:val="008F3AD3"/>
    <w:rsid w:val="008F431F"/>
    <w:rsid w:val="008F4E26"/>
    <w:rsid w:val="008F5500"/>
    <w:rsid w:val="008F552F"/>
    <w:rsid w:val="008F6028"/>
    <w:rsid w:val="008F64E6"/>
    <w:rsid w:val="008F64ED"/>
    <w:rsid w:val="008F693C"/>
    <w:rsid w:val="008F6F8D"/>
    <w:rsid w:val="008F7463"/>
    <w:rsid w:val="009005AF"/>
    <w:rsid w:val="00900D10"/>
    <w:rsid w:val="00900DE2"/>
    <w:rsid w:val="00901048"/>
    <w:rsid w:val="00901FEA"/>
    <w:rsid w:val="00903010"/>
    <w:rsid w:val="009030B0"/>
    <w:rsid w:val="00910453"/>
    <w:rsid w:val="00911536"/>
    <w:rsid w:val="00911DBF"/>
    <w:rsid w:val="00912DE7"/>
    <w:rsid w:val="00913201"/>
    <w:rsid w:val="00913E81"/>
    <w:rsid w:val="00914363"/>
    <w:rsid w:val="009148F2"/>
    <w:rsid w:val="009153D7"/>
    <w:rsid w:val="009214C7"/>
    <w:rsid w:val="00921545"/>
    <w:rsid w:val="009222D2"/>
    <w:rsid w:val="0092251F"/>
    <w:rsid w:val="009228B3"/>
    <w:rsid w:val="009228BA"/>
    <w:rsid w:val="009229DB"/>
    <w:rsid w:val="00922ABF"/>
    <w:rsid w:val="00922E67"/>
    <w:rsid w:val="009232EA"/>
    <w:rsid w:val="00923CDB"/>
    <w:rsid w:val="00923E47"/>
    <w:rsid w:val="00924319"/>
    <w:rsid w:val="00924A42"/>
    <w:rsid w:val="00924D7E"/>
    <w:rsid w:val="00925B52"/>
    <w:rsid w:val="009275C8"/>
    <w:rsid w:val="009301B9"/>
    <w:rsid w:val="0093209D"/>
    <w:rsid w:val="00933199"/>
    <w:rsid w:val="00933ABB"/>
    <w:rsid w:val="00933F29"/>
    <w:rsid w:val="00933F97"/>
    <w:rsid w:val="0093428B"/>
    <w:rsid w:val="00934E2D"/>
    <w:rsid w:val="00935F1E"/>
    <w:rsid w:val="00941D2F"/>
    <w:rsid w:val="009422C1"/>
    <w:rsid w:val="0094292D"/>
    <w:rsid w:val="0094301A"/>
    <w:rsid w:val="009438B5"/>
    <w:rsid w:val="009444B8"/>
    <w:rsid w:val="009444D2"/>
    <w:rsid w:val="00944C59"/>
    <w:rsid w:val="00945101"/>
    <w:rsid w:val="00945ACF"/>
    <w:rsid w:val="00945EC2"/>
    <w:rsid w:val="00946255"/>
    <w:rsid w:val="00946EC5"/>
    <w:rsid w:val="0094711A"/>
    <w:rsid w:val="00947546"/>
    <w:rsid w:val="00947874"/>
    <w:rsid w:val="00947EEE"/>
    <w:rsid w:val="00947F3D"/>
    <w:rsid w:val="00950920"/>
    <w:rsid w:val="009515EE"/>
    <w:rsid w:val="00951A88"/>
    <w:rsid w:val="00951E42"/>
    <w:rsid w:val="00952F04"/>
    <w:rsid w:val="00953628"/>
    <w:rsid w:val="00954D94"/>
    <w:rsid w:val="0095501A"/>
    <w:rsid w:val="009566F0"/>
    <w:rsid w:val="00956C90"/>
    <w:rsid w:val="00960398"/>
    <w:rsid w:val="009610A9"/>
    <w:rsid w:val="00962421"/>
    <w:rsid w:val="009624B0"/>
    <w:rsid w:val="00962B21"/>
    <w:rsid w:val="009639E1"/>
    <w:rsid w:val="00963E03"/>
    <w:rsid w:val="00964C45"/>
    <w:rsid w:val="00965E8E"/>
    <w:rsid w:val="009664FA"/>
    <w:rsid w:val="00967B5A"/>
    <w:rsid w:val="00970395"/>
    <w:rsid w:val="00970FE3"/>
    <w:rsid w:val="00971EF0"/>
    <w:rsid w:val="009729B4"/>
    <w:rsid w:val="0097317B"/>
    <w:rsid w:val="0097406E"/>
    <w:rsid w:val="00975E99"/>
    <w:rsid w:val="0097606C"/>
    <w:rsid w:val="00976131"/>
    <w:rsid w:val="00976253"/>
    <w:rsid w:val="00976E54"/>
    <w:rsid w:val="00977986"/>
    <w:rsid w:val="009804F1"/>
    <w:rsid w:val="00981634"/>
    <w:rsid w:val="00982266"/>
    <w:rsid w:val="00982B2B"/>
    <w:rsid w:val="00982B8E"/>
    <w:rsid w:val="00982C87"/>
    <w:rsid w:val="00983133"/>
    <w:rsid w:val="00983736"/>
    <w:rsid w:val="009837AF"/>
    <w:rsid w:val="00983992"/>
    <w:rsid w:val="00983B63"/>
    <w:rsid w:val="00984476"/>
    <w:rsid w:val="009850DC"/>
    <w:rsid w:val="0098547A"/>
    <w:rsid w:val="009854F4"/>
    <w:rsid w:val="009865F8"/>
    <w:rsid w:val="009867B6"/>
    <w:rsid w:val="0099012F"/>
    <w:rsid w:val="0099221E"/>
    <w:rsid w:val="0099222B"/>
    <w:rsid w:val="00993617"/>
    <w:rsid w:val="00993E84"/>
    <w:rsid w:val="00995910"/>
    <w:rsid w:val="009962D7"/>
    <w:rsid w:val="00997217"/>
    <w:rsid w:val="0099736B"/>
    <w:rsid w:val="00997652"/>
    <w:rsid w:val="00997E76"/>
    <w:rsid w:val="009A00F0"/>
    <w:rsid w:val="009A0CFC"/>
    <w:rsid w:val="009A0E5A"/>
    <w:rsid w:val="009A1A9F"/>
    <w:rsid w:val="009A297E"/>
    <w:rsid w:val="009A3171"/>
    <w:rsid w:val="009A3268"/>
    <w:rsid w:val="009A33E9"/>
    <w:rsid w:val="009A3416"/>
    <w:rsid w:val="009A3A83"/>
    <w:rsid w:val="009A447D"/>
    <w:rsid w:val="009A6129"/>
    <w:rsid w:val="009A64A9"/>
    <w:rsid w:val="009A6EF6"/>
    <w:rsid w:val="009A7655"/>
    <w:rsid w:val="009B0499"/>
    <w:rsid w:val="009B12D4"/>
    <w:rsid w:val="009B1A29"/>
    <w:rsid w:val="009B1AAF"/>
    <w:rsid w:val="009B227D"/>
    <w:rsid w:val="009B2AB1"/>
    <w:rsid w:val="009B2E58"/>
    <w:rsid w:val="009B399A"/>
    <w:rsid w:val="009B47C7"/>
    <w:rsid w:val="009B5B9A"/>
    <w:rsid w:val="009B640F"/>
    <w:rsid w:val="009B7114"/>
    <w:rsid w:val="009B7418"/>
    <w:rsid w:val="009B78F9"/>
    <w:rsid w:val="009C0B9A"/>
    <w:rsid w:val="009C14D2"/>
    <w:rsid w:val="009C1DCA"/>
    <w:rsid w:val="009C2682"/>
    <w:rsid w:val="009C3ACF"/>
    <w:rsid w:val="009C3B68"/>
    <w:rsid w:val="009C3CD8"/>
    <w:rsid w:val="009C454B"/>
    <w:rsid w:val="009C4924"/>
    <w:rsid w:val="009C49BC"/>
    <w:rsid w:val="009C4E79"/>
    <w:rsid w:val="009C4EE2"/>
    <w:rsid w:val="009C5323"/>
    <w:rsid w:val="009C5468"/>
    <w:rsid w:val="009C5EB3"/>
    <w:rsid w:val="009C73A4"/>
    <w:rsid w:val="009C7B84"/>
    <w:rsid w:val="009C7FE6"/>
    <w:rsid w:val="009D094C"/>
    <w:rsid w:val="009D1171"/>
    <w:rsid w:val="009D1572"/>
    <w:rsid w:val="009D1587"/>
    <w:rsid w:val="009D24B4"/>
    <w:rsid w:val="009D2CBB"/>
    <w:rsid w:val="009D3E21"/>
    <w:rsid w:val="009D6196"/>
    <w:rsid w:val="009D6AC1"/>
    <w:rsid w:val="009D788E"/>
    <w:rsid w:val="009D7DDB"/>
    <w:rsid w:val="009E0352"/>
    <w:rsid w:val="009E0B2B"/>
    <w:rsid w:val="009E0FEA"/>
    <w:rsid w:val="009E1A2F"/>
    <w:rsid w:val="009E325A"/>
    <w:rsid w:val="009E35A9"/>
    <w:rsid w:val="009E3893"/>
    <w:rsid w:val="009E3BEA"/>
    <w:rsid w:val="009E4636"/>
    <w:rsid w:val="009E472D"/>
    <w:rsid w:val="009E4C96"/>
    <w:rsid w:val="009E4D7C"/>
    <w:rsid w:val="009E74A8"/>
    <w:rsid w:val="009E7F94"/>
    <w:rsid w:val="009F0AD0"/>
    <w:rsid w:val="009F0CFC"/>
    <w:rsid w:val="009F1E36"/>
    <w:rsid w:val="009F2AFB"/>
    <w:rsid w:val="009F3DD7"/>
    <w:rsid w:val="009F4656"/>
    <w:rsid w:val="009F4A7B"/>
    <w:rsid w:val="009F506E"/>
    <w:rsid w:val="009F520A"/>
    <w:rsid w:val="009F610A"/>
    <w:rsid w:val="00A0079E"/>
    <w:rsid w:val="00A00AA7"/>
    <w:rsid w:val="00A00C4D"/>
    <w:rsid w:val="00A00E18"/>
    <w:rsid w:val="00A00E9C"/>
    <w:rsid w:val="00A01BE3"/>
    <w:rsid w:val="00A0268F"/>
    <w:rsid w:val="00A029D7"/>
    <w:rsid w:val="00A02A25"/>
    <w:rsid w:val="00A04638"/>
    <w:rsid w:val="00A047FB"/>
    <w:rsid w:val="00A04A2F"/>
    <w:rsid w:val="00A04E59"/>
    <w:rsid w:val="00A05164"/>
    <w:rsid w:val="00A05174"/>
    <w:rsid w:val="00A05DA2"/>
    <w:rsid w:val="00A05F77"/>
    <w:rsid w:val="00A05FCB"/>
    <w:rsid w:val="00A06AE5"/>
    <w:rsid w:val="00A07977"/>
    <w:rsid w:val="00A102D1"/>
    <w:rsid w:val="00A10CCC"/>
    <w:rsid w:val="00A10F55"/>
    <w:rsid w:val="00A11946"/>
    <w:rsid w:val="00A125F5"/>
    <w:rsid w:val="00A12622"/>
    <w:rsid w:val="00A12F7F"/>
    <w:rsid w:val="00A1305B"/>
    <w:rsid w:val="00A13266"/>
    <w:rsid w:val="00A13CA6"/>
    <w:rsid w:val="00A14DE3"/>
    <w:rsid w:val="00A14F54"/>
    <w:rsid w:val="00A16F20"/>
    <w:rsid w:val="00A20032"/>
    <w:rsid w:val="00A2177C"/>
    <w:rsid w:val="00A22E0D"/>
    <w:rsid w:val="00A23780"/>
    <w:rsid w:val="00A23804"/>
    <w:rsid w:val="00A23D1D"/>
    <w:rsid w:val="00A2432C"/>
    <w:rsid w:val="00A25383"/>
    <w:rsid w:val="00A25A00"/>
    <w:rsid w:val="00A2762E"/>
    <w:rsid w:val="00A27A4B"/>
    <w:rsid w:val="00A27EBC"/>
    <w:rsid w:val="00A30C2F"/>
    <w:rsid w:val="00A31DD3"/>
    <w:rsid w:val="00A3303E"/>
    <w:rsid w:val="00A33041"/>
    <w:rsid w:val="00A343C6"/>
    <w:rsid w:val="00A34952"/>
    <w:rsid w:val="00A34DDB"/>
    <w:rsid w:val="00A35363"/>
    <w:rsid w:val="00A35CE3"/>
    <w:rsid w:val="00A3600B"/>
    <w:rsid w:val="00A37AC6"/>
    <w:rsid w:val="00A4074F"/>
    <w:rsid w:val="00A40D00"/>
    <w:rsid w:val="00A43585"/>
    <w:rsid w:val="00A43949"/>
    <w:rsid w:val="00A4463F"/>
    <w:rsid w:val="00A4485D"/>
    <w:rsid w:val="00A449DE"/>
    <w:rsid w:val="00A44C30"/>
    <w:rsid w:val="00A46832"/>
    <w:rsid w:val="00A46E98"/>
    <w:rsid w:val="00A471A6"/>
    <w:rsid w:val="00A4740F"/>
    <w:rsid w:val="00A5076E"/>
    <w:rsid w:val="00A5092C"/>
    <w:rsid w:val="00A521F8"/>
    <w:rsid w:val="00A533CC"/>
    <w:rsid w:val="00A55105"/>
    <w:rsid w:val="00A55434"/>
    <w:rsid w:val="00A56189"/>
    <w:rsid w:val="00A56F23"/>
    <w:rsid w:val="00A571D1"/>
    <w:rsid w:val="00A6015C"/>
    <w:rsid w:val="00A6268B"/>
    <w:rsid w:val="00A62857"/>
    <w:rsid w:val="00A62AF3"/>
    <w:rsid w:val="00A62D79"/>
    <w:rsid w:val="00A62FFE"/>
    <w:rsid w:val="00A63E21"/>
    <w:rsid w:val="00A63E77"/>
    <w:rsid w:val="00A64AEA"/>
    <w:rsid w:val="00A65598"/>
    <w:rsid w:val="00A658B9"/>
    <w:rsid w:val="00A66FB9"/>
    <w:rsid w:val="00A674FB"/>
    <w:rsid w:val="00A6790C"/>
    <w:rsid w:val="00A67B52"/>
    <w:rsid w:val="00A70A51"/>
    <w:rsid w:val="00A71649"/>
    <w:rsid w:val="00A71D55"/>
    <w:rsid w:val="00A72D57"/>
    <w:rsid w:val="00A74E77"/>
    <w:rsid w:val="00A7522D"/>
    <w:rsid w:val="00A75298"/>
    <w:rsid w:val="00A75749"/>
    <w:rsid w:val="00A75B1A"/>
    <w:rsid w:val="00A75F3C"/>
    <w:rsid w:val="00A770A4"/>
    <w:rsid w:val="00A77C89"/>
    <w:rsid w:val="00A8023B"/>
    <w:rsid w:val="00A80741"/>
    <w:rsid w:val="00A81813"/>
    <w:rsid w:val="00A81BFB"/>
    <w:rsid w:val="00A84233"/>
    <w:rsid w:val="00A84E29"/>
    <w:rsid w:val="00A84FAA"/>
    <w:rsid w:val="00A850ED"/>
    <w:rsid w:val="00A85FC3"/>
    <w:rsid w:val="00A8621D"/>
    <w:rsid w:val="00A864F5"/>
    <w:rsid w:val="00A86571"/>
    <w:rsid w:val="00A865BC"/>
    <w:rsid w:val="00A87B17"/>
    <w:rsid w:val="00A87CE9"/>
    <w:rsid w:val="00A87D34"/>
    <w:rsid w:val="00A87F82"/>
    <w:rsid w:val="00A9044D"/>
    <w:rsid w:val="00A9057B"/>
    <w:rsid w:val="00A90D3B"/>
    <w:rsid w:val="00A90F63"/>
    <w:rsid w:val="00A918AF"/>
    <w:rsid w:val="00A92196"/>
    <w:rsid w:val="00A9261B"/>
    <w:rsid w:val="00A92B3B"/>
    <w:rsid w:val="00A92E8B"/>
    <w:rsid w:val="00A93A63"/>
    <w:rsid w:val="00A9420B"/>
    <w:rsid w:val="00A94243"/>
    <w:rsid w:val="00A96246"/>
    <w:rsid w:val="00A96B69"/>
    <w:rsid w:val="00A96B86"/>
    <w:rsid w:val="00A9741C"/>
    <w:rsid w:val="00A97B7F"/>
    <w:rsid w:val="00AA0F2C"/>
    <w:rsid w:val="00AA16EE"/>
    <w:rsid w:val="00AA1C7C"/>
    <w:rsid w:val="00AA24E4"/>
    <w:rsid w:val="00AA2632"/>
    <w:rsid w:val="00AA2BD7"/>
    <w:rsid w:val="00AA2F85"/>
    <w:rsid w:val="00AA3757"/>
    <w:rsid w:val="00AA3E2F"/>
    <w:rsid w:val="00AA40A1"/>
    <w:rsid w:val="00AA4A17"/>
    <w:rsid w:val="00AA4A7E"/>
    <w:rsid w:val="00AA4C29"/>
    <w:rsid w:val="00AA4EBD"/>
    <w:rsid w:val="00AA54A6"/>
    <w:rsid w:val="00AA6024"/>
    <w:rsid w:val="00AA6FDD"/>
    <w:rsid w:val="00AA7682"/>
    <w:rsid w:val="00AA7B4F"/>
    <w:rsid w:val="00AA7C02"/>
    <w:rsid w:val="00AB0D7A"/>
    <w:rsid w:val="00AB114C"/>
    <w:rsid w:val="00AB1848"/>
    <w:rsid w:val="00AB1EB7"/>
    <w:rsid w:val="00AB2B6A"/>
    <w:rsid w:val="00AB2D46"/>
    <w:rsid w:val="00AB35AC"/>
    <w:rsid w:val="00AB3802"/>
    <w:rsid w:val="00AB49BE"/>
    <w:rsid w:val="00AB4EA8"/>
    <w:rsid w:val="00AB5C0D"/>
    <w:rsid w:val="00AB5D37"/>
    <w:rsid w:val="00AB5D3A"/>
    <w:rsid w:val="00AB5F26"/>
    <w:rsid w:val="00AB6E33"/>
    <w:rsid w:val="00AC387A"/>
    <w:rsid w:val="00AC3C9C"/>
    <w:rsid w:val="00AC3D6F"/>
    <w:rsid w:val="00AC5F14"/>
    <w:rsid w:val="00AC5F2E"/>
    <w:rsid w:val="00AC6316"/>
    <w:rsid w:val="00AC667F"/>
    <w:rsid w:val="00AC7F7F"/>
    <w:rsid w:val="00AD05FB"/>
    <w:rsid w:val="00AD1598"/>
    <w:rsid w:val="00AD16DD"/>
    <w:rsid w:val="00AD17C0"/>
    <w:rsid w:val="00AD17EE"/>
    <w:rsid w:val="00AD2A10"/>
    <w:rsid w:val="00AD3A91"/>
    <w:rsid w:val="00AD3B63"/>
    <w:rsid w:val="00AD4628"/>
    <w:rsid w:val="00AD47E1"/>
    <w:rsid w:val="00AD638B"/>
    <w:rsid w:val="00AD6C1E"/>
    <w:rsid w:val="00AD7006"/>
    <w:rsid w:val="00AD7BE4"/>
    <w:rsid w:val="00AD7D38"/>
    <w:rsid w:val="00AE2A9A"/>
    <w:rsid w:val="00AE2F91"/>
    <w:rsid w:val="00AE3A23"/>
    <w:rsid w:val="00AE533F"/>
    <w:rsid w:val="00AE5D81"/>
    <w:rsid w:val="00AE69FD"/>
    <w:rsid w:val="00AE6FD4"/>
    <w:rsid w:val="00AE78B5"/>
    <w:rsid w:val="00AE7986"/>
    <w:rsid w:val="00AF12B2"/>
    <w:rsid w:val="00AF1923"/>
    <w:rsid w:val="00AF1E30"/>
    <w:rsid w:val="00AF248C"/>
    <w:rsid w:val="00AF2EF0"/>
    <w:rsid w:val="00AF45D8"/>
    <w:rsid w:val="00AF4819"/>
    <w:rsid w:val="00AF5029"/>
    <w:rsid w:val="00AF5666"/>
    <w:rsid w:val="00AF5721"/>
    <w:rsid w:val="00AF5B18"/>
    <w:rsid w:val="00AF5D3E"/>
    <w:rsid w:val="00AF5EB0"/>
    <w:rsid w:val="00AF714F"/>
    <w:rsid w:val="00AF72FB"/>
    <w:rsid w:val="00B00DF2"/>
    <w:rsid w:val="00B01995"/>
    <w:rsid w:val="00B0327A"/>
    <w:rsid w:val="00B045D8"/>
    <w:rsid w:val="00B049BE"/>
    <w:rsid w:val="00B0500B"/>
    <w:rsid w:val="00B05049"/>
    <w:rsid w:val="00B06A72"/>
    <w:rsid w:val="00B071F6"/>
    <w:rsid w:val="00B07EF8"/>
    <w:rsid w:val="00B10908"/>
    <w:rsid w:val="00B11EAA"/>
    <w:rsid w:val="00B1235D"/>
    <w:rsid w:val="00B12519"/>
    <w:rsid w:val="00B12793"/>
    <w:rsid w:val="00B12D6D"/>
    <w:rsid w:val="00B134BC"/>
    <w:rsid w:val="00B13B3F"/>
    <w:rsid w:val="00B13CAE"/>
    <w:rsid w:val="00B14A0F"/>
    <w:rsid w:val="00B1609C"/>
    <w:rsid w:val="00B16DBC"/>
    <w:rsid w:val="00B16FCD"/>
    <w:rsid w:val="00B20191"/>
    <w:rsid w:val="00B20A48"/>
    <w:rsid w:val="00B21AAE"/>
    <w:rsid w:val="00B21C8D"/>
    <w:rsid w:val="00B22B19"/>
    <w:rsid w:val="00B22DD9"/>
    <w:rsid w:val="00B23055"/>
    <w:rsid w:val="00B2346B"/>
    <w:rsid w:val="00B236D2"/>
    <w:rsid w:val="00B2397A"/>
    <w:rsid w:val="00B23D8E"/>
    <w:rsid w:val="00B23F0E"/>
    <w:rsid w:val="00B2450A"/>
    <w:rsid w:val="00B2484D"/>
    <w:rsid w:val="00B24C5B"/>
    <w:rsid w:val="00B26A20"/>
    <w:rsid w:val="00B27461"/>
    <w:rsid w:val="00B27A69"/>
    <w:rsid w:val="00B30B64"/>
    <w:rsid w:val="00B31497"/>
    <w:rsid w:val="00B316FB"/>
    <w:rsid w:val="00B33237"/>
    <w:rsid w:val="00B3367C"/>
    <w:rsid w:val="00B34108"/>
    <w:rsid w:val="00B3433D"/>
    <w:rsid w:val="00B344E1"/>
    <w:rsid w:val="00B348A7"/>
    <w:rsid w:val="00B3490F"/>
    <w:rsid w:val="00B3568C"/>
    <w:rsid w:val="00B359A6"/>
    <w:rsid w:val="00B36A23"/>
    <w:rsid w:val="00B372EE"/>
    <w:rsid w:val="00B37A80"/>
    <w:rsid w:val="00B40A14"/>
    <w:rsid w:val="00B40EC7"/>
    <w:rsid w:val="00B40FC3"/>
    <w:rsid w:val="00B41E63"/>
    <w:rsid w:val="00B41E69"/>
    <w:rsid w:val="00B425A3"/>
    <w:rsid w:val="00B42C46"/>
    <w:rsid w:val="00B432FA"/>
    <w:rsid w:val="00B44E9F"/>
    <w:rsid w:val="00B45A58"/>
    <w:rsid w:val="00B45FEE"/>
    <w:rsid w:val="00B46745"/>
    <w:rsid w:val="00B46E4B"/>
    <w:rsid w:val="00B47B95"/>
    <w:rsid w:val="00B516F0"/>
    <w:rsid w:val="00B52428"/>
    <w:rsid w:val="00B534D6"/>
    <w:rsid w:val="00B53CA6"/>
    <w:rsid w:val="00B5591F"/>
    <w:rsid w:val="00B56AE2"/>
    <w:rsid w:val="00B57A60"/>
    <w:rsid w:val="00B608E6"/>
    <w:rsid w:val="00B61734"/>
    <w:rsid w:val="00B6222F"/>
    <w:rsid w:val="00B62EA8"/>
    <w:rsid w:val="00B63E92"/>
    <w:rsid w:val="00B64E3E"/>
    <w:rsid w:val="00B6664E"/>
    <w:rsid w:val="00B6665E"/>
    <w:rsid w:val="00B666B5"/>
    <w:rsid w:val="00B673B2"/>
    <w:rsid w:val="00B67420"/>
    <w:rsid w:val="00B67749"/>
    <w:rsid w:val="00B6788C"/>
    <w:rsid w:val="00B70552"/>
    <w:rsid w:val="00B724A7"/>
    <w:rsid w:val="00B733C1"/>
    <w:rsid w:val="00B73A8D"/>
    <w:rsid w:val="00B73BE4"/>
    <w:rsid w:val="00B7457E"/>
    <w:rsid w:val="00B76300"/>
    <w:rsid w:val="00B76349"/>
    <w:rsid w:val="00B77262"/>
    <w:rsid w:val="00B7799B"/>
    <w:rsid w:val="00B801D1"/>
    <w:rsid w:val="00B8044F"/>
    <w:rsid w:val="00B808AB"/>
    <w:rsid w:val="00B809A3"/>
    <w:rsid w:val="00B80CC0"/>
    <w:rsid w:val="00B80E65"/>
    <w:rsid w:val="00B816E3"/>
    <w:rsid w:val="00B827BA"/>
    <w:rsid w:val="00B83382"/>
    <w:rsid w:val="00B8358B"/>
    <w:rsid w:val="00B83B9F"/>
    <w:rsid w:val="00B84753"/>
    <w:rsid w:val="00B8693D"/>
    <w:rsid w:val="00B86ABE"/>
    <w:rsid w:val="00B86AFE"/>
    <w:rsid w:val="00B86DF1"/>
    <w:rsid w:val="00B8745A"/>
    <w:rsid w:val="00B87A87"/>
    <w:rsid w:val="00B90625"/>
    <w:rsid w:val="00B90A4F"/>
    <w:rsid w:val="00B90ACD"/>
    <w:rsid w:val="00B91759"/>
    <w:rsid w:val="00B91C12"/>
    <w:rsid w:val="00B928B8"/>
    <w:rsid w:val="00B929A7"/>
    <w:rsid w:val="00B92BD5"/>
    <w:rsid w:val="00B92BEB"/>
    <w:rsid w:val="00B94616"/>
    <w:rsid w:val="00B94DA3"/>
    <w:rsid w:val="00B96CD2"/>
    <w:rsid w:val="00B97995"/>
    <w:rsid w:val="00B97B97"/>
    <w:rsid w:val="00B97FB7"/>
    <w:rsid w:val="00BA01C1"/>
    <w:rsid w:val="00BA03F7"/>
    <w:rsid w:val="00BA0C0B"/>
    <w:rsid w:val="00BA0FDD"/>
    <w:rsid w:val="00BA1966"/>
    <w:rsid w:val="00BA2170"/>
    <w:rsid w:val="00BA263F"/>
    <w:rsid w:val="00BA33AE"/>
    <w:rsid w:val="00BA3AE9"/>
    <w:rsid w:val="00BA3F7F"/>
    <w:rsid w:val="00BA64FE"/>
    <w:rsid w:val="00BA665F"/>
    <w:rsid w:val="00BA6AB6"/>
    <w:rsid w:val="00BA701E"/>
    <w:rsid w:val="00BA76AD"/>
    <w:rsid w:val="00BB0028"/>
    <w:rsid w:val="00BB00E9"/>
    <w:rsid w:val="00BB08F4"/>
    <w:rsid w:val="00BB172B"/>
    <w:rsid w:val="00BB199E"/>
    <w:rsid w:val="00BB20F7"/>
    <w:rsid w:val="00BB238B"/>
    <w:rsid w:val="00BB2E81"/>
    <w:rsid w:val="00BB310C"/>
    <w:rsid w:val="00BB3241"/>
    <w:rsid w:val="00BB35DB"/>
    <w:rsid w:val="00BB3E5F"/>
    <w:rsid w:val="00BB442A"/>
    <w:rsid w:val="00BB4E04"/>
    <w:rsid w:val="00BB5264"/>
    <w:rsid w:val="00BB5AB6"/>
    <w:rsid w:val="00BB6518"/>
    <w:rsid w:val="00BB6A2B"/>
    <w:rsid w:val="00BB733F"/>
    <w:rsid w:val="00BB7CFF"/>
    <w:rsid w:val="00BC030D"/>
    <w:rsid w:val="00BC1098"/>
    <w:rsid w:val="00BC16EC"/>
    <w:rsid w:val="00BC1F6E"/>
    <w:rsid w:val="00BC2791"/>
    <w:rsid w:val="00BC35FB"/>
    <w:rsid w:val="00BC458D"/>
    <w:rsid w:val="00BC6FCA"/>
    <w:rsid w:val="00BC7012"/>
    <w:rsid w:val="00BC7364"/>
    <w:rsid w:val="00BC764F"/>
    <w:rsid w:val="00BC7A5F"/>
    <w:rsid w:val="00BC7D69"/>
    <w:rsid w:val="00BD02F9"/>
    <w:rsid w:val="00BD03D5"/>
    <w:rsid w:val="00BD0A9C"/>
    <w:rsid w:val="00BD1799"/>
    <w:rsid w:val="00BD4BAD"/>
    <w:rsid w:val="00BD578D"/>
    <w:rsid w:val="00BD6E97"/>
    <w:rsid w:val="00BD7AB1"/>
    <w:rsid w:val="00BE05D0"/>
    <w:rsid w:val="00BE0C6D"/>
    <w:rsid w:val="00BE137C"/>
    <w:rsid w:val="00BE16F7"/>
    <w:rsid w:val="00BE25BA"/>
    <w:rsid w:val="00BE2AFF"/>
    <w:rsid w:val="00BE2F4C"/>
    <w:rsid w:val="00BE3769"/>
    <w:rsid w:val="00BE3823"/>
    <w:rsid w:val="00BE4002"/>
    <w:rsid w:val="00BE43BB"/>
    <w:rsid w:val="00BE5473"/>
    <w:rsid w:val="00BE6405"/>
    <w:rsid w:val="00BE6683"/>
    <w:rsid w:val="00BE6864"/>
    <w:rsid w:val="00BE69C6"/>
    <w:rsid w:val="00BE7ED3"/>
    <w:rsid w:val="00BF0AAA"/>
    <w:rsid w:val="00BF18DD"/>
    <w:rsid w:val="00BF1936"/>
    <w:rsid w:val="00BF1A5D"/>
    <w:rsid w:val="00BF2427"/>
    <w:rsid w:val="00BF2CDD"/>
    <w:rsid w:val="00BF301D"/>
    <w:rsid w:val="00BF4174"/>
    <w:rsid w:val="00BF4FD1"/>
    <w:rsid w:val="00BF63B4"/>
    <w:rsid w:val="00BF7DD5"/>
    <w:rsid w:val="00C00B36"/>
    <w:rsid w:val="00C00D83"/>
    <w:rsid w:val="00C017A9"/>
    <w:rsid w:val="00C01A7B"/>
    <w:rsid w:val="00C030E7"/>
    <w:rsid w:val="00C03280"/>
    <w:rsid w:val="00C03462"/>
    <w:rsid w:val="00C04953"/>
    <w:rsid w:val="00C05650"/>
    <w:rsid w:val="00C058BB"/>
    <w:rsid w:val="00C07019"/>
    <w:rsid w:val="00C070D8"/>
    <w:rsid w:val="00C10124"/>
    <w:rsid w:val="00C10E71"/>
    <w:rsid w:val="00C125FF"/>
    <w:rsid w:val="00C12C25"/>
    <w:rsid w:val="00C130D9"/>
    <w:rsid w:val="00C13461"/>
    <w:rsid w:val="00C1370A"/>
    <w:rsid w:val="00C13C8F"/>
    <w:rsid w:val="00C14DB3"/>
    <w:rsid w:val="00C15C02"/>
    <w:rsid w:val="00C164C0"/>
    <w:rsid w:val="00C166C3"/>
    <w:rsid w:val="00C168F2"/>
    <w:rsid w:val="00C1699F"/>
    <w:rsid w:val="00C175BF"/>
    <w:rsid w:val="00C17705"/>
    <w:rsid w:val="00C1781C"/>
    <w:rsid w:val="00C17A27"/>
    <w:rsid w:val="00C20087"/>
    <w:rsid w:val="00C20616"/>
    <w:rsid w:val="00C20CA4"/>
    <w:rsid w:val="00C20FB8"/>
    <w:rsid w:val="00C21C18"/>
    <w:rsid w:val="00C2253E"/>
    <w:rsid w:val="00C2353D"/>
    <w:rsid w:val="00C260FA"/>
    <w:rsid w:val="00C265F0"/>
    <w:rsid w:val="00C27544"/>
    <w:rsid w:val="00C27B5F"/>
    <w:rsid w:val="00C27BB2"/>
    <w:rsid w:val="00C303DE"/>
    <w:rsid w:val="00C30636"/>
    <w:rsid w:val="00C32738"/>
    <w:rsid w:val="00C33A75"/>
    <w:rsid w:val="00C33BCB"/>
    <w:rsid w:val="00C3472C"/>
    <w:rsid w:val="00C3479A"/>
    <w:rsid w:val="00C34A5E"/>
    <w:rsid w:val="00C34DC7"/>
    <w:rsid w:val="00C36D00"/>
    <w:rsid w:val="00C37C87"/>
    <w:rsid w:val="00C37D43"/>
    <w:rsid w:val="00C40490"/>
    <w:rsid w:val="00C40958"/>
    <w:rsid w:val="00C4169A"/>
    <w:rsid w:val="00C43186"/>
    <w:rsid w:val="00C43199"/>
    <w:rsid w:val="00C43341"/>
    <w:rsid w:val="00C433D5"/>
    <w:rsid w:val="00C43708"/>
    <w:rsid w:val="00C440D7"/>
    <w:rsid w:val="00C44207"/>
    <w:rsid w:val="00C44547"/>
    <w:rsid w:val="00C450B7"/>
    <w:rsid w:val="00C4650C"/>
    <w:rsid w:val="00C467F7"/>
    <w:rsid w:val="00C4691A"/>
    <w:rsid w:val="00C46F4B"/>
    <w:rsid w:val="00C47474"/>
    <w:rsid w:val="00C47884"/>
    <w:rsid w:val="00C47A54"/>
    <w:rsid w:val="00C47D0F"/>
    <w:rsid w:val="00C47FE5"/>
    <w:rsid w:val="00C5041A"/>
    <w:rsid w:val="00C50C20"/>
    <w:rsid w:val="00C50E07"/>
    <w:rsid w:val="00C515E9"/>
    <w:rsid w:val="00C51AE3"/>
    <w:rsid w:val="00C51BB9"/>
    <w:rsid w:val="00C52DF2"/>
    <w:rsid w:val="00C53313"/>
    <w:rsid w:val="00C53ABB"/>
    <w:rsid w:val="00C53BB7"/>
    <w:rsid w:val="00C5436B"/>
    <w:rsid w:val="00C5484E"/>
    <w:rsid w:val="00C54967"/>
    <w:rsid w:val="00C5527E"/>
    <w:rsid w:val="00C5536F"/>
    <w:rsid w:val="00C55E2B"/>
    <w:rsid w:val="00C56BAB"/>
    <w:rsid w:val="00C57ECC"/>
    <w:rsid w:val="00C60A4E"/>
    <w:rsid w:val="00C60C63"/>
    <w:rsid w:val="00C60E9D"/>
    <w:rsid w:val="00C60F70"/>
    <w:rsid w:val="00C610BD"/>
    <w:rsid w:val="00C61415"/>
    <w:rsid w:val="00C61C3A"/>
    <w:rsid w:val="00C61E94"/>
    <w:rsid w:val="00C62529"/>
    <w:rsid w:val="00C63C7E"/>
    <w:rsid w:val="00C647EC"/>
    <w:rsid w:val="00C65281"/>
    <w:rsid w:val="00C654B0"/>
    <w:rsid w:val="00C67B0A"/>
    <w:rsid w:val="00C67B84"/>
    <w:rsid w:val="00C71CCE"/>
    <w:rsid w:val="00C71CE9"/>
    <w:rsid w:val="00C725AE"/>
    <w:rsid w:val="00C73425"/>
    <w:rsid w:val="00C73DA0"/>
    <w:rsid w:val="00C743DD"/>
    <w:rsid w:val="00C7469D"/>
    <w:rsid w:val="00C75AFA"/>
    <w:rsid w:val="00C76319"/>
    <w:rsid w:val="00C763F1"/>
    <w:rsid w:val="00C76D6A"/>
    <w:rsid w:val="00C77734"/>
    <w:rsid w:val="00C777D2"/>
    <w:rsid w:val="00C77FA2"/>
    <w:rsid w:val="00C80845"/>
    <w:rsid w:val="00C81F14"/>
    <w:rsid w:val="00C82EA9"/>
    <w:rsid w:val="00C8312C"/>
    <w:rsid w:val="00C832A0"/>
    <w:rsid w:val="00C836D6"/>
    <w:rsid w:val="00C9000B"/>
    <w:rsid w:val="00C904B0"/>
    <w:rsid w:val="00C9095C"/>
    <w:rsid w:val="00C9124F"/>
    <w:rsid w:val="00C91E4D"/>
    <w:rsid w:val="00C92892"/>
    <w:rsid w:val="00C929F8"/>
    <w:rsid w:val="00C938B5"/>
    <w:rsid w:val="00C93F61"/>
    <w:rsid w:val="00C945D3"/>
    <w:rsid w:val="00C94912"/>
    <w:rsid w:val="00C96E80"/>
    <w:rsid w:val="00C96F72"/>
    <w:rsid w:val="00C9792E"/>
    <w:rsid w:val="00CA029F"/>
    <w:rsid w:val="00CA1B46"/>
    <w:rsid w:val="00CA1B47"/>
    <w:rsid w:val="00CA2D21"/>
    <w:rsid w:val="00CA487C"/>
    <w:rsid w:val="00CA4A21"/>
    <w:rsid w:val="00CA4D41"/>
    <w:rsid w:val="00CA6654"/>
    <w:rsid w:val="00CA6966"/>
    <w:rsid w:val="00CA69B8"/>
    <w:rsid w:val="00CA6F9F"/>
    <w:rsid w:val="00CA7D97"/>
    <w:rsid w:val="00CB0627"/>
    <w:rsid w:val="00CB09D2"/>
    <w:rsid w:val="00CB0C48"/>
    <w:rsid w:val="00CB158B"/>
    <w:rsid w:val="00CB1621"/>
    <w:rsid w:val="00CB1C2A"/>
    <w:rsid w:val="00CB21D7"/>
    <w:rsid w:val="00CB2F71"/>
    <w:rsid w:val="00CB33C7"/>
    <w:rsid w:val="00CB432A"/>
    <w:rsid w:val="00CB47FA"/>
    <w:rsid w:val="00CB481D"/>
    <w:rsid w:val="00CB49ED"/>
    <w:rsid w:val="00CB4EBE"/>
    <w:rsid w:val="00CB4F11"/>
    <w:rsid w:val="00CB5E5B"/>
    <w:rsid w:val="00CB79B8"/>
    <w:rsid w:val="00CB7F33"/>
    <w:rsid w:val="00CC1650"/>
    <w:rsid w:val="00CC271F"/>
    <w:rsid w:val="00CC2AA4"/>
    <w:rsid w:val="00CC2B75"/>
    <w:rsid w:val="00CC2FC7"/>
    <w:rsid w:val="00CC3021"/>
    <w:rsid w:val="00CC3C4D"/>
    <w:rsid w:val="00CC42A9"/>
    <w:rsid w:val="00CC4B77"/>
    <w:rsid w:val="00CC6622"/>
    <w:rsid w:val="00CC6C0D"/>
    <w:rsid w:val="00CC7EE1"/>
    <w:rsid w:val="00CD01CF"/>
    <w:rsid w:val="00CD0270"/>
    <w:rsid w:val="00CD0416"/>
    <w:rsid w:val="00CD125D"/>
    <w:rsid w:val="00CD2F35"/>
    <w:rsid w:val="00CD3A56"/>
    <w:rsid w:val="00CD433F"/>
    <w:rsid w:val="00CD4891"/>
    <w:rsid w:val="00CD50E2"/>
    <w:rsid w:val="00CD5341"/>
    <w:rsid w:val="00CD5CE3"/>
    <w:rsid w:val="00CD7312"/>
    <w:rsid w:val="00CE0003"/>
    <w:rsid w:val="00CE0CD0"/>
    <w:rsid w:val="00CE0FE7"/>
    <w:rsid w:val="00CE1950"/>
    <w:rsid w:val="00CE1F71"/>
    <w:rsid w:val="00CE28D0"/>
    <w:rsid w:val="00CE3039"/>
    <w:rsid w:val="00CE33A1"/>
    <w:rsid w:val="00CE35ED"/>
    <w:rsid w:val="00CE4C54"/>
    <w:rsid w:val="00CE4EC7"/>
    <w:rsid w:val="00CE5313"/>
    <w:rsid w:val="00CE66F4"/>
    <w:rsid w:val="00CE6740"/>
    <w:rsid w:val="00CE6B9C"/>
    <w:rsid w:val="00CE6D91"/>
    <w:rsid w:val="00CE766F"/>
    <w:rsid w:val="00CE7CA9"/>
    <w:rsid w:val="00CF0DAB"/>
    <w:rsid w:val="00CF0DBE"/>
    <w:rsid w:val="00CF21AD"/>
    <w:rsid w:val="00CF22E2"/>
    <w:rsid w:val="00CF2CEA"/>
    <w:rsid w:val="00CF3FFE"/>
    <w:rsid w:val="00CF51C7"/>
    <w:rsid w:val="00CF6576"/>
    <w:rsid w:val="00CF662C"/>
    <w:rsid w:val="00CF7B08"/>
    <w:rsid w:val="00D00453"/>
    <w:rsid w:val="00D00E4D"/>
    <w:rsid w:val="00D00FB9"/>
    <w:rsid w:val="00D010D5"/>
    <w:rsid w:val="00D013E2"/>
    <w:rsid w:val="00D014AE"/>
    <w:rsid w:val="00D01580"/>
    <w:rsid w:val="00D01D37"/>
    <w:rsid w:val="00D02946"/>
    <w:rsid w:val="00D02DD9"/>
    <w:rsid w:val="00D0310C"/>
    <w:rsid w:val="00D03CD5"/>
    <w:rsid w:val="00D03FEE"/>
    <w:rsid w:val="00D0484C"/>
    <w:rsid w:val="00D059F5"/>
    <w:rsid w:val="00D07157"/>
    <w:rsid w:val="00D10681"/>
    <w:rsid w:val="00D1202A"/>
    <w:rsid w:val="00D12529"/>
    <w:rsid w:val="00D12BCF"/>
    <w:rsid w:val="00D1328F"/>
    <w:rsid w:val="00D139C4"/>
    <w:rsid w:val="00D13B12"/>
    <w:rsid w:val="00D15B11"/>
    <w:rsid w:val="00D15FB2"/>
    <w:rsid w:val="00D16619"/>
    <w:rsid w:val="00D16AFE"/>
    <w:rsid w:val="00D20106"/>
    <w:rsid w:val="00D206AC"/>
    <w:rsid w:val="00D21405"/>
    <w:rsid w:val="00D21CCD"/>
    <w:rsid w:val="00D223B6"/>
    <w:rsid w:val="00D233B3"/>
    <w:rsid w:val="00D2502A"/>
    <w:rsid w:val="00D254A8"/>
    <w:rsid w:val="00D275E1"/>
    <w:rsid w:val="00D27C95"/>
    <w:rsid w:val="00D3032D"/>
    <w:rsid w:val="00D31B24"/>
    <w:rsid w:val="00D31F93"/>
    <w:rsid w:val="00D32347"/>
    <w:rsid w:val="00D32514"/>
    <w:rsid w:val="00D32AA3"/>
    <w:rsid w:val="00D330FA"/>
    <w:rsid w:val="00D33229"/>
    <w:rsid w:val="00D33D90"/>
    <w:rsid w:val="00D34819"/>
    <w:rsid w:val="00D349B6"/>
    <w:rsid w:val="00D34E04"/>
    <w:rsid w:val="00D35B37"/>
    <w:rsid w:val="00D36A62"/>
    <w:rsid w:val="00D37034"/>
    <w:rsid w:val="00D37D41"/>
    <w:rsid w:val="00D408A7"/>
    <w:rsid w:val="00D40B4F"/>
    <w:rsid w:val="00D41206"/>
    <w:rsid w:val="00D42144"/>
    <w:rsid w:val="00D42154"/>
    <w:rsid w:val="00D428E9"/>
    <w:rsid w:val="00D4404D"/>
    <w:rsid w:val="00D44975"/>
    <w:rsid w:val="00D45375"/>
    <w:rsid w:val="00D461D2"/>
    <w:rsid w:val="00D4756A"/>
    <w:rsid w:val="00D4793E"/>
    <w:rsid w:val="00D47A22"/>
    <w:rsid w:val="00D5065D"/>
    <w:rsid w:val="00D523EF"/>
    <w:rsid w:val="00D526AC"/>
    <w:rsid w:val="00D52936"/>
    <w:rsid w:val="00D53FCF"/>
    <w:rsid w:val="00D54E18"/>
    <w:rsid w:val="00D55120"/>
    <w:rsid w:val="00D56547"/>
    <w:rsid w:val="00D56904"/>
    <w:rsid w:val="00D57CF3"/>
    <w:rsid w:val="00D60086"/>
    <w:rsid w:val="00D60A3A"/>
    <w:rsid w:val="00D60C86"/>
    <w:rsid w:val="00D60DFC"/>
    <w:rsid w:val="00D619A7"/>
    <w:rsid w:val="00D6205B"/>
    <w:rsid w:val="00D620A6"/>
    <w:rsid w:val="00D62C4D"/>
    <w:rsid w:val="00D62F2B"/>
    <w:rsid w:val="00D63E0C"/>
    <w:rsid w:val="00D64192"/>
    <w:rsid w:val="00D6457F"/>
    <w:rsid w:val="00D6479A"/>
    <w:rsid w:val="00D6496A"/>
    <w:rsid w:val="00D64A3D"/>
    <w:rsid w:val="00D658A9"/>
    <w:rsid w:val="00D66770"/>
    <w:rsid w:val="00D66F26"/>
    <w:rsid w:val="00D66FC5"/>
    <w:rsid w:val="00D67253"/>
    <w:rsid w:val="00D678A2"/>
    <w:rsid w:val="00D700F5"/>
    <w:rsid w:val="00D70A71"/>
    <w:rsid w:val="00D723E2"/>
    <w:rsid w:val="00D742D4"/>
    <w:rsid w:val="00D74710"/>
    <w:rsid w:val="00D748F9"/>
    <w:rsid w:val="00D74B4C"/>
    <w:rsid w:val="00D75B78"/>
    <w:rsid w:val="00D76E36"/>
    <w:rsid w:val="00D83E49"/>
    <w:rsid w:val="00D84DC4"/>
    <w:rsid w:val="00D85A01"/>
    <w:rsid w:val="00D8697C"/>
    <w:rsid w:val="00D86C31"/>
    <w:rsid w:val="00D8727D"/>
    <w:rsid w:val="00D87D71"/>
    <w:rsid w:val="00D87DF1"/>
    <w:rsid w:val="00D909E8"/>
    <w:rsid w:val="00D90B0D"/>
    <w:rsid w:val="00D90FE4"/>
    <w:rsid w:val="00D91785"/>
    <w:rsid w:val="00D91C7F"/>
    <w:rsid w:val="00D93740"/>
    <w:rsid w:val="00D93A23"/>
    <w:rsid w:val="00D93C2F"/>
    <w:rsid w:val="00D952AF"/>
    <w:rsid w:val="00D9771C"/>
    <w:rsid w:val="00DA084D"/>
    <w:rsid w:val="00DA13F6"/>
    <w:rsid w:val="00DA2519"/>
    <w:rsid w:val="00DA2CC8"/>
    <w:rsid w:val="00DA35BE"/>
    <w:rsid w:val="00DA3FD9"/>
    <w:rsid w:val="00DA4607"/>
    <w:rsid w:val="00DA48FC"/>
    <w:rsid w:val="00DA55A3"/>
    <w:rsid w:val="00DA59CE"/>
    <w:rsid w:val="00DA6406"/>
    <w:rsid w:val="00DA6AF9"/>
    <w:rsid w:val="00DA766E"/>
    <w:rsid w:val="00DA784F"/>
    <w:rsid w:val="00DA7B53"/>
    <w:rsid w:val="00DA7EB6"/>
    <w:rsid w:val="00DB08B4"/>
    <w:rsid w:val="00DB16C3"/>
    <w:rsid w:val="00DB1797"/>
    <w:rsid w:val="00DB1D86"/>
    <w:rsid w:val="00DB207D"/>
    <w:rsid w:val="00DB2C9C"/>
    <w:rsid w:val="00DB3903"/>
    <w:rsid w:val="00DB3C68"/>
    <w:rsid w:val="00DB561C"/>
    <w:rsid w:val="00DB5DC6"/>
    <w:rsid w:val="00DB5EAB"/>
    <w:rsid w:val="00DB7A7E"/>
    <w:rsid w:val="00DC07FE"/>
    <w:rsid w:val="00DC0BF3"/>
    <w:rsid w:val="00DC238E"/>
    <w:rsid w:val="00DC29BC"/>
    <w:rsid w:val="00DC2E8E"/>
    <w:rsid w:val="00DC2FF5"/>
    <w:rsid w:val="00DC4F06"/>
    <w:rsid w:val="00DC542A"/>
    <w:rsid w:val="00DC552B"/>
    <w:rsid w:val="00DC588E"/>
    <w:rsid w:val="00DC58F7"/>
    <w:rsid w:val="00DC5B8D"/>
    <w:rsid w:val="00DC5C0B"/>
    <w:rsid w:val="00DD0151"/>
    <w:rsid w:val="00DD0897"/>
    <w:rsid w:val="00DD1526"/>
    <w:rsid w:val="00DD1B4D"/>
    <w:rsid w:val="00DD2006"/>
    <w:rsid w:val="00DD289F"/>
    <w:rsid w:val="00DD2FD5"/>
    <w:rsid w:val="00DD3052"/>
    <w:rsid w:val="00DD3991"/>
    <w:rsid w:val="00DD40BF"/>
    <w:rsid w:val="00DD4842"/>
    <w:rsid w:val="00DD4AA5"/>
    <w:rsid w:val="00DD4F20"/>
    <w:rsid w:val="00DD595D"/>
    <w:rsid w:val="00DD671D"/>
    <w:rsid w:val="00DD6F95"/>
    <w:rsid w:val="00DD73B5"/>
    <w:rsid w:val="00DD759E"/>
    <w:rsid w:val="00DD7E47"/>
    <w:rsid w:val="00DE0D26"/>
    <w:rsid w:val="00DE10E6"/>
    <w:rsid w:val="00DE11F0"/>
    <w:rsid w:val="00DE1D4E"/>
    <w:rsid w:val="00DE42F9"/>
    <w:rsid w:val="00DE4814"/>
    <w:rsid w:val="00DE5040"/>
    <w:rsid w:val="00DE58B3"/>
    <w:rsid w:val="00DE58EB"/>
    <w:rsid w:val="00DE5AD0"/>
    <w:rsid w:val="00DE5DF1"/>
    <w:rsid w:val="00DE60FB"/>
    <w:rsid w:val="00DE63D6"/>
    <w:rsid w:val="00DE719F"/>
    <w:rsid w:val="00DE75AF"/>
    <w:rsid w:val="00DF062D"/>
    <w:rsid w:val="00DF0A44"/>
    <w:rsid w:val="00DF0AD1"/>
    <w:rsid w:val="00DF0F0B"/>
    <w:rsid w:val="00DF1AD4"/>
    <w:rsid w:val="00DF1BF6"/>
    <w:rsid w:val="00DF1F86"/>
    <w:rsid w:val="00DF1FED"/>
    <w:rsid w:val="00DF2463"/>
    <w:rsid w:val="00DF28CD"/>
    <w:rsid w:val="00DF2906"/>
    <w:rsid w:val="00DF362F"/>
    <w:rsid w:val="00DF4F15"/>
    <w:rsid w:val="00DF56B5"/>
    <w:rsid w:val="00DF5968"/>
    <w:rsid w:val="00DF5A80"/>
    <w:rsid w:val="00DF6AD8"/>
    <w:rsid w:val="00DF6C93"/>
    <w:rsid w:val="00DF7FC0"/>
    <w:rsid w:val="00E0013A"/>
    <w:rsid w:val="00E001C0"/>
    <w:rsid w:val="00E003BC"/>
    <w:rsid w:val="00E00729"/>
    <w:rsid w:val="00E00E1C"/>
    <w:rsid w:val="00E0121C"/>
    <w:rsid w:val="00E01301"/>
    <w:rsid w:val="00E01A21"/>
    <w:rsid w:val="00E01AB3"/>
    <w:rsid w:val="00E01C1A"/>
    <w:rsid w:val="00E025C9"/>
    <w:rsid w:val="00E02B1F"/>
    <w:rsid w:val="00E03125"/>
    <w:rsid w:val="00E03725"/>
    <w:rsid w:val="00E03F9A"/>
    <w:rsid w:val="00E042B8"/>
    <w:rsid w:val="00E04EE2"/>
    <w:rsid w:val="00E054A5"/>
    <w:rsid w:val="00E06DC7"/>
    <w:rsid w:val="00E070FB"/>
    <w:rsid w:val="00E105E1"/>
    <w:rsid w:val="00E10AAC"/>
    <w:rsid w:val="00E1106D"/>
    <w:rsid w:val="00E116A5"/>
    <w:rsid w:val="00E1190F"/>
    <w:rsid w:val="00E11E51"/>
    <w:rsid w:val="00E12AE4"/>
    <w:rsid w:val="00E143CB"/>
    <w:rsid w:val="00E152D6"/>
    <w:rsid w:val="00E15C5D"/>
    <w:rsid w:val="00E162DE"/>
    <w:rsid w:val="00E17E22"/>
    <w:rsid w:val="00E2066E"/>
    <w:rsid w:val="00E20692"/>
    <w:rsid w:val="00E2192C"/>
    <w:rsid w:val="00E228BA"/>
    <w:rsid w:val="00E23142"/>
    <w:rsid w:val="00E24060"/>
    <w:rsid w:val="00E2453E"/>
    <w:rsid w:val="00E26199"/>
    <w:rsid w:val="00E26678"/>
    <w:rsid w:val="00E26C9A"/>
    <w:rsid w:val="00E26CAD"/>
    <w:rsid w:val="00E275B6"/>
    <w:rsid w:val="00E3064B"/>
    <w:rsid w:val="00E3119A"/>
    <w:rsid w:val="00E31372"/>
    <w:rsid w:val="00E31721"/>
    <w:rsid w:val="00E32657"/>
    <w:rsid w:val="00E3334F"/>
    <w:rsid w:val="00E3665B"/>
    <w:rsid w:val="00E36D42"/>
    <w:rsid w:val="00E37CE0"/>
    <w:rsid w:val="00E42571"/>
    <w:rsid w:val="00E432E8"/>
    <w:rsid w:val="00E43CE0"/>
    <w:rsid w:val="00E43D03"/>
    <w:rsid w:val="00E44C7D"/>
    <w:rsid w:val="00E44EDF"/>
    <w:rsid w:val="00E4535E"/>
    <w:rsid w:val="00E453EA"/>
    <w:rsid w:val="00E45882"/>
    <w:rsid w:val="00E45D8D"/>
    <w:rsid w:val="00E45EDD"/>
    <w:rsid w:val="00E461C6"/>
    <w:rsid w:val="00E46BE7"/>
    <w:rsid w:val="00E47344"/>
    <w:rsid w:val="00E473ED"/>
    <w:rsid w:val="00E4746E"/>
    <w:rsid w:val="00E47E88"/>
    <w:rsid w:val="00E50CEE"/>
    <w:rsid w:val="00E50E4A"/>
    <w:rsid w:val="00E51001"/>
    <w:rsid w:val="00E518C2"/>
    <w:rsid w:val="00E5309A"/>
    <w:rsid w:val="00E544C0"/>
    <w:rsid w:val="00E54584"/>
    <w:rsid w:val="00E54B09"/>
    <w:rsid w:val="00E54EC2"/>
    <w:rsid w:val="00E558F8"/>
    <w:rsid w:val="00E55A19"/>
    <w:rsid w:val="00E55DA7"/>
    <w:rsid w:val="00E57700"/>
    <w:rsid w:val="00E5787A"/>
    <w:rsid w:val="00E6063B"/>
    <w:rsid w:val="00E60A0B"/>
    <w:rsid w:val="00E6231D"/>
    <w:rsid w:val="00E62A46"/>
    <w:rsid w:val="00E62C92"/>
    <w:rsid w:val="00E62F77"/>
    <w:rsid w:val="00E6432D"/>
    <w:rsid w:val="00E644FB"/>
    <w:rsid w:val="00E646CC"/>
    <w:rsid w:val="00E65075"/>
    <w:rsid w:val="00E657AC"/>
    <w:rsid w:val="00E66075"/>
    <w:rsid w:val="00E662FA"/>
    <w:rsid w:val="00E66B8B"/>
    <w:rsid w:val="00E66C8F"/>
    <w:rsid w:val="00E679B1"/>
    <w:rsid w:val="00E67EDB"/>
    <w:rsid w:val="00E71607"/>
    <w:rsid w:val="00E71C0B"/>
    <w:rsid w:val="00E71F6E"/>
    <w:rsid w:val="00E73493"/>
    <w:rsid w:val="00E73ADA"/>
    <w:rsid w:val="00E74104"/>
    <w:rsid w:val="00E74C86"/>
    <w:rsid w:val="00E755D4"/>
    <w:rsid w:val="00E76359"/>
    <w:rsid w:val="00E76580"/>
    <w:rsid w:val="00E7671C"/>
    <w:rsid w:val="00E77DBC"/>
    <w:rsid w:val="00E80CA8"/>
    <w:rsid w:val="00E80D76"/>
    <w:rsid w:val="00E81BEC"/>
    <w:rsid w:val="00E81CD4"/>
    <w:rsid w:val="00E82F48"/>
    <w:rsid w:val="00E83EA3"/>
    <w:rsid w:val="00E84E26"/>
    <w:rsid w:val="00E85441"/>
    <w:rsid w:val="00E857BC"/>
    <w:rsid w:val="00E85BF5"/>
    <w:rsid w:val="00E85FDA"/>
    <w:rsid w:val="00E864F5"/>
    <w:rsid w:val="00E867F7"/>
    <w:rsid w:val="00E87029"/>
    <w:rsid w:val="00E8742F"/>
    <w:rsid w:val="00E87CA0"/>
    <w:rsid w:val="00E90255"/>
    <w:rsid w:val="00E9139B"/>
    <w:rsid w:val="00E91BF2"/>
    <w:rsid w:val="00E91E93"/>
    <w:rsid w:val="00E92941"/>
    <w:rsid w:val="00E937C4"/>
    <w:rsid w:val="00E9464D"/>
    <w:rsid w:val="00E9466A"/>
    <w:rsid w:val="00E94716"/>
    <w:rsid w:val="00E948B0"/>
    <w:rsid w:val="00E9491D"/>
    <w:rsid w:val="00E9547F"/>
    <w:rsid w:val="00E95E05"/>
    <w:rsid w:val="00E96D8C"/>
    <w:rsid w:val="00EA0FF9"/>
    <w:rsid w:val="00EA1094"/>
    <w:rsid w:val="00EA13DD"/>
    <w:rsid w:val="00EA2573"/>
    <w:rsid w:val="00EA2AD8"/>
    <w:rsid w:val="00EA2FAE"/>
    <w:rsid w:val="00EA31CC"/>
    <w:rsid w:val="00EA3504"/>
    <w:rsid w:val="00EA3B21"/>
    <w:rsid w:val="00EA3D7F"/>
    <w:rsid w:val="00EA45D2"/>
    <w:rsid w:val="00EA4DBE"/>
    <w:rsid w:val="00EA56B4"/>
    <w:rsid w:val="00EA59EF"/>
    <w:rsid w:val="00EA5E74"/>
    <w:rsid w:val="00EA7826"/>
    <w:rsid w:val="00EA7C25"/>
    <w:rsid w:val="00EB07FF"/>
    <w:rsid w:val="00EB1E1A"/>
    <w:rsid w:val="00EB2835"/>
    <w:rsid w:val="00EB2B0F"/>
    <w:rsid w:val="00EB2B67"/>
    <w:rsid w:val="00EB3F85"/>
    <w:rsid w:val="00EB407F"/>
    <w:rsid w:val="00EB4D8B"/>
    <w:rsid w:val="00EB4DBD"/>
    <w:rsid w:val="00EB5BF2"/>
    <w:rsid w:val="00EB6832"/>
    <w:rsid w:val="00EB6FC6"/>
    <w:rsid w:val="00EB713F"/>
    <w:rsid w:val="00EB744D"/>
    <w:rsid w:val="00EB75B1"/>
    <w:rsid w:val="00EB7A6A"/>
    <w:rsid w:val="00EC01C0"/>
    <w:rsid w:val="00EC02D7"/>
    <w:rsid w:val="00EC0E33"/>
    <w:rsid w:val="00EC1082"/>
    <w:rsid w:val="00EC11BE"/>
    <w:rsid w:val="00EC1D07"/>
    <w:rsid w:val="00EC1F07"/>
    <w:rsid w:val="00EC3269"/>
    <w:rsid w:val="00EC3703"/>
    <w:rsid w:val="00EC3A57"/>
    <w:rsid w:val="00EC3E63"/>
    <w:rsid w:val="00EC569B"/>
    <w:rsid w:val="00EC5B1A"/>
    <w:rsid w:val="00EC5ED3"/>
    <w:rsid w:val="00EC720C"/>
    <w:rsid w:val="00ED02AB"/>
    <w:rsid w:val="00ED1166"/>
    <w:rsid w:val="00ED1188"/>
    <w:rsid w:val="00ED2ECB"/>
    <w:rsid w:val="00ED3185"/>
    <w:rsid w:val="00ED336C"/>
    <w:rsid w:val="00ED3AFF"/>
    <w:rsid w:val="00ED4344"/>
    <w:rsid w:val="00ED4367"/>
    <w:rsid w:val="00ED47C6"/>
    <w:rsid w:val="00ED5F94"/>
    <w:rsid w:val="00ED6BE0"/>
    <w:rsid w:val="00ED6F5C"/>
    <w:rsid w:val="00ED7B06"/>
    <w:rsid w:val="00ED7D1D"/>
    <w:rsid w:val="00EE0915"/>
    <w:rsid w:val="00EE16A0"/>
    <w:rsid w:val="00EE1D0E"/>
    <w:rsid w:val="00EE2842"/>
    <w:rsid w:val="00EE2913"/>
    <w:rsid w:val="00EE4072"/>
    <w:rsid w:val="00EE4784"/>
    <w:rsid w:val="00EE4C0E"/>
    <w:rsid w:val="00EE5872"/>
    <w:rsid w:val="00EE603B"/>
    <w:rsid w:val="00EE6E96"/>
    <w:rsid w:val="00EE7D84"/>
    <w:rsid w:val="00EE7D86"/>
    <w:rsid w:val="00EF0C8F"/>
    <w:rsid w:val="00EF1572"/>
    <w:rsid w:val="00EF1912"/>
    <w:rsid w:val="00EF1A13"/>
    <w:rsid w:val="00EF27DD"/>
    <w:rsid w:val="00EF316D"/>
    <w:rsid w:val="00EF32CC"/>
    <w:rsid w:val="00EF3A88"/>
    <w:rsid w:val="00EF3F78"/>
    <w:rsid w:val="00EF4843"/>
    <w:rsid w:val="00EF49E0"/>
    <w:rsid w:val="00EF51F7"/>
    <w:rsid w:val="00F00739"/>
    <w:rsid w:val="00F01047"/>
    <w:rsid w:val="00F01B76"/>
    <w:rsid w:val="00F0252E"/>
    <w:rsid w:val="00F02558"/>
    <w:rsid w:val="00F02D8C"/>
    <w:rsid w:val="00F03228"/>
    <w:rsid w:val="00F04394"/>
    <w:rsid w:val="00F043FE"/>
    <w:rsid w:val="00F053E7"/>
    <w:rsid w:val="00F05525"/>
    <w:rsid w:val="00F05942"/>
    <w:rsid w:val="00F05C30"/>
    <w:rsid w:val="00F063E4"/>
    <w:rsid w:val="00F06FB6"/>
    <w:rsid w:val="00F07B1B"/>
    <w:rsid w:val="00F1010B"/>
    <w:rsid w:val="00F1088E"/>
    <w:rsid w:val="00F12316"/>
    <w:rsid w:val="00F12587"/>
    <w:rsid w:val="00F12754"/>
    <w:rsid w:val="00F12AC0"/>
    <w:rsid w:val="00F12B65"/>
    <w:rsid w:val="00F1362E"/>
    <w:rsid w:val="00F143F8"/>
    <w:rsid w:val="00F14A17"/>
    <w:rsid w:val="00F14C72"/>
    <w:rsid w:val="00F14DCA"/>
    <w:rsid w:val="00F14E6D"/>
    <w:rsid w:val="00F152D3"/>
    <w:rsid w:val="00F15A62"/>
    <w:rsid w:val="00F15A66"/>
    <w:rsid w:val="00F16314"/>
    <w:rsid w:val="00F163BD"/>
    <w:rsid w:val="00F1685B"/>
    <w:rsid w:val="00F16898"/>
    <w:rsid w:val="00F16A76"/>
    <w:rsid w:val="00F208FB"/>
    <w:rsid w:val="00F20A5E"/>
    <w:rsid w:val="00F20BAD"/>
    <w:rsid w:val="00F21748"/>
    <w:rsid w:val="00F219DD"/>
    <w:rsid w:val="00F22114"/>
    <w:rsid w:val="00F2253B"/>
    <w:rsid w:val="00F22690"/>
    <w:rsid w:val="00F226D9"/>
    <w:rsid w:val="00F22A5C"/>
    <w:rsid w:val="00F22E5D"/>
    <w:rsid w:val="00F23B3F"/>
    <w:rsid w:val="00F24779"/>
    <w:rsid w:val="00F24EA2"/>
    <w:rsid w:val="00F24FA6"/>
    <w:rsid w:val="00F26E24"/>
    <w:rsid w:val="00F277F8"/>
    <w:rsid w:val="00F278B5"/>
    <w:rsid w:val="00F278CB"/>
    <w:rsid w:val="00F30229"/>
    <w:rsid w:val="00F30A88"/>
    <w:rsid w:val="00F30AB0"/>
    <w:rsid w:val="00F30EBF"/>
    <w:rsid w:val="00F31A72"/>
    <w:rsid w:val="00F31B08"/>
    <w:rsid w:val="00F32232"/>
    <w:rsid w:val="00F32356"/>
    <w:rsid w:val="00F35907"/>
    <w:rsid w:val="00F369B2"/>
    <w:rsid w:val="00F3766E"/>
    <w:rsid w:val="00F37985"/>
    <w:rsid w:val="00F37A8C"/>
    <w:rsid w:val="00F400BF"/>
    <w:rsid w:val="00F4047A"/>
    <w:rsid w:val="00F409AD"/>
    <w:rsid w:val="00F41AB4"/>
    <w:rsid w:val="00F4291D"/>
    <w:rsid w:val="00F4366A"/>
    <w:rsid w:val="00F43EEF"/>
    <w:rsid w:val="00F44E6F"/>
    <w:rsid w:val="00F45BF0"/>
    <w:rsid w:val="00F46716"/>
    <w:rsid w:val="00F467D5"/>
    <w:rsid w:val="00F472E8"/>
    <w:rsid w:val="00F47889"/>
    <w:rsid w:val="00F47E58"/>
    <w:rsid w:val="00F52ED0"/>
    <w:rsid w:val="00F53AFE"/>
    <w:rsid w:val="00F541D9"/>
    <w:rsid w:val="00F561A5"/>
    <w:rsid w:val="00F56251"/>
    <w:rsid w:val="00F57412"/>
    <w:rsid w:val="00F606DA"/>
    <w:rsid w:val="00F6194B"/>
    <w:rsid w:val="00F61A46"/>
    <w:rsid w:val="00F627DC"/>
    <w:rsid w:val="00F6284C"/>
    <w:rsid w:val="00F639A4"/>
    <w:rsid w:val="00F65228"/>
    <w:rsid w:val="00F66515"/>
    <w:rsid w:val="00F665EA"/>
    <w:rsid w:val="00F6719E"/>
    <w:rsid w:val="00F67DCC"/>
    <w:rsid w:val="00F7013E"/>
    <w:rsid w:val="00F70732"/>
    <w:rsid w:val="00F70A47"/>
    <w:rsid w:val="00F711CD"/>
    <w:rsid w:val="00F71FED"/>
    <w:rsid w:val="00F720BC"/>
    <w:rsid w:val="00F72893"/>
    <w:rsid w:val="00F72DB4"/>
    <w:rsid w:val="00F72F9B"/>
    <w:rsid w:val="00F73A04"/>
    <w:rsid w:val="00F73FC5"/>
    <w:rsid w:val="00F745FA"/>
    <w:rsid w:val="00F74931"/>
    <w:rsid w:val="00F76090"/>
    <w:rsid w:val="00F76FC6"/>
    <w:rsid w:val="00F77E2D"/>
    <w:rsid w:val="00F80585"/>
    <w:rsid w:val="00F81BF5"/>
    <w:rsid w:val="00F81EA6"/>
    <w:rsid w:val="00F827C9"/>
    <w:rsid w:val="00F83013"/>
    <w:rsid w:val="00F833E0"/>
    <w:rsid w:val="00F83A08"/>
    <w:rsid w:val="00F8403F"/>
    <w:rsid w:val="00F848F2"/>
    <w:rsid w:val="00F84BB0"/>
    <w:rsid w:val="00F85281"/>
    <w:rsid w:val="00F90539"/>
    <w:rsid w:val="00F90A9E"/>
    <w:rsid w:val="00F9104D"/>
    <w:rsid w:val="00F91B3A"/>
    <w:rsid w:val="00F92092"/>
    <w:rsid w:val="00F9290C"/>
    <w:rsid w:val="00F92982"/>
    <w:rsid w:val="00F94098"/>
    <w:rsid w:val="00F94399"/>
    <w:rsid w:val="00F94A1D"/>
    <w:rsid w:val="00F96398"/>
    <w:rsid w:val="00F96A69"/>
    <w:rsid w:val="00F96FC4"/>
    <w:rsid w:val="00F97A85"/>
    <w:rsid w:val="00F97D8B"/>
    <w:rsid w:val="00F97F11"/>
    <w:rsid w:val="00FA0554"/>
    <w:rsid w:val="00FA096A"/>
    <w:rsid w:val="00FA1255"/>
    <w:rsid w:val="00FA14B6"/>
    <w:rsid w:val="00FA14C8"/>
    <w:rsid w:val="00FA2416"/>
    <w:rsid w:val="00FA5008"/>
    <w:rsid w:val="00FA76F2"/>
    <w:rsid w:val="00FA78D6"/>
    <w:rsid w:val="00FA7CCB"/>
    <w:rsid w:val="00FA7E5F"/>
    <w:rsid w:val="00FB0390"/>
    <w:rsid w:val="00FB0C4E"/>
    <w:rsid w:val="00FB11E9"/>
    <w:rsid w:val="00FB3672"/>
    <w:rsid w:val="00FB3DFF"/>
    <w:rsid w:val="00FB3FFB"/>
    <w:rsid w:val="00FB4191"/>
    <w:rsid w:val="00FB450E"/>
    <w:rsid w:val="00FB5727"/>
    <w:rsid w:val="00FB5982"/>
    <w:rsid w:val="00FB61BA"/>
    <w:rsid w:val="00FB74FB"/>
    <w:rsid w:val="00FB7820"/>
    <w:rsid w:val="00FB7866"/>
    <w:rsid w:val="00FB7B69"/>
    <w:rsid w:val="00FB7D4A"/>
    <w:rsid w:val="00FB7E62"/>
    <w:rsid w:val="00FC15F5"/>
    <w:rsid w:val="00FC1602"/>
    <w:rsid w:val="00FC2897"/>
    <w:rsid w:val="00FC31A6"/>
    <w:rsid w:val="00FC3AEC"/>
    <w:rsid w:val="00FC47CF"/>
    <w:rsid w:val="00FC573A"/>
    <w:rsid w:val="00FC57C4"/>
    <w:rsid w:val="00FC59B3"/>
    <w:rsid w:val="00FC605D"/>
    <w:rsid w:val="00FC716B"/>
    <w:rsid w:val="00FC78B5"/>
    <w:rsid w:val="00FC7960"/>
    <w:rsid w:val="00FC79E0"/>
    <w:rsid w:val="00FD0DFD"/>
    <w:rsid w:val="00FD1112"/>
    <w:rsid w:val="00FD13CF"/>
    <w:rsid w:val="00FD1D26"/>
    <w:rsid w:val="00FD2A80"/>
    <w:rsid w:val="00FD3DC3"/>
    <w:rsid w:val="00FD497F"/>
    <w:rsid w:val="00FD5BB6"/>
    <w:rsid w:val="00FD61C8"/>
    <w:rsid w:val="00FD762B"/>
    <w:rsid w:val="00FD7AFB"/>
    <w:rsid w:val="00FD7C52"/>
    <w:rsid w:val="00FD7D6F"/>
    <w:rsid w:val="00FE0041"/>
    <w:rsid w:val="00FE24E0"/>
    <w:rsid w:val="00FE2774"/>
    <w:rsid w:val="00FE284A"/>
    <w:rsid w:val="00FE28E2"/>
    <w:rsid w:val="00FE2A2B"/>
    <w:rsid w:val="00FE2C54"/>
    <w:rsid w:val="00FE2C83"/>
    <w:rsid w:val="00FE2EF8"/>
    <w:rsid w:val="00FE2F80"/>
    <w:rsid w:val="00FE3BE1"/>
    <w:rsid w:val="00FE4099"/>
    <w:rsid w:val="00FE4355"/>
    <w:rsid w:val="00FE4708"/>
    <w:rsid w:val="00FE5612"/>
    <w:rsid w:val="00FE60E5"/>
    <w:rsid w:val="00FE623C"/>
    <w:rsid w:val="00FE6642"/>
    <w:rsid w:val="00FE77CF"/>
    <w:rsid w:val="00FF04B7"/>
    <w:rsid w:val="00FF14AC"/>
    <w:rsid w:val="00FF1889"/>
    <w:rsid w:val="00FF1A98"/>
    <w:rsid w:val="00FF1F60"/>
    <w:rsid w:val="00FF323F"/>
    <w:rsid w:val="00FF359A"/>
    <w:rsid w:val="00FF3B67"/>
    <w:rsid w:val="00FF3F8E"/>
    <w:rsid w:val="00FF43DE"/>
    <w:rsid w:val="00FF4E37"/>
    <w:rsid w:val="00FF5546"/>
    <w:rsid w:val="00FF66F9"/>
    <w:rsid w:val="00FF75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B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A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F2A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3"/>
    <w:next w:val="Normal"/>
    <w:link w:val="Heading2Char"/>
    <w:uiPriority w:val="9"/>
    <w:unhideWhenUsed/>
    <w:qFormat/>
    <w:rsid w:val="0009654F"/>
    <w:pPr>
      <w:numPr>
        <w:numId w:val="9"/>
      </w:numPr>
      <w:spacing w:after="240"/>
      <w:outlineLvl w:val="1"/>
    </w:pPr>
    <w:rPr>
      <w:b/>
      <w:lang w:val="en-GB" w:eastAsia="en-US"/>
    </w:rPr>
  </w:style>
  <w:style w:type="paragraph" w:styleId="Heading3">
    <w:name w:val="heading 3"/>
    <w:basedOn w:val="Normal"/>
    <w:next w:val="Normal"/>
    <w:link w:val="Heading3Char"/>
    <w:uiPriority w:val="9"/>
    <w:semiHidden/>
    <w:unhideWhenUsed/>
    <w:qFormat/>
    <w:rsid w:val="0009654F"/>
    <w:pPr>
      <w:keepNext/>
      <w:keepLines/>
      <w:spacing w:before="40" w:line="259"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405"/>
    <w:pPr>
      <w:spacing w:after="160" w:line="259" w:lineRule="auto"/>
      <w:ind w:left="720"/>
      <w:contextualSpacing/>
    </w:pPr>
    <w:rPr>
      <w:rFonts w:asciiTheme="minorHAnsi" w:eastAsiaTheme="minorEastAsia" w:hAnsiTheme="minorHAnsi" w:cstheme="minorBidi"/>
      <w:sz w:val="22"/>
      <w:szCs w:val="22"/>
    </w:rPr>
  </w:style>
  <w:style w:type="paragraph" w:styleId="CommentText">
    <w:name w:val="annotation text"/>
    <w:basedOn w:val="Normal"/>
    <w:link w:val="CommentTextChar"/>
    <w:uiPriority w:val="99"/>
    <w:unhideWhenUsed/>
    <w:rsid w:val="00D21405"/>
    <w:pPr>
      <w:spacing w:after="160"/>
    </w:pPr>
    <w:rPr>
      <w:rFonts w:asciiTheme="minorHAnsi" w:eastAsia="Batang" w:hAnsiTheme="minorHAnsi" w:cstheme="minorBidi"/>
      <w:sz w:val="20"/>
      <w:szCs w:val="20"/>
      <w:lang w:eastAsia="en-US"/>
    </w:rPr>
  </w:style>
  <w:style w:type="character" w:customStyle="1" w:styleId="CommentTextChar">
    <w:name w:val="Comment Text Char"/>
    <w:basedOn w:val="DefaultParagraphFont"/>
    <w:link w:val="CommentText"/>
    <w:uiPriority w:val="99"/>
    <w:rsid w:val="00D21405"/>
    <w:rPr>
      <w:rFonts w:eastAsia="Batang"/>
      <w:sz w:val="20"/>
      <w:szCs w:val="20"/>
      <w:lang w:eastAsia="en-US"/>
    </w:rPr>
  </w:style>
  <w:style w:type="character" w:styleId="CommentReference">
    <w:name w:val="annotation reference"/>
    <w:basedOn w:val="DefaultParagraphFont"/>
    <w:uiPriority w:val="99"/>
    <w:semiHidden/>
    <w:unhideWhenUsed/>
    <w:rsid w:val="00D21405"/>
    <w:rPr>
      <w:sz w:val="16"/>
      <w:szCs w:val="16"/>
    </w:rPr>
  </w:style>
  <w:style w:type="paragraph" w:styleId="BalloonText">
    <w:name w:val="Balloon Text"/>
    <w:basedOn w:val="Normal"/>
    <w:link w:val="BalloonTextChar"/>
    <w:uiPriority w:val="99"/>
    <w:semiHidden/>
    <w:unhideWhenUsed/>
    <w:rsid w:val="00D21405"/>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214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C7A5F"/>
    <w:rPr>
      <w:rFonts w:eastAsiaTheme="minorEastAsia"/>
      <w:b/>
      <w:bCs/>
      <w:lang w:eastAsia="ko-KR"/>
    </w:rPr>
  </w:style>
  <w:style w:type="character" w:customStyle="1" w:styleId="CommentSubjectChar">
    <w:name w:val="Comment Subject Char"/>
    <w:basedOn w:val="CommentTextChar"/>
    <w:link w:val="CommentSubject"/>
    <w:uiPriority w:val="99"/>
    <w:semiHidden/>
    <w:rsid w:val="00BC7A5F"/>
    <w:rPr>
      <w:rFonts w:eastAsia="Batang"/>
      <w:b/>
      <w:bCs/>
      <w:sz w:val="20"/>
      <w:szCs w:val="20"/>
      <w:lang w:eastAsia="en-US"/>
    </w:rPr>
  </w:style>
  <w:style w:type="character" w:styleId="Hyperlink">
    <w:name w:val="Hyperlink"/>
    <w:basedOn w:val="DefaultParagraphFont"/>
    <w:uiPriority w:val="99"/>
    <w:unhideWhenUsed/>
    <w:rsid w:val="00BC7A5F"/>
    <w:rPr>
      <w:color w:val="0000FF"/>
      <w:u w:val="single"/>
    </w:rPr>
  </w:style>
  <w:style w:type="paragraph" w:customStyle="1" w:styleId="WHO">
    <w:name w:val="WHO"/>
    <w:basedOn w:val="Normal"/>
    <w:rsid w:val="001D55AC"/>
    <w:rPr>
      <w:lang w:val="en-GB" w:eastAsia="zh-CN"/>
    </w:rPr>
  </w:style>
  <w:style w:type="paragraph" w:styleId="FootnoteText">
    <w:name w:val="footnote text"/>
    <w:basedOn w:val="Normal"/>
    <w:link w:val="FootnoteTextChar"/>
    <w:uiPriority w:val="99"/>
    <w:semiHidden/>
    <w:unhideWhenUsed/>
    <w:rsid w:val="00896AF7"/>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896AF7"/>
    <w:rPr>
      <w:sz w:val="20"/>
      <w:szCs w:val="20"/>
    </w:rPr>
  </w:style>
  <w:style w:type="character" w:styleId="FootnoteReference">
    <w:name w:val="footnote reference"/>
    <w:basedOn w:val="DefaultParagraphFont"/>
    <w:uiPriority w:val="99"/>
    <w:semiHidden/>
    <w:unhideWhenUsed/>
    <w:rsid w:val="00896AF7"/>
    <w:rPr>
      <w:vertAlign w:val="superscript"/>
    </w:rPr>
  </w:style>
  <w:style w:type="paragraph" w:styleId="Title">
    <w:name w:val="Title"/>
    <w:basedOn w:val="Normal"/>
    <w:next w:val="Normal"/>
    <w:link w:val="TitleChar"/>
    <w:uiPriority w:val="10"/>
    <w:qFormat/>
    <w:rsid w:val="00EB4D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D8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31721"/>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E31721"/>
  </w:style>
  <w:style w:type="paragraph" w:styleId="Footer">
    <w:name w:val="footer"/>
    <w:basedOn w:val="Normal"/>
    <w:link w:val="FooterChar"/>
    <w:uiPriority w:val="99"/>
    <w:unhideWhenUsed/>
    <w:rsid w:val="00E31721"/>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E31721"/>
  </w:style>
  <w:style w:type="table" w:styleId="TableGrid">
    <w:name w:val="Table Grid"/>
    <w:basedOn w:val="TableNormal"/>
    <w:uiPriority w:val="39"/>
    <w:rsid w:val="00AF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C5462"/>
    <w:rPr>
      <w:color w:val="954F72" w:themeColor="followedHyperlink"/>
      <w:u w:val="single"/>
    </w:rPr>
  </w:style>
  <w:style w:type="character" w:customStyle="1" w:styleId="UnresolvedMention">
    <w:name w:val="Unresolved Mention"/>
    <w:basedOn w:val="DefaultParagraphFont"/>
    <w:uiPriority w:val="99"/>
    <w:unhideWhenUsed/>
    <w:rsid w:val="00DF2463"/>
    <w:rPr>
      <w:color w:val="808080"/>
      <w:shd w:val="clear" w:color="auto" w:fill="E6E6E6"/>
    </w:rPr>
  </w:style>
  <w:style w:type="character" w:customStyle="1" w:styleId="Heading2Char">
    <w:name w:val="Heading 2 Char"/>
    <w:basedOn w:val="DefaultParagraphFont"/>
    <w:link w:val="Heading2"/>
    <w:uiPriority w:val="9"/>
    <w:rsid w:val="0009654F"/>
    <w:rPr>
      <w:rFonts w:asciiTheme="majorHAnsi" w:eastAsiaTheme="majorEastAsia" w:hAnsiTheme="majorHAnsi" w:cstheme="majorBidi"/>
      <w:b/>
      <w:color w:val="1F3763" w:themeColor="accent1" w:themeShade="7F"/>
      <w:sz w:val="24"/>
      <w:szCs w:val="24"/>
      <w:lang w:val="en-GB" w:eastAsia="en-US"/>
    </w:rPr>
  </w:style>
  <w:style w:type="character" w:customStyle="1" w:styleId="Heading3Char">
    <w:name w:val="Heading 3 Char"/>
    <w:basedOn w:val="DefaultParagraphFont"/>
    <w:link w:val="Heading3"/>
    <w:uiPriority w:val="9"/>
    <w:semiHidden/>
    <w:rsid w:val="0009654F"/>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43402E"/>
    <w:pPr>
      <w:spacing w:after="0" w:line="240" w:lineRule="auto"/>
    </w:pPr>
  </w:style>
  <w:style w:type="character" w:customStyle="1" w:styleId="personname2">
    <w:name w:val="person_name2"/>
    <w:basedOn w:val="DefaultParagraphFont"/>
    <w:rsid w:val="006D0890"/>
  </w:style>
  <w:style w:type="character" w:styleId="Emphasis">
    <w:name w:val="Emphasis"/>
    <w:basedOn w:val="DefaultParagraphFont"/>
    <w:uiPriority w:val="20"/>
    <w:qFormat/>
    <w:rsid w:val="006D0890"/>
    <w:rPr>
      <w:i/>
      <w:iCs/>
    </w:rPr>
  </w:style>
  <w:style w:type="paragraph" w:styleId="EndnoteText">
    <w:name w:val="endnote text"/>
    <w:basedOn w:val="Normal"/>
    <w:link w:val="EndnoteTextChar"/>
    <w:uiPriority w:val="99"/>
    <w:semiHidden/>
    <w:unhideWhenUsed/>
    <w:rsid w:val="006C7929"/>
    <w:rPr>
      <w:sz w:val="20"/>
      <w:szCs w:val="20"/>
    </w:rPr>
  </w:style>
  <w:style w:type="character" w:customStyle="1" w:styleId="EndnoteTextChar">
    <w:name w:val="Endnote Text Char"/>
    <w:basedOn w:val="DefaultParagraphFont"/>
    <w:link w:val="EndnoteText"/>
    <w:uiPriority w:val="99"/>
    <w:semiHidden/>
    <w:rsid w:val="006C792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C7929"/>
    <w:rPr>
      <w:vertAlign w:val="superscript"/>
    </w:rPr>
  </w:style>
  <w:style w:type="character" w:customStyle="1" w:styleId="Heading1Char">
    <w:name w:val="Heading 1 Char"/>
    <w:basedOn w:val="DefaultParagraphFont"/>
    <w:link w:val="Heading1"/>
    <w:uiPriority w:val="9"/>
    <w:rsid w:val="002F2A91"/>
    <w:rPr>
      <w:rFonts w:asciiTheme="majorHAnsi" w:eastAsiaTheme="majorEastAsia" w:hAnsiTheme="majorHAnsi" w:cstheme="majorBidi"/>
      <w:color w:val="2F5496" w:themeColor="accent1" w:themeShade="BF"/>
      <w:sz w:val="32"/>
      <w:szCs w:val="32"/>
    </w:rPr>
  </w:style>
  <w:style w:type="paragraph" w:customStyle="1" w:styleId="Default">
    <w:name w:val="Default"/>
    <w:rsid w:val="0033361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33613"/>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33361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3361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361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33613"/>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A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F2A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3"/>
    <w:next w:val="Normal"/>
    <w:link w:val="Heading2Char"/>
    <w:uiPriority w:val="9"/>
    <w:unhideWhenUsed/>
    <w:qFormat/>
    <w:rsid w:val="0009654F"/>
    <w:pPr>
      <w:numPr>
        <w:numId w:val="9"/>
      </w:numPr>
      <w:spacing w:after="240"/>
      <w:outlineLvl w:val="1"/>
    </w:pPr>
    <w:rPr>
      <w:b/>
      <w:lang w:val="en-GB" w:eastAsia="en-US"/>
    </w:rPr>
  </w:style>
  <w:style w:type="paragraph" w:styleId="Heading3">
    <w:name w:val="heading 3"/>
    <w:basedOn w:val="Normal"/>
    <w:next w:val="Normal"/>
    <w:link w:val="Heading3Char"/>
    <w:uiPriority w:val="9"/>
    <w:semiHidden/>
    <w:unhideWhenUsed/>
    <w:qFormat/>
    <w:rsid w:val="0009654F"/>
    <w:pPr>
      <w:keepNext/>
      <w:keepLines/>
      <w:spacing w:before="40" w:line="259"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405"/>
    <w:pPr>
      <w:spacing w:after="160" w:line="259" w:lineRule="auto"/>
      <w:ind w:left="720"/>
      <w:contextualSpacing/>
    </w:pPr>
    <w:rPr>
      <w:rFonts w:asciiTheme="minorHAnsi" w:eastAsiaTheme="minorEastAsia" w:hAnsiTheme="minorHAnsi" w:cstheme="minorBidi"/>
      <w:sz w:val="22"/>
      <w:szCs w:val="22"/>
    </w:rPr>
  </w:style>
  <w:style w:type="paragraph" w:styleId="CommentText">
    <w:name w:val="annotation text"/>
    <w:basedOn w:val="Normal"/>
    <w:link w:val="CommentTextChar"/>
    <w:uiPriority w:val="99"/>
    <w:unhideWhenUsed/>
    <w:rsid w:val="00D21405"/>
    <w:pPr>
      <w:spacing w:after="160"/>
    </w:pPr>
    <w:rPr>
      <w:rFonts w:asciiTheme="minorHAnsi" w:eastAsia="Batang" w:hAnsiTheme="minorHAnsi" w:cstheme="minorBidi"/>
      <w:sz w:val="20"/>
      <w:szCs w:val="20"/>
      <w:lang w:eastAsia="en-US"/>
    </w:rPr>
  </w:style>
  <w:style w:type="character" w:customStyle="1" w:styleId="CommentTextChar">
    <w:name w:val="Comment Text Char"/>
    <w:basedOn w:val="DefaultParagraphFont"/>
    <w:link w:val="CommentText"/>
    <w:uiPriority w:val="99"/>
    <w:rsid w:val="00D21405"/>
    <w:rPr>
      <w:rFonts w:eastAsia="Batang"/>
      <w:sz w:val="20"/>
      <w:szCs w:val="20"/>
      <w:lang w:eastAsia="en-US"/>
    </w:rPr>
  </w:style>
  <w:style w:type="character" w:styleId="CommentReference">
    <w:name w:val="annotation reference"/>
    <w:basedOn w:val="DefaultParagraphFont"/>
    <w:uiPriority w:val="99"/>
    <w:semiHidden/>
    <w:unhideWhenUsed/>
    <w:rsid w:val="00D21405"/>
    <w:rPr>
      <w:sz w:val="16"/>
      <w:szCs w:val="16"/>
    </w:rPr>
  </w:style>
  <w:style w:type="paragraph" w:styleId="BalloonText">
    <w:name w:val="Balloon Text"/>
    <w:basedOn w:val="Normal"/>
    <w:link w:val="BalloonTextChar"/>
    <w:uiPriority w:val="99"/>
    <w:semiHidden/>
    <w:unhideWhenUsed/>
    <w:rsid w:val="00D21405"/>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214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C7A5F"/>
    <w:rPr>
      <w:rFonts w:eastAsiaTheme="minorEastAsia"/>
      <w:b/>
      <w:bCs/>
      <w:lang w:eastAsia="ko-KR"/>
    </w:rPr>
  </w:style>
  <w:style w:type="character" w:customStyle="1" w:styleId="CommentSubjectChar">
    <w:name w:val="Comment Subject Char"/>
    <w:basedOn w:val="CommentTextChar"/>
    <w:link w:val="CommentSubject"/>
    <w:uiPriority w:val="99"/>
    <w:semiHidden/>
    <w:rsid w:val="00BC7A5F"/>
    <w:rPr>
      <w:rFonts w:eastAsia="Batang"/>
      <w:b/>
      <w:bCs/>
      <w:sz w:val="20"/>
      <w:szCs w:val="20"/>
      <w:lang w:eastAsia="en-US"/>
    </w:rPr>
  </w:style>
  <w:style w:type="character" w:styleId="Hyperlink">
    <w:name w:val="Hyperlink"/>
    <w:basedOn w:val="DefaultParagraphFont"/>
    <w:uiPriority w:val="99"/>
    <w:unhideWhenUsed/>
    <w:rsid w:val="00BC7A5F"/>
    <w:rPr>
      <w:color w:val="0000FF"/>
      <w:u w:val="single"/>
    </w:rPr>
  </w:style>
  <w:style w:type="paragraph" w:customStyle="1" w:styleId="WHO">
    <w:name w:val="WHO"/>
    <w:basedOn w:val="Normal"/>
    <w:rsid w:val="001D55AC"/>
    <w:rPr>
      <w:lang w:val="en-GB" w:eastAsia="zh-CN"/>
    </w:rPr>
  </w:style>
  <w:style w:type="paragraph" w:styleId="FootnoteText">
    <w:name w:val="footnote text"/>
    <w:basedOn w:val="Normal"/>
    <w:link w:val="FootnoteTextChar"/>
    <w:uiPriority w:val="99"/>
    <w:semiHidden/>
    <w:unhideWhenUsed/>
    <w:rsid w:val="00896AF7"/>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896AF7"/>
    <w:rPr>
      <w:sz w:val="20"/>
      <w:szCs w:val="20"/>
    </w:rPr>
  </w:style>
  <w:style w:type="character" w:styleId="FootnoteReference">
    <w:name w:val="footnote reference"/>
    <w:basedOn w:val="DefaultParagraphFont"/>
    <w:uiPriority w:val="99"/>
    <w:semiHidden/>
    <w:unhideWhenUsed/>
    <w:rsid w:val="00896AF7"/>
    <w:rPr>
      <w:vertAlign w:val="superscript"/>
    </w:rPr>
  </w:style>
  <w:style w:type="paragraph" w:styleId="Title">
    <w:name w:val="Title"/>
    <w:basedOn w:val="Normal"/>
    <w:next w:val="Normal"/>
    <w:link w:val="TitleChar"/>
    <w:uiPriority w:val="10"/>
    <w:qFormat/>
    <w:rsid w:val="00EB4D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D8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31721"/>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E31721"/>
  </w:style>
  <w:style w:type="paragraph" w:styleId="Footer">
    <w:name w:val="footer"/>
    <w:basedOn w:val="Normal"/>
    <w:link w:val="FooterChar"/>
    <w:uiPriority w:val="99"/>
    <w:unhideWhenUsed/>
    <w:rsid w:val="00E31721"/>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E31721"/>
  </w:style>
  <w:style w:type="table" w:styleId="TableGrid">
    <w:name w:val="Table Grid"/>
    <w:basedOn w:val="TableNormal"/>
    <w:uiPriority w:val="39"/>
    <w:rsid w:val="00AF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C5462"/>
    <w:rPr>
      <w:color w:val="954F72" w:themeColor="followedHyperlink"/>
      <w:u w:val="single"/>
    </w:rPr>
  </w:style>
  <w:style w:type="character" w:customStyle="1" w:styleId="UnresolvedMention">
    <w:name w:val="Unresolved Mention"/>
    <w:basedOn w:val="DefaultParagraphFont"/>
    <w:uiPriority w:val="99"/>
    <w:unhideWhenUsed/>
    <w:rsid w:val="00DF2463"/>
    <w:rPr>
      <w:color w:val="808080"/>
      <w:shd w:val="clear" w:color="auto" w:fill="E6E6E6"/>
    </w:rPr>
  </w:style>
  <w:style w:type="character" w:customStyle="1" w:styleId="Heading2Char">
    <w:name w:val="Heading 2 Char"/>
    <w:basedOn w:val="DefaultParagraphFont"/>
    <w:link w:val="Heading2"/>
    <w:uiPriority w:val="9"/>
    <w:rsid w:val="0009654F"/>
    <w:rPr>
      <w:rFonts w:asciiTheme="majorHAnsi" w:eastAsiaTheme="majorEastAsia" w:hAnsiTheme="majorHAnsi" w:cstheme="majorBidi"/>
      <w:b/>
      <w:color w:val="1F3763" w:themeColor="accent1" w:themeShade="7F"/>
      <w:sz w:val="24"/>
      <w:szCs w:val="24"/>
      <w:lang w:val="en-GB" w:eastAsia="en-US"/>
    </w:rPr>
  </w:style>
  <w:style w:type="character" w:customStyle="1" w:styleId="Heading3Char">
    <w:name w:val="Heading 3 Char"/>
    <w:basedOn w:val="DefaultParagraphFont"/>
    <w:link w:val="Heading3"/>
    <w:uiPriority w:val="9"/>
    <w:semiHidden/>
    <w:rsid w:val="0009654F"/>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43402E"/>
    <w:pPr>
      <w:spacing w:after="0" w:line="240" w:lineRule="auto"/>
    </w:pPr>
  </w:style>
  <w:style w:type="character" w:customStyle="1" w:styleId="personname2">
    <w:name w:val="person_name2"/>
    <w:basedOn w:val="DefaultParagraphFont"/>
    <w:rsid w:val="006D0890"/>
  </w:style>
  <w:style w:type="character" w:styleId="Emphasis">
    <w:name w:val="Emphasis"/>
    <w:basedOn w:val="DefaultParagraphFont"/>
    <w:uiPriority w:val="20"/>
    <w:qFormat/>
    <w:rsid w:val="006D0890"/>
    <w:rPr>
      <w:i/>
      <w:iCs/>
    </w:rPr>
  </w:style>
  <w:style w:type="paragraph" w:styleId="EndnoteText">
    <w:name w:val="endnote text"/>
    <w:basedOn w:val="Normal"/>
    <w:link w:val="EndnoteTextChar"/>
    <w:uiPriority w:val="99"/>
    <w:semiHidden/>
    <w:unhideWhenUsed/>
    <w:rsid w:val="006C7929"/>
    <w:rPr>
      <w:sz w:val="20"/>
      <w:szCs w:val="20"/>
    </w:rPr>
  </w:style>
  <w:style w:type="character" w:customStyle="1" w:styleId="EndnoteTextChar">
    <w:name w:val="Endnote Text Char"/>
    <w:basedOn w:val="DefaultParagraphFont"/>
    <w:link w:val="EndnoteText"/>
    <w:uiPriority w:val="99"/>
    <w:semiHidden/>
    <w:rsid w:val="006C792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C7929"/>
    <w:rPr>
      <w:vertAlign w:val="superscript"/>
    </w:rPr>
  </w:style>
  <w:style w:type="character" w:customStyle="1" w:styleId="Heading1Char">
    <w:name w:val="Heading 1 Char"/>
    <w:basedOn w:val="DefaultParagraphFont"/>
    <w:link w:val="Heading1"/>
    <w:uiPriority w:val="9"/>
    <w:rsid w:val="002F2A91"/>
    <w:rPr>
      <w:rFonts w:asciiTheme="majorHAnsi" w:eastAsiaTheme="majorEastAsia" w:hAnsiTheme="majorHAnsi" w:cstheme="majorBidi"/>
      <w:color w:val="2F5496" w:themeColor="accent1" w:themeShade="BF"/>
      <w:sz w:val="32"/>
      <w:szCs w:val="32"/>
    </w:rPr>
  </w:style>
  <w:style w:type="paragraph" w:customStyle="1" w:styleId="Default">
    <w:name w:val="Default"/>
    <w:rsid w:val="0033361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33613"/>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33361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3361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361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3361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00215">
      <w:bodyDiv w:val="1"/>
      <w:marLeft w:val="0"/>
      <w:marRight w:val="0"/>
      <w:marTop w:val="0"/>
      <w:marBottom w:val="0"/>
      <w:divBdr>
        <w:top w:val="none" w:sz="0" w:space="0" w:color="auto"/>
        <w:left w:val="none" w:sz="0" w:space="0" w:color="auto"/>
        <w:bottom w:val="none" w:sz="0" w:space="0" w:color="auto"/>
        <w:right w:val="none" w:sz="0" w:space="0" w:color="auto"/>
      </w:divBdr>
    </w:div>
    <w:div w:id="156462600">
      <w:bodyDiv w:val="1"/>
      <w:marLeft w:val="0"/>
      <w:marRight w:val="0"/>
      <w:marTop w:val="0"/>
      <w:marBottom w:val="0"/>
      <w:divBdr>
        <w:top w:val="none" w:sz="0" w:space="0" w:color="auto"/>
        <w:left w:val="none" w:sz="0" w:space="0" w:color="auto"/>
        <w:bottom w:val="none" w:sz="0" w:space="0" w:color="auto"/>
        <w:right w:val="none" w:sz="0" w:space="0" w:color="auto"/>
      </w:divBdr>
    </w:div>
    <w:div w:id="203105025">
      <w:bodyDiv w:val="1"/>
      <w:marLeft w:val="0"/>
      <w:marRight w:val="0"/>
      <w:marTop w:val="0"/>
      <w:marBottom w:val="0"/>
      <w:divBdr>
        <w:top w:val="none" w:sz="0" w:space="0" w:color="auto"/>
        <w:left w:val="none" w:sz="0" w:space="0" w:color="auto"/>
        <w:bottom w:val="none" w:sz="0" w:space="0" w:color="auto"/>
        <w:right w:val="none" w:sz="0" w:space="0" w:color="auto"/>
      </w:divBdr>
    </w:div>
    <w:div w:id="211501545">
      <w:bodyDiv w:val="1"/>
      <w:marLeft w:val="0"/>
      <w:marRight w:val="0"/>
      <w:marTop w:val="0"/>
      <w:marBottom w:val="0"/>
      <w:divBdr>
        <w:top w:val="none" w:sz="0" w:space="0" w:color="auto"/>
        <w:left w:val="none" w:sz="0" w:space="0" w:color="auto"/>
        <w:bottom w:val="none" w:sz="0" w:space="0" w:color="auto"/>
        <w:right w:val="none" w:sz="0" w:space="0" w:color="auto"/>
      </w:divBdr>
    </w:div>
    <w:div w:id="293142941">
      <w:bodyDiv w:val="1"/>
      <w:marLeft w:val="0"/>
      <w:marRight w:val="0"/>
      <w:marTop w:val="0"/>
      <w:marBottom w:val="0"/>
      <w:divBdr>
        <w:top w:val="none" w:sz="0" w:space="0" w:color="auto"/>
        <w:left w:val="none" w:sz="0" w:space="0" w:color="auto"/>
        <w:bottom w:val="none" w:sz="0" w:space="0" w:color="auto"/>
        <w:right w:val="none" w:sz="0" w:space="0" w:color="auto"/>
      </w:divBdr>
    </w:div>
    <w:div w:id="387534189">
      <w:bodyDiv w:val="1"/>
      <w:marLeft w:val="0"/>
      <w:marRight w:val="0"/>
      <w:marTop w:val="0"/>
      <w:marBottom w:val="0"/>
      <w:divBdr>
        <w:top w:val="none" w:sz="0" w:space="0" w:color="auto"/>
        <w:left w:val="none" w:sz="0" w:space="0" w:color="auto"/>
        <w:bottom w:val="none" w:sz="0" w:space="0" w:color="auto"/>
        <w:right w:val="none" w:sz="0" w:space="0" w:color="auto"/>
      </w:divBdr>
    </w:div>
    <w:div w:id="414132492">
      <w:bodyDiv w:val="1"/>
      <w:marLeft w:val="0"/>
      <w:marRight w:val="0"/>
      <w:marTop w:val="0"/>
      <w:marBottom w:val="0"/>
      <w:divBdr>
        <w:top w:val="none" w:sz="0" w:space="0" w:color="auto"/>
        <w:left w:val="none" w:sz="0" w:space="0" w:color="auto"/>
        <w:bottom w:val="none" w:sz="0" w:space="0" w:color="auto"/>
        <w:right w:val="none" w:sz="0" w:space="0" w:color="auto"/>
      </w:divBdr>
    </w:div>
    <w:div w:id="516892306">
      <w:bodyDiv w:val="1"/>
      <w:marLeft w:val="0"/>
      <w:marRight w:val="0"/>
      <w:marTop w:val="0"/>
      <w:marBottom w:val="0"/>
      <w:divBdr>
        <w:top w:val="none" w:sz="0" w:space="0" w:color="auto"/>
        <w:left w:val="none" w:sz="0" w:space="0" w:color="auto"/>
        <w:bottom w:val="none" w:sz="0" w:space="0" w:color="auto"/>
        <w:right w:val="none" w:sz="0" w:space="0" w:color="auto"/>
      </w:divBdr>
      <w:divsChild>
        <w:div w:id="140076880">
          <w:marLeft w:val="0"/>
          <w:marRight w:val="0"/>
          <w:marTop w:val="0"/>
          <w:marBottom w:val="0"/>
          <w:divBdr>
            <w:top w:val="none" w:sz="0" w:space="0" w:color="auto"/>
            <w:left w:val="none" w:sz="0" w:space="0" w:color="auto"/>
            <w:bottom w:val="none" w:sz="0" w:space="0" w:color="auto"/>
            <w:right w:val="none" w:sz="0" w:space="0" w:color="auto"/>
          </w:divBdr>
          <w:divsChild>
            <w:div w:id="296958386">
              <w:marLeft w:val="0"/>
              <w:marRight w:val="0"/>
              <w:marTop w:val="0"/>
              <w:marBottom w:val="0"/>
              <w:divBdr>
                <w:top w:val="none" w:sz="0" w:space="0" w:color="auto"/>
                <w:left w:val="none" w:sz="0" w:space="0" w:color="auto"/>
                <w:bottom w:val="none" w:sz="0" w:space="0" w:color="auto"/>
                <w:right w:val="none" w:sz="0" w:space="0" w:color="auto"/>
              </w:divBdr>
              <w:divsChild>
                <w:div w:id="10666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160419">
      <w:bodyDiv w:val="1"/>
      <w:marLeft w:val="0"/>
      <w:marRight w:val="0"/>
      <w:marTop w:val="0"/>
      <w:marBottom w:val="0"/>
      <w:divBdr>
        <w:top w:val="none" w:sz="0" w:space="0" w:color="auto"/>
        <w:left w:val="none" w:sz="0" w:space="0" w:color="auto"/>
        <w:bottom w:val="none" w:sz="0" w:space="0" w:color="auto"/>
        <w:right w:val="none" w:sz="0" w:space="0" w:color="auto"/>
      </w:divBdr>
    </w:div>
    <w:div w:id="664162259">
      <w:bodyDiv w:val="1"/>
      <w:marLeft w:val="0"/>
      <w:marRight w:val="0"/>
      <w:marTop w:val="0"/>
      <w:marBottom w:val="0"/>
      <w:divBdr>
        <w:top w:val="none" w:sz="0" w:space="0" w:color="auto"/>
        <w:left w:val="none" w:sz="0" w:space="0" w:color="auto"/>
        <w:bottom w:val="none" w:sz="0" w:space="0" w:color="auto"/>
        <w:right w:val="none" w:sz="0" w:space="0" w:color="auto"/>
      </w:divBdr>
    </w:div>
    <w:div w:id="688528510">
      <w:bodyDiv w:val="1"/>
      <w:marLeft w:val="0"/>
      <w:marRight w:val="0"/>
      <w:marTop w:val="0"/>
      <w:marBottom w:val="0"/>
      <w:divBdr>
        <w:top w:val="none" w:sz="0" w:space="0" w:color="auto"/>
        <w:left w:val="none" w:sz="0" w:space="0" w:color="auto"/>
        <w:bottom w:val="none" w:sz="0" w:space="0" w:color="auto"/>
        <w:right w:val="none" w:sz="0" w:space="0" w:color="auto"/>
      </w:divBdr>
    </w:div>
    <w:div w:id="704478453">
      <w:bodyDiv w:val="1"/>
      <w:marLeft w:val="0"/>
      <w:marRight w:val="0"/>
      <w:marTop w:val="0"/>
      <w:marBottom w:val="0"/>
      <w:divBdr>
        <w:top w:val="none" w:sz="0" w:space="0" w:color="auto"/>
        <w:left w:val="none" w:sz="0" w:space="0" w:color="auto"/>
        <w:bottom w:val="none" w:sz="0" w:space="0" w:color="auto"/>
        <w:right w:val="none" w:sz="0" w:space="0" w:color="auto"/>
      </w:divBdr>
    </w:div>
    <w:div w:id="733815167">
      <w:bodyDiv w:val="1"/>
      <w:marLeft w:val="0"/>
      <w:marRight w:val="0"/>
      <w:marTop w:val="0"/>
      <w:marBottom w:val="0"/>
      <w:divBdr>
        <w:top w:val="none" w:sz="0" w:space="0" w:color="auto"/>
        <w:left w:val="none" w:sz="0" w:space="0" w:color="auto"/>
        <w:bottom w:val="none" w:sz="0" w:space="0" w:color="auto"/>
        <w:right w:val="none" w:sz="0" w:space="0" w:color="auto"/>
      </w:divBdr>
    </w:div>
    <w:div w:id="756710724">
      <w:bodyDiv w:val="1"/>
      <w:marLeft w:val="0"/>
      <w:marRight w:val="0"/>
      <w:marTop w:val="0"/>
      <w:marBottom w:val="0"/>
      <w:divBdr>
        <w:top w:val="none" w:sz="0" w:space="0" w:color="auto"/>
        <w:left w:val="none" w:sz="0" w:space="0" w:color="auto"/>
        <w:bottom w:val="none" w:sz="0" w:space="0" w:color="auto"/>
        <w:right w:val="none" w:sz="0" w:space="0" w:color="auto"/>
      </w:divBdr>
    </w:div>
    <w:div w:id="770777755">
      <w:bodyDiv w:val="1"/>
      <w:marLeft w:val="0"/>
      <w:marRight w:val="0"/>
      <w:marTop w:val="0"/>
      <w:marBottom w:val="0"/>
      <w:divBdr>
        <w:top w:val="none" w:sz="0" w:space="0" w:color="auto"/>
        <w:left w:val="none" w:sz="0" w:space="0" w:color="auto"/>
        <w:bottom w:val="none" w:sz="0" w:space="0" w:color="auto"/>
        <w:right w:val="none" w:sz="0" w:space="0" w:color="auto"/>
      </w:divBdr>
    </w:div>
    <w:div w:id="836456293">
      <w:bodyDiv w:val="1"/>
      <w:marLeft w:val="0"/>
      <w:marRight w:val="0"/>
      <w:marTop w:val="0"/>
      <w:marBottom w:val="0"/>
      <w:divBdr>
        <w:top w:val="none" w:sz="0" w:space="0" w:color="auto"/>
        <w:left w:val="none" w:sz="0" w:space="0" w:color="auto"/>
        <w:bottom w:val="none" w:sz="0" w:space="0" w:color="auto"/>
        <w:right w:val="none" w:sz="0" w:space="0" w:color="auto"/>
      </w:divBdr>
    </w:div>
    <w:div w:id="900865250">
      <w:bodyDiv w:val="1"/>
      <w:marLeft w:val="0"/>
      <w:marRight w:val="0"/>
      <w:marTop w:val="0"/>
      <w:marBottom w:val="0"/>
      <w:divBdr>
        <w:top w:val="none" w:sz="0" w:space="0" w:color="auto"/>
        <w:left w:val="none" w:sz="0" w:space="0" w:color="auto"/>
        <w:bottom w:val="none" w:sz="0" w:space="0" w:color="auto"/>
        <w:right w:val="none" w:sz="0" w:space="0" w:color="auto"/>
      </w:divBdr>
    </w:div>
    <w:div w:id="964703054">
      <w:bodyDiv w:val="1"/>
      <w:marLeft w:val="0"/>
      <w:marRight w:val="0"/>
      <w:marTop w:val="0"/>
      <w:marBottom w:val="0"/>
      <w:divBdr>
        <w:top w:val="none" w:sz="0" w:space="0" w:color="auto"/>
        <w:left w:val="none" w:sz="0" w:space="0" w:color="auto"/>
        <w:bottom w:val="none" w:sz="0" w:space="0" w:color="auto"/>
        <w:right w:val="none" w:sz="0" w:space="0" w:color="auto"/>
      </w:divBdr>
    </w:div>
    <w:div w:id="1028526771">
      <w:bodyDiv w:val="1"/>
      <w:marLeft w:val="0"/>
      <w:marRight w:val="0"/>
      <w:marTop w:val="0"/>
      <w:marBottom w:val="0"/>
      <w:divBdr>
        <w:top w:val="none" w:sz="0" w:space="0" w:color="auto"/>
        <w:left w:val="none" w:sz="0" w:space="0" w:color="auto"/>
        <w:bottom w:val="none" w:sz="0" w:space="0" w:color="auto"/>
        <w:right w:val="none" w:sz="0" w:space="0" w:color="auto"/>
      </w:divBdr>
    </w:div>
    <w:div w:id="1056468137">
      <w:bodyDiv w:val="1"/>
      <w:marLeft w:val="0"/>
      <w:marRight w:val="0"/>
      <w:marTop w:val="0"/>
      <w:marBottom w:val="0"/>
      <w:divBdr>
        <w:top w:val="none" w:sz="0" w:space="0" w:color="auto"/>
        <w:left w:val="none" w:sz="0" w:space="0" w:color="auto"/>
        <w:bottom w:val="none" w:sz="0" w:space="0" w:color="auto"/>
        <w:right w:val="none" w:sz="0" w:space="0" w:color="auto"/>
      </w:divBdr>
    </w:div>
    <w:div w:id="1286499526">
      <w:bodyDiv w:val="1"/>
      <w:marLeft w:val="0"/>
      <w:marRight w:val="0"/>
      <w:marTop w:val="0"/>
      <w:marBottom w:val="0"/>
      <w:divBdr>
        <w:top w:val="none" w:sz="0" w:space="0" w:color="auto"/>
        <w:left w:val="none" w:sz="0" w:space="0" w:color="auto"/>
        <w:bottom w:val="none" w:sz="0" w:space="0" w:color="auto"/>
        <w:right w:val="none" w:sz="0" w:space="0" w:color="auto"/>
      </w:divBdr>
    </w:div>
    <w:div w:id="1332681445">
      <w:bodyDiv w:val="1"/>
      <w:marLeft w:val="0"/>
      <w:marRight w:val="0"/>
      <w:marTop w:val="0"/>
      <w:marBottom w:val="0"/>
      <w:divBdr>
        <w:top w:val="none" w:sz="0" w:space="0" w:color="auto"/>
        <w:left w:val="none" w:sz="0" w:space="0" w:color="auto"/>
        <w:bottom w:val="none" w:sz="0" w:space="0" w:color="auto"/>
        <w:right w:val="none" w:sz="0" w:space="0" w:color="auto"/>
      </w:divBdr>
    </w:div>
    <w:div w:id="1388531814">
      <w:bodyDiv w:val="1"/>
      <w:marLeft w:val="0"/>
      <w:marRight w:val="0"/>
      <w:marTop w:val="0"/>
      <w:marBottom w:val="0"/>
      <w:divBdr>
        <w:top w:val="none" w:sz="0" w:space="0" w:color="auto"/>
        <w:left w:val="none" w:sz="0" w:space="0" w:color="auto"/>
        <w:bottom w:val="none" w:sz="0" w:space="0" w:color="auto"/>
        <w:right w:val="none" w:sz="0" w:space="0" w:color="auto"/>
      </w:divBdr>
    </w:div>
    <w:div w:id="1408572470">
      <w:bodyDiv w:val="1"/>
      <w:marLeft w:val="0"/>
      <w:marRight w:val="0"/>
      <w:marTop w:val="0"/>
      <w:marBottom w:val="0"/>
      <w:divBdr>
        <w:top w:val="none" w:sz="0" w:space="0" w:color="auto"/>
        <w:left w:val="none" w:sz="0" w:space="0" w:color="auto"/>
        <w:bottom w:val="none" w:sz="0" w:space="0" w:color="auto"/>
        <w:right w:val="none" w:sz="0" w:space="0" w:color="auto"/>
      </w:divBdr>
    </w:div>
    <w:div w:id="1428189305">
      <w:bodyDiv w:val="1"/>
      <w:marLeft w:val="0"/>
      <w:marRight w:val="0"/>
      <w:marTop w:val="0"/>
      <w:marBottom w:val="0"/>
      <w:divBdr>
        <w:top w:val="none" w:sz="0" w:space="0" w:color="auto"/>
        <w:left w:val="none" w:sz="0" w:space="0" w:color="auto"/>
        <w:bottom w:val="none" w:sz="0" w:space="0" w:color="auto"/>
        <w:right w:val="none" w:sz="0" w:space="0" w:color="auto"/>
      </w:divBdr>
      <w:divsChild>
        <w:div w:id="998727055">
          <w:marLeft w:val="0"/>
          <w:marRight w:val="0"/>
          <w:marTop w:val="0"/>
          <w:marBottom w:val="0"/>
          <w:divBdr>
            <w:top w:val="none" w:sz="0" w:space="0" w:color="auto"/>
            <w:left w:val="none" w:sz="0" w:space="0" w:color="auto"/>
            <w:bottom w:val="none" w:sz="0" w:space="0" w:color="auto"/>
            <w:right w:val="none" w:sz="0" w:space="0" w:color="auto"/>
          </w:divBdr>
          <w:divsChild>
            <w:div w:id="277835071">
              <w:marLeft w:val="0"/>
              <w:marRight w:val="0"/>
              <w:marTop w:val="0"/>
              <w:marBottom w:val="0"/>
              <w:divBdr>
                <w:top w:val="none" w:sz="0" w:space="0" w:color="auto"/>
                <w:left w:val="none" w:sz="0" w:space="0" w:color="auto"/>
                <w:bottom w:val="none" w:sz="0" w:space="0" w:color="auto"/>
                <w:right w:val="none" w:sz="0" w:space="0" w:color="auto"/>
              </w:divBdr>
              <w:divsChild>
                <w:div w:id="1651906939">
                  <w:marLeft w:val="0"/>
                  <w:marRight w:val="0"/>
                  <w:marTop w:val="0"/>
                  <w:marBottom w:val="0"/>
                  <w:divBdr>
                    <w:top w:val="none" w:sz="0" w:space="0" w:color="auto"/>
                    <w:left w:val="none" w:sz="0" w:space="0" w:color="auto"/>
                    <w:bottom w:val="none" w:sz="0" w:space="0" w:color="auto"/>
                    <w:right w:val="none" w:sz="0" w:space="0" w:color="auto"/>
                  </w:divBdr>
                  <w:divsChild>
                    <w:div w:id="146211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977624">
      <w:bodyDiv w:val="1"/>
      <w:marLeft w:val="0"/>
      <w:marRight w:val="0"/>
      <w:marTop w:val="0"/>
      <w:marBottom w:val="0"/>
      <w:divBdr>
        <w:top w:val="none" w:sz="0" w:space="0" w:color="auto"/>
        <w:left w:val="none" w:sz="0" w:space="0" w:color="auto"/>
        <w:bottom w:val="none" w:sz="0" w:space="0" w:color="auto"/>
        <w:right w:val="none" w:sz="0" w:space="0" w:color="auto"/>
      </w:divBdr>
    </w:div>
    <w:div w:id="1585215795">
      <w:bodyDiv w:val="1"/>
      <w:marLeft w:val="0"/>
      <w:marRight w:val="0"/>
      <w:marTop w:val="0"/>
      <w:marBottom w:val="0"/>
      <w:divBdr>
        <w:top w:val="none" w:sz="0" w:space="0" w:color="auto"/>
        <w:left w:val="none" w:sz="0" w:space="0" w:color="auto"/>
        <w:bottom w:val="none" w:sz="0" w:space="0" w:color="auto"/>
        <w:right w:val="none" w:sz="0" w:space="0" w:color="auto"/>
      </w:divBdr>
    </w:div>
    <w:div w:id="1632401978">
      <w:bodyDiv w:val="1"/>
      <w:marLeft w:val="0"/>
      <w:marRight w:val="0"/>
      <w:marTop w:val="0"/>
      <w:marBottom w:val="0"/>
      <w:divBdr>
        <w:top w:val="none" w:sz="0" w:space="0" w:color="auto"/>
        <w:left w:val="none" w:sz="0" w:space="0" w:color="auto"/>
        <w:bottom w:val="none" w:sz="0" w:space="0" w:color="auto"/>
        <w:right w:val="none" w:sz="0" w:space="0" w:color="auto"/>
      </w:divBdr>
    </w:div>
    <w:div w:id="1799952049">
      <w:bodyDiv w:val="1"/>
      <w:marLeft w:val="0"/>
      <w:marRight w:val="0"/>
      <w:marTop w:val="0"/>
      <w:marBottom w:val="0"/>
      <w:divBdr>
        <w:top w:val="none" w:sz="0" w:space="0" w:color="auto"/>
        <w:left w:val="none" w:sz="0" w:space="0" w:color="auto"/>
        <w:bottom w:val="none" w:sz="0" w:space="0" w:color="auto"/>
        <w:right w:val="none" w:sz="0" w:space="0" w:color="auto"/>
      </w:divBdr>
    </w:div>
    <w:div w:id="1880823294">
      <w:bodyDiv w:val="1"/>
      <w:marLeft w:val="0"/>
      <w:marRight w:val="0"/>
      <w:marTop w:val="0"/>
      <w:marBottom w:val="0"/>
      <w:divBdr>
        <w:top w:val="none" w:sz="0" w:space="0" w:color="auto"/>
        <w:left w:val="none" w:sz="0" w:space="0" w:color="auto"/>
        <w:bottom w:val="none" w:sz="0" w:space="0" w:color="auto"/>
        <w:right w:val="none" w:sz="0" w:space="0" w:color="auto"/>
      </w:divBdr>
    </w:div>
    <w:div w:id="1955940846">
      <w:bodyDiv w:val="1"/>
      <w:marLeft w:val="0"/>
      <w:marRight w:val="0"/>
      <w:marTop w:val="0"/>
      <w:marBottom w:val="0"/>
      <w:divBdr>
        <w:top w:val="none" w:sz="0" w:space="0" w:color="auto"/>
        <w:left w:val="none" w:sz="0" w:space="0" w:color="auto"/>
        <w:bottom w:val="none" w:sz="0" w:space="0" w:color="auto"/>
        <w:right w:val="none" w:sz="0" w:space="0" w:color="auto"/>
      </w:divBdr>
    </w:div>
    <w:div w:id="2001612079">
      <w:bodyDiv w:val="1"/>
      <w:marLeft w:val="0"/>
      <w:marRight w:val="0"/>
      <w:marTop w:val="0"/>
      <w:marBottom w:val="0"/>
      <w:divBdr>
        <w:top w:val="none" w:sz="0" w:space="0" w:color="auto"/>
        <w:left w:val="none" w:sz="0" w:space="0" w:color="auto"/>
        <w:bottom w:val="none" w:sz="0" w:space="0" w:color="auto"/>
        <w:right w:val="none" w:sz="0" w:space="0" w:color="auto"/>
      </w:divBdr>
    </w:div>
    <w:div w:id="2073385529">
      <w:bodyDiv w:val="1"/>
      <w:marLeft w:val="0"/>
      <w:marRight w:val="0"/>
      <w:marTop w:val="0"/>
      <w:marBottom w:val="0"/>
      <w:divBdr>
        <w:top w:val="none" w:sz="0" w:space="0" w:color="auto"/>
        <w:left w:val="none" w:sz="0" w:space="0" w:color="auto"/>
        <w:bottom w:val="none" w:sz="0" w:space="0" w:color="auto"/>
        <w:right w:val="none" w:sz="0" w:space="0" w:color="auto"/>
      </w:divBdr>
    </w:div>
    <w:div w:id="210876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dn.who.int/media/docs/default-source/immunization/product-and-delivery-research/action-framework-final.pdf?sfvrsn=13c119f3_5&amp;download=true"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gavi.org/our-alliance/strategy/vaccine-investment-strate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6BD6672F1A854697944AE1282C9AC5" ma:contentTypeVersion="13" ma:contentTypeDescription="Create a new document." ma:contentTypeScope="" ma:versionID="d6a000c80d1e6e8b9558e32355a678bc">
  <xsd:schema xmlns:xsd="http://www.w3.org/2001/XMLSchema" xmlns:xs="http://www.w3.org/2001/XMLSchema" xmlns:p="http://schemas.microsoft.com/office/2006/metadata/properties" xmlns:ns3="e2a62f76-43a6-4af1-adee-4d0429be4f42" xmlns:ns4="abc9de68-8768-4841-a8e1-5786c31ccb35" targetNamespace="http://schemas.microsoft.com/office/2006/metadata/properties" ma:root="true" ma:fieldsID="55ee8b65b7b8c85f1d0de5d20506c264" ns3:_="" ns4:_="">
    <xsd:import namespace="e2a62f76-43a6-4af1-adee-4d0429be4f42"/>
    <xsd:import namespace="abc9de68-8768-4841-a8e1-5786c31ccb3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62f76-43a6-4af1-adee-4d0429be4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c9de68-8768-4841-a8e1-5786c31ccb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2709C-2E6F-4850-AA09-490065F02D2D}">
  <ds:schemaRefs>
    <ds:schemaRef ds:uri="http://schemas.microsoft.com/sharepoint/v3/contenttype/forms"/>
  </ds:schemaRefs>
</ds:datastoreItem>
</file>

<file path=customXml/itemProps2.xml><?xml version="1.0" encoding="utf-8"?>
<ds:datastoreItem xmlns:ds="http://schemas.openxmlformats.org/officeDocument/2006/customXml" ds:itemID="{3EFD5AAB-8997-4498-A06C-A520593C7E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98E6AB-5B66-4FC8-AC4F-01CFA0429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62f76-43a6-4af1-adee-4d0429be4f42"/>
    <ds:schemaRef ds:uri="abc9de68-8768-4841-a8e1-5786c31cc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F5A1F-8BDE-4754-B499-50C7185BC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4325</Words>
  <Characters>27471</Characters>
  <Application>Microsoft Office Word</Application>
  <DocSecurity>0</DocSecurity>
  <Lines>610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So Yoon</dc:creator>
  <cp:keywords/>
  <dc:description/>
  <cp:lastModifiedBy>E736162</cp:lastModifiedBy>
  <cp:revision>4</cp:revision>
  <cp:lastPrinted>2021-03-20T11:49:00Z</cp:lastPrinted>
  <dcterms:created xsi:type="dcterms:W3CDTF">2022-10-18T11:19:00Z</dcterms:created>
  <dcterms:modified xsi:type="dcterms:W3CDTF">2023-06-21T12:04:00Z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0x0101004B6BD6672F1A854697944AE1282C9AC5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http://www.zotero.org/styles/american-medical-association</vt:lpwstr>
  </property>
  <property fmtid="{D5CDD505-2E9C-101B-9397-08002B2CF9AE}" pid="25" name="Mendeley Unique User Id_1">
    <vt:lpwstr>91981081-2a0b-3d7f-a5bb-beda3a27a4a4</vt:lpwstr>
  </property>
</Properties>
</file>