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rawings/drawing6.xml" ContentType="application/vnd.openxmlformats-officedocument.drawingml.chartshapes+xml"/>
  <Override PartName="/word/drawings/drawing7.xml" ContentType="application/vnd.openxmlformats-officedocument.drawingml.chartshap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rawings/drawing3.xml" ContentType="application/vnd.openxmlformats-officedocument.drawingml.chartshapes+xml"/>
  <Override PartName="/word/drawings/drawing4.xml" ContentType="application/vnd.openxmlformats-officedocument.drawingml.chartshapes+xml"/>
  <Override PartName="/word/drawings/drawing5.xml" ContentType="application/vnd.openxmlformats-officedocument.drawingml.chartshap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26" w:rsidRDefault="002208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220826">
        <w:rPr>
          <w:rFonts w:ascii="Times New Roman" w:hAnsi="Times New Roman" w:cs="Times New Roman" w:hint="eastAsia"/>
          <w:b/>
          <w:sz w:val="20"/>
          <w:szCs w:val="20"/>
        </w:rPr>
        <w:t>Initiation and duration of folic acid supplementation in preventing congenital malformations</w:t>
      </w:r>
    </w:p>
    <w:p w:rsidR="00220826" w:rsidRDefault="002208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 w:hint="eastAsia"/>
          <w:sz w:val="20"/>
          <w:szCs w:val="20"/>
        </w:rPr>
        <w:t>Dong J et al.</w:t>
      </w:r>
      <w:r w:rsidR="00BD5657">
        <w:rPr>
          <w:rFonts w:ascii="Times New Roman" w:hAnsi="Times New Roman" w:cs="Times New Roman" w:hint="eastAsia"/>
          <w:sz w:val="20"/>
          <w:szCs w:val="20"/>
        </w:rPr>
        <w:t xml:space="preserve"> BMC Med.</w:t>
      </w:r>
      <w:proofErr w:type="gramEnd"/>
    </w:p>
    <w:p w:rsidR="008D553E" w:rsidRDefault="008D553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220826" w:rsidRDefault="00BA1E18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Additional fie 2</w:t>
      </w:r>
      <w:r w:rsidR="00220826"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:rsidR="00DD4187" w:rsidRDefault="00DD4187">
      <w:pPr>
        <w:widowControl/>
        <w:jc w:val="left"/>
        <w:rPr>
          <w:rFonts w:ascii="Times New Roman" w:hAnsi="Times New Roman" w:cs="Times New Roman"/>
        </w:rPr>
      </w:pPr>
    </w:p>
    <w:p w:rsidR="00972CEA" w:rsidRDefault="00972CEA" w:rsidP="00972CEA">
      <w:pPr>
        <w:widowControl/>
        <w:jc w:val="left"/>
        <w:rPr>
          <w:rFonts w:ascii="Times New Roman" w:hAnsi="Times New Roman" w:cs="Times New Roman"/>
        </w:rPr>
      </w:pPr>
    </w:p>
    <w:p w:rsidR="00972CEA" w:rsidRDefault="00972CEA" w:rsidP="00972CEA">
      <w:pPr>
        <w:widowControl/>
        <w:jc w:val="left"/>
        <w:rPr>
          <w:rFonts w:ascii="Times New Roman" w:hAnsi="Times New Roman" w:cs="Times New Roman"/>
        </w:rPr>
      </w:pPr>
      <w:r w:rsidRPr="00E53076">
        <w:rPr>
          <w:rFonts w:ascii="Times New Roman" w:hAnsi="Times New Roman" w:cs="Times New Roman"/>
          <w:noProof/>
        </w:rPr>
        <w:drawing>
          <wp:inline distT="0" distB="0" distL="0" distR="0">
            <wp:extent cx="5200029" cy="2830749"/>
            <wp:effectExtent l="19050" t="0" r="19671" b="7701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72CEA" w:rsidRDefault="00972CEA" w:rsidP="00972CE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Figure S1. </w:t>
      </w:r>
      <w:r w:rsidR="00093C2E"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 w:hint="eastAsia"/>
        </w:rPr>
        <w:t>ombinations of initiation and duration of folic acid supplementation with the predicted probability of congenital malformations</w:t>
      </w:r>
    </w:p>
    <w:p w:rsidR="00972CEA" w:rsidRDefault="00972CEA" w:rsidP="00972CE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The circle represents the mean of the predicted probability of congenital malformations and the error bar represents the 95% confidence interval.</w:t>
      </w:r>
    </w:p>
    <w:p w:rsidR="00972CEA" w:rsidRDefault="00972CEA" w:rsidP="00972CE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The red dotted line indicates the upper limit of the 95% CI in women who initiated folic acid after pregnancy and </w:t>
      </w:r>
      <w:r>
        <w:rPr>
          <w:rFonts w:ascii="Times New Roman" w:hAnsi="Times New Roman" w:cs="Times New Roman"/>
        </w:rPr>
        <w:t>maintained</w:t>
      </w:r>
      <w:r>
        <w:rPr>
          <w:rFonts w:ascii="Times New Roman" w:hAnsi="Times New Roman" w:cs="Times New Roman" w:hint="eastAsia"/>
        </w:rPr>
        <w:t xml:space="preserve"> 2.5 months of duration.</w:t>
      </w:r>
    </w:p>
    <w:p w:rsidR="00972CEA" w:rsidRPr="00724312" w:rsidRDefault="00972CEA" w:rsidP="00972CEA">
      <w:pPr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972CEA" w:rsidRDefault="00972CEA" w:rsidP="00972CEA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972CEA" w:rsidSect="00972CEA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52370D" w:rsidRDefault="0052370D" w:rsidP="00DA3374">
      <w:pPr>
        <w:widowControl/>
        <w:jc w:val="left"/>
        <w:rPr>
          <w:rFonts w:ascii="Times New Roman" w:hAnsi="Times New Roman" w:cs="Times New Roman"/>
        </w:rPr>
      </w:pPr>
    </w:p>
    <w:p w:rsidR="006B624D" w:rsidRDefault="006B624D" w:rsidP="00DA3374">
      <w:pPr>
        <w:widowControl/>
        <w:jc w:val="left"/>
        <w:rPr>
          <w:rFonts w:ascii="Times New Roman" w:hAnsi="Times New Roman" w:cs="Times New Roman"/>
        </w:rPr>
      </w:pPr>
      <w:r w:rsidRPr="006B624D">
        <w:rPr>
          <w:rFonts w:ascii="Times New Roman" w:hAnsi="Times New Roman" w:cs="Times New Roman"/>
          <w:noProof/>
        </w:rPr>
        <w:drawing>
          <wp:inline distT="0" distB="0" distL="0" distR="0">
            <wp:extent cx="5210189" cy="2947480"/>
            <wp:effectExtent l="19050" t="0" r="28561" b="5270"/>
            <wp:docPr id="5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239ED" w:rsidRDefault="001239ED" w:rsidP="00DA3374">
      <w:pPr>
        <w:widowControl/>
        <w:jc w:val="left"/>
        <w:rPr>
          <w:rFonts w:ascii="Times New Roman" w:hAnsi="Times New Roman" w:cs="Times New Roman"/>
        </w:rPr>
      </w:pPr>
      <w:r w:rsidRPr="001239ED">
        <w:rPr>
          <w:rFonts w:ascii="Times New Roman" w:hAnsi="Times New Roman" w:cs="Times New Roman"/>
          <w:noProof/>
        </w:rPr>
        <w:drawing>
          <wp:inline distT="0" distB="0" distL="0" distR="0">
            <wp:extent cx="5209200" cy="2953398"/>
            <wp:effectExtent l="19050" t="0" r="10500" b="0"/>
            <wp:docPr id="7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2646D" w:rsidRDefault="0022646D" w:rsidP="002868D1">
      <w:pPr>
        <w:widowControl/>
        <w:jc w:val="left"/>
        <w:rPr>
          <w:rFonts w:ascii="Times New Roman" w:hAnsi="Times New Roman" w:cs="Times New Roman"/>
        </w:rPr>
      </w:pPr>
    </w:p>
    <w:p w:rsidR="002868D1" w:rsidRDefault="00463E3F" w:rsidP="002868D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Figure S2. </w:t>
      </w:r>
      <w:r w:rsidR="00E32BDC">
        <w:rPr>
          <w:rFonts w:ascii="Times New Roman" w:hAnsi="Times New Roman" w:cs="Times New Roman" w:hint="eastAsia"/>
        </w:rPr>
        <w:t>C</w:t>
      </w:r>
      <w:r w:rsidR="002868D1">
        <w:rPr>
          <w:rFonts w:ascii="Times New Roman" w:hAnsi="Times New Roman" w:cs="Times New Roman" w:hint="eastAsia"/>
        </w:rPr>
        <w:t xml:space="preserve">ombinations of initiation and duration of </w:t>
      </w:r>
      <w:r w:rsidR="00007761">
        <w:rPr>
          <w:rFonts w:ascii="Times New Roman" w:hAnsi="Times New Roman" w:cs="Times New Roman" w:hint="eastAsia"/>
        </w:rPr>
        <w:t>folic acid</w:t>
      </w:r>
      <w:r w:rsidR="002868D1">
        <w:rPr>
          <w:rFonts w:ascii="Times New Roman" w:hAnsi="Times New Roman" w:cs="Times New Roman" w:hint="eastAsia"/>
        </w:rPr>
        <w:t xml:space="preserve"> with the predicted probability of </w:t>
      </w:r>
      <w:r w:rsidR="00884187">
        <w:rPr>
          <w:rFonts w:ascii="Times New Roman" w:hAnsi="Times New Roman" w:cs="Times New Roman" w:hint="eastAsia"/>
        </w:rPr>
        <w:t>heart defects and the other</w:t>
      </w:r>
      <w:r w:rsidR="002868D1">
        <w:rPr>
          <w:rFonts w:ascii="Times New Roman" w:hAnsi="Times New Roman" w:cs="Times New Roman" w:hint="eastAsia"/>
        </w:rPr>
        <w:t xml:space="preserve"> malformations</w:t>
      </w:r>
    </w:p>
    <w:p w:rsidR="00884187" w:rsidRDefault="00884187" w:rsidP="002868D1">
      <w:pPr>
        <w:widowControl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Figure S2 A. Heart defects; Figure S2</w:t>
      </w:r>
      <w:r w:rsidR="0000776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B. the other malformations.</w:t>
      </w:r>
      <w:proofErr w:type="gramEnd"/>
      <w:r>
        <w:rPr>
          <w:rFonts w:ascii="Times New Roman" w:hAnsi="Times New Roman" w:cs="Times New Roman" w:hint="eastAsia"/>
        </w:rPr>
        <w:t xml:space="preserve"> </w:t>
      </w:r>
    </w:p>
    <w:p w:rsidR="002868D1" w:rsidRDefault="002868D1" w:rsidP="002868D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The circle represents the mean of the predicted probability of congenital malformations and the error bar represents the 95% confidence interval.</w:t>
      </w:r>
    </w:p>
    <w:p w:rsidR="00463E3F" w:rsidRDefault="002868D1" w:rsidP="002868D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The red dotted line indicates the upper limit of the 95% CI in women who initiated </w:t>
      </w:r>
      <w:r w:rsidR="00007761">
        <w:rPr>
          <w:rFonts w:ascii="Times New Roman" w:hAnsi="Times New Roman" w:cs="Times New Roman" w:hint="eastAsia"/>
        </w:rPr>
        <w:t>folic acid after</w:t>
      </w:r>
      <w:r>
        <w:rPr>
          <w:rFonts w:ascii="Times New Roman" w:hAnsi="Times New Roman" w:cs="Times New Roman" w:hint="eastAsia"/>
        </w:rPr>
        <w:t xml:space="preserve"> pregnancy and </w:t>
      </w:r>
      <w:r>
        <w:rPr>
          <w:rFonts w:ascii="Times New Roman" w:hAnsi="Times New Roman" w:cs="Times New Roman"/>
        </w:rPr>
        <w:t>maintained</w:t>
      </w:r>
      <w:r>
        <w:rPr>
          <w:rFonts w:ascii="Times New Roman" w:hAnsi="Times New Roman" w:cs="Times New Roman" w:hint="eastAsia"/>
        </w:rPr>
        <w:t xml:space="preserve"> 2.5 months of duration.</w:t>
      </w:r>
    </w:p>
    <w:p w:rsidR="00463E3F" w:rsidRDefault="00463E3F" w:rsidP="00DA3374">
      <w:pPr>
        <w:widowControl/>
        <w:jc w:val="left"/>
        <w:rPr>
          <w:rFonts w:ascii="Times New Roman" w:hAnsi="Times New Roman" w:cs="Times New Roman"/>
        </w:rPr>
      </w:pPr>
    </w:p>
    <w:p w:rsidR="001239ED" w:rsidRDefault="002D53B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D53B4" w:rsidRDefault="00D63149" w:rsidP="002D53B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margin-left:135.15pt;margin-top:78.15pt;width:35.25pt;height:22.5pt;z-index:251660288" strokecolor="white [3212]">
            <v:textbox style="mso-next-textbox:#_x0000_s2053">
              <w:txbxContent>
                <w:p w:rsidR="0016465B" w:rsidRPr="00EB45F0" w:rsidRDefault="0016465B" w:rsidP="002D53B4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-2.</w:t>
                  </w:r>
                  <w:r>
                    <w:rPr>
                      <w:rFonts w:ascii="Times New Roman" w:hAnsi="Times New Roman" w:cs="Times New Roman" w:hint="eastAsia"/>
                    </w:rPr>
                    <w:t xml:space="preserve">2  </w:t>
                  </w:r>
                  <w:r w:rsidRPr="00EB45F0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xbxContent>
            </v:textbox>
          </v:shape>
        </w:pict>
      </w:r>
      <w:r w:rsidR="002D53B4" w:rsidRPr="00233338">
        <w:rPr>
          <w:rFonts w:ascii="Times New Roman" w:hAnsi="Times New Roman" w:cs="Times New Roman"/>
          <w:noProof/>
        </w:rPr>
        <w:drawing>
          <wp:inline distT="0" distB="0" distL="0" distR="0">
            <wp:extent cx="4572000" cy="3009900"/>
            <wp:effectExtent l="19050" t="0" r="19050" b="0"/>
            <wp:docPr id="2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53B4" w:rsidRDefault="002D53B4" w:rsidP="002D53B4">
      <w:pPr>
        <w:widowControl/>
        <w:jc w:val="left"/>
        <w:rPr>
          <w:rFonts w:ascii="Times New Roman" w:hAnsi="Times New Roman" w:cs="Times New Roman"/>
        </w:rPr>
      </w:pPr>
      <w:r w:rsidRPr="00233338">
        <w:rPr>
          <w:rFonts w:ascii="Times New Roman" w:hAnsi="Times New Roman" w:cs="Times New Roman"/>
          <w:noProof/>
        </w:rPr>
        <w:drawing>
          <wp:inline distT="0" distB="0" distL="0" distR="0">
            <wp:extent cx="4572000" cy="3009900"/>
            <wp:effectExtent l="19050" t="0" r="19050" b="0"/>
            <wp:docPr id="3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D53B4" w:rsidRDefault="002D53B4" w:rsidP="002D53B4">
      <w:pPr>
        <w:widowControl/>
        <w:jc w:val="left"/>
        <w:rPr>
          <w:rFonts w:ascii="Times New Roman" w:hAnsi="Times New Roman" w:cs="Times New Roman"/>
        </w:rPr>
      </w:pPr>
    </w:p>
    <w:p w:rsidR="002D53B4" w:rsidRDefault="002D53B4" w:rsidP="002D53B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70807">
        <w:rPr>
          <w:rFonts w:ascii="Times New Roman" w:hAnsi="Times New Roman" w:cs="Times New Roman" w:hint="eastAsia"/>
          <w:sz w:val="20"/>
          <w:szCs w:val="20"/>
        </w:rPr>
        <w:t xml:space="preserve">Figure 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r w:rsidR="00DC38AF">
        <w:rPr>
          <w:rFonts w:ascii="Times New Roman" w:hAnsi="Times New Roman" w:cs="Times New Roman" w:hint="eastAsia"/>
          <w:sz w:val="20"/>
          <w:szCs w:val="20"/>
        </w:rPr>
        <w:t>3</w:t>
      </w:r>
      <w:r w:rsidRPr="00170807">
        <w:rPr>
          <w:rFonts w:ascii="Times New Roman" w:hAnsi="Times New Roman" w:cs="Times New Roman" w:hint="eastAsia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 xml:space="preserve">Predictive probability of heart defects and the other </w:t>
      </w:r>
      <w:r w:rsidR="00A46FDD">
        <w:rPr>
          <w:rFonts w:ascii="Times New Roman" w:hAnsi="Times New Roman" w:cs="Times New Roman" w:hint="eastAsia"/>
          <w:sz w:val="20"/>
          <w:szCs w:val="20"/>
        </w:rPr>
        <w:t>malformations</w:t>
      </w:r>
      <w:r>
        <w:rPr>
          <w:rFonts w:ascii="Times New Roman" w:hAnsi="Times New Roman" w:cs="Times New Roman" w:hint="eastAsia"/>
          <w:sz w:val="20"/>
          <w:szCs w:val="20"/>
        </w:rPr>
        <w:t xml:space="preserve"> by </w:t>
      </w:r>
      <w:r w:rsidR="00A46FDD">
        <w:rPr>
          <w:rFonts w:ascii="Times New Roman" w:hAnsi="Times New Roman" w:cs="Times New Roman" w:hint="eastAsia"/>
          <w:sz w:val="20"/>
          <w:szCs w:val="20"/>
        </w:rPr>
        <w:t xml:space="preserve">the </w:t>
      </w:r>
      <w:r>
        <w:rPr>
          <w:rFonts w:ascii="Times New Roman" w:hAnsi="Times New Roman" w:cs="Times New Roman" w:hint="eastAsia"/>
          <w:sz w:val="20"/>
          <w:szCs w:val="20"/>
        </w:rPr>
        <w:t xml:space="preserve">initiation </w:t>
      </w:r>
      <w:r w:rsidR="00A46FDD">
        <w:rPr>
          <w:rFonts w:ascii="Times New Roman" w:hAnsi="Times New Roman" w:cs="Times New Roman" w:hint="eastAsia"/>
          <w:sz w:val="20"/>
          <w:szCs w:val="20"/>
        </w:rPr>
        <w:t>o</w:t>
      </w:r>
      <w:r>
        <w:rPr>
          <w:rFonts w:ascii="Times New Roman" w:hAnsi="Times New Roman" w:cs="Times New Roman" w:hint="eastAsia"/>
          <w:sz w:val="20"/>
          <w:szCs w:val="20"/>
        </w:rPr>
        <w:t>f folic acid supplementation</w:t>
      </w:r>
    </w:p>
    <w:p w:rsidR="002D53B4" w:rsidRDefault="004C442A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The pre</w:t>
      </w:r>
      <w:r w:rsidR="000E255C">
        <w:rPr>
          <w:rFonts w:ascii="Times New Roman" w:hAnsi="Times New Roman" w:cs="Times New Roman" w:hint="eastAsia"/>
          <w:sz w:val="18"/>
          <w:szCs w:val="18"/>
        </w:rPr>
        <w:t>dicted probability</w:t>
      </w:r>
      <w:r>
        <w:rPr>
          <w:rFonts w:ascii="Times New Roman" w:hAnsi="Times New Roman" w:cs="Times New Roman" w:hint="eastAsia"/>
          <w:sz w:val="18"/>
          <w:szCs w:val="18"/>
        </w:rPr>
        <w:t xml:space="preserve"> of heart defects was 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7.96 per 1000 </w:t>
      </w:r>
      <w:r>
        <w:rPr>
          <w:rFonts w:ascii="Times New Roman" w:hAnsi="Times New Roman" w:cs="Times New Roman" w:hint="eastAsia"/>
          <w:sz w:val="18"/>
          <w:szCs w:val="18"/>
        </w:rPr>
        <w:t xml:space="preserve">infants and 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1.59% </w:t>
      </w:r>
      <w:r w:rsidR="0079312D">
        <w:rPr>
          <w:rFonts w:ascii="Times New Roman" w:hAnsi="Times New Roman" w:cs="Times New Roman" w:hint="eastAsia"/>
          <w:sz w:val="18"/>
          <w:szCs w:val="18"/>
        </w:rPr>
        <w:t>for</w:t>
      </w:r>
      <w:r>
        <w:rPr>
          <w:rFonts w:ascii="Times New Roman" w:hAnsi="Times New Roman" w:cs="Times New Roman" w:hint="eastAsia"/>
          <w:sz w:val="18"/>
          <w:szCs w:val="18"/>
        </w:rPr>
        <w:t xml:space="preserve"> the other malformations</w:t>
      </w:r>
      <w:r w:rsidRPr="004C442A"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in women without the FAS</w:t>
      </w:r>
      <w:r w:rsidR="0079312D">
        <w:rPr>
          <w:rFonts w:ascii="Times New Roman" w:hAnsi="Times New Roman" w:cs="Times New Roman" w:hint="eastAsia"/>
          <w:sz w:val="18"/>
          <w:szCs w:val="18"/>
        </w:rPr>
        <w:t>, respectively.</w:t>
      </w:r>
    </w:p>
    <w:p w:rsidR="002D53B4" w:rsidRDefault="00C76138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Figure S</w:t>
      </w:r>
      <w:r w:rsidR="006100AD">
        <w:rPr>
          <w:rFonts w:ascii="Times New Roman" w:hAnsi="Times New Roman" w:cs="Times New Roman" w:hint="eastAsia"/>
          <w:sz w:val="18"/>
          <w:szCs w:val="18"/>
        </w:rPr>
        <w:t>3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 A congenital heart defects; </w:t>
      </w:r>
      <w:r>
        <w:rPr>
          <w:rFonts w:ascii="Times New Roman" w:hAnsi="Times New Roman" w:cs="Times New Roman" w:hint="eastAsia"/>
          <w:sz w:val="18"/>
          <w:szCs w:val="18"/>
        </w:rPr>
        <w:t>Figure S</w:t>
      </w:r>
      <w:r w:rsidR="006100AD">
        <w:rPr>
          <w:rFonts w:ascii="Times New Roman" w:hAnsi="Times New Roman" w:cs="Times New Roman" w:hint="eastAsia"/>
          <w:sz w:val="18"/>
          <w:szCs w:val="18"/>
        </w:rPr>
        <w:t>3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B </w:t>
      </w:r>
      <w:r>
        <w:rPr>
          <w:rFonts w:ascii="Times New Roman" w:hAnsi="Times New Roman" w:cs="Times New Roman" w:hint="eastAsia"/>
          <w:sz w:val="18"/>
          <w:szCs w:val="18"/>
        </w:rPr>
        <w:t>malformations other than heart defects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. </w:t>
      </w:r>
    </w:p>
    <w:p w:rsidR="00716B9B" w:rsidRDefault="00716B9B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716B9B">
        <w:rPr>
          <w:rFonts w:ascii="Times New Roman" w:hAnsi="Times New Roman" w:cs="Times New Roman" w:hint="eastAsia"/>
          <w:sz w:val="18"/>
          <w:szCs w:val="18"/>
        </w:rPr>
        <w:t xml:space="preserve">The tolerable risk was </w:t>
      </w:r>
      <w:r>
        <w:rPr>
          <w:rFonts w:ascii="Times New Roman" w:hAnsi="Times New Roman" w:cs="Times New Roman" w:hint="eastAsia"/>
          <w:sz w:val="18"/>
          <w:szCs w:val="18"/>
        </w:rPr>
        <w:t>3.634 per 1000 infants</w:t>
      </w:r>
      <w:r w:rsidRPr="00716B9B">
        <w:rPr>
          <w:rFonts w:ascii="Times New Roman" w:hAnsi="Times New Roman" w:cs="Times New Roman" w:hint="eastAsia"/>
          <w:sz w:val="18"/>
          <w:szCs w:val="18"/>
        </w:rPr>
        <w:t xml:space="preserve"> and 1.</w:t>
      </w:r>
      <w:r>
        <w:rPr>
          <w:rFonts w:ascii="Times New Roman" w:hAnsi="Times New Roman" w:cs="Times New Roman" w:hint="eastAsia"/>
          <w:sz w:val="18"/>
          <w:szCs w:val="18"/>
        </w:rPr>
        <w:t>165</w:t>
      </w:r>
      <w:r w:rsidRPr="00716B9B">
        <w:rPr>
          <w:rFonts w:ascii="Times New Roman" w:hAnsi="Times New Roman" w:cs="Times New Roman" w:hint="eastAsia"/>
          <w:sz w:val="18"/>
          <w:szCs w:val="18"/>
        </w:rPr>
        <w:t xml:space="preserve">% for the initiation and duration of </w:t>
      </w:r>
      <w:r w:rsidR="00C87AFA">
        <w:rPr>
          <w:rFonts w:ascii="Times New Roman" w:hAnsi="Times New Roman" w:cs="Times New Roman" w:hint="eastAsia"/>
          <w:sz w:val="18"/>
          <w:szCs w:val="18"/>
        </w:rPr>
        <w:t>folic acid supplementation</w:t>
      </w:r>
      <w:r w:rsidRPr="00716B9B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716B9B">
        <w:rPr>
          <w:rFonts w:ascii="Times New Roman" w:hAnsi="Times New Roman" w:cs="Times New Roman"/>
          <w:sz w:val="18"/>
          <w:szCs w:val="18"/>
        </w:rPr>
        <w:t>respectively</w:t>
      </w:r>
      <w:r w:rsidRPr="00716B9B">
        <w:rPr>
          <w:rFonts w:ascii="Times New Roman" w:hAnsi="Times New Roman" w:cs="Times New Roman" w:hint="eastAsia"/>
          <w:sz w:val="18"/>
          <w:szCs w:val="18"/>
        </w:rPr>
        <w:t>.</w:t>
      </w:r>
    </w:p>
    <w:p w:rsidR="002D53B4" w:rsidRDefault="002D53B4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C</w:t>
      </w:r>
      <w:r w:rsidRPr="00DE337A">
        <w:rPr>
          <w:rFonts w:ascii="Times New Roman" w:hAnsi="Times New Roman" w:cs="Times New Roman" w:hint="eastAsia"/>
          <w:sz w:val="18"/>
          <w:szCs w:val="18"/>
        </w:rPr>
        <w:t xml:space="preserve">ontrolling for </w:t>
      </w:r>
      <w:r w:rsidR="002C1138" w:rsidRPr="00FB25EB">
        <w:rPr>
          <w:rFonts w:ascii="Times New Roman" w:hAnsi="Times New Roman" w:cs="Times New Roman"/>
          <w:sz w:val="20"/>
          <w:szCs w:val="20"/>
        </w:rPr>
        <w:t xml:space="preserve">region, maternal age, ethnicity, parity, </w:t>
      </w:r>
      <w:r w:rsidR="002C1138"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="002C1138" w:rsidRPr="00FB25EB">
        <w:rPr>
          <w:rFonts w:ascii="Times New Roman" w:hAnsi="Times New Roman" w:cs="Times New Roman"/>
          <w:sz w:val="20"/>
          <w:szCs w:val="20"/>
        </w:rPr>
        <w:t>mode, education level</w:t>
      </w:r>
      <w:r w:rsidR="002C1138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2C1138">
        <w:rPr>
          <w:rFonts w:ascii="Times New Roman" w:hAnsi="Times New Roman" w:cs="Times New Roman"/>
          <w:sz w:val="20"/>
          <w:szCs w:val="20"/>
        </w:rPr>
        <w:t>family income</w:t>
      </w:r>
      <w:r w:rsidR="002C1138"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 w:rsidR="000925E6">
        <w:rPr>
          <w:rFonts w:ascii="Times New Roman" w:hAnsi="Times New Roman" w:cs="Times New Roman" w:hint="eastAsia"/>
          <w:sz w:val="20"/>
          <w:szCs w:val="20"/>
        </w:rPr>
        <w:t>condition</w:t>
      </w:r>
      <w:r w:rsidR="002C1138" w:rsidRPr="00FB25EB">
        <w:rPr>
          <w:rFonts w:ascii="Times New Roman" w:hAnsi="Times New Roman" w:cs="Times New Roman"/>
          <w:sz w:val="20"/>
          <w:szCs w:val="20"/>
        </w:rPr>
        <w:t>s</w:t>
      </w:r>
      <w:proofErr w:type="gramStart"/>
      <w:r w:rsidR="004F3E60">
        <w:rPr>
          <w:rFonts w:ascii="Times New Roman" w:hAnsi="Times New Roman" w:cs="Times New Roman" w:hint="eastAsia"/>
          <w:sz w:val="20"/>
          <w:szCs w:val="20"/>
        </w:rPr>
        <w:t>.</w:t>
      </w:r>
      <w:r w:rsidRPr="00DE337A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:rsidR="002D53B4" w:rsidRDefault="002D53B4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p w:rsidR="002D53B4" w:rsidRDefault="00D63149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2054" type="#_x0000_t202" style="position:absolute;margin-left:234.15pt;margin-top:67.65pt;width:30pt;height:20.25pt;z-index:251661312" strokecolor="white [3212]">
            <v:textbox style="mso-next-textbox:#_x0000_s2054">
              <w:txbxContent>
                <w:p w:rsidR="0016465B" w:rsidRPr="000B334F" w:rsidRDefault="0016465B" w:rsidP="002D53B4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4.</w:t>
                  </w:r>
                  <w:r>
                    <w:rPr>
                      <w:rFonts w:ascii="Times New Roman" w:hAnsi="Times New Roman" w:cs="Times New Roman" w:hint="eastAsia"/>
                    </w:rPr>
                    <w:t xml:space="preserve">7  </w:t>
                  </w:r>
                </w:p>
              </w:txbxContent>
            </v:textbox>
          </v:shape>
        </w:pict>
      </w:r>
      <w:r w:rsidR="002D53B4" w:rsidRPr="00233338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4572000" cy="2809875"/>
            <wp:effectExtent l="19050" t="0" r="19050" b="0"/>
            <wp:docPr id="4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53B4" w:rsidRDefault="00D63149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pict>
          <v:shape id="_x0000_s2056" type="#_x0000_t202" style="position:absolute;margin-left:329.15pt;margin-top:17.85pt;width:23.75pt;height:24.5pt;z-index:251662336" strokecolor="white [3212]">
            <v:textbox style="mso-next-textbox:#_x0000_s2056">
              <w:txbxContent>
                <w:p w:rsidR="0016465B" w:rsidRPr="00BF1BBB" w:rsidRDefault="0016465B">
                  <w:pPr>
                    <w:rPr>
                      <w:rFonts w:ascii="Times New Roman" w:hAnsi="Times New Roman" w:cs="Times New Roman"/>
                    </w:rPr>
                  </w:pPr>
                  <w:r w:rsidRPr="00BF1BBB">
                    <w:rPr>
                      <w:rFonts w:ascii="Times New Roman" w:hAnsi="Times New Roman" w:cs="Times New Roman"/>
                    </w:rPr>
                    <w:t>B</w:t>
                  </w:r>
                </w:p>
              </w:txbxContent>
            </v:textbox>
          </v:shape>
        </w:pict>
      </w:r>
      <w:r w:rsidR="007F2B3C" w:rsidRPr="007F2B3C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4572000" cy="2809875"/>
            <wp:effectExtent l="19050" t="0" r="19050" b="0"/>
            <wp:docPr id="9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D53B4" w:rsidRDefault="002D53B4" w:rsidP="002D53B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18"/>
          <w:szCs w:val="18"/>
        </w:rPr>
        <w:t>Figure S</w:t>
      </w:r>
      <w:r w:rsidR="00DC38AF">
        <w:rPr>
          <w:rFonts w:ascii="Times New Roman" w:hAnsi="Times New Roman" w:cs="Times New Roman" w:hint="eastAsia"/>
          <w:sz w:val="18"/>
          <w:szCs w:val="18"/>
        </w:rPr>
        <w:t>4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 xml:space="preserve">Predictive </w:t>
      </w:r>
      <w:r w:rsidR="00A46FDD">
        <w:rPr>
          <w:rFonts w:ascii="Times New Roman" w:hAnsi="Times New Roman" w:cs="Times New Roman" w:hint="eastAsia"/>
          <w:sz w:val="20"/>
          <w:szCs w:val="20"/>
        </w:rPr>
        <w:t>probability of</w:t>
      </w:r>
      <w:r>
        <w:rPr>
          <w:rFonts w:ascii="Times New Roman" w:hAnsi="Times New Roman" w:cs="Times New Roman" w:hint="eastAsia"/>
          <w:sz w:val="20"/>
          <w:szCs w:val="20"/>
        </w:rPr>
        <w:t xml:space="preserve"> heart defects and the other </w:t>
      </w:r>
      <w:r w:rsidR="00A46FDD">
        <w:rPr>
          <w:rFonts w:ascii="Times New Roman" w:hAnsi="Times New Roman" w:cs="Times New Roman" w:hint="eastAsia"/>
          <w:sz w:val="20"/>
          <w:szCs w:val="20"/>
        </w:rPr>
        <w:t>malformations</w:t>
      </w:r>
      <w:r>
        <w:rPr>
          <w:rFonts w:ascii="Times New Roman" w:hAnsi="Times New Roman" w:cs="Times New Roman" w:hint="eastAsia"/>
          <w:sz w:val="20"/>
          <w:szCs w:val="20"/>
        </w:rPr>
        <w:t xml:space="preserve"> by </w:t>
      </w:r>
      <w:r w:rsidR="00A46FDD">
        <w:rPr>
          <w:rFonts w:ascii="Times New Roman" w:hAnsi="Times New Roman" w:cs="Times New Roman" w:hint="eastAsia"/>
          <w:sz w:val="20"/>
          <w:szCs w:val="20"/>
        </w:rPr>
        <w:t xml:space="preserve">the </w:t>
      </w:r>
      <w:r>
        <w:rPr>
          <w:rFonts w:ascii="Times New Roman" w:hAnsi="Times New Roman" w:cs="Times New Roman" w:hint="eastAsia"/>
          <w:sz w:val="20"/>
          <w:szCs w:val="20"/>
        </w:rPr>
        <w:t xml:space="preserve">duration of folic acid </w:t>
      </w:r>
      <w:r w:rsidR="00A46FDD">
        <w:rPr>
          <w:rFonts w:ascii="Times New Roman" w:hAnsi="Times New Roman" w:cs="Times New Roman" w:hint="eastAsia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upplementation</w:t>
      </w:r>
    </w:p>
    <w:p w:rsidR="002D53B4" w:rsidRDefault="000E255C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The predicted probability</w:t>
      </w:r>
      <w:r w:rsidR="00A46FDD">
        <w:rPr>
          <w:rFonts w:ascii="Times New Roman" w:hAnsi="Times New Roman" w:cs="Times New Roman" w:hint="eastAsia"/>
          <w:sz w:val="18"/>
          <w:szCs w:val="18"/>
        </w:rPr>
        <w:t xml:space="preserve"> of heart defects was 7.96 per 1000 infants and 1.59% for the other malformations</w:t>
      </w:r>
      <w:r w:rsidR="00A46FDD" w:rsidRPr="004C442A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A46FDD">
        <w:rPr>
          <w:rFonts w:ascii="Times New Roman" w:hAnsi="Times New Roman" w:cs="Times New Roman" w:hint="eastAsia"/>
          <w:sz w:val="18"/>
          <w:szCs w:val="18"/>
        </w:rPr>
        <w:t>in women without the FAS, respectively.</w:t>
      </w:r>
    </w:p>
    <w:p w:rsidR="002D53B4" w:rsidRDefault="009569DD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Figure S</w:t>
      </w:r>
      <w:r w:rsidR="006100AD">
        <w:rPr>
          <w:rFonts w:ascii="Times New Roman" w:hAnsi="Times New Roman" w:cs="Times New Roman" w:hint="eastAsia"/>
          <w:sz w:val="18"/>
          <w:szCs w:val="18"/>
        </w:rPr>
        <w:t>4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A heart defects; </w:t>
      </w:r>
      <w:r>
        <w:rPr>
          <w:rFonts w:ascii="Times New Roman" w:hAnsi="Times New Roman" w:cs="Times New Roman" w:hint="eastAsia"/>
          <w:sz w:val="18"/>
          <w:szCs w:val="18"/>
        </w:rPr>
        <w:t>Figure S</w:t>
      </w:r>
      <w:r w:rsidR="006100AD">
        <w:rPr>
          <w:rFonts w:ascii="Times New Roman" w:hAnsi="Times New Roman" w:cs="Times New Roman" w:hint="eastAsia"/>
          <w:sz w:val="18"/>
          <w:szCs w:val="18"/>
        </w:rPr>
        <w:t>4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B the other </w:t>
      </w:r>
      <w:r>
        <w:rPr>
          <w:rFonts w:ascii="Times New Roman" w:hAnsi="Times New Roman" w:cs="Times New Roman" w:hint="eastAsia"/>
          <w:sz w:val="18"/>
          <w:szCs w:val="18"/>
        </w:rPr>
        <w:t>malformations</w:t>
      </w:r>
      <w:r w:rsidR="002D53B4">
        <w:rPr>
          <w:rFonts w:ascii="Times New Roman" w:hAnsi="Times New Roman" w:cs="Times New Roman" w:hint="eastAsia"/>
          <w:sz w:val="18"/>
          <w:szCs w:val="18"/>
        </w:rPr>
        <w:t xml:space="preserve"> </w:t>
      </w:r>
    </w:p>
    <w:p w:rsidR="00DA4E68" w:rsidRDefault="00DA4E68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716B9B">
        <w:rPr>
          <w:rFonts w:ascii="Times New Roman" w:hAnsi="Times New Roman" w:cs="Times New Roman" w:hint="eastAsia"/>
          <w:sz w:val="18"/>
          <w:szCs w:val="18"/>
        </w:rPr>
        <w:t xml:space="preserve">The tolerable risk was </w:t>
      </w:r>
      <w:r>
        <w:rPr>
          <w:rFonts w:ascii="Times New Roman" w:hAnsi="Times New Roman" w:cs="Times New Roman" w:hint="eastAsia"/>
          <w:sz w:val="18"/>
          <w:szCs w:val="18"/>
        </w:rPr>
        <w:t>3.</w:t>
      </w:r>
      <w:r w:rsidR="00947C5E">
        <w:rPr>
          <w:rFonts w:ascii="Times New Roman" w:hAnsi="Times New Roman" w:cs="Times New Roman" w:hint="eastAsia"/>
          <w:sz w:val="18"/>
          <w:szCs w:val="18"/>
        </w:rPr>
        <w:t>575</w:t>
      </w:r>
      <w:r>
        <w:rPr>
          <w:rFonts w:ascii="Times New Roman" w:hAnsi="Times New Roman" w:cs="Times New Roman" w:hint="eastAsia"/>
          <w:sz w:val="18"/>
          <w:szCs w:val="18"/>
        </w:rPr>
        <w:t xml:space="preserve"> per 1000 infants</w:t>
      </w:r>
      <w:r w:rsidRPr="00716B9B">
        <w:rPr>
          <w:rFonts w:ascii="Times New Roman" w:hAnsi="Times New Roman" w:cs="Times New Roman" w:hint="eastAsia"/>
          <w:sz w:val="18"/>
          <w:szCs w:val="18"/>
        </w:rPr>
        <w:t xml:space="preserve"> and 1.</w:t>
      </w:r>
      <w:r>
        <w:rPr>
          <w:rFonts w:ascii="Times New Roman" w:hAnsi="Times New Roman" w:cs="Times New Roman" w:hint="eastAsia"/>
          <w:sz w:val="18"/>
          <w:szCs w:val="18"/>
        </w:rPr>
        <w:t>1</w:t>
      </w:r>
      <w:r w:rsidR="00AF48ED">
        <w:rPr>
          <w:rFonts w:ascii="Times New Roman" w:hAnsi="Times New Roman" w:cs="Times New Roman" w:hint="eastAsia"/>
          <w:sz w:val="18"/>
          <w:szCs w:val="18"/>
        </w:rPr>
        <w:t>51</w:t>
      </w:r>
      <w:r w:rsidRPr="00716B9B">
        <w:rPr>
          <w:rFonts w:ascii="Times New Roman" w:hAnsi="Times New Roman" w:cs="Times New Roman" w:hint="eastAsia"/>
          <w:sz w:val="18"/>
          <w:szCs w:val="18"/>
        </w:rPr>
        <w:t xml:space="preserve">% for the initiation and duration of </w:t>
      </w:r>
      <w:r w:rsidR="002617B2">
        <w:rPr>
          <w:rFonts w:ascii="Times New Roman" w:hAnsi="Times New Roman" w:cs="Times New Roman" w:hint="eastAsia"/>
          <w:sz w:val="18"/>
          <w:szCs w:val="18"/>
        </w:rPr>
        <w:t>folic acid</w:t>
      </w:r>
      <w:r w:rsidRPr="00716B9B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716B9B">
        <w:rPr>
          <w:rFonts w:ascii="Times New Roman" w:hAnsi="Times New Roman" w:cs="Times New Roman"/>
          <w:sz w:val="18"/>
          <w:szCs w:val="18"/>
        </w:rPr>
        <w:t>respectively</w:t>
      </w:r>
    </w:p>
    <w:p w:rsidR="002D53B4" w:rsidRDefault="002D53B4" w:rsidP="002D53B4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C</w:t>
      </w:r>
      <w:r w:rsidRPr="00DE337A">
        <w:rPr>
          <w:rFonts w:ascii="Times New Roman" w:hAnsi="Times New Roman" w:cs="Times New Roman" w:hint="eastAsia"/>
          <w:sz w:val="18"/>
          <w:szCs w:val="18"/>
        </w:rPr>
        <w:t xml:space="preserve">ontrolling for </w:t>
      </w:r>
      <w:r w:rsidR="009569DD" w:rsidRPr="00FB25EB">
        <w:rPr>
          <w:rFonts w:ascii="Times New Roman" w:hAnsi="Times New Roman" w:cs="Times New Roman"/>
          <w:sz w:val="20"/>
          <w:szCs w:val="20"/>
        </w:rPr>
        <w:t xml:space="preserve">region, maternal age, ethnicity, parity, </w:t>
      </w:r>
      <w:r w:rsidR="009569DD"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="009569DD" w:rsidRPr="00FB25EB">
        <w:rPr>
          <w:rFonts w:ascii="Times New Roman" w:hAnsi="Times New Roman" w:cs="Times New Roman"/>
          <w:sz w:val="20"/>
          <w:szCs w:val="20"/>
        </w:rPr>
        <w:t>mode, education level</w:t>
      </w:r>
      <w:r w:rsidR="009569DD">
        <w:rPr>
          <w:rFonts w:ascii="Times New Roman" w:hAnsi="Times New Roman" w:cs="Times New Roman" w:hint="eastAsia"/>
          <w:sz w:val="20"/>
          <w:szCs w:val="20"/>
        </w:rPr>
        <w:t xml:space="preserve">, </w:t>
      </w:r>
      <w:proofErr w:type="gramStart"/>
      <w:r w:rsidR="009569DD">
        <w:rPr>
          <w:rFonts w:ascii="Times New Roman" w:hAnsi="Times New Roman" w:cs="Times New Roman"/>
          <w:sz w:val="20"/>
          <w:szCs w:val="20"/>
        </w:rPr>
        <w:t>family</w:t>
      </w:r>
      <w:proofErr w:type="gramEnd"/>
      <w:r w:rsidR="009569DD">
        <w:rPr>
          <w:rFonts w:ascii="Times New Roman" w:hAnsi="Times New Roman" w:cs="Times New Roman"/>
          <w:sz w:val="20"/>
          <w:szCs w:val="20"/>
        </w:rPr>
        <w:t xml:space="preserve"> income</w:t>
      </w:r>
      <w:r w:rsidR="009569DD"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 w:rsidR="002617B2">
        <w:rPr>
          <w:rFonts w:ascii="Times New Roman" w:hAnsi="Times New Roman" w:cs="Times New Roman" w:hint="eastAsia"/>
          <w:sz w:val="20"/>
          <w:szCs w:val="20"/>
        </w:rPr>
        <w:t>conditions</w:t>
      </w:r>
      <w:r w:rsidR="00001184">
        <w:rPr>
          <w:rFonts w:ascii="Times New Roman" w:hAnsi="Times New Roman" w:cs="Times New Roman" w:hint="eastAsia"/>
          <w:sz w:val="20"/>
          <w:szCs w:val="20"/>
        </w:rPr>
        <w:t>.</w:t>
      </w:r>
    </w:p>
    <w:p w:rsidR="00AE0B3B" w:rsidRDefault="00AE0B3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787B07" w:rsidRDefault="00787B07" w:rsidP="008D3E54">
      <w:pPr>
        <w:rPr>
          <w:rFonts w:ascii="Times New Roman" w:hAnsi="Times New Roman" w:cs="Times New Roman"/>
        </w:rPr>
      </w:pPr>
    </w:p>
    <w:sectPr w:rsidR="00787B07" w:rsidSect="00E03EF3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B60" w:rsidRDefault="003F3B60" w:rsidP="0063257D">
      <w:r>
        <w:separator/>
      </w:r>
    </w:p>
  </w:endnote>
  <w:endnote w:type="continuationSeparator" w:id="0">
    <w:p w:rsidR="003F3B60" w:rsidRDefault="003F3B60" w:rsidP="00632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B60" w:rsidRDefault="003F3B60" w:rsidP="0063257D">
      <w:r>
        <w:separator/>
      </w:r>
    </w:p>
  </w:footnote>
  <w:footnote w:type="continuationSeparator" w:id="0">
    <w:p w:rsidR="003F3B60" w:rsidRDefault="003F3B60" w:rsidP="006325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257D"/>
    <w:rsid w:val="00001184"/>
    <w:rsid w:val="00007761"/>
    <w:rsid w:val="000100E0"/>
    <w:rsid w:val="00013181"/>
    <w:rsid w:val="00014140"/>
    <w:rsid w:val="00015134"/>
    <w:rsid w:val="00016A0A"/>
    <w:rsid w:val="00021368"/>
    <w:rsid w:val="00022E06"/>
    <w:rsid w:val="00023794"/>
    <w:rsid w:val="00025DD0"/>
    <w:rsid w:val="00027F16"/>
    <w:rsid w:val="00031082"/>
    <w:rsid w:val="000330FB"/>
    <w:rsid w:val="00037788"/>
    <w:rsid w:val="00037A8D"/>
    <w:rsid w:val="000407A9"/>
    <w:rsid w:val="00041D5F"/>
    <w:rsid w:val="0005077F"/>
    <w:rsid w:val="00050C38"/>
    <w:rsid w:val="00051971"/>
    <w:rsid w:val="00051C7B"/>
    <w:rsid w:val="000536CC"/>
    <w:rsid w:val="0005378D"/>
    <w:rsid w:val="0005472D"/>
    <w:rsid w:val="00055394"/>
    <w:rsid w:val="00056DBB"/>
    <w:rsid w:val="00057DA6"/>
    <w:rsid w:val="00060746"/>
    <w:rsid w:val="000632C4"/>
    <w:rsid w:val="00063710"/>
    <w:rsid w:val="00064E54"/>
    <w:rsid w:val="00066EF2"/>
    <w:rsid w:val="00067E86"/>
    <w:rsid w:val="00070881"/>
    <w:rsid w:val="000731C7"/>
    <w:rsid w:val="00073A14"/>
    <w:rsid w:val="0007756F"/>
    <w:rsid w:val="00077B62"/>
    <w:rsid w:val="00077D16"/>
    <w:rsid w:val="00080111"/>
    <w:rsid w:val="00083186"/>
    <w:rsid w:val="00083E32"/>
    <w:rsid w:val="000849F0"/>
    <w:rsid w:val="00086CB4"/>
    <w:rsid w:val="00092066"/>
    <w:rsid w:val="000925E6"/>
    <w:rsid w:val="00092DD8"/>
    <w:rsid w:val="00093C2E"/>
    <w:rsid w:val="00094C29"/>
    <w:rsid w:val="0009789A"/>
    <w:rsid w:val="000A2F45"/>
    <w:rsid w:val="000A4806"/>
    <w:rsid w:val="000B1664"/>
    <w:rsid w:val="000B1E50"/>
    <w:rsid w:val="000B334F"/>
    <w:rsid w:val="000B4A83"/>
    <w:rsid w:val="000B5430"/>
    <w:rsid w:val="000B56C4"/>
    <w:rsid w:val="000B72B6"/>
    <w:rsid w:val="000C25C7"/>
    <w:rsid w:val="000C6763"/>
    <w:rsid w:val="000C6E95"/>
    <w:rsid w:val="000C796D"/>
    <w:rsid w:val="000D3F39"/>
    <w:rsid w:val="000E255C"/>
    <w:rsid w:val="000E673E"/>
    <w:rsid w:val="000E7321"/>
    <w:rsid w:val="000F2402"/>
    <w:rsid w:val="000F5013"/>
    <w:rsid w:val="000F58B8"/>
    <w:rsid w:val="00100B9E"/>
    <w:rsid w:val="00100EFB"/>
    <w:rsid w:val="00101BB8"/>
    <w:rsid w:val="001025BB"/>
    <w:rsid w:val="001039BF"/>
    <w:rsid w:val="00103CDC"/>
    <w:rsid w:val="001056E3"/>
    <w:rsid w:val="001102CB"/>
    <w:rsid w:val="00110E07"/>
    <w:rsid w:val="00113516"/>
    <w:rsid w:val="00114A66"/>
    <w:rsid w:val="00114C78"/>
    <w:rsid w:val="0012269D"/>
    <w:rsid w:val="00122D85"/>
    <w:rsid w:val="001239ED"/>
    <w:rsid w:val="00124656"/>
    <w:rsid w:val="00125524"/>
    <w:rsid w:val="00133C2E"/>
    <w:rsid w:val="00134A36"/>
    <w:rsid w:val="00143CF4"/>
    <w:rsid w:val="00145E36"/>
    <w:rsid w:val="001460CB"/>
    <w:rsid w:val="00150ADA"/>
    <w:rsid w:val="00157BA7"/>
    <w:rsid w:val="0016465B"/>
    <w:rsid w:val="00167DA4"/>
    <w:rsid w:val="00170807"/>
    <w:rsid w:val="00170D00"/>
    <w:rsid w:val="00170E01"/>
    <w:rsid w:val="00172328"/>
    <w:rsid w:val="00181F68"/>
    <w:rsid w:val="00183B5D"/>
    <w:rsid w:val="0019077B"/>
    <w:rsid w:val="001907B6"/>
    <w:rsid w:val="001916E7"/>
    <w:rsid w:val="00194180"/>
    <w:rsid w:val="0019593E"/>
    <w:rsid w:val="00196C69"/>
    <w:rsid w:val="001A1FC6"/>
    <w:rsid w:val="001A438D"/>
    <w:rsid w:val="001A49A6"/>
    <w:rsid w:val="001A6420"/>
    <w:rsid w:val="001B3CC8"/>
    <w:rsid w:val="001C3CC3"/>
    <w:rsid w:val="001C49E1"/>
    <w:rsid w:val="001C5DB0"/>
    <w:rsid w:val="001D0389"/>
    <w:rsid w:val="001D2085"/>
    <w:rsid w:val="001D21AF"/>
    <w:rsid w:val="001D3878"/>
    <w:rsid w:val="001E1CE2"/>
    <w:rsid w:val="001E2A5B"/>
    <w:rsid w:val="001E46EE"/>
    <w:rsid w:val="001F07FF"/>
    <w:rsid w:val="001F255A"/>
    <w:rsid w:val="001F412F"/>
    <w:rsid w:val="001F41C7"/>
    <w:rsid w:val="001F6158"/>
    <w:rsid w:val="00200D28"/>
    <w:rsid w:val="0020109D"/>
    <w:rsid w:val="0020215E"/>
    <w:rsid w:val="00202B72"/>
    <w:rsid w:val="00202E05"/>
    <w:rsid w:val="00204DF0"/>
    <w:rsid w:val="00206027"/>
    <w:rsid w:val="002065F5"/>
    <w:rsid w:val="00206E37"/>
    <w:rsid w:val="002169E2"/>
    <w:rsid w:val="00217A39"/>
    <w:rsid w:val="00220826"/>
    <w:rsid w:val="0022646D"/>
    <w:rsid w:val="00226694"/>
    <w:rsid w:val="00230FD5"/>
    <w:rsid w:val="00231694"/>
    <w:rsid w:val="00231AD2"/>
    <w:rsid w:val="00233338"/>
    <w:rsid w:val="002434F6"/>
    <w:rsid w:val="00245289"/>
    <w:rsid w:val="00245D88"/>
    <w:rsid w:val="00250266"/>
    <w:rsid w:val="002503AF"/>
    <w:rsid w:val="00253C7E"/>
    <w:rsid w:val="00257FCE"/>
    <w:rsid w:val="0026149A"/>
    <w:rsid w:val="002617B2"/>
    <w:rsid w:val="0027023F"/>
    <w:rsid w:val="00271EF2"/>
    <w:rsid w:val="002732C1"/>
    <w:rsid w:val="0027538B"/>
    <w:rsid w:val="00275957"/>
    <w:rsid w:val="00283623"/>
    <w:rsid w:val="00285086"/>
    <w:rsid w:val="002868D1"/>
    <w:rsid w:val="002871BE"/>
    <w:rsid w:val="0029058B"/>
    <w:rsid w:val="00290EB6"/>
    <w:rsid w:val="00294EB6"/>
    <w:rsid w:val="00295C1A"/>
    <w:rsid w:val="002A0BDE"/>
    <w:rsid w:val="002A1F08"/>
    <w:rsid w:val="002A6321"/>
    <w:rsid w:val="002B045B"/>
    <w:rsid w:val="002B13D4"/>
    <w:rsid w:val="002B1B93"/>
    <w:rsid w:val="002B5CBE"/>
    <w:rsid w:val="002B7428"/>
    <w:rsid w:val="002B776A"/>
    <w:rsid w:val="002C1138"/>
    <w:rsid w:val="002C1373"/>
    <w:rsid w:val="002C1D4C"/>
    <w:rsid w:val="002C28AA"/>
    <w:rsid w:val="002D1B68"/>
    <w:rsid w:val="002D1E8D"/>
    <w:rsid w:val="002D2730"/>
    <w:rsid w:val="002D531F"/>
    <w:rsid w:val="002D53B4"/>
    <w:rsid w:val="002D6300"/>
    <w:rsid w:val="002D648B"/>
    <w:rsid w:val="002D671F"/>
    <w:rsid w:val="002E02CA"/>
    <w:rsid w:val="002E1B96"/>
    <w:rsid w:val="002E2A3C"/>
    <w:rsid w:val="002E444E"/>
    <w:rsid w:val="002E7728"/>
    <w:rsid w:val="002E7EF4"/>
    <w:rsid w:val="002F0B51"/>
    <w:rsid w:val="002F4D5C"/>
    <w:rsid w:val="002F57A5"/>
    <w:rsid w:val="002F74FA"/>
    <w:rsid w:val="002F7843"/>
    <w:rsid w:val="002F7B0E"/>
    <w:rsid w:val="002F7FD2"/>
    <w:rsid w:val="003008CD"/>
    <w:rsid w:val="00301EFD"/>
    <w:rsid w:val="00304E35"/>
    <w:rsid w:val="00305324"/>
    <w:rsid w:val="00305E87"/>
    <w:rsid w:val="00311896"/>
    <w:rsid w:val="003125A2"/>
    <w:rsid w:val="0031629B"/>
    <w:rsid w:val="00316880"/>
    <w:rsid w:val="0031749F"/>
    <w:rsid w:val="00324BCD"/>
    <w:rsid w:val="00330058"/>
    <w:rsid w:val="00333264"/>
    <w:rsid w:val="00333882"/>
    <w:rsid w:val="00335446"/>
    <w:rsid w:val="00335B35"/>
    <w:rsid w:val="00336A1F"/>
    <w:rsid w:val="00337199"/>
    <w:rsid w:val="00347F13"/>
    <w:rsid w:val="00351B57"/>
    <w:rsid w:val="003568DD"/>
    <w:rsid w:val="00360DF2"/>
    <w:rsid w:val="0036165D"/>
    <w:rsid w:val="00361A60"/>
    <w:rsid w:val="00362DAF"/>
    <w:rsid w:val="003702B9"/>
    <w:rsid w:val="00373D2F"/>
    <w:rsid w:val="00375C16"/>
    <w:rsid w:val="00380A11"/>
    <w:rsid w:val="00381751"/>
    <w:rsid w:val="00381A01"/>
    <w:rsid w:val="0038302A"/>
    <w:rsid w:val="00385151"/>
    <w:rsid w:val="00385259"/>
    <w:rsid w:val="0039067F"/>
    <w:rsid w:val="003908FA"/>
    <w:rsid w:val="003919FA"/>
    <w:rsid w:val="0039253E"/>
    <w:rsid w:val="00392C0D"/>
    <w:rsid w:val="00393CFC"/>
    <w:rsid w:val="00394547"/>
    <w:rsid w:val="00396F81"/>
    <w:rsid w:val="00397C42"/>
    <w:rsid w:val="003A13A1"/>
    <w:rsid w:val="003A13E0"/>
    <w:rsid w:val="003A28E1"/>
    <w:rsid w:val="003A35FD"/>
    <w:rsid w:val="003B50B8"/>
    <w:rsid w:val="003B78F9"/>
    <w:rsid w:val="003B7FC5"/>
    <w:rsid w:val="003C15B3"/>
    <w:rsid w:val="003C44E1"/>
    <w:rsid w:val="003C4CF6"/>
    <w:rsid w:val="003D45E9"/>
    <w:rsid w:val="003D4DA4"/>
    <w:rsid w:val="003D6F14"/>
    <w:rsid w:val="003E038F"/>
    <w:rsid w:val="003E1644"/>
    <w:rsid w:val="003E188A"/>
    <w:rsid w:val="003E229A"/>
    <w:rsid w:val="003E25DE"/>
    <w:rsid w:val="003E489A"/>
    <w:rsid w:val="003F2110"/>
    <w:rsid w:val="003F2DC1"/>
    <w:rsid w:val="003F2F07"/>
    <w:rsid w:val="003F3B60"/>
    <w:rsid w:val="00400D99"/>
    <w:rsid w:val="00407162"/>
    <w:rsid w:val="004101FB"/>
    <w:rsid w:val="00412537"/>
    <w:rsid w:val="00414968"/>
    <w:rsid w:val="0041664C"/>
    <w:rsid w:val="004174D5"/>
    <w:rsid w:val="0042254D"/>
    <w:rsid w:val="00422D67"/>
    <w:rsid w:val="0042322B"/>
    <w:rsid w:val="00427CE1"/>
    <w:rsid w:val="00431CF0"/>
    <w:rsid w:val="00433B75"/>
    <w:rsid w:val="00433F05"/>
    <w:rsid w:val="004351FE"/>
    <w:rsid w:val="00435EAD"/>
    <w:rsid w:val="00446EB3"/>
    <w:rsid w:val="00452984"/>
    <w:rsid w:val="0045335E"/>
    <w:rsid w:val="004550DE"/>
    <w:rsid w:val="0046049F"/>
    <w:rsid w:val="004617A0"/>
    <w:rsid w:val="0046333E"/>
    <w:rsid w:val="00463E3F"/>
    <w:rsid w:val="004661E5"/>
    <w:rsid w:val="00471243"/>
    <w:rsid w:val="00472862"/>
    <w:rsid w:val="00473990"/>
    <w:rsid w:val="004741D3"/>
    <w:rsid w:val="004744D5"/>
    <w:rsid w:val="004747DE"/>
    <w:rsid w:val="00474E99"/>
    <w:rsid w:val="00477FAB"/>
    <w:rsid w:val="00482B70"/>
    <w:rsid w:val="0048620B"/>
    <w:rsid w:val="00486D76"/>
    <w:rsid w:val="00486EAE"/>
    <w:rsid w:val="00487C6E"/>
    <w:rsid w:val="004911AD"/>
    <w:rsid w:val="00491951"/>
    <w:rsid w:val="004924DE"/>
    <w:rsid w:val="004A03E0"/>
    <w:rsid w:val="004A1B40"/>
    <w:rsid w:val="004A26D5"/>
    <w:rsid w:val="004A6441"/>
    <w:rsid w:val="004A7B24"/>
    <w:rsid w:val="004B00E8"/>
    <w:rsid w:val="004B1109"/>
    <w:rsid w:val="004B38DD"/>
    <w:rsid w:val="004B6DB0"/>
    <w:rsid w:val="004C19C1"/>
    <w:rsid w:val="004C389B"/>
    <w:rsid w:val="004C442A"/>
    <w:rsid w:val="004D1DC7"/>
    <w:rsid w:val="004D231E"/>
    <w:rsid w:val="004D49A3"/>
    <w:rsid w:val="004D5A4C"/>
    <w:rsid w:val="004D7074"/>
    <w:rsid w:val="004E02DC"/>
    <w:rsid w:val="004E107B"/>
    <w:rsid w:val="004E183F"/>
    <w:rsid w:val="004E2189"/>
    <w:rsid w:val="004E3839"/>
    <w:rsid w:val="004E6126"/>
    <w:rsid w:val="004E765E"/>
    <w:rsid w:val="004F28ED"/>
    <w:rsid w:val="004F2C6D"/>
    <w:rsid w:val="004F3002"/>
    <w:rsid w:val="004F3E60"/>
    <w:rsid w:val="005005F7"/>
    <w:rsid w:val="00503855"/>
    <w:rsid w:val="00504EF0"/>
    <w:rsid w:val="005052B6"/>
    <w:rsid w:val="00505459"/>
    <w:rsid w:val="00505A64"/>
    <w:rsid w:val="005079DF"/>
    <w:rsid w:val="0051007A"/>
    <w:rsid w:val="00512BA9"/>
    <w:rsid w:val="00513865"/>
    <w:rsid w:val="00516CDC"/>
    <w:rsid w:val="005216A9"/>
    <w:rsid w:val="00521E8D"/>
    <w:rsid w:val="0052370D"/>
    <w:rsid w:val="00524734"/>
    <w:rsid w:val="005257B2"/>
    <w:rsid w:val="00526EDC"/>
    <w:rsid w:val="00527D60"/>
    <w:rsid w:val="00530DC2"/>
    <w:rsid w:val="00534BF4"/>
    <w:rsid w:val="0054060B"/>
    <w:rsid w:val="0054090C"/>
    <w:rsid w:val="0054336D"/>
    <w:rsid w:val="005437A7"/>
    <w:rsid w:val="00546FA4"/>
    <w:rsid w:val="0055256A"/>
    <w:rsid w:val="00562582"/>
    <w:rsid w:val="00563DE0"/>
    <w:rsid w:val="00566A5A"/>
    <w:rsid w:val="005672E6"/>
    <w:rsid w:val="005673E3"/>
    <w:rsid w:val="00570417"/>
    <w:rsid w:val="0057681A"/>
    <w:rsid w:val="00576C8B"/>
    <w:rsid w:val="00577B95"/>
    <w:rsid w:val="00582566"/>
    <w:rsid w:val="00585405"/>
    <w:rsid w:val="0058554F"/>
    <w:rsid w:val="005857CB"/>
    <w:rsid w:val="00587704"/>
    <w:rsid w:val="00591DC1"/>
    <w:rsid w:val="005947C8"/>
    <w:rsid w:val="005948AA"/>
    <w:rsid w:val="00596F6F"/>
    <w:rsid w:val="00597708"/>
    <w:rsid w:val="00597BC1"/>
    <w:rsid w:val="005A0F87"/>
    <w:rsid w:val="005A28CF"/>
    <w:rsid w:val="005A5E11"/>
    <w:rsid w:val="005A60A0"/>
    <w:rsid w:val="005A6DD7"/>
    <w:rsid w:val="005B4385"/>
    <w:rsid w:val="005B4F11"/>
    <w:rsid w:val="005B530B"/>
    <w:rsid w:val="005B6033"/>
    <w:rsid w:val="005B74D6"/>
    <w:rsid w:val="005D10C5"/>
    <w:rsid w:val="005D5670"/>
    <w:rsid w:val="005D62AA"/>
    <w:rsid w:val="005D62EE"/>
    <w:rsid w:val="005D7A1D"/>
    <w:rsid w:val="005E343F"/>
    <w:rsid w:val="005E646C"/>
    <w:rsid w:val="005F13A9"/>
    <w:rsid w:val="005F1775"/>
    <w:rsid w:val="005F2142"/>
    <w:rsid w:val="005F222A"/>
    <w:rsid w:val="00602A16"/>
    <w:rsid w:val="006100AD"/>
    <w:rsid w:val="00610B21"/>
    <w:rsid w:val="00613F8F"/>
    <w:rsid w:val="00617C43"/>
    <w:rsid w:val="00626398"/>
    <w:rsid w:val="00627F3C"/>
    <w:rsid w:val="0063257D"/>
    <w:rsid w:val="00634400"/>
    <w:rsid w:val="00637E4A"/>
    <w:rsid w:val="00642482"/>
    <w:rsid w:val="00643CFF"/>
    <w:rsid w:val="006448BF"/>
    <w:rsid w:val="0065194C"/>
    <w:rsid w:val="0065632C"/>
    <w:rsid w:val="00660924"/>
    <w:rsid w:val="006627FD"/>
    <w:rsid w:val="006635E7"/>
    <w:rsid w:val="00663C18"/>
    <w:rsid w:val="00664DAA"/>
    <w:rsid w:val="0066561C"/>
    <w:rsid w:val="00666510"/>
    <w:rsid w:val="006712F3"/>
    <w:rsid w:val="00671FA3"/>
    <w:rsid w:val="0067372E"/>
    <w:rsid w:val="00674A8C"/>
    <w:rsid w:val="00677D1D"/>
    <w:rsid w:val="006811EB"/>
    <w:rsid w:val="00682959"/>
    <w:rsid w:val="006861A4"/>
    <w:rsid w:val="00686BD5"/>
    <w:rsid w:val="00687126"/>
    <w:rsid w:val="0069132E"/>
    <w:rsid w:val="00691708"/>
    <w:rsid w:val="00691A47"/>
    <w:rsid w:val="006937F9"/>
    <w:rsid w:val="00696594"/>
    <w:rsid w:val="006965EB"/>
    <w:rsid w:val="006A0141"/>
    <w:rsid w:val="006A2B2C"/>
    <w:rsid w:val="006A3414"/>
    <w:rsid w:val="006A3455"/>
    <w:rsid w:val="006A53EA"/>
    <w:rsid w:val="006A62CA"/>
    <w:rsid w:val="006A738E"/>
    <w:rsid w:val="006B35AF"/>
    <w:rsid w:val="006B624D"/>
    <w:rsid w:val="006B6C2C"/>
    <w:rsid w:val="006C086E"/>
    <w:rsid w:val="006C1CB0"/>
    <w:rsid w:val="006C2227"/>
    <w:rsid w:val="006C58D3"/>
    <w:rsid w:val="006C6596"/>
    <w:rsid w:val="006C6665"/>
    <w:rsid w:val="006D25F4"/>
    <w:rsid w:val="006D2774"/>
    <w:rsid w:val="006D3872"/>
    <w:rsid w:val="006D6294"/>
    <w:rsid w:val="006D634F"/>
    <w:rsid w:val="006D6A12"/>
    <w:rsid w:val="006E4664"/>
    <w:rsid w:val="006F3A6F"/>
    <w:rsid w:val="006F5B06"/>
    <w:rsid w:val="006F7ACD"/>
    <w:rsid w:val="007003CC"/>
    <w:rsid w:val="00700BE1"/>
    <w:rsid w:val="0070509B"/>
    <w:rsid w:val="00707B75"/>
    <w:rsid w:val="00707C84"/>
    <w:rsid w:val="0071148A"/>
    <w:rsid w:val="00713A39"/>
    <w:rsid w:val="00715C38"/>
    <w:rsid w:val="00716B9B"/>
    <w:rsid w:val="007228AD"/>
    <w:rsid w:val="00724312"/>
    <w:rsid w:val="00725502"/>
    <w:rsid w:val="007263FF"/>
    <w:rsid w:val="0073091C"/>
    <w:rsid w:val="00730C61"/>
    <w:rsid w:val="0073226A"/>
    <w:rsid w:val="007405AA"/>
    <w:rsid w:val="0074126E"/>
    <w:rsid w:val="00741A52"/>
    <w:rsid w:val="00744824"/>
    <w:rsid w:val="007500BF"/>
    <w:rsid w:val="00750C3A"/>
    <w:rsid w:val="007518DF"/>
    <w:rsid w:val="0075194B"/>
    <w:rsid w:val="0075525E"/>
    <w:rsid w:val="007567B6"/>
    <w:rsid w:val="0076354D"/>
    <w:rsid w:val="007661DC"/>
    <w:rsid w:val="00767849"/>
    <w:rsid w:val="00771628"/>
    <w:rsid w:val="00776986"/>
    <w:rsid w:val="00776EC7"/>
    <w:rsid w:val="00777BBE"/>
    <w:rsid w:val="0078010C"/>
    <w:rsid w:val="007812E1"/>
    <w:rsid w:val="00781536"/>
    <w:rsid w:val="00785C58"/>
    <w:rsid w:val="00787B07"/>
    <w:rsid w:val="00791B6C"/>
    <w:rsid w:val="007924A2"/>
    <w:rsid w:val="0079312D"/>
    <w:rsid w:val="0079410E"/>
    <w:rsid w:val="007A558C"/>
    <w:rsid w:val="007B21C4"/>
    <w:rsid w:val="007C267C"/>
    <w:rsid w:val="007C3747"/>
    <w:rsid w:val="007D20A9"/>
    <w:rsid w:val="007D238C"/>
    <w:rsid w:val="007D2897"/>
    <w:rsid w:val="007D3287"/>
    <w:rsid w:val="007D6A70"/>
    <w:rsid w:val="007E197E"/>
    <w:rsid w:val="007E2A3F"/>
    <w:rsid w:val="007E32AE"/>
    <w:rsid w:val="007F29E4"/>
    <w:rsid w:val="007F2B3C"/>
    <w:rsid w:val="007F3B4D"/>
    <w:rsid w:val="007F41A1"/>
    <w:rsid w:val="007F7E9D"/>
    <w:rsid w:val="00801B86"/>
    <w:rsid w:val="00802FD5"/>
    <w:rsid w:val="00804621"/>
    <w:rsid w:val="00804940"/>
    <w:rsid w:val="008102E3"/>
    <w:rsid w:val="00813145"/>
    <w:rsid w:val="00816AB6"/>
    <w:rsid w:val="008171E5"/>
    <w:rsid w:val="00824545"/>
    <w:rsid w:val="00834111"/>
    <w:rsid w:val="00834541"/>
    <w:rsid w:val="008350CB"/>
    <w:rsid w:val="00842185"/>
    <w:rsid w:val="00851F52"/>
    <w:rsid w:val="008520C1"/>
    <w:rsid w:val="008521F1"/>
    <w:rsid w:val="00855589"/>
    <w:rsid w:val="00856800"/>
    <w:rsid w:val="0085768B"/>
    <w:rsid w:val="00861EFE"/>
    <w:rsid w:val="00863136"/>
    <w:rsid w:val="008659BF"/>
    <w:rsid w:val="00867683"/>
    <w:rsid w:val="008742D2"/>
    <w:rsid w:val="008750E9"/>
    <w:rsid w:val="00875174"/>
    <w:rsid w:val="00880D56"/>
    <w:rsid w:val="00882048"/>
    <w:rsid w:val="00884187"/>
    <w:rsid w:val="00887A71"/>
    <w:rsid w:val="00891D69"/>
    <w:rsid w:val="00892603"/>
    <w:rsid w:val="00893711"/>
    <w:rsid w:val="00897624"/>
    <w:rsid w:val="008A2031"/>
    <w:rsid w:val="008A7D3C"/>
    <w:rsid w:val="008B5B30"/>
    <w:rsid w:val="008B5EF0"/>
    <w:rsid w:val="008C34A6"/>
    <w:rsid w:val="008C3F95"/>
    <w:rsid w:val="008D0622"/>
    <w:rsid w:val="008D3E54"/>
    <w:rsid w:val="008D3F14"/>
    <w:rsid w:val="008D553E"/>
    <w:rsid w:val="008D5856"/>
    <w:rsid w:val="008D5F75"/>
    <w:rsid w:val="008E0D3C"/>
    <w:rsid w:val="008E34F4"/>
    <w:rsid w:val="008E54C8"/>
    <w:rsid w:val="008F23CC"/>
    <w:rsid w:val="008F4317"/>
    <w:rsid w:val="00900C6F"/>
    <w:rsid w:val="00905B5E"/>
    <w:rsid w:val="00906B79"/>
    <w:rsid w:val="0091308A"/>
    <w:rsid w:val="00915CE1"/>
    <w:rsid w:val="00917486"/>
    <w:rsid w:val="00922A05"/>
    <w:rsid w:val="00922E7F"/>
    <w:rsid w:val="00923C0C"/>
    <w:rsid w:val="00924E2A"/>
    <w:rsid w:val="009276F2"/>
    <w:rsid w:val="009349A8"/>
    <w:rsid w:val="00935EF2"/>
    <w:rsid w:val="009363F3"/>
    <w:rsid w:val="009369CF"/>
    <w:rsid w:val="00941698"/>
    <w:rsid w:val="00944A6C"/>
    <w:rsid w:val="00947356"/>
    <w:rsid w:val="00947A84"/>
    <w:rsid w:val="00947C5E"/>
    <w:rsid w:val="00950068"/>
    <w:rsid w:val="00952931"/>
    <w:rsid w:val="009569DD"/>
    <w:rsid w:val="0096035C"/>
    <w:rsid w:val="00961168"/>
    <w:rsid w:val="00963361"/>
    <w:rsid w:val="009651DB"/>
    <w:rsid w:val="00971C83"/>
    <w:rsid w:val="00972C5A"/>
    <w:rsid w:val="00972CEA"/>
    <w:rsid w:val="0097382E"/>
    <w:rsid w:val="009740E0"/>
    <w:rsid w:val="00974741"/>
    <w:rsid w:val="00981A8C"/>
    <w:rsid w:val="009823AA"/>
    <w:rsid w:val="009871F3"/>
    <w:rsid w:val="00990128"/>
    <w:rsid w:val="0099124E"/>
    <w:rsid w:val="00991CD8"/>
    <w:rsid w:val="0099622D"/>
    <w:rsid w:val="009962D8"/>
    <w:rsid w:val="00997239"/>
    <w:rsid w:val="009A0BBF"/>
    <w:rsid w:val="009A3925"/>
    <w:rsid w:val="009B13BB"/>
    <w:rsid w:val="009B1A7B"/>
    <w:rsid w:val="009B4674"/>
    <w:rsid w:val="009B47C7"/>
    <w:rsid w:val="009C1DCB"/>
    <w:rsid w:val="009C25D6"/>
    <w:rsid w:val="009C3873"/>
    <w:rsid w:val="009C6328"/>
    <w:rsid w:val="009C6C31"/>
    <w:rsid w:val="009D0830"/>
    <w:rsid w:val="009D2326"/>
    <w:rsid w:val="009D2A1A"/>
    <w:rsid w:val="009D37B9"/>
    <w:rsid w:val="009D6BD7"/>
    <w:rsid w:val="009E068F"/>
    <w:rsid w:val="009E1737"/>
    <w:rsid w:val="009E4D27"/>
    <w:rsid w:val="009E7277"/>
    <w:rsid w:val="009F07A1"/>
    <w:rsid w:val="009F2D20"/>
    <w:rsid w:val="009F67D4"/>
    <w:rsid w:val="009F6B20"/>
    <w:rsid w:val="00A00D74"/>
    <w:rsid w:val="00A0385D"/>
    <w:rsid w:val="00A05454"/>
    <w:rsid w:val="00A1000D"/>
    <w:rsid w:val="00A11420"/>
    <w:rsid w:val="00A1312D"/>
    <w:rsid w:val="00A1528D"/>
    <w:rsid w:val="00A20DF5"/>
    <w:rsid w:val="00A21744"/>
    <w:rsid w:val="00A22272"/>
    <w:rsid w:val="00A2299A"/>
    <w:rsid w:val="00A232C7"/>
    <w:rsid w:val="00A23C0D"/>
    <w:rsid w:val="00A3146C"/>
    <w:rsid w:val="00A376E3"/>
    <w:rsid w:val="00A4299C"/>
    <w:rsid w:val="00A45065"/>
    <w:rsid w:val="00A46FDD"/>
    <w:rsid w:val="00A470F0"/>
    <w:rsid w:val="00A51349"/>
    <w:rsid w:val="00A51942"/>
    <w:rsid w:val="00A523F3"/>
    <w:rsid w:val="00A52609"/>
    <w:rsid w:val="00A609C9"/>
    <w:rsid w:val="00A630BA"/>
    <w:rsid w:val="00A67EAF"/>
    <w:rsid w:val="00A7208E"/>
    <w:rsid w:val="00A74571"/>
    <w:rsid w:val="00A74FDD"/>
    <w:rsid w:val="00A76BD8"/>
    <w:rsid w:val="00A80ABC"/>
    <w:rsid w:val="00A82A44"/>
    <w:rsid w:val="00A8478C"/>
    <w:rsid w:val="00A84FE9"/>
    <w:rsid w:val="00A85806"/>
    <w:rsid w:val="00A85D64"/>
    <w:rsid w:val="00A921A6"/>
    <w:rsid w:val="00A93A25"/>
    <w:rsid w:val="00A94DEA"/>
    <w:rsid w:val="00A94E43"/>
    <w:rsid w:val="00A95FC0"/>
    <w:rsid w:val="00AA0350"/>
    <w:rsid w:val="00AA1E59"/>
    <w:rsid w:val="00AA2F69"/>
    <w:rsid w:val="00AA36E4"/>
    <w:rsid w:val="00AA41F3"/>
    <w:rsid w:val="00AA4946"/>
    <w:rsid w:val="00AA7057"/>
    <w:rsid w:val="00AB021D"/>
    <w:rsid w:val="00AB7CD9"/>
    <w:rsid w:val="00AC2A58"/>
    <w:rsid w:val="00AD16BF"/>
    <w:rsid w:val="00AD3138"/>
    <w:rsid w:val="00AD4CB2"/>
    <w:rsid w:val="00AD4CFA"/>
    <w:rsid w:val="00AD5481"/>
    <w:rsid w:val="00AD6C5F"/>
    <w:rsid w:val="00AD7987"/>
    <w:rsid w:val="00AE01AB"/>
    <w:rsid w:val="00AE0B3B"/>
    <w:rsid w:val="00AE1067"/>
    <w:rsid w:val="00AE1B76"/>
    <w:rsid w:val="00AE5186"/>
    <w:rsid w:val="00AF2B91"/>
    <w:rsid w:val="00AF48ED"/>
    <w:rsid w:val="00AF581B"/>
    <w:rsid w:val="00AF7F3B"/>
    <w:rsid w:val="00B008A7"/>
    <w:rsid w:val="00B00ADE"/>
    <w:rsid w:val="00B037C7"/>
    <w:rsid w:val="00B054BE"/>
    <w:rsid w:val="00B137ED"/>
    <w:rsid w:val="00B15495"/>
    <w:rsid w:val="00B173BA"/>
    <w:rsid w:val="00B2243D"/>
    <w:rsid w:val="00B22A7A"/>
    <w:rsid w:val="00B25078"/>
    <w:rsid w:val="00B254AC"/>
    <w:rsid w:val="00B27555"/>
    <w:rsid w:val="00B32FFF"/>
    <w:rsid w:val="00B35DDB"/>
    <w:rsid w:val="00B364DE"/>
    <w:rsid w:val="00B367B8"/>
    <w:rsid w:val="00B369F7"/>
    <w:rsid w:val="00B37037"/>
    <w:rsid w:val="00B37E3A"/>
    <w:rsid w:val="00B40147"/>
    <w:rsid w:val="00B4049B"/>
    <w:rsid w:val="00B43198"/>
    <w:rsid w:val="00B443B1"/>
    <w:rsid w:val="00B46E03"/>
    <w:rsid w:val="00B52180"/>
    <w:rsid w:val="00B52E9E"/>
    <w:rsid w:val="00B53668"/>
    <w:rsid w:val="00B56562"/>
    <w:rsid w:val="00B5714B"/>
    <w:rsid w:val="00B60DFC"/>
    <w:rsid w:val="00B62F0C"/>
    <w:rsid w:val="00B67DCE"/>
    <w:rsid w:val="00B7006A"/>
    <w:rsid w:val="00B72348"/>
    <w:rsid w:val="00B74420"/>
    <w:rsid w:val="00B754B3"/>
    <w:rsid w:val="00B8052E"/>
    <w:rsid w:val="00B85705"/>
    <w:rsid w:val="00B85E4F"/>
    <w:rsid w:val="00B867CA"/>
    <w:rsid w:val="00B873CA"/>
    <w:rsid w:val="00B87EAF"/>
    <w:rsid w:val="00B90C20"/>
    <w:rsid w:val="00B91A3C"/>
    <w:rsid w:val="00B93743"/>
    <w:rsid w:val="00B954B3"/>
    <w:rsid w:val="00BA1E18"/>
    <w:rsid w:val="00BA73C0"/>
    <w:rsid w:val="00BC5F44"/>
    <w:rsid w:val="00BD180C"/>
    <w:rsid w:val="00BD2D9E"/>
    <w:rsid w:val="00BD380B"/>
    <w:rsid w:val="00BD3A18"/>
    <w:rsid w:val="00BD5657"/>
    <w:rsid w:val="00BE01E6"/>
    <w:rsid w:val="00BE2B45"/>
    <w:rsid w:val="00BE472C"/>
    <w:rsid w:val="00BE4B8C"/>
    <w:rsid w:val="00BF1BBB"/>
    <w:rsid w:val="00BF1FEE"/>
    <w:rsid w:val="00BF2829"/>
    <w:rsid w:val="00BF2B10"/>
    <w:rsid w:val="00BF4C2D"/>
    <w:rsid w:val="00C00C6E"/>
    <w:rsid w:val="00C03AE0"/>
    <w:rsid w:val="00C0562E"/>
    <w:rsid w:val="00C05D39"/>
    <w:rsid w:val="00C06D82"/>
    <w:rsid w:val="00C07F97"/>
    <w:rsid w:val="00C125D2"/>
    <w:rsid w:val="00C12632"/>
    <w:rsid w:val="00C14185"/>
    <w:rsid w:val="00C1498D"/>
    <w:rsid w:val="00C16C4A"/>
    <w:rsid w:val="00C17F01"/>
    <w:rsid w:val="00C21E8A"/>
    <w:rsid w:val="00C25580"/>
    <w:rsid w:val="00C25D06"/>
    <w:rsid w:val="00C35E04"/>
    <w:rsid w:val="00C36735"/>
    <w:rsid w:val="00C36B5D"/>
    <w:rsid w:val="00C373D8"/>
    <w:rsid w:val="00C40983"/>
    <w:rsid w:val="00C4135E"/>
    <w:rsid w:val="00C416D3"/>
    <w:rsid w:val="00C41D37"/>
    <w:rsid w:val="00C42B14"/>
    <w:rsid w:val="00C43B9F"/>
    <w:rsid w:val="00C448F9"/>
    <w:rsid w:val="00C501C0"/>
    <w:rsid w:val="00C50F04"/>
    <w:rsid w:val="00C51BCD"/>
    <w:rsid w:val="00C52992"/>
    <w:rsid w:val="00C6199F"/>
    <w:rsid w:val="00C65237"/>
    <w:rsid w:val="00C67383"/>
    <w:rsid w:val="00C71B1E"/>
    <w:rsid w:val="00C76138"/>
    <w:rsid w:val="00C76463"/>
    <w:rsid w:val="00C76E0F"/>
    <w:rsid w:val="00C77E7E"/>
    <w:rsid w:val="00C81275"/>
    <w:rsid w:val="00C8160D"/>
    <w:rsid w:val="00C83F14"/>
    <w:rsid w:val="00C87AFA"/>
    <w:rsid w:val="00C93CDF"/>
    <w:rsid w:val="00C94AF5"/>
    <w:rsid w:val="00C96945"/>
    <w:rsid w:val="00C97F51"/>
    <w:rsid w:val="00CA2E6F"/>
    <w:rsid w:val="00CA5171"/>
    <w:rsid w:val="00CA5F57"/>
    <w:rsid w:val="00CA7ED3"/>
    <w:rsid w:val="00CB288D"/>
    <w:rsid w:val="00CB33E8"/>
    <w:rsid w:val="00CB4263"/>
    <w:rsid w:val="00CB50DF"/>
    <w:rsid w:val="00CC05AB"/>
    <w:rsid w:val="00CC0F72"/>
    <w:rsid w:val="00CC2779"/>
    <w:rsid w:val="00CC2E0D"/>
    <w:rsid w:val="00CC2E45"/>
    <w:rsid w:val="00CC596E"/>
    <w:rsid w:val="00CC60E4"/>
    <w:rsid w:val="00CC6667"/>
    <w:rsid w:val="00CD10B1"/>
    <w:rsid w:val="00CD16DD"/>
    <w:rsid w:val="00CD2F44"/>
    <w:rsid w:val="00CD4169"/>
    <w:rsid w:val="00CD450D"/>
    <w:rsid w:val="00CE096B"/>
    <w:rsid w:val="00CE0C9E"/>
    <w:rsid w:val="00CE2208"/>
    <w:rsid w:val="00CE233C"/>
    <w:rsid w:val="00CF10D5"/>
    <w:rsid w:val="00CF199E"/>
    <w:rsid w:val="00CF35EB"/>
    <w:rsid w:val="00CF4BC3"/>
    <w:rsid w:val="00D00F5D"/>
    <w:rsid w:val="00D06BF1"/>
    <w:rsid w:val="00D07230"/>
    <w:rsid w:val="00D10E07"/>
    <w:rsid w:val="00D1260C"/>
    <w:rsid w:val="00D128AC"/>
    <w:rsid w:val="00D14D5F"/>
    <w:rsid w:val="00D16318"/>
    <w:rsid w:val="00D2227B"/>
    <w:rsid w:val="00D25945"/>
    <w:rsid w:val="00D259C3"/>
    <w:rsid w:val="00D320A4"/>
    <w:rsid w:val="00D342E7"/>
    <w:rsid w:val="00D34CD9"/>
    <w:rsid w:val="00D5312E"/>
    <w:rsid w:val="00D54918"/>
    <w:rsid w:val="00D558AA"/>
    <w:rsid w:val="00D563E8"/>
    <w:rsid w:val="00D63149"/>
    <w:rsid w:val="00D63451"/>
    <w:rsid w:val="00D65661"/>
    <w:rsid w:val="00D65A1D"/>
    <w:rsid w:val="00D67E18"/>
    <w:rsid w:val="00D7303A"/>
    <w:rsid w:val="00D733AA"/>
    <w:rsid w:val="00D73B76"/>
    <w:rsid w:val="00D74C61"/>
    <w:rsid w:val="00D752D1"/>
    <w:rsid w:val="00D77FD5"/>
    <w:rsid w:val="00D80806"/>
    <w:rsid w:val="00D80C60"/>
    <w:rsid w:val="00D81BA3"/>
    <w:rsid w:val="00D927A6"/>
    <w:rsid w:val="00DA0896"/>
    <w:rsid w:val="00DA0DC9"/>
    <w:rsid w:val="00DA3374"/>
    <w:rsid w:val="00DA3846"/>
    <w:rsid w:val="00DA4E68"/>
    <w:rsid w:val="00DA7D75"/>
    <w:rsid w:val="00DB34AE"/>
    <w:rsid w:val="00DB44C7"/>
    <w:rsid w:val="00DB5E72"/>
    <w:rsid w:val="00DC0AF9"/>
    <w:rsid w:val="00DC2C0B"/>
    <w:rsid w:val="00DC38AF"/>
    <w:rsid w:val="00DC40B3"/>
    <w:rsid w:val="00DD053D"/>
    <w:rsid w:val="00DD1F71"/>
    <w:rsid w:val="00DD4049"/>
    <w:rsid w:val="00DD4187"/>
    <w:rsid w:val="00DD6130"/>
    <w:rsid w:val="00DD7382"/>
    <w:rsid w:val="00DE0884"/>
    <w:rsid w:val="00DE1474"/>
    <w:rsid w:val="00DE2FB5"/>
    <w:rsid w:val="00DE337A"/>
    <w:rsid w:val="00DE6396"/>
    <w:rsid w:val="00DF0E6E"/>
    <w:rsid w:val="00DF0F36"/>
    <w:rsid w:val="00DF10B6"/>
    <w:rsid w:val="00DF3287"/>
    <w:rsid w:val="00DF3C79"/>
    <w:rsid w:val="00E0077E"/>
    <w:rsid w:val="00E02436"/>
    <w:rsid w:val="00E024B3"/>
    <w:rsid w:val="00E03EF3"/>
    <w:rsid w:val="00E04FE0"/>
    <w:rsid w:val="00E0631D"/>
    <w:rsid w:val="00E153BB"/>
    <w:rsid w:val="00E159E0"/>
    <w:rsid w:val="00E161F3"/>
    <w:rsid w:val="00E17D8D"/>
    <w:rsid w:val="00E2193C"/>
    <w:rsid w:val="00E21C87"/>
    <w:rsid w:val="00E231CF"/>
    <w:rsid w:val="00E24B8B"/>
    <w:rsid w:val="00E26D06"/>
    <w:rsid w:val="00E27722"/>
    <w:rsid w:val="00E32BDC"/>
    <w:rsid w:val="00E34B31"/>
    <w:rsid w:val="00E35205"/>
    <w:rsid w:val="00E4263B"/>
    <w:rsid w:val="00E445E6"/>
    <w:rsid w:val="00E44A60"/>
    <w:rsid w:val="00E45C53"/>
    <w:rsid w:val="00E46673"/>
    <w:rsid w:val="00E50A10"/>
    <w:rsid w:val="00E53076"/>
    <w:rsid w:val="00E55245"/>
    <w:rsid w:val="00E554DB"/>
    <w:rsid w:val="00E62819"/>
    <w:rsid w:val="00E653C9"/>
    <w:rsid w:val="00E656AB"/>
    <w:rsid w:val="00E65DF0"/>
    <w:rsid w:val="00E72A8A"/>
    <w:rsid w:val="00E73680"/>
    <w:rsid w:val="00E762E6"/>
    <w:rsid w:val="00E8044D"/>
    <w:rsid w:val="00E85BC5"/>
    <w:rsid w:val="00E94641"/>
    <w:rsid w:val="00E95577"/>
    <w:rsid w:val="00E96A64"/>
    <w:rsid w:val="00EA6073"/>
    <w:rsid w:val="00EB0DE6"/>
    <w:rsid w:val="00EB2009"/>
    <w:rsid w:val="00EB210E"/>
    <w:rsid w:val="00EB45F0"/>
    <w:rsid w:val="00EB681C"/>
    <w:rsid w:val="00EB6FD5"/>
    <w:rsid w:val="00EC085B"/>
    <w:rsid w:val="00EC4153"/>
    <w:rsid w:val="00EC6761"/>
    <w:rsid w:val="00EC6B56"/>
    <w:rsid w:val="00EC75B9"/>
    <w:rsid w:val="00EC7BA7"/>
    <w:rsid w:val="00ED0BF3"/>
    <w:rsid w:val="00ED12D6"/>
    <w:rsid w:val="00ED2799"/>
    <w:rsid w:val="00ED6169"/>
    <w:rsid w:val="00EE2549"/>
    <w:rsid w:val="00EE4958"/>
    <w:rsid w:val="00EE5801"/>
    <w:rsid w:val="00EE6FF4"/>
    <w:rsid w:val="00EE7FA7"/>
    <w:rsid w:val="00EF1892"/>
    <w:rsid w:val="00EF1A5E"/>
    <w:rsid w:val="00EF289C"/>
    <w:rsid w:val="00EF3A4C"/>
    <w:rsid w:val="00EF72B1"/>
    <w:rsid w:val="00F01EC4"/>
    <w:rsid w:val="00F01F86"/>
    <w:rsid w:val="00F05ECC"/>
    <w:rsid w:val="00F106F7"/>
    <w:rsid w:val="00F10F78"/>
    <w:rsid w:val="00F164DC"/>
    <w:rsid w:val="00F2168A"/>
    <w:rsid w:val="00F2328B"/>
    <w:rsid w:val="00F24ADC"/>
    <w:rsid w:val="00F26BE2"/>
    <w:rsid w:val="00F26DAE"/>
    <w:rsid w:val="00F31548"/>
    <w:rsid w:val="00F32A72"/>
    <w:rsid w:val="00F341B6"/>
    <w:rsid w:val="00F34257"/>
    <w:rsid w:val="00F34E48"/>
    <w:rsid w:val="00F4258E"/>
    <w:rsid w:val="00F46E6D"/>
    <w:rsid w:val="00F46E77"/>
    <w:rsid w:val="00F52A8D"/>
    <w:rsid w:val="00F52BD8"/>
    <w:rsid w:val="00F54325"/>
    <w:rsid w:val="00F60D71"/>
    <w:rsid w:val="00F63C96"/>
    <w:rsid w:val="00F66BD9"/>
    <w:rsid w:val="00F67B68"/>
    <w:rsid w:val="00F708C6"/>
    <w:rsid w:val="00F71103"/>
    <w:rsid w:val="00F71283"/>
    <w:rsid w:val="00F766B4"/>
    <w:rsid w:val="00F77662"/>
    <w:rsid w:val="00F77EBA"/>
    <w:rsid w:val="00F82F78"/>
    <w:rsid w:val="00F844C0"/>
    <w:rsid w:val="00F848F9"/>
    <w:rsid w:val="00F86779"/>
    <w:rsid w:val="00F906A0"/>
    <w:rsid w:val="00F911C9"/>
    <w:rsid w:val="00F93DE1"/>
    <w:rsid w:val="00FA442A"/>
    <w:rsid w:val="00FB17E6"/>
    <w:rsid w:val="00FB25EB"/>
    <w:rsid w:val="00FB268A"/>
    <w:rsid w:val="00FB27C4"/>
    <w:rsid w:val="00FB5A80"/>
    <w:rsid w:val="00FC05EC"/>
    <w:rsid w:val="00FC0A55"/>
    <w:rsid w:val="00FC2D84"/>
    <w:rsid w:val="00FC4905"/>
    <w:rsid w:val="00FD07F5"/>
    <w:rsid w:val="00FD0CE7"/>
    <w:rsid w:val="00FD61A2"/>
    <w:rsid w:val="00FE07C4"/>
    <w:rsid w:val="00FE1751"/>
    <w:rsid w:val="00FE29DC"/>
    <w:rsid w:val="00FE4C22"/>
    <w:rsid w:val="00FE55BE"/>
    <w:rsid w:val="00FE62BC"/>
    <w:rsid w:val="00FE6CF1"/>
    <w:rsid w:val="00FE6D8D"/>
    <w:rsid w:val="00FF1912"/>
    <w:rsid w:val="00FF1D21"/>
    <w:rsid w:val="00FF5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2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257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2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257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E6FF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E6F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202203&#27743;&#21335;\TCM\FOLIC%20AICD\&#31295;&#20214;\230106\new%201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202203&#27743;&#21335;\TCM\FOLIC%20AICD\&#31295;&#20214;\230106\new%20CHD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202203&#27743;&#21335;\TCM\FOLIC%20AICD\&#31295;&#20214;\230106\new%20NO%20CHD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E:\&#35838;&#39064;&#30003;&#35831;\2022\&#23381;&#26089;&#26399;&#26292;&#38706;&#19982;&#20986;&#29983;&#32570;&#38519;\&#25968;&#25454;&#24211;\&#35770;&#25991;\&#21494;&#37240;&#19982;BD\jama\&#37325;&#26032;&#20998;&#32452;\new%20latest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E:\&#35838;&#39064;&#30003;&#35831;\2022\&#23381;&#26089;&#26399;&#26292;&#38706;&#19982;&#20986;&#29983;&#32570;&#38519;\&#25968;&#25454;&#24211;\&#35770;&#25991;\&#21494;&#37240;&#19982;BD\jama\&#37325;&#26032;&#20998;&#32452;\new%20latest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E:\&#35838;&#39064;&#30003;&#35831;\2022\&#23381;&#26089;&#26399;&#26292;&#38706;&#19982;&#20986;&#29983;&#32570;&#38519;\&#25968;&#25454;&#24211;\&#35770;&#25991;\&#21494;&#37240;&#19982;BD\jama\&#37325;&#26032;&#20998;&#32452;\new%20latest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E:\&#35838;&#39064;&#30003;&#35831;\2022\&#23381;&#26089;&#26399;&#26292;&#38706;&#19982;&#20986;&#29983;&#32570;&#38519;\&#25968;&#25454;&#24211;\&#35770;&#25991;\&#21494;&#37240;&#19982;BD\jama\&#37325;&#26032;&#20998;&#32452;\new%20lates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>
        <c:manualLayout>
          <c:layoutTarget val="inner"/>
          <c:xMode val="edge"/>
          <c:yMode val="edge"/>
          <c:x val="0.12352415102591509"/>
          <c:y val="5.1400554097404488E-2"/>
          <c:w val="0.71243062528104051"/>
          <c:h val="0.71873680335036161"/>
        </c:manualLayout>
      </c:layout>
      <c:lineChart>
        <c:grouping val="standard"/>
        <c:ser>
          <c:idx val="0"/>
          <c:order val="0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19050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Sheet5!$Q$2</c:f>
                <c:numCache>
                  <c:formatCode>General</c:formatCode>
                  <c:ptCount val="1"/>
                  <c:pt idx="0">
                    <c:v>8.134160401020965E-2</c:v>
                  </c:pt>
                </c:numCache>
              </c:numRef>
            </c:plus>
            <c:minus>
              <c:numRef>
                <c:f>Sheet5!$Q$2</c:f>
                <c:numCache>
                  <c:formatCode>General</c:formatCode>
                  <c:ptCount val="1"/>
                  <c:pt idx="0">
                    <c:v>8.134160401020965E-2</c:v>
                  </c:pt>
                </c:numCache>
              </c:numRef>
            </c:minus>
            <c:spPr>
              <a:ln>
                <a:solidFill>
                  <a:schemeClr val="tx1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Sheet5!$B$2:$B$10</c:f>
              <c:numCache>
                <c:formatCode>General</c:formatCode>
                <c:ptCount val="9"/>
                <c:pt idx="0">
                  <c:v>2.3679999999999999</c:v>
                </c:pt>
              </c:numCache>
            </c:numRef>
          </c:val>
        </c:ser>
        <c:ser>
          <c:idx val="2"/>
          <c:order val="1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Sheet5!$Q$9</c:f>
                <c:numCache>
                  <c:formatCode>General</c:formatCode>
                  <c:ptCount val="1"/>
                  <c:pt idx="0">
                    <c:v>4.9529999999999998E-2</c:v>
                  </c:pt>
                </c:numCache>
              </c:numRef>
            </c:plus>
            <c:minus>
              <c:numRef>
                <c:f>Sheet5!$Q$9</c:f>
                <c:numCache>
                  <c:formatCode>General</c:formatCode>
                  <c:ptCount val="1"/>
                  <c:pt idx="0">
                    <c:v>4.9529999999999998E-2</c:v>
                  </c:pt>
                </c:numCache>
              </c:numRef>
            </c:minus>
            <c:spPr>
              <a:ln>
                <a:solidFill>
                  <a:srgbClr val="4F81BD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Sheet5!$C$2:$C$10</c:f>
              <c:numCache>
                <c:formatCode>General</c:formatCode>
                <c:ptCount val="9"/>
                <c:pt idx="7">
                  <c:v>1.786</c:v>
                </c:pt>
              </c:numCache>
            </c:numRef>
          </c:val>
        </c:ser>
        <c:ser>
          <c:idx val="3"/>
          <c:order val="2"/>
          <c:spPr>
            <a:ln w="19050">
              <a:solidFill>
                <a:schemeClr val="accent1"/>
              </a:solidFill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Sheet5!$Q$10</c:f>
                <c:numCache>
                  <c:formatCode>General</c:formatCode>
                  <c:ptCount val="1"/>
                  <c:pt idx="0">
                    <c:v>5.9710000000000422E-2</c:v>
                  </c:pt>
                </c:numCache>
              </c:numRef>
            </c:plus>
            <c:minus>
              <c:numRef>
                <c:f>Sheet5!$Q$10</c:f>
                <c:numCache>
                  <c:formatCode>General</c:formatCode>
                  <c:ptCount val="1"/>
                  <c:pt idx="0">
                    <c:v>5.9710000000000422E-2</c:v>
                  </c:pt>
                </c:numCache>
              </c:numRef>
            </c:minus>
            <c:spPr>
              <a:ln>
                <a:solidFill>
                  <a:srgbClr val="4F81BD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Sheet5!$D$2:$D$10</c:f>
              <c:numCache>
                <c:formatCode>General</c:formatCode>
                <c:ptCount val="9"/>
                <c:pt idx="8">
                  <c:v>1.7529999999999939</c:v>
                </c:pt>
              </c:numCache>
            </c:numRef>
          </c:val>
        </c:ser>
        <c:ser>
          <c:idx val="4"/>
          <c:order val="3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6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Sheet5!$Q$8</c:f>
                <c:numCache>
                  <c:formatCode>General</c:formatCode>
                  <c:ptCount val="1"/>
                  <c:pt idx="0">
                    <c:v>3.0769999999999999E-2</c:v>
                  </c:pt>
                </c:numCache>
              </c:numRef>
            </c:plus>
            <c:minus>
              <c:numRef>
                <c:f>Sheet5!$Q$8</c:f>
                <c:numCache>
                  <c:formatCode>General</c:formatCode>
                  <c:ptCount val="1"/>
                  <c:pt idx="0">
                    <c:v>3.0769999999999999E-2</c:v>
                  </c:pt>
                </c:numCache>
              </c:numRef>
            </c:minus>
            <c:spPr>
              <a:ln>
                <a:solidFill>
                  <a:schemeClr val="accent6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Sheet5!$E$2:$E$10</c:f>
              <c:numCache>
                <c:formatCode>General</c:formatCode>
                <c:ptCount val="9"/>
                <c:pt idx="6">
                  <c:v>1.6439999999999937</c:v>
                </c:pt>
              </c:numCache>
            </c:numRef>
          </c:val>
        </c:ser>
        <c:ser>
          <c:idx val="5"/>
          <c:order val="4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6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Sheet5!$R$9</c:f>
                <c:numCache>
                  <c:formatCode>General</c:formatCode>
                  <c:ptCount val="1"/>
                  <c:pt idx="0">
                    <c:v>3.5529999999999999E-2</c:v>
                  </c:pt>
                </c:numCache>
              </c:numRef>
            </c:plus>
            <c:minus>
              <c:numRef>
                <c:f>Sheet5!$R$9</c:f>
                <c:numCache>
                  <c:formatCode>General</c:formatCode>
                  <c:ptCount val="1"/>
                  <c:pt idx="0">
                    <c:v>3.5529999999999999E-2</c:v>
                  </c:pt>
                </c:numCache>
              </c:numRef>
            </c:minus>
            <c:spPr>
              <a:ln>
                <a:solidFill>
                  <a:schemeClr val="accent6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Sheet5!$F$2:$F$10</c:f>
              <c:numCache>
                <c:formatCode>General</c:formatCode>
                <c:ptCount val="9"/>
                <c:pt idx="7">
                  <c:v>1.6340000000000001</c:v>
                </c:pt>
              </c:numCache>
            </c:numRef>
          </c:val>
        </c:ser>
        <c:ser>
          <c:idx val="6"/>
          <c:order val="5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Sheet5!$Q$7</c:f>
                <c:numCache>
                  <c:formatCode>General</c:formatCode>
                  <c:ptCount val="1"/>
                  <c:pt idx="0">
                    <c:v>2.972E-2</c:v>
                  </c:pt>
                </c:numCache>
              </c:numRef>
            </c:plus>
            <c:minus>
              <c:numRef>
                <c:f>Sheet5!$Q$7</c:f>
                <c:numCache>
                  <c:formatCode>General</c:formatCode>
                  <c:ptCount val="1"/>
                  <c:pt idx="0">
                    <c:v>2.972E-2</c:v>
                  </c:pt>
                </c:numCache>
              </c:numRef>
            </c:minus>
            <c:spPr>
              <a:ln>
                <a:solidFill>
                  <a:srgbClr val="FF0000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Sheet5!$G$2:$G$10</c:f>
              <c:numCache>
                <c:formatCode>General</c:formatCode>
                <c:ptCount val="9"/>
                <c:pt idx="5">
                  <c:v>1.5589999999999944</c:v>
                </c:pt>
              </c:numCache>
            </c:numRef>
          </c:val>
        </c:ser>
        <c:ser>
          <c:idx val="7"/>
          <c:order val="6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rgbClr val="FF0000"/>
                </a:solidFill>
              </a:ln>
            </c:spPr>
          </c:marker>
          <c:trendline>
            <c:trendlineType val="linear"/>
          </c:trendline>
          <c:errBars>
            <c:errDir val="y"/>
            <c:errBarType val="both"/>
            <c:errValType val="cust"/>
            <c:plus>
              <c:numRef>
                <c:f>Sheet5!$R$8</c:f>
                <c:numCache>
                  <c:formatCode>General</c:formatCode>
                  <c:ptCount val="1"/>
                  <c:pt idx="0">
                    <c:v>1.755E-2</c:v>
                  </c:pt>
                </c:numCache>
              </c:numRef>
            </c:plus>
            <c:minus>
              <c:numRef>
                <c:f>Sheet5!$R$8</c:f>
                <c:numCache>
                  <c:formatCode>General</c:formatCode>
                  <c:ptCount val="1"/>
                  <c:pt idx="0">
                    <c:v>1.755E-2</c:v>
                  </c:pt>
                </c:numCache>
              </c:numRef>
            </c:minus>
            <c:spPr>
              <a:ln>
                <a:solidFill>
                  <a:srgbClr val="FF0000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Sheet5!$H$2:$H$10</c:f>
              <c:numCache>
                <c:formatCode>General</c:formatCode>
                <c:ptCount val="9"/>
                <c:pt idx="6">
                  <c:v>1.448999999999993</c:v>
                </c:pt>
              </c:numCache>
            </c:numRef>
          </c:val>
        </c:ser>
        <c:ser>
          <c:idx val="8"/>
          <c:order val="7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4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Sheet5!$Q$6</c:f>
                <c:numCache>
                  <c:formatCode>General</c:formatCode>
                  <c:ptCount val="1"/>
                  <c:pt idx="0">
                    <c:v>5.4380000000000317E-2</c:v>
                  </c:pt>
                </c:numCache>
              </c:numRef>
            </c:plus>
            <c:minus>
              <c:numRef>
                <c:f>Sheet5!$Q$6</c:f>
                <c:numCache>
                  <c:formatCode>General</c:formatCode>
                  <c:ptCount val="1"/>
                  <c:pt idx="0">
                    <c:v>5.4380000000000317E-2</c:v>
                  </c:pt>
                </c:numCache>
              </c:numRef>
            </c:minus>
            <c:spPr>
              <a:ln>
                <a:solidFill>
                  <a:srgbClr val="8064A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Sheet5!$I$2:$I$10</c:f>
              <c:numCache>
                <c:formatCode>General</c:formatCode>
                <c:ptCount val="9"/>
                <c:pt idx="4">
                  <c:v>1.5660000000000001</c:v>
                </c:pt>
              </c:numCache>
            </c:numRef>
          </c:val>
        </c:ser>
        <c:ser>
          <c:idx val="9"/>
          <c:order val="8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rgbClr val="8064A2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Sheet5!$R$7</c:f>
                <c:numCache>
                  <c:formatCode>General</c:formatCode>
                  <c:ptCount val="1"/>
                  <c:pt idx="0">
                    <c:v>5.704E-2</c:v>
                  </c:pt>
                </c:numCache>
              </c:numRef>
            </c:plus>
            <c:minus>
              <c:numRef>
                <c:f>Sheet5!$R$7</c:f>
                <c:numCache>
                  <c:formatCode>General</c:formatCode>
                  <c:ptCount val="1"/>
                  <c:pt idx="0">
                    <c:v>5.704E-2</c:v>
                  </c:pt>
                </c:numCache>
              </c:numRef>
            </c:minus>
            <c:spPr>
              <a:ln>
                <a:solidFill>
                  <a:srgbClr val="8064A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Sheet5!$J$2:$J$10</c:f>
              <c:numCache>
                <c:formatCode>General</c:formatCode>
                <c:ptCount val="9"/>
                <c:pt idx="5">
                  <c:v>1.538</c:v>
                </c:pt>
              </c:numCache>
            </c:numRef>
          </c:val>
        </c:ser>
        <c:ser>
          <c:idx val="10"/>
          <c:order val="9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3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Sheet5!$Q$5</c:f>
                <c:numCache>
                  <c:formatCode>General</c:formatCode>
                  <c:ptCount val="1"/>
                  <c:pt idx="0">
                    <c:v>6.1954999999999996E-2</c:v>
                  </c:pt>
                </c:numCache>
              </c:numRef>
            </c:plus>
            <c:minus>
              <c:numRef>
                <c:f>Sheet5!$Q$5</c:f>
                <c:numCache>
                  <c:formatCode>General</c:formatCode>
                  <c:ptCount val="1"/>
                  <c:pt idx="0">
                    <c:v>6.1954999999999996E-2</c:v>
                  </c:pt>
                </c:numCache>
              </c:numRef>
            </c:minus>
            <c:spPr>
              <a:ln>
                <a:solidFill>
                  <a:schemeClr val="accent3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Sheet5!$K$2:$K$10</c:f>
              <c:numCache>
                <c:formatCode>General</c:formatCode>
                <c:ptCount val="9"/>
                <c:pt idx="3">
                  <c:v>1.585999999999993</c:v>
                </c:pt>
              </c:numCache>
            </c:numRef>
          </c:val>
        </c:ser>
        <c:ser>
          <c:idx val="11"/>
          <c:order val="10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3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Sheet5!$R$6</c:f>
                <c:numCache>
                  <c:formatCode>General</c:formatCode>
                  <c:ptCount val="1"/>
                  <c:pt idx="0">
                    <c:v>6.1740000000000003E-2</c:v>
                  </c:pt>
                </c:numCache>
              </c:numRef>
            </c:plus>
            <c:minus>
              <c:numRef>
                <c:f>Sheet5!$R$6</c:f>
                <c:numCache>
                  <c:formatCode>General</c:formatCode>
                  <c:ptCount val="1"/>
                  <c:pt idx="0">
                    <c:v>6.1740000000000003E-2</c:v>
                  </c:pt>
                </c:numCache>
              </c:numRef>
            </c:minus>
            <c:spPr>
              <a:ln>
                <a:solidFill>
                  <a:srgbClr val="9BBB59"/>
                </a:solidFill>
                <a:prstDash val="solid"/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Sheet5!$L$2:$L$10</c:f>
              <c:numCache>
                <c:formatCode>General</c:formatCode>
                <c:ptCount val="9"/>
                <c:pt idx="4">
                  <c:v>1.46</c:v>
                </c:pt>
              </c:numCache>
            </c:numRef>
          </c:val>
        </c:ser>
        <c:ser>
          <c:idx val="12"/>
          <c:order val="11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Sheet5!$Q$4</c:f>
                <c:numCache>
                  <c:formatCode>General</c:formatCode>
                  <c:ptCount val="1"/>
                  <c:pt idx="0">
                    <c:v>4.5030000000000014E-2</c:v>
                  </c:pt>
                </c:numCache>
              </c:numRef>
            </c:plus>
            <c:minus>
              <c:numRef>
                <c:f>Sheet5!$Q$4</c:f>
                <c:numCache>
                  <c:formatCode>General</c:formatCode>
                  <c:ptCount val="1"/>
                  <c:pt idx="0">
                    <c:v>4.5030000000000014E-2</c:v>
                  </c:pt>
                </c:numCache>
              </c:numRef>
            </c:minus>
            <c:spPr>
              <a:ln>
                <a:solidFill>
                  <a:schemeClr val="accent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Sheet5!$M$2:$M$10</c:f>
              <c:numCache>
                <c:formatCode>General</c:formatCode>
                <c:ptCount val="9"/>
                <c:pt idx="2">
                  <c:v>1.583</c:v>
                </c:pt>
              </c:numCache>
            </c:numRef>
          </c:val>
        </c:ser>
        <c:ser>
          <c:idx val="13"/>
          <c:order val="12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Sheet5!$R$5</c:f>
                <c:numCache>
                  <c:formatCode>General</c:formatCode>
                  <c:ptCount val="1"/>
                  <c:pt idx="0">
                    <c:v>4.8360000000000014E-2</c:v>
                  </c:pt>
                </c:numCache>
              </c:numRef>
            </c:plus>
            <c:minus>
              <c:numRef>
                <c:f>Sheet5!$R$5</c:f>
                <c:numCache>
                  <c:formatCode>General</c:formatCode>
                  <c:ptCount val="1"/>
                  <c:pt idx="0">
                    <c:v>4.8360000000000014E-2</c:v>
                  </c:pt>
                </c:numCache>
              </c:numRef>
            </c:minus>
            <c:spPr>
              <a:ln>
                <a:solidFill>
                  <a:schemeClr val="accent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Sheet5!$N$2:$N$11</c:f>
              <c:numCache>
                <c:formatCode>General</c:formatCode>
                <c:ptCount val="10"/>
                <c:pt idx="3">
                  <c:v>1.4809999999999932</c:v>
                </c:pt>
              </c:numCache>
            </c:numRef>
          </c:val>
        </c:ser>
        <c:ser>
          <c:idx val="14"/>
          <c:order val="13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tx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Sheet5!$Q$3</c:f>
                <c:numCache>
                  <c:formatCode>General</c:formatCode>
                  <c:ptCount val="1"/>
                  <c:pt idx="0">
                    <c:v>6.7400000000000029E-2</c:v>
                  </c:pt>
                </c:numCache>
              </c:numRef>
            </c:plus>
            <c:minus>
              <c:numRef>
                <c:f>Sheet5!$Q$3</c:f>
                <c:numCache>
                  <c:formatCode>General</c:formatCode>
                  <c:ptCount val="1"/>
                  <c:pt idx="0">
                    <c:v>6.7400000000000029E-2</c:v>
                  </c:pt>
                </c:numCache>
              </c:numRef>
            </c:minus>
            <c:spPr>
              <a:ln>
                <a:solidFill>
                  <a:schemeClr val="accent1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Sheet5!$O$2:$O$11</c:f>
              <c:numCache>
                <c:formatCode>General</c:formatCode>
                <c:ptCount val="10"/>
                <c:pt idx="1">
                  <c:v>1.6384500000000055</c:v>
                </c:pt>
              </c:numCache>
            </c:numRef>
          </c:val>
        </c:ser>
        <c:ser>
          <c:idx val="15"/>
          <c:order val="14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tx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Sheet5!$R$4</c:f>
                <c:numCache>
                  <c:formatCode>General</c:formatCode>
                  <c:ptCount val="1"/>
                  <c:pt idx="0">
                    <c:v>0.11320000000000002</c:v>
                  </c:pt>
                </c:numCache>
              </c:numRef>
            </c:plus>
            <c:minus>
              <c:numRef>
                <c:f>Sheet5!$R$4</c:f>
                <c:numCache>
                  <c:formatCode>General</c:formatCode>
                  <c:ptCount val="1"/>
                  <c:pt idx="0">
                    <c:v>0.11320000000000002</c:v>
                  </c:pt>
                </c:numCache>
              </c:numRef>
            </c:minus>
            <c:spPr>
              <a:ln>
                <a:solidFill>
                  <a:schemeClr val="accent1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Sheet5!$P$2:$P$11</c:f>
              <c:numCache>
                <c:formatCode>General</c:formatCode>
                <c:ptCount val="10"/>
                <c:pt idx="2">
                  <c:v>1.7449999999999939</c:v>
                </c:pt>
              </c:numCache>
            </c:numRef>
          </c:val>
        </c:ser>
        <c:ser>
          <c:idx val="1"/>
          <c:order val="15"/>
          <c:spPr>
            <a:ln w="12700">
              <a:solidFill>
                <a:srgbClr val="FF0000"/>
              </a:solidFill>
              <a:prstDash val="sysDot"/>
            </a:ln>
          </c:spPr>
          <c:marker>
            <c:symbol val="none"/>
          </c:marker>
          <c:val>
            <c:numRef>
              <c:f>Sheet5!$S$2:$S$11</c:f>
              <c:numCache>
                <c:formatCode>General</c:formatCode>
                <c:ptCount val="10"/>
                <c:pt idx="0">
                  <c:v>1.4669999999999932</c:v>
                </c:pt>
                <c:pt idx="1">
                  <c:v>1.4669999999999932</c:v>
                </c:pt>
                <c:pt idx="2">
                  <c:v>1.4669999999999932</c:v>
                </c:pt>
                <c:pt idx="3">
                  <c:v>1.4669999999999932</c:v>
                </c:pt>
                <c:pt idx="4">
                  <c:v>1.4669999999999932</c:v>
                </c:pt>
                <c:pt idx="5">
                  <c:v>1.4669999999999932</c:v>
                </c:pt>
                <c:pt idx="6">
                  <c:v>1.4669999999999932</c:v>
                </c:pt>
                <c:pt idx="7">
                  <c:v>1.4669999999999932</c:v>
                </c:pt>
                <c:pt idx="8">
                  <c:v>1.4669999999999932</c:v>
                </c:pt>
                <c:pt idx="9">
                  <c:v>1.4669999999999932</c:v>
                </c:pt>
              </c:numCache>
            </c:numRef>
          </c:val>
        </c:ser>
        <c:marker val="1"/>
        <c:axId val="141935744"/>
        <c:axId val="141937280"/>
      </c:lineChart>
      <c:catAx>
        <c:axId val="141935744"/>
        <c:scaling>
          <c:orientation val="minMax"/>
        </c:scaling>
        <c:axPos val="b"/>
        <c:numFmt formatCode="General" sourceLinked="1"/>
        <c:tickLblPos val="nextTo"/>
        <c:crossAx val="141937280"/>
        <c:crosses val="autoZero"/>
        <c:auto val="1"/>
        <c:lblAlgn val="ctr"/>
        <c:lblOffset val="100"/>
      </c:catAx>
      <c:valAx>
        <c:axId val="141937280"/>
        <c:scaling>
          <c:orientation val="minMax"/>
          <c:max val="1.9000000000000001"/>
          <c:min val="1.3"/>
        </c:scaling>
        <c:axPos val="l"/>
        <c:numFmt formatCode="General" sourceLinked="1"/>
        <c:tickLblPos val="nextTo"/>
        <c:crossAx val="141935744"/>
        <c:crosses val="autoZero"/>
        <c:crossBetween val="between"/>
        <c:majorUnit val="0.2"/>
      </c:valAx>
      <c:spPr>
        <a:noFill/>
      </c:spPr>
    </c:plotArea>
    <c:plotVisOnly val="1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>
        <c:manualLayout>
          <c:layoutTarget val="inner"/>
          <c:xMode val="edge"/>
          <c:yMode val="edge"/>
          <c:x val="0.12833718700031804"/>
          <c:y val="5.1400554097404488E-2"/>
          <c:w val="0.71731025496388201"/>
          <c:h val="0.72575522140948046"/>
        </c:manualLayout>
      </c:layout>
      <c:lineChart>
        <c:grouping val="standard"/>
        <c:ser>
          <c:idx val="0"/>
          <c:order val="0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19050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CHD!$Q$2</c:f>
                <c:numCache>
                  <c:formatCode>General</c:formatCode>
                  <c:ptCount val="1"/>
                  <c:pt idx="0">
                    <c:v>0.36750115998289756</c:v>
                  </c:pt>
                </c:numCache>
              </c:numRef>
            </c:plus>
            <c:minus>
              <c:numRef>
                <c:f>CHD!$Q$2</c:f>
                <c:numCache>
                  <c:formatCode>General</c:formatCode>
                  <c:ptCount val="1"/>
                  <c:pt idx="0">
                    <c:v>0.36750115998289756</c:v>
                  </c:pt>
                </c:numCache>
              </c:numRef>
            </c:minus>
            <c:spPr>
              <a:ln>
                <a:solidFill>
                  <a:schemeClr val="tx1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CHD!$B$2:$B$10</c:f>
              <c:numCache>
                <c:formatCode>General</c:formatCode>
                <c:ptCount val="9"/>
                <c:pt idx="0">
                  <c:v>8.02</c:v>
                </c:pt>
              </c:numCache>
            </c:numRef>
          </c:val>
        </c:ser>
        <c:ser>
          <c:idx val="2"/>
          <c:order val="1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CHD!$Q$9</c:f>
                <c:numCache>
                  <c:formatCode>General</c:formatCode>
                  <c:ptCount val="1"/>
                  <c:pt idx="0">
                    <c:v>0.16195669046974603</c:v>
                  </c:pt>
                </c:numCache>
              </c:numRef>
            </c:plus>
            <c:minus>
              <c:numRef>
                <c:f>CHD!$Q$9</c:f>
                <c:numCache>
                  <c:formatCode>General</c:formatCode>
                  <c:ptCount val="1"/>
                  <c:pt idx="0">
                    <c:v>0.16195669046974603</c:v>
                  </c:pt>
                </c:numCache>
              </c:numRef>
            </c:minus>
            <c:spPr>
              <a:ln>
                <a:solidFill>
                  <a:srgbClr val="4F81BD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CHD!$C$2:$C$10</c:f>
              <c:numCache>
                <c:formatCode>General</c:formatCode>
                <c:ptCount val="9"/>
                <c:pt idx="7">
                  <c:v>4.51</c:v>
                </c:pt>
              </c:numCache>
            </c:numRef>
          </c:val>
        </c:ser>
        <c:ser>
          <c:idx val="3"/>
          <c:order val="2"/>
          <c:spPr>
            <a:ln w="19050">
              <a:solidFill>
                <a:schemeClr val="accent1"/>
              </a:solidFill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CHD!$Q$10</c:f>
                <c:numCache>
                  <c:formatCode>General</c:formatCode>
                  <c:ptCount val="1"/>
                  <c:pt idx="0">
                    <c:v>0.20285664107281021</c:v>
                  </c:pt>
                </c:numCache>
              </c:numRef>
            </c:plus>
            <c:minus>
              <c:numRef>
                <c:f>CHD!$Q$10</c:f>
                <c:numCache>
                  <c:formatCode>General</c:formatCode>
                  <c:ptCount val="1"/>
                  <c:pt idx="0">
                    <c:v>0.20285664107281021</c:v>
                  </c:pt>
                </c:numCache>
              </c:numRef>
            </c:minus>
            <c:spPr>
              <a:ln>
                <a:solidFill>
                  <a:srgbClr val="4F81BD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CHD!$D$2:$D$10</c:f>
              <c:numCache>
                <c:formatCode>General</c:formatCode>
                <c:ptCount val="9"/>
                <c:pt idx="8">
                  <c:v>4.38</c:v>
                </c:pt>
              </c:numCache>
            </c:numRef>
          </c:val>
        </c:ser>
        <c:ser>
          <c:idx val="4"/>
          <c:order val="3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6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CHD!$Q$8</c:f>
                <c:numCache>
                  <c:formatCode>General</c:formatCode>
                  <c:ptCount val="1"/>
                  <c:pt idx="0">
                    <c:v>0.10690577256949452</c:v>
                  </c:pt>
                </c:numCache>
              </c:numRef>
            </c:plus>
            <c:minus>
              <c:numRef>
                <c:f>CHD!$Q$8</c:f>
                <c:numCache>
                  <c:formatCode>General</c:formatCode>
                  <c:ptCount val="1"/>
                  <c:pt idx="0">
                    <c:v>0.10690577256949452</c:v>
                  </c:pt>
                </c:numCache>
              </c:numRef>
            </c:minus>
            <c:spPr>
              <a:ln>
                <a:solidFill>
                  <a:schemeClr val="accent6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CHD!$E$2:$E$10</c:f>
              <c:numCache>
                <c:formatCode>General</c:formatCode>
                <c:ptCount val="9"/>
                <c:pt idx="6">
                  <c:v>4.1099999999999985</c:v>
                </c:pt>
              </c:numCache>
            </c:numRef>
          </c:val>
        </c:ser>
        <c:ser>
          <c:idx val="5"/>
          <c:order val="4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6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CHD!$R$9</c:f>
                <c:numCache>
                  <c:formatCode>General</c:formatCode>
                  <c:ptCount val="1"/>
                  <c:pt idx="0">
                    <c:v>0.11542235970834246</c:v>
                  </c:pt>
                </c:numCache>
              </c:numRef>
            </c:plus>
            <c:minus>
              <c:numRef>
                <c:f>CHD!$R$9</c:f>
                <c:numCache>
                  <c:formatCode>General</c:formatCode>
                  <c:ptCount val="1"/>
                  <c:pt idx="0">
                    <c:v>0.11542235970834246</c:v>
                  </c:pt>
                </c:numCache>
              </c:numRef>
            </c:minus>
            <c:spPr>
              <a:ln>
                <a:solidFill>
                  <a:schemeClr val="accent6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CHD!$F$2:$F$10</c:f>
              <c:numCache>
                <c:formatCode>General</c:formatCode>
                <c:ptCount val="9"/>
                <c:pt idx="7">
                  <c:v>3.94</c:v>
                </c:pt>
              </c:numCache>
            </c:numRef>
          </c:val>
        </c:ser>
        <c:ser>
          <c:idx val="6"/>
          <c:order val="5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CHD!$Q$7</c:f>
                <c:numCache>
                  <c:formatCode>General</c:formatCode>
                  <c:ptCount val="1"/>
                  <c:pt idx="0">
                    <c:v>0.11083559986908648</c:v>
                  </c:pt>
                </c:numCache>
              </c:numRef>
            </c:plus>
            <c:minus>
              <c:numRef>
                <c:f>CHD!$Q$7</c:f>
                <c:numCache>
                  <c:formatCode>General</c:formatCode>
                  <c:ptCount val="1"/>
                  <c:pt idx="0">
                    <c:v>0.11083559986908648</c:v>
                  </c:pt>
                </c:numCache>
              </c:numRef>
            </c:minus>
            <c:spPr>
              <a:ln>
                <a:solidFill>
                  <a:srgbClr val="FF0000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CHD!$G$2:$G$10</c:f>
              <c:numCache>
                <c:formatCode>General</c:formatCode>
                <c:ptCount val="9"/>
                <c:pt idx="5">
                  <c:v>3.82</c:v>
                </c:pt>
              </c:numCache>
            </c:numRef>
          </c:val>
        </c:ser>
        <c:ser>
          <c:idx val="7"/>
          <c:order val="6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CHD!$R$8</c:f>
                <c:numCache>
                  <c:formatCode>General</c:formatCode>
                  <c:ptCount val="1"/>
                  <c:pt idx="0">
                    <c:v>0.10808973931401414</c:v>
                  </c:pt>
                </c:numCache>
              </c:numRef>
            </c:plus>
            <c:minus>
              <c:numRef>
                <c:f>CHD!$R$8</c:f>
                <c:numCache>
                  <c:formatCode>General</c:formatCode>
                  <c:ptCount val="1"/>
                  <c:pt idx="0">
                    <c:v>0.10808973931401414</c:v>
                  </c:pt>
                </c:numCache>
              </c:numRef>
            </c:minus>
            <c:spPr>
              <a:ln>
                <a:solidFill>
                  <a:srgbClr val="FF0000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CHD!$H$2:$H$10</c:f>
              <c:numCache>
                <c:formatCode>General</c:formatCode>
                <c:ptCount val="9"/>
                <c:pt idx="6">
                  <c:v>3.34</c:v>
                </c:pt>
              </c:numCache>
            </c:numRef>
          </c:val>
        </c:ser>
        <c:ser>
          <c:idx val="8"/>
          <c:order val="7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4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CHD!$Q$6</c:f>
                <c:numCache>
                  <c:formatCode>General</c:formatCode>
                  <c:ptCount val="1"/>
                  <c:pt idx="0">
                    <c:v>0.2052392975862195</c:v>
                  </c:pt>
                </c:numCache>
              </c:numRef>
            </c:plus>
            <c:minus>
              <c:numRef>
                <c:f>CHD!$Q$6</c:f>
                <c:numCache>
                  <c:formatCode>General</c:formatCode>
                  <c:ptCount val="1"/>
                  <c:pt idx="0">
                    <c:v>0.2052392975862195</c:v>
                  </c:pt>
                </c:numCache>
              </c:numRef>
            </c:minus>
            <c:spPr>
              <a:ln>
                <a:solidFill>
                  <a:srgbClr val="8064A2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CHD!$I$2:$I$10</c:f>
              <c:numCache>
                <c:formatCode>General</c:formatCode>
                <c:ptCount val="9"/>
                <c:pt idx="4">
                  <c:v>3.88</c:v>
                </c:pt>
              </c:numCache>
            </c:numRef>
          </c:val>
        </c:ser>
        <c:ser>
          <c:idx val="9"/>
          <c:order val="8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rgbClr val="8064A2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CHD!$R$7</c:f>
                <c:numCache>
                  <c:formatCode>General</c:formatCode>
                  <c:ptCount val="1"/>
                  <c:pt idx="0">
                    <c:v>0.20380542456245226</c:v>
                  </c:pt>
                </c:numCache>
              </c:numRef>
            </c:plus>
            <c:minus>
              <c:numRef>
                <c:f>CHD!$R$7</c:f>
                <c:numCache>
                  <c:formatCode>General</c:formatCode>
                  <c:ptCount val="1"/>
                  <c:pt idx="0">
                    <c:v>0.20380542456245226</c:v>
                  </c:pt>
                </c:numCache>
              </c:numRef>
            </c:minus>
            <c:spPr>
              <a:ln>
                <a:solidFill>
                  <a:srgbClr val="8064A2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CHD!$J$2:$J$10</c:f>
              <c:numCache>
                <c:formatCode>General</c:formatCode>
                <c:ptCount val="9"/>
                <c:pt idx="5">
                  <c:v>3.65</c:v>
                </c:pt>
              </c:numCache>
            </c:numRef>
          </c:val>
        </c:ser>
        <c:ser>
          <c:idx val="10"/>
          <c:order val="9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3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CHD!$Q$5</c:f>
                <c:numCache>
                  <c:formatCode>General</c:formatCode>
                  <c:ptCount val="1"/>
                  <c:pt idx="0">
                    <c:v>0.23153496659191081</c:v>
                  </c:pt>
                </c:numCache>
              </c:numRef>
            </c:plus>
            <c:minus>
              <c:numRef>
                <c:f>CHD!$Q$5</c:f>
                <c:numCache>
                  <c:formatCode>General</c:formatCode>
                  <c:ptCount val="1"/>
                  <c:pt idx="0">
                    <c:v>0.23153496659191081</c:v>
                  </c:pt>
                </c:numCache>
              </c:numRef>
            </c:minus>
            <c:spPr>
              <a:ln>
                <a:solidFill>
                  <a:schemeClr val="accent3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CHD!$K$2:$K$10</c:f>
              <c:numCache>
                <c:formatCode>General</c:formatCode>
                <c:ptCount val="9"/>
                <c:pt idx="3">
                  <c:v>3.86</c:v>
                </c:pt>
              </c:numCache>
            </c:numRef>
          </c:val>
        </c:ser>
        <c:ser>
          <c:idx val="11"/>
          <c:order val="10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3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CHD!$R$6</c:f>
                <c:numCache>
                  <c:formatCode>General</c:formatCode>
                  <c:ptCount val="1"/>
                  <c:pt idx="0">
                    <c:v>0.22568546027353287</c:v>
                  </c:pt>
                </c:numCache>
              </c:numRef>
            </c:plus>
            <c:minus>
              <c:numRef>
                <c:f>CHD!$R$6</c:f>
                <c:numCache>
                  <c:formatCode>General</c:formatCode>
                  <c:ptCount val="1"/>
                  <c:pt idx="0">
                    <c:v>0.22568546027353287</c:v>
                  </c:pt>
                </c:numCache>
              </c:numRef>
            </c:minus>
            <c:spPr>
              <a:ln>
                <a:solidFill>
                  <a:srgbClr val="9BBB59"/>
                </a:solidFill>
                <a:prstDash val="solid"/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CHD!$L$2:$L$10</c:f>
              <c:numCache>
                <c:formatCode>General</c:formatCode>
                <c:ptCount val="9"/>
                <c:pt idx="4">
                  <c:v>3.52</c:v>
                </c:pt>
              </c:numCache>
            </c:numRef>
          </c:val>
        </c:ser>
        <c:ser>
          <c:idx val="12"/>
          <c:order val="11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CHD!$Q$4</c:f>
                <c:numCache>
                  <c:formatCode>General</c:formatCode>
                  <c:ptCount val="1"/>
                  <c:pt idx="0">
                    <c:v>1.5388972894148655E-2</c:v>
                  </c:pt>
                </c:numCache>
              </c:numRef>
            </c:plus>
            <c:minus>
              <c:numRef>
                <c:f>CHD!$Q$4</c:f>
                <c:numCache>
                  <c:formatCode>General</c:formatCode>
                  <c:ptCount val="1"/>
                  <c:pt idx="0">
                    <c:v>1.5388972894148655E-2</c:v>
                  </c:pt>
                </c:numCache>
              </c:numRef>
            </c:minus>
            <c:spPr>
              <a:ln>
                <a:solidFill>
                  <a:schemeClr val="accent2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CHD!$M$2:$M$10</c:f>
              <c:numCache>
                <c:formatCode>General</c:formatCode>
                <c:ptCount val="9"/>
                <c:pt idx="2">
                  <c:v>3.73</c:v>
                </c:pt>
              </c:numCache>
            </c:numRef>
          </c:val>
        </c:ser>
        <c:ser>
          <c:idx val="13"/>
          <c:order val="12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CHD!$R$5</c:f>
                <c:numCache>
                  <c:formatCode>General</c:formatCode>
                  <c:ptCount val="1"/>
                  <c:pt idx="0">
                    <c:v>0.16702932251668939</c:v>
                  </c:pt>
                </c:numCache>
              </c:numRef>
            </c:plus>
            <c:minus>
              <c:numRef>
                <c:f>CHD!$R$5</c:f>
                <c:numCache>
                  <c:formatCode>General</c:formatCode>
                  <c:ptCount val="1"/>
                  <c:pt idx="0">
                    <c:v>0.16702932251668939</c:v>
                  </c:pt>
                </c:numCache>
              </c:numRef>
            </c:minus>
            <c:spPr>
              <a:ln>
                <a:solidFill>
                  <a:schemeClr val="accent2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CHD!$N$2:$N$11</c:f>
              <c:numCache>
                <c:formatCode>General</c:formatCode>
                <c:ptCount val="10"/>
                <c:pt idx="3">
                  <c:v>3.44</c:v>
                </c:pt>
              </c:numCache>
            </c:numRef>
          </c:val>
        </c:ser>
        <c:ser>
          <c:idx val="14"/>
          <c:order val="13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tx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CHD!$Q$3</c:f>
                <c:numCache>
                  <c:formatCode>General</c:formatCode>
                  <c:ptCount val="1"/>
                  <c:pt idx="0">
                    <c:v>0.21139287623201922</c:v>
                  </c:pt>
                </c:numCache>
              </c:numRef>
            </c:plus>
            <c:minus>
              <c:numRef>
                <c:f>CHD!$Q$3</c:f>
                <c:numCache>
                  <c:formatCode>General</c:formatCode>
                  <c:ptCount val="1"/>
                  <c:pt idx="0">
                    <c:v>0.21139287623201922</c:v>
                  </c:pt>
                </c:numCache>
              </c:numRef>
            </c:minus>
            <c:spPr>
              <a:ln>
                <a:solidFill>
                  <a:schemeClr val="accent1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CHD!$O$2:$O$11</c:f>
              <c:numCache>
                <c:formatCode>General</c:formatCode>
                <c:ptCount val="10"/>
                <c:pt idx="1">
                  <c:v>3.8</c:v>
                </c:pt>
              </c:numCache>
            </c:numRef>
          </c:val>
        </c:ser>
        <c:ser>
          <c:idx val="15"/>
          <c:order val="14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tx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CHD!$R$4</c:f>
                <c:numCache>
                  <c:formatCode>General</c:formatCode>
                  <c:ptCount val="1"/>
                  <c:pt idx="0">
                    <c:v>0.28808307455689558</c:v>
                  </c:pt>
                </c:numCache>
              </c:numRef>
            </c:plus>
            <c:minus>
              <c:numRef>
                <c:f>CHD!$R$4</c:f>
                <c:numCache>
                  <c:formatCode>General</c:formatCode>
                  <c:ptCount val="1"/>
                  <c:pt idx="0">
                    <c:v>0.28808307455689558</c:v>
                  </c:pt>
                </c:numCache>
              </c:numRef>
            </c:minus>
            <c:spPr>
              <a:ln>
                <a:solidFill>
                  <a:schemeClr val="accent1"/>
                </a:solidFill>
              </a:ln>
            </c:spPr>
          </c:errBars>
          <c:cat>
            <c:numRef>
              <c:f>CHD!$A$2:$A$10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CHD!$P$2:$P$11</c:f>
              <c:numCache>
                <c:formatCode>General</c:formatCode>
                <c:ptCount val="10"/>
                <c:pt idx="2">
                  <c:v>3.56</c:v>
                </c:pt>
              </c:numCache>
            </c:numRef>
          </c:val>
        </c:ser>
        <c:ser>
          <c:idx val="1"/>
          <c:order val="15"/>
          <c:spPr>
            <a:ln w="12700">
              <a:solidFill>
                <a:srgbClr val="FF0000"/>
              </a:solidFill>
              <a:prstDash val="sysDot"/>
            </a:ln>
          </c:spPr>
          <c:marker>
            <c:symbol val="none"/>
          </c:marker>
          <c:val>
            <c:numRef>
              <c:f>CHD!$S$2:$S$11</c:f>
              <c:numCache>
                <c:formatCode>General</c:formatCode>
                <c:ptCount val="10"/>
                <c:pt idx="0">
                  <c:v>3.4480900000000001</c:v>
                </c:pt>
                <c:pt idx="1">
                  <c:v>3.4480900000000001</c:v>
                </c:pt>
                <c:pt idx="2">
                  <c:v>3.4480900000000001</c:v>
                </c:pt>
                <c:pt idx="3">
                  <c:v>3.4480900000000001</c:v>
                </c:pt>
                <c:pt idx="4">
                  <c:v>3.4480900000000001</c:v>
                </c:pt>
                <c:pt idx="5">
                  <c:v>3.4480900000000001</c:v>
                </c:pt>
                <c:pt idx="6">
                  <c:v>3.4480900000000001</c:v>
                </c:pt>
                <c:pt idx="7">
                  <c:v>3.4480900000000001</c:v>
                </c:pt>
                <c:pt idx="8">
                  <c:v>3.4480900000000001</c:v>
                </c:pt>
                <c:pt idx="9">
                  <c:v>3.4480900000000001</c:v>
                </c:pt>
              </c:numCache>
            </c:numRef>
          </c:val>
        </c:ser>
        <c:marker val="1"/>
        <c:axId val="182846976"/>
        <c:axId val="182890496"/>
      </c:lineChart>
      <c:catAx>
        <c:axId val="182846976"/>
        <c:scaling>
          <c:orientation val="minMax"/>
        </c:scaling>
        <c:axPos val="b"/>
        <c:numFmt formatCode="General" sourceLinked="1"/>
        <c:tickLblPos val="nextTo"/>
        <c:crossAx val="182890496"/>
        <c:crosses val="autoZero"/>
        <c:auto val="1"/>
        <c:lblAlgn val="ctr"/>
        <c:lblOffset val="100"/>
      </c:catAx>
      <c:valAx>
        <c:axId val="182890496"/>
        <c:scaling>
          <c:orientation val="minMax"/>
          <c:max val="5"/>
          <c:min val="3"/>
        </c:scaling>
        <c:axPos val="l"/>
        <c:numFmt formatCode="General" sourceLinked="1"/>
        <c:tickLblPos val="nextTo"/>
        <c:crossAx val="182846976"/>
        <c:crosses val="autoZero"/>
        <c:crossBetween val="between"/>
        <c:majorUnit val="1"/>
      </c:valAx>
      <c:spPr>
        <a:noFill/>
      </c:spPr>
    </c:plotArea>
    <c:plotVisOnly val="1"/>
  </c:chart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>
        <c:manualLayout>
          <c:layoutTarget val="inner"/>
          <c:xMode val="edge"/>
          <c:yMode val="edge"/>
          <c:x val="0.13075808185517998"/>
          <c:y val="5.1400554097404488E-2"/>
          <c:w val="0.72218920371650164"/>
          <c:h val="0.72512272304647063"/>
        </c:manualLayout>
      </c:layout>
      <c:lineChart>
        <c:grouping val="standard"/>
        <c:ser>
          <c:idx val="0"/>
          <c:order val="0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19050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Sheet5!$Q$2</c:f>
                <c:numCache>
                  <c:formatCode>General</c:formatCode>
                  <c:ptCount val="1"/>
                  <c:pt idx="0">
                    <c:v>5.6451563523882205E-2</c:v>
                  </c:pt>
                </c:numCache>
              </c:numRef>
            </c:plus>
            <c:minus>
              <c:numRef>
                <c:f>Sheet5!$Q$2</c:f>
                <c:numCache>
                  <c:formatCode>General</c:formatCode>
                  <c:ptCount val="1"/>
                  <c:pt idx="0">
                    <c:v>5.6451563523882205E-2</c:v>
                  </c:pt>
                </c:numCache>
              </c:numRef>
            </c:minus>
            <c:spPr>
              <a:ln>
                <a:solidFill>
                  <a:schemeClr val="tx1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Sheet5!$B$2:$B$10</c:f>
              <c:numCache>
                <c:formatCode>General</c:formatCode>
                <c:ptCount val="9"/>
              </c:numCache>
            </c:numRef>
          </c:val>
        </c:ser>
        <c:ser>
          <c:idx val="2"/>
          <c:order val="1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Sheet5!$Q$9</c:f>
                <c:numCache>
                  <c:formatCode>General</c:formatCode>
                  <c:ptCount val="1"/>
                  <c:pt idx="0">
                    <c:v>4.0637030784902141E-2</c:v>
                  </c:pt>
                </c:numCache>
              </c:numRef>
            </c:plus>
            <c:minus>
              <c:numRef>
                <c:f>Sheet5!$Q$9</c:f>
                <c:numCache>
                  <c:formatCode>General</c:formatCode>
                  <c:ptCount val="1"/>
                  <c:pt idx="0">
                    <c:v>4.0637030784902141E-2</c:v>
                  </c:pt>
                </c:numCache>
              </c:numRef>
            </c:minus>
            <c:spPr>
              <a:ln>
                <a:solidFill>
                  <a:srgbClr val="4F81BD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Sheet5!$C$2:$C$10</c:f>
              <c:numCache>
                <c:formatCode>General</c:formatCode>
                <c:ptCount val="9"/>
                <c:pt idx="7">
                  <c:v>1.34</c:v>
                </c:pt>
              </c:numCache>
            </c:numRef>
          </c:val>
        </c:ser>
        <c:ser>
          <c:idx val="3"/>
          <c:order val="2"/>
          <c:spPr>
            <a:ln w="19050">
              <a:solidFill>
                <a:schemeClr val="accent1"/>
              </a:solidFill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1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Sheet5!$Q$10</c:f>
                <c:numCache>
                  <c:formatCode>General</c:formatCode>
                  <c:ptCount val="1"/>
                  <c:pt idx="0">
                    <c:v>4.5203871762838473E-2</c:v>
                  </c:pt>
                </c:numCache>
              </c:numRef>
            </c:plus>
            <c:minus>
              <c:numRef>
                <c:f>Sheet5!$Q$10</c:f>
                <c:numCache>
                  <c:formatCode>General</c:formatCode>
                  <c:ptCount val="1"/>
                  <c:pt idx="0">
                    <c:v>4.5203871762838473E-2</c:v>
                  </c:pt>
                </c:numCache>
              </c:numRef>
            </c:minus>
            <c:spPr>
              <a:ln>
                <a:solidFill>
                  <a:srgbClr val="4F81BD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Sheet5!$D$2:$D$10</c:f>
              <c:numCache>
                <c:formatCode>General</c:formatCode>
                <c:ptCount val="9"/>
                <c:pt idx="8">
                  <c:v>1.33</c:v>
                </c:pt>
              </c:numCache>
            </c:numRef>
          </c:val>
        </c:ser>
        <c:ser>
          <c:idx val="4"/>
          <c:order val="3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6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Sheet5!$Q$8</c:f>
                <c:numCache>
                  <c:formatCode>General</c:formatCode>
                  <c:ptCount val="1"/>
                  <c:pt idx="0">
                    <c:v>2.4925734460649093E-2</c:v>
                  </c:pt>
                </c:numCache>
              </c:numRef>
            </c:plus>
            <c:minus>
              <c:numRef>
                <c:f>Sheet5!$Q$8</c:f>
                <c:numCache>
                  <c:formatCode>General</c:formatCode>
                  <c:ptCount val="1"/>
                  <c:pt idx="0">
                    <c:v>2.4925734460649093E-2</c:v>
                  </c:pt>
                </c:numCache>
              </c:numRef>
            </c:minus>
            <c:spPr>
              <a:ln>
                <a:solidFill>
                  <a:schemeClr val="accent6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Sheet5!$E$2:$E$10</c:f>
              <c:numCache>
                <c:formatCode>General</c:formatCode>
                <c:ptCount val="9"/>
                <c:pt idx="6">
                  <c:v>1.22</c:v>
                </c:pt>
              </c:numCache>
            </c:numRef>
          </c:val>
        </c:ser>
        <c:ser>
          <c:idx val="5"/>
          <c:order val="4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6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Sheet5!$R$9</c:f>
                <c:numCache>
                  <c:formatCode>General</c:formatCode>
                  <c:ptCount val="1"/>
                  <c:pt idx="0">
                    <c:v>2.731252258245407E-2</c:v>
                  </c:pt>
                </c:numCache>
              </c:numRef>
            </c:plus>
            <c:minus>
              <c:numRef>
                <c:f>Sheet5!$R$9</c:f>
                <c:numCache>
                  <c:formatCode>General</c:formatCode>
                  <c:ptCount val="1"/>
                  <c:pt idx="0">
                    <c:v>2.731252258245407E-2</c:v>
                  </c:pt>
                </c:numCache>
              </c:numRef>
            </c:minus>
            <c:spPr>
              <a:ln>
                <a:solidFill>
                  <a:schemeClr val="accent6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Sheet5!$F$2:$F$10</c:f>
              <c:numCache>
                <c:formatCode>General</c:formatCode>
                <c:ptCount val="9"/>
                <c:pt idx="7">
                  <c:v>1.25</c:v>
                </c:pt>
              </c:numCache>
            </c:numRef>
          </c:val>
        </c:ser>
        <c:ser>
          <c:idx val="6"/>
          <c:order val="5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Sheet5!$Q$7</c:f>
                <c:numCache>
                  <c:formatCode>General</c:formatCode>
                  <c:ptCount val="1"/>
                  <c:pt idx="0">
                    <c:v>2.4678153098438588E-2</c:v>
                  </c:pt>
                </c:numCache>
              </c:numRef>
            </c:plus>
            <c:minus>
              <c:numRef>
                <c:f>Sheet5!$Q$7</c:f>
                <c:numCache>
                  <c:formatCode>General</c:formatCode>
                  <c:ptCount val="1"/>
                  <c:pt idx="0">
                    <c:v>2.4678153098438588E-2</c:v>
                  </c:pt>
                </c:numCache>
              </c:numRef>
            </c:minus>
            <c:spPr>
              <a:ln>
                <a:solidFill>
                  <a:srgbClr val="FF0000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Sheet5!$G$2:$G$10</c:f>
              <c:numCache>
                <c:formatCode>General</c:formatCode>
                <c:ptCount val="9"/>
                <c:pt idx="5">
                  <c:v>1.1800000000000046</c:v>
                </c:pt>
              </c:numCache>
            </c:numRef>
          </c:val>
        </c:ser>
        <c:ser>
          <c:idx val="7"/>
          <c:order val="6"/>
          <c:spPr>
            <a:ln w="19050">
              <a:noFill/>
              <a:prstDash val="sysDot"/>
            </a:ln>
          </c:spPr>
          <c:marker>
            <c:symbol val="circle"/>
            <c:size val="5"/>
            <c:spPr>
              <a:noFill/>
              <a:ln w="25400"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Sheet5!$R$8</c:f>
                <c:numCache>
                  <c:formatCode>General</c:formatCode>
                  <c:ptCount val="1"/>
                  <c:pt idx="0">
                    <c:v>2.6928820315647934E-2</c:v>
                  </c:pt>
                </c:numCache>
              </c:numRef>
            </c:plus>
            <c:minus>
              <c:numRef>
                <c:f>Sheet5!$R$8</c:f>
                <c:numCache>
                  <c:formatCode>General</c:formatCode>
                  <c:ptCount val="1"/>
                  <c:pt idx="0">
                    <c:v>2.6928820315647934E-2</c:v>
                  </c:pt>
                </c:numCache>
              </c:numRef>
            </c:minus>
            <c:spPr>
              <a:ln>
                <a:solidFill>
                  <a:srgbClr val="FF0000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Sheet5!$H$2:$H$10</c:f>
              <c:numCache>
                <c:formatCode>General</c:formatCode>
                <c:ptCount val="9"/>
                <c:pt idx="6">
                  <c:v>1.1399999999999948</c:v>
                </c:pt>
              </c:numCache>
            </c:numRef>
          </c:val>
        </c:ser>
        <c:ser>
          <c:idx val="8"/>
          <c:order val="7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4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Sheet5!$Q$6</c:f>
                <c:numCache>
                  <c:formatCode>General</c:formatCode>
                  <c:ptCount val="1"/>
                  <c:pt idx="0">
                    <c:v>4.3583638594023734E-2</c:v>
                  </c:pt>
                </c:numCache>
              </c:numRef>
            </c:plus>
            <c:minus>
              <c:numRef>
                <c:f>Sheet5!$Q$6</c:f>
                <c:numCache>
                  <c:formatCode>General</c:formatCode>
                  <c:ptCount val="1"/>
                  <c:pt idx="0">
                    <c:v>4.3583638594023734E-2</c:v>
                  </c:pt>
                </c:numCache>
              </c:numRef>
            </c:minus>
            <c:spPr>
              <a:ln>
                <a:solidFill>
                  <a:srgbClr val="8064A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Sheet5!$I$2:$I$10</c:f>
              <c:numCache>
                <c:formatCode>General</c:formatCode>
                <c:ptCount val="9"/>
                <c:pt idx="4">
                  <c:v>1.1900000000000046</c:v>
                </c:pt>
              </c:numCache>
            </c:numRef>
          </c:val>
        </c:ser>
        <c:ser>
          <c:idx val="9"/>
          <c:order val="8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rgbClr val="8064A2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Sheet5!$R$7</c:f>
                <c:numCache>
                  <c:formatCode>General</c:formatCode>
                  <c:ptCount val="1"/>
                  <c:pt idx="0">
                    <c:v>4.5094312692503732E-2</c:v>
                  </c:pt>
                </c:numCache>
              </c:numRef>
            </c:plus>
            <c:minus>
              <c:numRef>
                <c:f>Sheet5!$R$7</c:f>
                <c:numCache>
                  <c:formatCode>General</c:formatCode>
                  <c:ptCount val="1"/>
                  <c:pt idx="0">
                    <c:v>4.5094312692503732E-2</c:v>
                  </c:pt>
                </c:numCache>
              </c:numRef>
            </c:minus>
            <c:spPr>
              <a:ln>
                <a:solidFill>
                  <a:srgbClr val="8064A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Sheet5!$J$2:$J$10</c:f>
              <c:numCache>
                <c:formatCode>General</c:formatCode>
                <c:ptCount val="9"/>
                <c:pt idx="5">
                  <c:v>1.1900000000000046</c:v>
                </c:pt>
              </c:numCache>
            </c:numRef>
          </c:val>
        </c:ser>
        <c:ser>
          <c:idx val="10"/>
          <c:order val="9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3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Sheet5!$Q$5</c:f>
                <c:numCache>
                  <c:formatCode>General</c:formatCode>
                  <c:ptCount val="1"/>
                  <c:pt idx="0">
                    <c:v>5.1335693007802913E-2</c:v>
                  </c:pt>
                </c:numCache>
              </c:numRef>
            </c:plus>
            <c:minus>
              <c:numRef>
                <c:f>Sheet5!$Q$5</c:f>
                <c:numCache>
                  <c:formatCode>General</c:formatCode>
                  <c:ptCount val="1"/>
                  <c:pt idx="0">
                    <c:v>5.1335693007802913E-2</c:v>
                  </c:pt>
                </c:numCache>
              </c:numRef>
            </c:minus>
            <c:spPr>
              <a:ln>
                <a:solidFill>
                  <a:schemeClr val="accent3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Sheet5!$K$2:$K$10</c:f>
              <c:numCache>
                <c:formatCode>General</c:formatCode>
                <c:ptCount val="9"/>
                <c:pt idx="3">
                  <c:v>1.2</c:v>
                </c:pt>
              </c:numCache>
            </c:numRef>
          </c:val>
        </c:ser>
        <c:ser>
          <c:idx val="11"/>
          <c:order val="10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3"/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Sheet5!$R$6</c:f>
                <c:numCache>
                  <c:formatCode>General</c:formatCode>
                  <c:ptCount val="1"/>
                  <c:pt idx="0">
                    <c:v>4.6643272738413157E-2</c:v>
                  </c:pt>
                </c:numCache>
              </c:numRef>
            </c:plus>
            <c:minus>
              <c:numRef>
                <c:f>Sheet5!$R$6</c:f>
                <c:numCache>
                  <c:formatCode>General</c:formatCode>
                  <c:ptCount val="1"/>
                  <c:pt idx="0">
                    <c:v>4.6643272738413157E-2</c:v>
                  </c:pt>
                </c:numCache>
              </c:numRef>
            </c:minus>
            <c:spPr>
              <a:ln>
                <a:solidFill>
                  <a:srgbClr val="9BBB59"/>
                </a:solidFill>
                <a:prstDash val="solid"/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Sheet5!$L$2:$L$10</c:f>
              <c:numCache>
                <c:formatCode>General</c:formatCode>
                <c:ptCount val="9"/>
                <c:pt idx="4">
                  <c:v>1.1299999999999948</c:v>
                </c:pt>
              </c:numCache>
            </c:numRef>
          </c:val>
        </c:ser>
        <c:ser>
          <c:idx val="12"/>
          <c:order val="11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Sheet5!$Q$4</c:f>
                <c:numCache>
                  <c:formatCode>General</c:formatCode>
                  <c:ptCount val="1"/>
                  <c:pt idx="0">
                    <c:v>3.6291612903226023E-2</c:v>
                  </c:pt>
                </c:numCache>
              </c:numRef>
            </c:plus>
            <c:minus>
              <c:numRef>
                <c:f>Sheet5!$Q$4</c:f>
                <c:numCache>
                  <c:formatCode>General</c:formatCode>
                  <c:ptCount val="1"/>
                  <c:pt idx="0">
                    <c:v>3.6291612903226023E-2</c:v>
                  </c:pt>
                </c:numCache>
              </c:numRef>
            </c:minus>
            <c:spPr>
              <a:ln>
                <a:solidFill>
                  <a:schemeClr val="accent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Sheet5!$M$2:$M$10</c:f>
              <c:numCache>
                <c:formatCode>General</c:formatCode>
                <c:ptCount val="9"/>
                <c:pt idx="2">
                  <c:v>1.21</c:v>
                </c:pt>
              </c:numCache>
            </c:numRef>
          </c:val>
        </c:ser>
        <c:ser>
          <c:idx val="13"/>
          <c:order val="12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accent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Sheet5!$R$5</c:f>
                <c:numCache>
                  <c:formatCode>General</c:formatCode>
                  <c:ptCount val="1"/>
                  <c:pt idx="0">
                    <c:v>3.8329989887731349E-2</c:v>
                  </c:pt>
                </c:numCache>
              </c:numRef>
            </c:plus>
            <c:minus>
              <c:numRef>
                <c:f>Sheet5!$R$5</c:f>
                <c:numCache>
                  <c:formatCode>General</c:formatCode>
                  <c:ptCount val="1"/>
                  <c:pt idx="0">
                    <c:v>3.8329989887731349E-2</c:v>
                  </c:pt>
                </c:numCache>
              </c:numRef>
            </c:minus>
            <c:spPr>
              <a:ln>
                <a:solidFill>
                  <a:schemeClr val="accent2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Sheet5!$N$2:$N$11</c:f>
              <c:numCache>
                <c:formatCode>General</c:formatCode>
                <c:ptCount val="10"/>
                <c:pt idx="3">
                  <c:v>1.1800000000000046</c:v>
                </c:pt>
              </c:numCache>
            </c:numRef>
          </c:val>
        </c:ser>
        <c:ser>
          <c:idx val="14"/>
          <c:order val="13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tx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Sheet5!$Q$3</c:f>
                <c:numCache>
                  <c:formatCode>General</c:formatCode>
                  <c:ptCount val="1"/>
                  <c:pt idx="0">
                    <c:v>5.5327178131547722E-2</c:v>
                  </c:pt>
                </c:numCache>
              </c:numRef>
            </c:plus>
            <c:minus>
              <c:numRef>
                <c:f>Sheet5!$Q$3</c:f>
                <c:numCache>
                  <c:formatCode>General</c:formatCode>
                  <c:ptCount val="1"/>
                  <c:pt idx="0">
                    <c:v>5.5327178131547722E-2</c:v>
                  </c:pt>
                </c:numCache>
              </c:numRef>
            </c:minus>
            <c:spPr>
              <a:ln>
                <a:solidFill>
                  <a:schemeClr val="accent1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Sheet5!$O$2:$O$11</c:f>
              <c:numCache>
                <c:formatCode>General</c:formatCode>
                <c:ptCount val="10"/>
                <c:pt idx="1">
                  <c:v>1.27</c:v>
                </c:pt>
              </c:numCache>
            </c:numRef>
          </c:val>
        </c:ser>
        <c:ser>
          <c:idx val="15"/>
          <c:order val="14"/>
          <c:spPr>
            <a:ln>
              <a:noFill/>
            </a:ln>
          </c:spPr>
          <c:marker>
            <c:symbol val="circle"/>
            <c:size val="5"/>
            <c:spPr>
              <a:noFill/>
              <a:ln w="25400">
                <a:solidFill>
                  <a:schemeClr val="tx2">
                    <a:lumMod val="75000"/>
                  </a:schemeClr>
                </a:solidFill>
              </a:ln>
            </c:spPr>
          </c:marker>
          <c:errBars>
            <c:errDir val="y"/>
            <c:errBarType val="both"/>
            <c:errValType val="cust"/>
            <c:plus>
              <c:numRef>
                <c:f>Sheet5!$R$4</c:f>
                <c:numCache>
                  <c:formatCode>General</c:formatCode>
                  <c:ptCount val="1"/>
                  <c:pt idx="0">
                    <c:v>9.8215664237118833E-2</c:v>
                  </c:pt>
                </c:numCache>
              </c:numRef>
            </c:plus>
            <c:minus>
              <c:numRef>
                <c:f>Sheet5!$R$4</c:f>
                <c:numCache>
                  <c:formatCode>General</c:formatCode>
                  <c:ptCount val="1"/>
                  <c:pt idx="0">
                    <c:v>9.8215664237118833E-2</c:v>
                  </c:pt>
                </c:numCache>
              </c:numRef>
            </c:minus>
            <c:spPr>
              <a:ln>
                <a:solidFill>
                  <a:schemeClr val="accent1"/>
                </a:solidFill>
              </a:ln>
            </c:spPr>
          </c:errBars>
          <c:cat>
            <c:numRef>
              <c:f>Sheet5!$A$2:$A$10</c:f>
              <c:numCache>
                <c:formatCode>General</c:formatCode>
                <c:ptCount val="9"/>
                <c:pt idx="1">
                  <c:v>-4.5</c:v>
                </c:pt>
                <c:pt idx="2">
                  <c:v>-3.5</c:v>
                </c:pt>
                <c:pt idx="3">
                  <c:v>-2.5</c:v>
                </c:pt>
                <c:pt idx="4">
                  <c:v>-1.5</c:v>
                </c:pt>
                <c:pt idx="5">
                  <c:v>-0.5</c:v>
                </c:pt>
                <c:pt idx="6">
                  <c:v>0.5</c:v>
                </c:pt>
                <c:pt idx="7">
                  <c:v>1.5</c:v>
                </c:pt>
                <c:pt idx="8">
                  <c:v>2.5</c:v>
                </c:pt>
              </c:numCache>
            </c:numRef>
          </c:cat>
          <c:val>
            <c:numRef>
              <c:f>Sheet5!$P$2:$P$11</c:f>
              <c:numCache>
                <c:formatCode>General</c:formatCode>
                <c:ptCount val="10"/>
                <c:pt idx="2">
                  <c:v>1.43</c:v>
                </c:pt>
              </c:numCache>
            </c:numRef>
          </c:val>
        </c:ser>
        <c:ser>
          <c:idx val="1"/>
          <c:order val="15"/>
          <c:spPr>
            <a:ln w="12700">
              <a:solidFill>
                <a:srgbClr val="FF0000"/>
              </a:solidFill>
              <a:prstDash val="sysDot"/>
            </a:ln>
          </c:spPr>
          <c:marker>
            <c:symbol val="none"/>
          </c:marker>
          <c:val>
            <c:numRef>
              <c:f>Sheet5!$S$2:$S$11</c:f>
              <c:numCache>
                <c:formatCode>General</c:formatCode>
                <c:ptCount val="10"/>
                <c:pt idx="0">
                  <c:v>1.16693</c:v>
                </c:pt>
                <c:pt idx="1">
                  <c:v>1.16693</c:v>
                </c:pt>
                <c:pt idx="2">
                  <c:v>1.16693</c:v>
                </c:pt>
                <c:pt idx="3">
                  <c:v>1.16693</c:v>
                </c:pt>
                <c:pt idx="4">
                  <c:v>1.16693</c:v>
                </c:pt>
                <c:pt idx="5">
                  <c:v>1.16693</c:v>
                </c:pt>
                <c:pt idx="6">
                  <c:v>1.16693</c:v>
                </c:pt>
                <c:pt idx="7">
                  <c:v>1.16693</c:v>
                </c:pt>
                <c:pt idx="8">
                  <c:v>1.16693</c:v>
                </c:pt>
                <c:pt idx="9">
                  <c:v>1.16693</c:v>
                </c:pt>
              </c:numCache>
            </c:numRef>
          </c:val>
        </c:ser>
        <c:marker val="1"/>
        <c:axId val="205552256"/>
        <c:axId val="205560832"/>
      </c:lineChart>
      <c:catAx>
        <c:axId val="205552256"/>
        <c:scaling>
          <c:orientation val="minMax"/>
        </c:scaling>
        <c:axPos val="b"/>
        <c:numFmt formatCode="General" sourceLinked="1"/>
        <c:tickLblPos val="nextTo"/>
        <c:crossAx val="205560832"/>
        <c:crosses val="autoZero"/>
        <c:auto val="1"/>
        <c:lblAlgn val="ctr"/>
        <c:lblOffset val="100"/>
      </c:catAx>
      <c:valAx>
        <c:axId val="205560832"/>
        <c:scaling>
          <c:orientation val="minMax"/>
          <c:max val="1.6"/>
          <c:min val="1"/>
        </c:scaling>
        <c:axPos val="l"/>
        <c:numFmt formatCode="General" sourceLinked="1"/>
        <c:tickLblPos val="nextTo"/>
        <c:crossAx val="205552256"/>
        <c:crosses val="autoZero"/>
        <c:crossBetween val="between"/>
        <c:majorUnit val="0.2"/>
      </c:valAx>
      <c:spPr>
        <a:noFill/>
      </c:spPr>
    </c:plotArea>
    <c:plotVisOnly val="1"/>
  </c:chart>
  <c:externalData r:id="rId1"/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>
        <c:manualLayout>
          <c:layoutTarget val="inner"/>
          <c:xMode val="edge"/>
          <c:yMode val="edge"/>
          <c:x val="0.15955774278215457"/>
          <c:y val="5.1400554097404488E-2"/>
          <c:w val="0.75205336832895886"/>
          <c:h val="0.74928623505395153"/>
        </c:manualLayout>
      </c:layout>
      <c:lineChart>
        <c:grouping val="standard"/>
        <c:ser>
          <c:idx val="6"/>
          <c:order val="0"/>
          <c:tx>
            <c:strRef>
              <c:f>CHD启动时间!$V$2</c:f>
              <c:strCache>
                <c:ptCount val="1"/>
                <c:pt idx="0">
                  <c:v>CHD</c:v>
                </c:pt>
              </c:strCache>
            </c:strRef>
          </c:tx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FF0000"/>
                </a:solidFill>
              </a:ln>
            </c:spPr>
            <c:trendlineType val="poly"/>
            <c:order val="2"/>
          </c:trendline>
          <c:cat>
            <c:strRef>
              <c:f>CHD启动时间!$T$5:$T$12</c:f>
              <c:strCache>
                <c:ptCount val="8"/>
                <c:pt idx="0">
                  <c:v>&lt; -4.5</c:v>
                </c:pt>
                <c:pt idx="1">
                  <c:v>-3.5</c:v>
                </c:pt>
                <c:pt idx="2">
                  <c:v>-2.5</c:v>
                </c:pt>
                <c:pt idx="3">
                  <c:v>-1.5</c:v>
                </c:pt>
                <c:pt idx="4">
                  <c:v>-0.5</c:v>
                </c:pt>
                <c:pt idx="5">
                  <c:v>0.5</c:v>
                </c:pt>
                <c:pt idx="6">
                  <c:v>1.5</c:v>
                </c:pt>
                <c:pt idx="7">
                  <c:v>2.5</c:v>
                </c:pt>
              </c:strCache>
            </c:strRef>
          </c:cat>
          <c:val>
            <c:numRef>
              <c:f>CHD启动时间!$V$5:$V$12</c:f>
              <c:numCache>
                <c:formatCode>General</c:formatCode>
                <c:ptCount val="8"/>
                <c:pt idx="0">
                  <c:v>3.788933323043064</c:v>
                </c:pt>
                <c:pt idx="1">
                  <c:v>3.7011374921257212</c:v>
                </c:pt>
                <c:pt idx="2">
                  <c:v>3.5735446610819492</c:v>
                </c:pt>
                <c:pt idx="3">
                  <c:v>3.7242173389002602</c:v>
                </c:pt>
                <c:pt idx="4">
                  <c:v>3.7625362966248792</c:v>
                </c:pt>
                <c:pt idx="5">
                  <c:v>3.7373254514419361</c:v>
                </c:pt>
                <c:pt idx="6">
                  <c:v>4.1187691976924734</c:v>
                </c:pt>
                <c:pt idx="7">
                  <c:v>4.373391918151472</c:v>
                </c:pt>
              </c:numCache>
            </c:numRef>
          </c:val>
        </c:ser>
        <c:ser>
          <c:idx val="7"/>
          <c:order val="1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C0000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CHD启动时间!$T$5:$T$12</c:f>
              <c:strCache>
                <c:ptCount val="8"/>
                <c:pt idx="0">
                  <c:v>&lt; -4.5</c:v>
                </c:pt>
                <c:pt idx="1">
                  <c:v>-3.5</c:v>
                </c:pt>
                <c:pt idx="2">
                  <c:v>-2.5</c:v>
                </c:pt>
                <c:pt idx="3">
                  <c:v>-1.5</c:v>
                </c:pt>
                <c:pt idx="4">
                  <c:v>-0.5</c:v>
                </c:pt>
                <c:pt idx="5">
                  <c:v>0.5</c:v>
                </c:pt>
                <c:pt idx="6">
                  <c:v>1.5</c:v>
                </c:pt>
                <c:pt idx="7">
                  <c:v>2.5</c:v>
                </c:pt>
              </c:strCache>
            </c:strRef>
          </c:cat>
          <c:val>
            <c:numRef>
              <c:f>CHD启动时间!$W$5:$W$12</c:f>
              <c:numCache>
                <c:formatCode>General</c:formatCode>
                <c:ptCount val="8"/>
                <c:pt idx="0">
                  <c:v>3.5768236556502377</c:v>
                </c:pt>
                <c:pt idx="1">
                  <c:v>3.5648675185084802</c:v>
                </c:pt>
                <c:pt idx="2">
                  <c:v>3.4373617969637582</c:v>
                </c:pt>
                <c:pt idx="3">
                  <c:v>3.5730203547114812</c:v>
                </c:pt>
                <c:pt idx="4">
                  <c:v>3.6654650839114726</c:v>
                </c:pt>
                <c:pt idx="5">
                  <c:v>3.6603093126831232</c:v>
                </c:pt>
                <c:pt idx="6">
                  <c:v>4.0241803815897645</c:v>
                </c:pt>
                <c:pt idx="7">
                  <c:v>4.1697549528929745</c:v>
                </c:pt>
              </c:numCache>
            </c:numRef>
          </c:val>
        </c:ser>
        <c:ser>
          <c:idx val="8"/>
          <c:order val="2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C0000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CHD启动时间!$T$5:$T$12</c:f>
              <c:strCache>
                <c:ptCount val="8"/>
                <c:pt idx="0">
                  <c:v>&lt; -4.5</c:v>
                </c:pt>
                <c:pt idx="1">
                  <c:v>-3.5</c:v>
                </c:pt>
                <c:pt idx="2">
                  <c:v>-2.5</c:v>
                </c:pt>
                <c:pt idx="3">
                  <c:v>-1.5</c:v>
                </c:pt>
                <c:pt idx="4">
                  <c:v>-0.5</c:v>
                </c:pt>
                <c:pt idx="5">
                  <c:v>0.5</c:v>
                </c:pt>
                <c:pt idx="6">
                  <c:v>1.5</c:v>
                </c:pt>
                <c:pt idx="7">
                  <c:v>2.5</c:v>
                </c:pt>
              </c:strCache>
            </c:strRef>
          </c:cat>
          <c:val>
            <c:numRef>
              <c:f>CHD启动时间!$X$5:$X$12</c:f>
              <c:numCache>
                <c:formatCode>General</c:formatCode>
                <c:ptCount val="8"/>
                <c:pt idx="0">
                  <c:v>4.0010429904358924</c:v>
                </c:pt>
                <c:pt idx="1">
                  <c:v>3.8374074657429591</c:v>
                </c:pt>
                <c:pt idx="2">
                  <c:v>3.7097275252001412</c:v>
                </c:pt>
                <c:pt idx="3">
                  <c:v>3.8754143230890117</c:v>
                </c:pt>
                <c:pt idx="4">
                  <c:v>3.859607509338252</c:v>
                </c:pt>
                <c:pt idx="5">
                  <c:v>3.814341590200693</c:v>
                </c:pt>
                <c:pt idx="6">
                  <c:v>4.2133580137951423</c:v>
                </c:pt>
                <c:pt idx="7">
                  <c:v>4.5770288834099473</c:v>
                </c:pt>
              </c:numCache>
            </c:numRef>
          </c:val>
        </c:ser>
        <c:ser>
          <c:idx val="0"/>
          <c:order val="3"/>
          <c:spPr>
            <a:ln w="19050">
              <a:solidFill>
                <a:schemeClr val="tx1"/>
              </a:solidFill>
              <a:prstDash val="sysDot"/>
            </a:ln>
          </c:spPr>
          <c:marker>
            <c:symbol val="none"/>
          </c:marker>
          <c:trendline>
            <c:trendlineType val="linear"/>
          </c:trendline>
          <c:val>
            <c:numRef>
              <c:f>CHD启动时间!$Y$5:$Y$12</c:f>
              <c:numCache>
                <c:formatCode>General</c:formatCode>
                <c:ptCount val="8"/>
                <c:pt idx="0">
                  <c:v>3.62</c:v>
                </c:pt>
                <c:pt idx="1">
                  <c:v>3.62</c:v>
                </c:pt>
                <c:pt idx="2">
                  <c:v>3.62</c:v>
                </c:pt>
                <c:pt idx="3">
                  <c:v>3.62</c:v>
                </c:pt>
                <c:pt idx="4">
                  <c:v>3.62</c:v>
                </c:pt>
                <c:pt idx="5">
                  <c:v>3.62</c:v>
                </c:pt>
                <c:pt idx="6">
                  <c:v>3.62</c:v>
                </c:pt>
                <c:pt idx="7">
                  <c:v>3.62</c:v>
                </c:pt>
              </c:numCache>
            </c:numRef>
          </c:val>
        </c:ser>
        <c:marker val="1"/>
        <c:axId val="216087552"/>
        <c:axId val="216346624"/>
      </c:lineChart>
      <c:catAx>
        <c:axId val="216087552"/>
        <c:scaling>
          <c:orientation val="minMax"/>
        </c:scaling>
        <c:axPos val="b"/>
        <c:numFmt formatCode="General" sourceLinked="1"/>
        <c:tickLblPos val="nextTo"/>
        <c:crossAx val="216346624"/>
        <c:crosses val="autoZero"/>
        <c:auto val="1"/>
        <c:lblAlgn val="ctr"/>
        <c:lblOffset val="100"/>
      </c:catAx>
      <c:valAx>
        <c:axId val="216346624"/>
        <c:scaling>
          <c:orientation val="minMax"/>
          <c:max val="5"/>
          <c:min val="3"/>
        </c:scaling>
        <c:axPos val="l"/>
        <c:numFmt formatCode="#,##0.0_);\(#,##0.0\)" sourceLinked="0"/>
        <c:tickLblPos val="nextTo"/>
        <c:crossAx val="216087552"/>
        <c:crosses val="autoZero"/>
        <c:crossBetween val="between"/>
        <c:majorUnit val="0.5"/>
      </c:valAx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>
        <c:manualLayout>
          <c:layoutTarget val="inner"/>
          <c:xMode val="edge"/>
          <c:yMode val="edge"/>
          <c:x val="0.15955774278215468"/>
          <c:y val="5.1400554097404488E-2"/>
          <c:w val="0.72427559055119073"/>
          <c:h val="0.74928623505395153"/>
        </c:manualLayout>
      </c:layout>
      <c:lineChart>
        <c:grouping val="standard"/>
        <c:ser>
          <c:idx val="0"/>
          <c:order val="0"/>
          <c:tx>
            <c:strRef>
              <c:f>CHD启动时间!$Y$2</c:f>
              <c:strCache>
                <c:ptCount val="1"/>
                <c:pt idx="0">
                  <c:v>非CHD</c:v>
                </c:pt>
              </c:strCache>
            </c:strRef>
          </c:tx>
          <c:spPr>
            <a:ln w="28575">
              <a:noFill/>
            </a:ln>
          </c:spPr>
          <c:marker>
            <c:symbol val="none"/>
          </c:marker>
          <c:trendline>
            <c:trendlineType val="poly"/>
            <c:order val="2"/>
          </c:trendline>
          <c:trendline>
            <c:trendlineType val="poly"/>
            <c:order val="2"/>
          </c:trendline>
          <c:trendline>
            <c:spPr>
              <a:ln w="19050">
                <a:solidFill>
                  <a:srgbClr val="0070C0"/>
                </a:solidFill>
              </a:ln>
            </c:spPr>
            <c:trendlineType val="poly"/>
            <c:order val="2"/>
          </c:trendline>
          <c:cat>
            <c:strRef>
              <c:f>非CHD启动时间!$T$5:$T$12</c:f>
              <c:strCache>
                <c:ptCount val="8"/>
                <c:pt idx="0">
                  <c:v>&lt; -4.5</c:v>
                </c:pt>
                <c:pt idx="1">
                  <c:v>-3.5</c:v>
                </c:pt>
                <c:pt idx="2">
                  <c:v>-2.5</c:v>
                </c:pt>
                <c:pt idx="3">
                  <c:v>-1.5</c:v>
                </c:pt>
                <c:pt idx="4">
                  <c:v>-0.5</c:v>
                </c:pt>
                <c:pt idx="5">
                  <c:v>0.5</c:v>
                </c:pt>
                <c:pt idx="6">
                  <c:v>1.5</c:v>
                </c:pt>
                <c:pt idx="7">
                  <c:v>2.5</c:v>
                </c:pt>
              </c:strCache>
            </c:strRef>
          </c:cat>
          <c:val>
            <c:numRef>
              <c:f>非CHD启动时间!$Y$5:$Y$12</c:f>
              <c:numCache>
                <c:formatCode>General</c:formatCode>
                <c:ptCount val="8"/>
                <c:pt idx="0">
                  <c:v>1.2693337847374815</c:v>
                </c:pt>
                <c:pt idx="1">
                  <c:v>1.2544513038807281</c:v>
                </c:pt>
                <c:pt idx="2">
                  <c:v>1.1804207570161798</c:v>
                </c:pt>
                <c:pt idx="3">
                  <c:v>1.1655016720283198</c:v>
                </c:pt>
                <c:pt idx="4">
                  <c:v>1.1798313383014558</c:v>
                </c:pt>
                <c:pt idx="5">
                  <c:v>1.1826773425078825</c:v>
                </c:pt>
                <c:pt idx="6">
                  <c:v>1.277281511978664</c:v>
                </c:pt>
                <c:pt idx="7">
                  <c:v>1.3341424535055584</c:v>
                </c:pt>
              </c:numCache>
            </c:numRef>
          </c:val>
        </c:ser>
        <c:ser>
          <c:idx val="1"/>
          <c:order val="1"/>
          <c:spPr>
            <a:ln w="28575">
              <a:noFill/>
            </a:ln>
          </c:spPr>
          <c:marker>
            <c:symbol val="none"/>
          </c:marker>
          <c:trendline>
            <c:spPr>
              <a:ln w="12700">
                <a:solidFill>
                  <a:srgbClr val="0070C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非CHD启动时间!$T$5:$T$12</c:f>
              <c:strCache>
                <c:ptCount val="8"/>
                <c:pt idx="0">
                  <c:v>&lt; -4.5</c:v>
                </c:pt>
                <c:pt idx="1">
                  <c:v>-3.5</c:v>
                </c:pt>
                <c:pt idx="2">
                  <c:v>-2.5</c:v>
                </c:pt>
                <c:pt idx="3">
                  <c:v>-1.5</c:v>
                </c:pt>
                <c:pt idx="4">
                  <c:v>-0.5</c:v>
                </c:pt>
                <c:pt idx="5">
                  <c:v>0.5</c:v>
                </c:pt>
                <c:pt idx="6">
                  <c:v>1.5</c:v>
                </c:pt>
                <c:pt idx="7">
                  <c:v>2.5</c:v>
                </c:pt>
              </c:strCache>
            </c:strRef>
          </c:cat>
          <c:val>
            <c:numRef>
              <c:f>非CHD启动时间!$Z$5:$Z$12</c:f>
              <c:numCache>
                <c:formatCode>General</c:formatCode>
                <c:ptCount val="8"/>
                <c:pt idx="0">
                  <c:v>1.2138681396555626</c:v>
                </c:pt>
                <c:pt idx="1">
                  <c:v>1.218673083383617</c:v>
                </c:pt>
                <c:pt idx="2">
                  <c:v>1.1496274120851611</c:v>
                </c:pt>
                <c:pt idx="3">
                  <c:v>1.1334696113210458</c:v>
                </c:pt>
                <c:pt idx="4">
                  <c:v>1.158162293225997</c:v>
                </c:pt>
                <c:pt idx="5">
                  <c:v>1.1643271642802666</c:v>
                </c:pt>
                <c:pt idx="6">
                  <c:v>1.2545588472382829</c:v>
                </c:pt>
                <c:pt idx="7">
                  <c:v>1.2888825603457814</c:v>
                </c:pt>
              </c:numCache>
            </c:numRef>
          </c:val>
        </c:ser>
        <c:ser>
          <c:idx val="2"/>
          <c:order val="2"/>
          <c:spPr>
            <a:ln w="28575">
              <a:noFill/>
            </a:ln>
          </c:spPr>
          <c:marker>
            <c:symbol val="none"/>
          </c:marker>
          <c:trendline>
            <c:spPr>
              <a:ln w="12700">
                <a:solidFill>
                  <a:srgbClr val="0070C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非CHD启动时间!$T$5:$T$12</c:f>
              <c:strCache>
                <c:ptCount val="8"/>
                <c:pt idx="0">
                  <c:v>&lt; -4.5</c:v>
                </c:pt>
                <c:pt idx="1">
                  <c:v>-3.5</c:v>
                </c:pt>
                <c:pt idx="2">
                  <c:v>-2.5</c:v>
                </c:pt>
                <c:pt idx="3">
                  <c:v>-1.5</c:v>
                </c:pt>
                <c:pt idx="4">
                  <c:v>-0.5</c:v>
                </c:pt>
                <c:pt idx="5">
                  <c:v>0.5</c:v>
                </c:pt>
                <c:pt idx="6">
                  <c:v>1.5</c:v>
                </c:pt>
                <c:pt idx="7">
                  <c:v>2.5</c:v>
                </c:pt>
              </c:strCache>
            </c:strRef>
          </c:cat>
          <c:val>
            <c:numRef>
              <c:f>非CHD启动时间!$AA$5:$AA$12</c:f>
              <c:numCache>
                <c:formatCode>General</c:formatCode>
                <c:ptCount val="8"/>
                <c:pt idx="0">
                  <c:v>1.3247994298194234</c:v>
                </c:pt>
                <c:pt idx="1">
                  <c:v>1.2902295243778363</c:v>
                </c:pt>
                <c:pt idx="2">
                  <c:v>1.2112141019471914</c:v>
                </c:pt>
                <c:pt idx="3">
                  <c:v>1.1975337327355964</c:v>
                </c:pt>
                <c:pt idx="4">
                  <c:v>1.2015003833769158</c:v>
                </c:pt>
                <c:pt idx="5">
                  <c:v>1.2010275207355201</c:v>
                </c:pt>
                <c:pt idx="6">
                  <c:v>1.300004176719044</c:v>
                </c:pt>
                <c:pt idx="7">
                  <c:v>1.3794023466653302</c:v>
                </c:pt>
              </c:numCache>
            </c:numRef>
          </c:val>
        </c:ser>
        <c:ser>
          <c:idx val="3"/>
          <c:order val="3"/>
          <c:spPr>
            <a:ln w="19050">
              <a:solidFill>
                <a:sysClr val="windowText" lastClr="000000"/>
              </a:solidFill>
              <a:prstDash val="sysDot"/>
            </a:ln>
          </c:spPr>
          <c:marker>
            <c:symbol val="none"/>
          </c:marker>
          <c:trendline>
            <c:trendlineType val="linear"/>
          </c:trendline>
          <c:val>
            <c:numRef>
              <c:f>非CHD启动时间!$AB$5:$AB$12</c:f>
              <c:numCache>
                <c:formatCode>General</c:formatCode>
                <c:ptCount val="8"/>
                <c:pt idx="0">
                  <c:v>1.167</c:v>
                </c:pt>
                <c:pt idx="1">
                  <c:v>1.167</c:v>
                </c:pt>
                <c:pt idx="2">
                  <c:v>1.167</c:v>
                </c:pt>
                <c:pt idx="3">
                  <c:v>1.167</c:v>
                </c:pt>
                <c:pt idx="4">
                  <c:v>1.167</c:v>
                </c:pt>
                <c:pt idx="5">
                  <c:v>1.167</c:v>
                </c:pt>
                <c:pt idx="6">
                  <c:v>1.167</c:v>
                </c:pt>
                <c:pt idx="7">
                  <c:v>1.167</c:v>
                </c:pt>
              </c:numCache>
            </c:numRef>
          </c:val>
        </c:ser>
        <c:marker val="1"/>
        <c:axId val="221475200"/>
        <c:axId val="162546048"/>
      </c:lineChart>
      <c:catAx>
        <c:axId val="221475200"/>
        <c:scaling>
          <c:orientation val="minMax"/>
        </c:scaling>
        <c:axPos val="b"/>
        <c:numFmt formatCode="General" sourceLinked="1"/>
        <c:tickLblPos val="nextTo"/>
        <c:crossAx val="162546048"/>
        <c:crosses val="autoZero"/>
        <c:auto val="1"/>
        <c:lblAlgn val="ctr"/>
        <c:lblOffset val="100"/>
      </c:catAx>
      <c:valAx>
        <c:axId val="162546048"/>
        <c:scaling>
          <c:orientation val="minMax"/>
          <c:max val="1.6"/>
          <c:min val="1"/>
        </c:scaling>
        <c:axPos val="l"/>
        <c:numFmt formatCode="#,##0.0_);\(#,##0.0\)" sourceLinked="0"/>
        <c:tickLblPos val="nextTo"/>
        <c:crossAx val="221475200"/>
        <c:crosses val="autoZero"/>
        <c:crossBetween val="between"/>
        <c:majorUnit val="0.2"/>
      </c:valAx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>
        <c:manualLayout>
          <c:layoutTarget val="inner"/>
          <c:xMode val="edge"/>
          <c:yMode val="edge"/>
          <c:x val="0.14289107611548571"/>
          <c:y val="6.04400551625962E-2"/>
          <c:w val="0.81872003499562562"/>
          <c:h val="0.76317512394284071"/>
        </c:manualLayout>
      </c:layout>
      <c:lineChart>
        <c:grouping val="standard"/>
        <c:ser>
          <c:idx val="0"/>
          <c:order val="0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FF0000"/>
                </a:solidFill>
              </a:ln>
            </c:spPr>
            <c:trendlineType val="poly"/>
            <c:order val="2"/>
          </c:trendline>
          <c:cat>
            <c:strRef>
              <c:f>CHD时长!$T$5:$T$11</c:f>
              <c:strCache>
                <c:ptCount val="7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≥ 6.5</c:v>
                </c:pt>
              </c:strCache>
            </c:strRef>
          </c:cat>
          <c:val>
            <c:numRef>
              <c:f>CHD时长!$U$5:$U$11</c:f>
              <c:numCache>
                <c:formatCode>General</c:formatCode>
                <c:ptCount val="7"/>
                <c:pt idx="0">
                  <c:v>4.4472387120249115</c:v>
                </c:pt>
                <c:pt idx="1">
                  <c:v>4.021647156965737</c:v>
                </c:pt>
                <c:pt idx="2">
                  <c:v>3.5564021069324587</c:v>
                </c:pt>
                <c:pt idx="3">
                  <c:v>3.7650644763820402</c:v>
                </c:pt>
                <c:pt idx="4">
                  <c:v>3.6907585625335404</c:v>
                </c:pt>
                <c:pt idx="5">
                  <c:v>3.5864942941583231</c:v>
                </c:pt>
                <c:pt idx="6">
                  <c:v>3.7112552702937993</c:v>
                </c:pt>
              </c:numCache>
            </c:numRef>
          </c:val>
        </c:ser>
        <c:ser>
          <c:idx val="1"/>
          <c:order val="1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FF000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CHD时长!$T$5:$T$11</c:f>
              <c:strCache>
                <c:ptCount val="7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≥ 6.5</c:v>
                </c:pt>
              </c:strCache>
            </c:strRef>
          </c:cat>
          <c:val>
            <c:numRef>
              <c:f>CHD时长!$V$5:$V$11</c:f>
              <c:numCache>
                <c:formatCode>General</c:formatCode>
                <c:ptCount val="7"/>
                <c:pt idx="0">
                  <c:v>4.3190812205824765</c:v>
                </c:pt>
                <c:pt idx="1">
                  <c:v>3.9429150683412502</c:v>
                </c:pt>
                <c:pt idx="2">
                  <c:v>3.478745528853632</c:v>
                </c:pt>
                <c:pt idx="3">
                  <c:v>3.6213638589587682</c:v>
                </c:pt>
                <c:pt idx="4">
                  <c:v>3.5282624763070531</c:v>
                </c:pt>
                <c:pt idx="5">
                  <c:v>3.4722024303758618</c:v>
                </c:pt>
                <c:pt idx="6">
                  <c:v>3.5399299663339208</c:v>
                </c:pt>
              </c:numCache>
            </c:numRef>
          </c:val>
        </c:ser>
        <c:ser>
          <c:idx val="2"/>
          <c:order val="2"/>
          <c:spPr>
            <a:ln w="28575">
              <a:noFill/>
            </a:ln>
          </c:spPr>
          <c:marker>
            <c:symbol val="none"/>
          </c:marker>
          <c:trendline>
            <c:trendlineType val="poly"/>
            <c:order val="2"/>
          </c:trendline>
          <c:trendline>
            <c:spPr>
              <a:ln w="19050">
                <a:solidFill>
                  <a:srgbClr val="FF000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CHD时长!$T$5:$T$11</c:f>
              <c:strCache>
                <c:ptCount val="7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≥ 6.5</c:v>
                </c:pt>
              </c:strCache>
            </c:strRef>
          </c:cat>
          <c:val>
            <c:numRef>
              <c:f>CHD时长!$W$5:$W$11</c:f>
              <c:numCache>
                <c:formatCode>General</c:formatCode>
                <c:ptCount val="7"/>
                <c:pt idx="0">
                  <c:v>4.5753962034672115</c:v>
                </c:pt>
                <c:pt idx="1">
                  <c:v>4.1003792455902239</c:v>
                </c:pt>
                <c:pt idx="2">
                  <c:v>3.6340586850112611</c:v>
                </c:pt>
                <c:pt idx="3">
                  <c:v>3.908765093805302</c:v>
                </c:pt>
                <c:pt idx="4">
                  <c:v>3.8532546487600281</c:v>
                </c:pt>
                <c:pt idx="5">
                  <c:v>3.7007861579407582</c:v>
                </c:pt>
                <c:pt idx="6">
                  <c:v>3.8825805742537267</c:v>
                </c:pt>
              </c:numCache>
            </c:numRef>
          </c:val>
        </c:ser>
        <c:ser>
          <c:idx val="3"/>
          <c:order val="3"/>
          <c:spPr>
            <a:ln w="19050">
              <a:solidFill>
                <a:schemeClr val="tx1"/>
              </a:solidFill>
              <a:prstDash val="sysDot"/>
            </a:ln>
          </c:spPr>
          <c:marker>
            <c:symbol val="none"/>
          </c:marker>
          <c:trendline>
            <c:trendlineType val="linear"/>
          </c:trendline>
          <c:cat>
            <c:strRef>
              <c:f>CHD时长!$T$5:$T$11</c:f>
              <c:strCache>
                <c:ptCount val="7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≥ 6.5</c:v>
                </c:pt>
              </c:strCache>
            </c:strRef>
          </c:cat>
          <c:val>
            <c:numRef>
              <c:f>CHD时长!$X$5:$X$11</c:f>
              <c:numCache>
                <c:formatCode>General</c:formatCode>
                <c:ptCount val="7"/>
                <c:pt idx="0">
                  <c:v>3.5649999999999999</c:v>
                </c:pt>
                <c:pt idx="1">
                  <c:v>3.5649999999999999</c:v>
                </c:pt>
                <c:pt idx="2">
                  <c:v>3.5649999999999999</c:v>
                </c:pt>
                <c:pt idx="3">
                  <c:v>3.5649999999999999</c:v>
                </c:pt>
                <c:pt idx="4">
                  <c:v>3.5649999999999999</c:v>
                </c:pt>
                <c:pt idx="5">
                  <c:v>3.5649999999999999</c:v>
                </c:pt>
                <c:pt idx="6">
                  <c:v>3.5649999999999999</c:v>
                </c:pt>
              </c:numCache>
            </c:numRef>
          </c:val>
        </c:ser>
        <c:marker val="1"/>
        <c:axId val="162571776"/>
        <c:axId val="162573312"/>
      </c:lineChart>
      <c:catAx>
        <c:axId val="162571776"/>
        <c:scaling>
          <c:orientation val="minMax"/>
        </c:scaling>
        <c:axPos val="b"/>
        <c:numFmt formatCode="General" sourceLinked="1"/>
        <c:tickLblPos val="nextTo"/>
        <c:crossAx val="162573312"/>
        <c:crosses val="autoZero"/>
        <c:auto val="1"/>
        <c:lblAlgn val="ctr"/>
        <c:lblOffset val="100"/>
      </c:catAx>
      <c:valAx>
        <c:axId val="162573312"/>
        <c:scaling>
          <c:orientation val="minMax"/>
          <c:max val="5"/>
          <c:min val="3"/>
        </c:scaling>
        <c:axPos val="l"/>
        <c:numFmt formatCode="General" sourceLinked="1"/>
        <c:tickLblPos val="nextTo"/>
        <c:crossAx val="162571776"/>
        <c:crosses val="autoZero"/>
        <c:crossBetween val="between"/>
        <c:majorUnit val="0.5"/>
        <c:minorUnit val="0.1"/>
      </c:valAx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>
        <c:manualLayout>
          <c:layoutTarget val="inner"/>
          <c:xMode val="edge"/>
          <c:yMode val="edge"/>
          <c:x val="0.14289107611548571"/>
          <c:y val="7.399937719649452E-2"/>
          <c:w val="0.81872003499562562"/>
          <c:h val="0.76317512394284071"/>
        </c:manualLayout>
      </c:layout>
      <c:lineChart>
        <c:grouping val="standard"/>
        <c:ser>
          <c:idx val="4"/>
          <c:order val="0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0070C0"/>
                </a:solidFill>
              </a:ln>
            </c:spPr>
            <c:trendlineType val="poly"/>
            <c:order val="2"/>
          </c:trendline>
          <c:cat>
            <c:strRef>
              <c:f>非CHD时长!$T$5:$T$11</c:f>
              <c:strCache>
                <c:ptCount val="7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≥ 6.5</c:v>
                </c:pt>
              </c:strCache>
            </c:strRef>
          </c:cat>
          <c:val>
            <c:numRef>
              <c:f>非CHD时长!$U$5:$U$11</c:f>
              <c:numCache>
                <c:formatCode>General</c:formatCode>
                <c:ptCount val="7"/>
                <c:pt idx="0">
                  <c:v>1.3366442465869708</c:v>
                </c:pt>
                <c:pt idx="1">
                  <c:v>1.235536343363717</c:v>
                </c:pt>
                <c:pt idx="2">
                  <c:v>1.1567052300161527</c:v>
                </c:pt>
                <c:pt idx="3">
                  <c:v>1.1920550272932942</c:v>
                </c:pt>
                <c:pt idx="4">
                  <c:v>1.1648252609970291</c:v>
                </c:pt>
                <c:pt idx="5">
                  <c:v>1.1888970338901261</c:v>
                </c:pt>
                <c:pt idx="6">
                  <c:v>1.3209165983011428</c:v>
                </c:pt>
              </c:numCache>
            </c:numRef>
          </c:val>
        </c:ser>
        <c:ser>
          <c:idx val="5"/>
          <c:order val="1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0070C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非CHD时长!$T$5:$T$11</c:f>
              <c:strCache>
                <c:ptCount val="7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≥ 6.5</c:v>
                </c:pt>
              </c:strCache>
            </c:strRef>
          </c:cat>
          <c:val>
            <c:numRef>
              <c:f>非CHD时长!$V$5:$V$11</c:f>
              <c:numCache>
                <c:formatCode>General</c:formatCode>
                <c:ptCount val="7"/>
                <c:pt idx="0">
                  <c:v>1.3064004837458303</c:v>
                </c:pt>
                <c:pt idx="1">
                  <c:v>1.2170529782225867</c:v>
                </c:pt>
                <c:pt idx="2">
                  <c:v>1.1383392620055006</c:v>
                </c:pt>
                <c:pt idx="3">
                  <c:v>1.1607000379390975</c:v>
                </c:pt>
                <c:pt idx="4">
                  <c:v>1.1298849706810441</c:v>
                </c:pt>
                <c:pt idx="5">
                  <c:v>1.1624598105177721</c:v>
                </c:pt>
                <c:pt idx="6">
                  <c:v>1.2716305221151536</c:v>
                </c:pt>
              </c:numCache>
            </c:numRef>
          </c:val>
        </c:ser>
        <c:ser>
          <c:idx val="6"/>
          <c:order val="2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rgbClr val="0070C0"/>
                </a:solidFill>
                <a:prstDash val="sysDot"/>
              </a:ln>
            </c:spPr>
            <c:trendlineType val="poly"/>
            <c:order val="2"/>
          </c:trendline>
          <c:cat>
            <c:strRef>
              <c:f>非CHD时长!$T$5:$T$11</c:f>
              <c:strCache>
                <c:ptCount val="7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≥ 6.5</c:v>
                </c:pt>
              </c:strCache>
            </c:strRef>
          </c:cat>
          <c:val>
            <c:numRef>
              <c:f>非CHD时长!$W$5:$W$11</c:f>
              <c:numCache>
                <c:formatCode>General</c:formatCode>
                <c:ptCount val="7"/>
                <c:pt idx="0">
                  <c:v>1.3668880094281222</c:v>
                </c:pt>
                <c:pt idx="1">
                  <c:v>1.2540197085048472</c:v>
                </c:pt>
                <c:pt idx="2">
                  <c:v>1.1750711980268047</c:v>
                </c:pt>
                <c:pt idx="3">
                  <c:v>1.2234100166474458</c:v>
                </c:pt>
                <c:pt idx="4">
                  <c:v>1.1997655513130143</c:v>
                </c:pt>
                <c:pt idx="5">
                  <c:v>1.2153342572624446</c:v>
                </c:pt>
                <c:pt idx="6">
                  <c:v>1.3702026744871321</c:v>
                </c:pt>
              </c:numCache>
            </c:numRef>
          </c:val>
        </c:ser>
        <c:ser>
          <c:idx val="0"/>
          <c:order val="3"/>
          <c:spPr>
            <a:ln w="28575">
              <a:noFill/>
            </a:ln>
          </c:spPr>
          <c:marker>
            <c:symbol val="none"/>
          </c:marker>
          <c:trendline>
            <c:spPr>
              <a:ln w="19050">
                <a:solidFill>
                  <a:sysClr val="windowText" lastClr="000000"/>
                </a:solidFill>
                <a:prstDash val="sysDot"/>
              </a:ln>
            </c:spPr>
            <c:trendlineType val="linear"/>
          </c:trendline>
          <c:val>
            <c:numRef>
              <c:f>非CHD时长!$X$5:$X$11</c:f>
              <c:numCache>
                <c:formatCode>General</c:formatCode>
                <c:ptCount val="7"/>
                <c:pt idx="0">
                  <c:v>1.1499999999999877</c:v>
                </c:pt>
                <c:pt idx="1">
                  <c:v>1.1499999999999877</c:v>
                </c:pt>
                <c:pt idx="2">
                  <c:v>1.1499999999999877</c:v>
                </c:pt>
                <c:pt idx="3">
                  <c:v>1.1499999999999877</c:v>
                </c:pt>
                <c:pt idx="4">
                  <c:v>1.1499999999999877</c:v>
                </c:pt>
                <c:pt idx="5">
                  <c:v>1.1499999999999877</c:v>
                </c:pt>
                <c:pt idx="6">
                  <c:v>1.1499999999999877</c:v>
                </c:pt>
              </c:numCache>
            </c:numRef>
          </c:val>
        </c:ser>
        <c:marker val="1"/>
        <c:axId val="169172352"/>
        <c:axId val="169178240"/>
      </c:lineChart>
      <c:catAx>
        <c:axId val="169172352"/>
        <c:scaling>
          <c:orientation val="minMax"/>
        </c:scaling>
        <c:axPos val="b"/>
        <c:numFmt formatCode="General" sourceLinked="1"/>
        <c:tickLblPos val="nextTo"/>
        <c:crossAx val="169178240"/>
        <c:crosses val="autoZero"/>
        <c:auto val="1"/>
        <c:lblAlgn val="ctr"/>
        <c:lblOffset val="100"/>
      </c:catAx>
      <c:valAx>
        <c:axId val="169178240"/>
        <c:scaling>
          <c:orientation val="minMax"/>
          <c:max val="1.6"/>
          <c:min val="1"/>
        </c:scaling>
        <c:axPos val="l"/>
        <c:numFmt formatCode="General" sourceLinked="1"/>
        <c:tickLblPos val="nextTo"/>
        <c:crossAx val="169172352"/>
        <c:crosses val="autoZero"/>
        <c:crossBetween val="between"/>
        <c:majorUnit val="0.2"/>
        <c:minorUnit val="0.1"/>
      </c:valAx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0.84812</cdr:x>
      <cdr:y>0.17608</cdr:y>
    </cdr:from>
    <cdr:to>
      <cdr:x>0.97325</cdr:x>
      <cdr:y>0.7827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4410240" y="498432"/>
          <a:ext cx="650666" cy="1717205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0.01873</cdr:x>
      <cdr:y>0.06088</cdr:y>
    </cdr:from>
    <cdr:to>
      <cdr:x>0.06374</cdr:x>
      <cdr:y>0.77717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97276" y="165371"/>
          <a:ext cx="233870" cy="194553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eaVert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Predicted  probability 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(%)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0.20016</cdr:x>
      <cdr:y>0.87972</cdr:y>
    </cdr:from>
    <cdr:to>
      <cdr:x>0.7742</cdr:x>
      <cdr:y>0.97181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1040860" y="2490280"/>
          <a:ext cx="2985013" cy="2606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Initiation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of the FA (pregnancy=0 month)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0.81009</cdr:x>
      <cdr:y>0.02749</cdr:y>
    </cdr:from>
    <cdr:to>
      <cdr:x>1</cdr:x>
      <cdr:y>0.17182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4217562" y="77821"/>
          <a:ext cx="987547" cy="4085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Duration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(months)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0.63978</cdr:x>
      <cdr:y>0.53265</cdr:y>
    </cdr:from>
    <cdr:to>
      <cdr:x>0.75771</cdr:x>
      <cdr:y>0.60825</cdr:y>
    </cdr:to>
    <cdr:sp macro="" textlink="">
      <cdr:nvSpPr>
        <cdr:cNvPr id="6" name="TextBox 1"/>
        <cdr:cNvSpPr txBox="1"/>
      </cdr:nvSpPr>
      <cdr:spPr>
        <a:xfrm xmlns:a="http://schemas.openxmlformats.org/drawingml/2006/main">
          <a:off x="3326859" y="1507786"/>
          <a:ext cx="613249" cy="214010"/>
        </a:xfrm>
        <a:prstGeom xmlns:a="http://schemas.openxmlformats.org/drawingml/2006/main" prst="rect">
          <a:avLst/>
        </a:prstGeom>
        <a:gradFill xmlns:a="http://schemas.openxmlformats.org/drawingml/2006/main">
          <a:gsLst>
            <a:gs pos="0">
              <a:srgbClr val="4F81BD">
                <a:tint val="66000"/>
                <a:satMod val="160000"/>
              </a:srgbClr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lin ang="5400000" scaled="0"/>
        </a:gra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900">
              <a:latin typeface="Times New Roman" pitchFamily="18" charset="0"/>
              <a:cs typeface="Times New Roman" pitchFamily="18" charset="0"/>
            </a:rPr>
            <a:t> 1.467 %</a:t>
          </a:r>
          <a:endParaRPr lang="zh-CN" altLang="en-US" sz="9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0.85137</cdr:x>
      <cdr:y>0.22442</cdr:y>
    </cdr:from>
    <cdr:to>
      <cdr:x>0.96117</cdr:x>
      <cdr:y>0.789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4435813" y="661481"/>
          <a:ext cx="572082" cy="1664095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0.81046</cdr:x>
      <cdr:y>0.0198</cdr:y>
    </cdr:from>
    <cdr:to>
      <cdr:x>1</cdr:x>
      <cdr:y>0.15842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4228127" y="58366"/>
          <a:ext cx="987547" cy="4085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Duration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(months)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0.01128</cdr:x>
      <cdr:y>0.05941</cdr:y>
    </cdr:from>
    <cdr:to>
      <cdr:x>0.07294</cdr:x>
      <cdr:y>0.74733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58771" y="175098"/>
          <a:ext cx="321241" cy="20276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eaVert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Predicted  probability 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(per 1000 infants)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0.21098</cdr:x>
      <cdr:y>0.89248</cdr:y>
    </cdr:from>
    <cdr:to>
      <cdr:x>0.78389</cdr:x>
      <cdr:y>0.98091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1099226" y="2630564"/>
          <a:ext cx="2985013" cy="2606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Initiation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of the FA (pregnancy=0 month)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0.89439</cdr:x>
      <cdr:y>0.86139</cdr:y>
    </cdr:from>
    <cdr:to>
      <cdr:x>0.96907</cdr:x>
      <cdr:y>0.967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4659954" y="2538919"/>
          <a:ext cx="389107" cy="31128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pPr algn="ctr"/>
          <a:r>
            <a:rPr lang="en-US" altLang="zh-CN" sz="1100">
              <a:latin typeface="Times New Roman" pitchFamily="18" charset="0"/>
              <a:cs typeface="Times New Roman" pitchFamily="18" charset="0"/>
            </a:rPr>
            <a:t>A</a:t>
          </a:r>
          <a:endParaRPr lang="zh-CN" altLang="en-US" sz="11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0.83107</cdr:x>
      <cdr:y>0.02635</cdr:y>
    </cdr:from>
    <cdr:to>
      <cdr:x>0.99069</cdr:x>
      <cdr:y>0.16469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329214" y="77821"/>
          <a:ext cx="831498" cy="4085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Duration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(months)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0.86834</cdr:x>
      <cdr:y>0.19762</cdr:y>
    </cdr:from>
    <cdr:to>
      <cdr:x>0.96471</cdr:x>
      <cdr:y>0.72202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4523362" y="583660"/>
          <a:ext cx="502009" cy="1548762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0.21662</cdr:x>
      <cdr:y>0.8893</cdr:y>
    </cdr:from>
    <cdr:to>
      <cdr:x>0.78965</cdr:x>
      <cdr:y>0.97756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1128408" y="2626468"/>
          <a:ext cx="2985013" cy="2606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Initiation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of the FA (pregnancy=0 month)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0.02614</cdr:x>
      <cdr:y>0.07576</cdr:y>
    </cdr:from>
    <cdr:to>
      <cdr:x>0.07108</cdr:x>
      <cdr:y>0.7623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136187" y="223736"/>
          <a:ext cx="234097" cy="20276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eaVert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Predicted  probability 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(%)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0.89448</cdr:x>
      <cdr:y>0.8399</cdr:y>
    </cdr:from>
    <cdr:to>
      <cdr:x>0.96918</cdr:x>
      <cdr:y>0.9453</cdr:y>
    </cdr:to>
    <cdr:sp macro="" textlink="">
      <cdr:nvSpPr>
        <cdr:cNvPr id="6" name="TextBox 1"/>
        <cdr:cNvSpPr txBox="1"/>
      </cdr:nvSpPr>
      <cdr:spPr>
        <a:xfrm xmlns:a="http://schemas.openxmlformats.org/drawingml/2006/main">
          <a:off x="4659549" y="2480553"/>
          <a:ext cx="389107" cy="31128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>
              <a:latin typeface="Times New Roman" pitchFamily="18" charset="0"/>
              <a:cs typeface="Times New Roman" pitchFamily="18" charset="0"/>
            </a:rPr>
            <a:t>B</a:t>
          </a:r>
          <a:endParaRPr lang="zh-CN" altLang="en-US" sz="11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0.41965</cdr:x>
      <cdr:y>0.41131</cdr:y>
    </cdr:from>
    <cdr:to>
      <cdr:x>0.42159</cdr:x>
      <cdr:y>0.7968</cdr:y>
    </cdr:to>
    <cdr:sp macro="" textlink="">
      <cdr:nvSpPr>
        <cdr:cNvPr id="6" name="直接连接符 5"/>
        <cdr:cNvSpPr/>
      </cdr:nvSpPr>
      <cdr:spPr>
        <a:xfrm xmlns:a="http://schemas.openxmlformats.org/drawingml/2006/main" rot="16200000" flipV="1">
          <a:off x="1342947" y="1813710"/>
          <a:ext cx="1160286" cy="887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0.0375</cdr:x>
      <cdr:y>0.05696</cdr:y>
    </cdr:from>
    <cdr:to>
      <cdr:x>0.08282</cdr:x>
      <cdr:y>0.81329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71450" y="171450"/>
          <a:ext cx="207221" cy="22764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eaVert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Predicted  probability 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(per 1000)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0.2</cdr:x>
      <cdr:y>0.88924</cdr:y>
    </cdr:from>
    <cdr:to>
      <cdr:x>0.85289</cdr:x>
      <cdr:y>0.97584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914400" y="2676525"/>
          <a:ext cx="2985001" cy="26066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Initiation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of the FA (pregnancy=0 month)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0.66875</cdr:x>
      <cdr:y>0.53481</cdr:y>
    </cdr:from>
    <cdr:to>
      <cdr:x>0.86392</cdr:x>
      <cdr:y>0.60113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3057525" y="1609726"/>
          <a:ext cx="892310" cy="199620"/>
        </a:xfrm>
        <a:prstGeom xmlns:a="http://schemas.openxmlformats.org/drawingml/2006/main" prst="rect">
          <a:avLst/>
        </a:prstGeom>
        <a:gradFill xmlns:a="http://schemas.openxmlformats.org/drawingml/2006/main">
          <a:gsLst>
            <a:gs pos="0">
              <a:srgbClr val="4F81BD">
                <a:tint val="66000"/>
                <a:satMod val="160000"/>
              </a:srgbClr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lin ang="5400000" scaled="0"/>
        </a:gra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900">
              <a:latin typeface="Times New Roman" pitchFamily="18" charset="0"/>
              <a:cs typeface="Times New Roman" pitchFamily="18" charset="0"/>
            </a:rPr>
            <a:t>3.624 per 1000</a:t>
          </a:r>
          <a:endParaRPr lang="zh-CN" altLang="en-US" sz="90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0.89362</cdr:x>
      <cdr:y>0.03555</cdr:y>
    </cdr:from>
    <cdr:to>
      <cdr:x>0.97872</cdr:x>
      <cdr:y>0.13897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4085617" y="107005"/>
          <a:ext cx="389097" cy="3112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>
              <a:latin typeface="Times New Roman" pitchFamily="18" charset="0"/>
              <a:cs typeface="Times New Roman" pitchFamily="18" charset="0"/>
            </a:rPr>
            <a:t>A</a:t>
          </a:r>
          <a:endParaRPr lang="zh-CN" altLang="en-US" sz="11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0.5118</cdr:x>
      <cdr:y>0.41754</cdr:y>
    </cdr:from>
    <cdr:to>
      <cdr:x>0.51252</cdr:x>
      <cdr:y>0.79983</cdr:y>
    </cdr:to>
    <cdr:sp macro="" textlink="">
      <cdr:nvSpPr>
        <cdr:cNvPr id="5" name="直接连接符 4"/>
        <cdr:cNvSpPr/>
      </cdr:nvSpPr>
      <cdr:spPr>
        <a:xfrm xmlns:a="http://schemas.openxmlformats.org/drawingml/2006/main" rot="5400000" flipH="1" flipV="1">
          <a:off x="1766272" y="1830435"/>
          <a:ext cx="1150654" cy="3291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0.02708</cdr:x>
      <cdr:y>0.12025</cdr:y>
    </cdr:from>
    <cdr:to>
      <cdr:x>0.07241</cdr:x>
      <cdr:y>0.74061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23825" y="361950"/>
          <a:ext cx="207222" cy="18672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eaVert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Predicted  probability 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(%)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0.1875</cdr:x>
      <cdr:y>0.89557</cdr:y>
    </cdr:from>
    <cdr:to>
      <cdr:x>0.84039</cdr:x>
      <cdr:y>0.98217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857250" y="2695575"/>
          <a:ext cx="2985001" cy="26066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Initiation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of  the FA (pregnancy=0 month)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0.46667</cdr:x>
      <cdr:y>0.32595</cdr:y>
    </cdr:from>
    <cdr:to>
      <cdr:x>0.56875</cdr:x>
      <cdr:y>0.42089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2133615" y="981077"/>
          <a:ext cx="466710" cy="2857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zh-CN" sz="1050">
              <a:latin typeface="Times New Roman" pitchFamily="18" charset="0"/>
              <a:cs typeface="Times New Roman" pitchFamily="18" charset="0"/>
            </a:rPr>
            <a:t>-1.1</a:t>
          </a:r>
          <a:endParaRPr lang="zh-CN" altLang="en-US" sz="105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0.70417</cdr:x>
      <cdr:y>0.56013</cdr:y>
    </cdr:from>
    <cdr:to>
      <cdr:x>0.84051</cdr:x>
      <cdr:y>0.62375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3219465" y="1685935"/>
          <a:ext cx="623366" cy="191504"/>
        </a:xfrm>
        <a:prstGeom xmlns:a="http://schemas.openxmlformats.org/drawingml/2006/main" prst="rect">
          <a:avLst/>
        </a:prstGeom>
        <a:gradFill xmlns:a="http://schemas.openxmlformats.org/drawingml/2006/main">
          <a:gsLst>
            <a:gs pos="0">
              <a:srgbClr val="4F81BD">
                <a:tint val="66000"/>
                <a:satMod val="160000"/>
              </a:srgbClr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lin ang="5400000" scaled="0"/>
        </a:gra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900">
              <a:latin typeface="Times New Roman" pitchFamily="18" charset="0"/>
              <a:cs typeface="Times New Roman" pitchFamily="18" charset="0"/>
            </a:rPr>
            <a:t> 1.163 %</a:t>
          </a:r>
          <a:endParaRPr lang="zh-CN" altLang="en-US" sz="90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0.88723</cdr:x>
      <cdr:y>0.03232</cdr:y>
    </cdr:from>
    <cdr:to>
      <cdr:x>0.97234</cdr:x>
      <cdr:y>0.13574</cdr:y>
    </cdr:to>
    <cdr:sp macro="" textlink="">
      <cdr:nvSpPr>
        <cdr:cNvPr id="8" name="TextBox 1"/>
        <cdr:cNvSpPr txBox="1"/>
      </cdr:nvSpPr>
      <cdr:spPr>
        <a:xfrm xmlns:a="http://schemas.openxmlformats.org/drawingml/2006/main">
          <a:off x="4056434" y="97277"/>
          <a:ext cx="389097" cy="3112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>
              <a:latin typeface="Times New Roman" pitchFamily="18" charset="0"/>
              <a:cs typeface="Times New Roman" pitchFamily="18" charset="0"/>
            </a:rPr>
            <a:t>B</a:t>
          </a:r>
          <a:endParaRPr lang="zh-CN" altLang="en-US" sz="11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0.68996</cdr:x>
      <cdr:y>0.35937</cdr:y>
    </cdr:from>
    <cdr:to>
      <cdr:x>0.6903</cdr:x>
      <cdr:y>0.817</cdr:y>
    </cdr:to>
    <cdr:sp macro="" textlink="">
      <cdr:nvSpPr>
        <cdr:cNvPr id="6" name="直接连接符 5"/>
        <cdr:cNvSpPr/>
      </cdr:nvSpPr>
      <cdr:spPr>
        <a:xfrm xmlns:a="http://schemas.openxmlformats.org/drawingml/2006/main" rot="5400000" flipH="1" flipV="1">
          <a:off x="2512348" y="1651950"/>
          <a:ext cx="1285883" cy="1555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0.025</cdr:x>
      <cdr:y>0.05085</cdr:y>
    </cdr:from>
    <cdr:to>
      <cdr:x>0.07032</cdr:x>
      <cdr:y>0.86102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114300" y="142875"/>
          <a:ext cx="207221" cy="22764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eaVert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Predicted  probability 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(per 1000)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0.21042</cdr:x>
      <cdr:y>0.90724</cdr:y>
    </cdr:from>
    <cdr:to>
      <cdr:x>0.8633</cdr:x>
      <cdr:y>1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962025" y="2619375"/>
          <a:ext cx="2984961" cy="2606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Duration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of the FA (months)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0.22083</cdr:x>
      <cdr:y>0.56949</cdr:y>
    </cdr:from>
    <cdr:to>
      <cdr:x>0.41711</cdr:x>
      <cdr:y>0.63354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1009635" y="1600196"/>
          <a:ext cx="897392" cy="179966"/>
        </a:xfrm>
        <a:prstGeom xmlns:a="http://schemas.openxmlformats.org/drawingml/2006/main" prst="rect">
          <a:avLst/>
        </a:prstGeom>
        <a:gradFill xmlns:a="http://schemas.openxmlformats.org/drawingml/2006/main">
          <a:gsLst>
            <a:gs pos="0">
              <a:srgbClr val="4F81BD">
                <a:tint val="66000"/>
                <a:satMod val="160000"/>
              </a:srgbClr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lin ang="5400000" scaled="0"/>
        </a:gra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900">
              <a:latin typeface="Times New Roman" pitchFamily="18" charset="0"/>
              <a:cs typeface="Times New Roman" pitchFamily="18" charset="0"/>
            </a:rPr>
            <a:t>3.565per 1000</a:t>
          </a:r>
          <a:endParaRPr lang="zh-CN" altLang="en-US" sz="90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0.91285</cdr:x>
      <cdr:y>0.03116</cdr:y>
    </cdr:from>
    <cdr:to>
      <cdr:x>0.97881</cdr:x>
      <cdr:y>0.13502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4173571" y="87549"/>
          <a:ext cx="301558" cy="2918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altLang="zh-CN" sz="1100">
              <a:latin typeface="Times New Roman" pitchFamily="18" charset="0"/>
              <a:cs typeface="Times New Roman" pitchFamily="18" charset="0"/>
            </a:rPr>
            <a:t>A</a:t>
          </a:r>
          <a:endParaRPr lang="zh-CN" altLang="en-US" sz="11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0.57193</cdr:x>
      <cdr:y>0.3726</cdr:y>
    </cdr:from>
    <cdr:to>
      <cdr:x>0.57227</cdr:x>
      <cdr:y>0.83023</cdr:y>
    </cdr:to>
    <cdr:sp macro="" textlink="">
      <cdr:nvSpPr>
        <cdr:cNvPr id="6" name="直接连接符 5"/>
        <cdr:cNvSpPr/>
      </cdr:nvSpPr>
      <cdr:spPr>
        <a:xfrm xmlns:a="http://schemas.openxmlformats.org/drawingml/2006/main" rot="5400000" flipH="1" flipV="1">
          <a:off x="1972715" y="1689124"/>
          <a:ext cx="1285883" cy="1555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0.21875</cdr:x>
      <cdr:y>0.90724</cdr:y>
    </cdr:from>
    <cdr:to>
      <cdr:x>0.87163</cdr:x>
      <cdr:y>1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1000125" y="2549235"/>
          <a:ext cx="2984961" cy="2606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Duration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of the FA (months)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0.02292</cdr:x>
      <cdr:y>0.11525</cdr:y>
    </cdr:from>
    <cdr:to>
      <cdr:x>0.06824</cdr:x>
      <cdr:y>0.77978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104775" y="323850"/>
          <a:ext cx="207222" cy="18672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eaVert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zh-CN" sz="1100" b="1">
              <a:latin typeface="Times New Roman" pitchFamily="18" charset="0"/>
              <a:cs typeface="Times New Roman" pitchFamily="18" charset="0"/>
            </a:rPr>
            <a:t>Predicted  probability </a:t>
          </a:r>
          <a:r>
            <a:rPr lang="en-US" altLang="zh-CN" sz="1100" b="1" baseline="0">
              <a:latin typeface="Times New Roman" pitchFamily="18" charset="0"/>
              <a:cs typeface="Times New Roman" pitchFamily="18" charset="0"/>
            </a:rPr>
            <a:t> (%)</a:t>
          </a:r>
          <a:endParaRPr lang="zh-CN" altLang="en-US" sz="11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0.53542</cdr:x>
      <cdr:y>0.29153</cdr:y>
    </cdr:from>
    <cdr:to>
      <cdr:x>0.61875</cdr:x>
      <cdr:y>0.36949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2447940" y="819163"/>
          <a:ext cx="380985" cy="2190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zh-CN" sz="1050">
              <a:latin typeface="Times New Roman" pitchFamily="18" charset="0"/>
              <a:cs typeface="Times New Roman" pitchFamily="18" charset="0"/>
            </a:rPr>
            <a:t>3.7</a:t>
          </a:r>
          <a:endParaRPr lang="zh-CN" altLang="en-US" sz="105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0.21667</cdr:x>
      <cdr:y>0.61017</cdr:y>
    </cdr:from>
    <cdr:to>
      <cdr:x>0.35541</cdr:x>
      <cdr:y>0.67854</cdr:y>
    </cdr:to>
    <cdr:sp macro="" textlink="">
      <cdr:nvSpPr>
        <cdr:cNvPr id="8" name="TextBox 1"/>
        <cdr:cNvSpPr txBox="1"/>
      </cdr:nvSpPr>
      <cdr:spPr>
        <a:xfrm xmlns:a="http://schemas.openxmlformats.org/drawingml/2006/main">
          <a:off x="990615" y="1714502"/>
          <a:ext cx="634310" cy="192120"/>
        </a:xfrm>
        <a:prstGeom xmlns:a="http://schemas.openxmlformats.org/drawingml/2006/main" prst="rect">
          <a:avLst/>
        </a:prstGeom>
        <a:gradFill xmlns:a="http://schemas.openxmlformats.org/drawingml/2006/main">
          <a:gsLst>
            <a:gs pos="0">
              <a:srgbClr val="4F81BD">
                <a:tint val="66000"/>
                <a:satMod val="160000"/>
              </a:srgbClr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lin ang="5400000" scaled="0"/>
        </a:gra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altLang="zh-CN" sz="900">
              <a:latin typeface="Times New Roman" pitchFamily="18" charset="0"/>
              <a:cs typeface="Times New Roman" pitchFamily="18" charset="0"/>
            </a:rPr>
            <a:t> 1.148 %</a:t>
          </a:r>
          <a:endParaRPr lang="zh-CN" altLang="en-US" sz="9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3177</TotalTime>
  <Pages>4</Pages>
  <Words>365</Words>
  <Characters>2084</Characters>
  <Application>Microsoft Office Word</Application>
  <DocSecurity>0</DocSecurity>
  <Lines>17</Lines>
  <Paragraphs>4</Paragraphs>
  <ScaleCrop>false</ScaleCrop>
  <Company>Microsoft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1110</cp:revision>
  <dcterms:created xsi:type="dcterms:W3CDTF">2022-01-07T05:39:00Z</dcterms:created>
  <dcterms:modified xsi:type="dcterms:W3CDTF">2023-07-20T05:53:00Z</dcterms:modified>
</cp:coreProperties>
</file>