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524B2" w:rsidR="007524B2" w:rsidP="044D1008" w:rsidRDefault="00855905" w14:paraId="700CC630" w14:textId="6368E605">
      <w:pPr>
        <w:spacing w:line="360" w:lineRule="auto"/>
        <w:ind w:left="1440" w:hanging="1440"/>
        <w:rPr>
          <w:b w:val="1"/>
          <w:bCs w:val="1"/>
        </w:rPr>
      </w:pPr>
      <w:r w:rsidRPr="044D1008" w:rsidR="00855905">
        <w:rPr>
          <w:b w:val="1"/>
          <w:bCs w:val="1"/>
        </w:rPr>
        <w:t>A</w:t>
      </w:r>
      <w:r w:rsidRPr="044D1008" w:rsidR="70648719">
        <w:rPr>
          <w:b w:val="1"/>
          <w:bCs w:val="1"/>
        </w:rPr>
        <w:t>dditional</w:t>
      </w:r>
      <w:r w:rsidRPr="044D1008" w:rsidR="70648719">
        <w:rPr>
          <w:b w:val="1"/>
          <w:bCs w:val="1"/>
        </w:rPr>
        <w:t xml:space="preserve"> file</w:t>
      </w:r>
      <w:r w:rsidRPr="044D1008" w:rsidR="00855905">
        <w:rPr>
          <w:b w:val="1"/>
          <w:bCs w:val="1"/>
        </w:rPr>
        <w:t xml:space="preserve"> </w:t>
      </w:r>
      <w:r w:rsidRPr="044D1008" w:rsidR="00855905">
        <w:rPr>
          <w:b w:val="1"/>
          <w:bCs w:val="1"/>
        </w:rPr>
        <w:t>2.</w:t>
      </w:r>
      <w:r>
        <w:tab/>
      </w:r>
      <w:r w:rsidRPr="044D1008" w:rsidR="00855905">
        <w:rPr>
          <w:b w:val="1"/>
          <w:bCs w:val="1"/>
        </w:rPr>
        <w:t xml:space="preserve">Inclusion and exclusion criteria for </w:t>
      </w:r>
      <w:r w:rsidRPr="044D1008" w:rsidR="00855905">
        <w:rPr>
          <w:b w:val="1"/>
          <w:bCs w:val="1"/>
        </w:rPr>
        <w:t>identifying</w:t>
      </w:r>
      <w:r w:rsidRPr="044D1008" w:rsidR="00855905">
        <w:rPr>
          <w:b w:val="1"/>
          <w:bCs w:val="1"/>
        </w:rPr>
        <w:t xml:space="preserve"> the potential</w:t>
      </w:r>
      <w:r w:rsidRPr="044D1008" w:rsidR="40E4A709">
        <w:rPr>
          <w:b w:val="1"/>
          <w:bCs w:val="1"/>
        </w:rPr>
        <w:t xml:space="preserve"> </w:t>
      </w:r>
      <w:r w:rsidRPr="044D1008" w:rsidR="00855905">
        <w:rPr>
          <w:b w:val="1"/>
          <w:bCs w:val="1"/>
        </w:rPr>
        <w:t xml:space="preserve">opioid safety prescribing </w:t>
      </w:r>
      <w:r w:rsidRPr="044D1008" w:rsidR="00855905">
        <w:rPr>
          <w:b w:val="1"/>
          <w:bCs w:val="1"/>
        </w:rPr>
        <w:t>indicators</w:t>
      </w:r>
    </w:p>
    <w:tbl>
      <w:tblPr>
        <w:tblStyle w:val="a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52"/>
        <w:gridCol w:w="4154"/>
      </w:tblGrid>
      <w:tr w:rsidR="007524B2" w:rsidTr="007524B2" w14:paraId="79A9E804" w14:textId="77777777">
        <w:trPr>
          <w:trHeight w:val="397"/>
        </w:trPr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  <w:hideMark/>
          </w:tcPr>
          <w:p w:rsidRPr="007524B2" w:rsidR="007524B2" w:rsidP="007524B2" w:rsidRDefault="007524B2" w14:paraId="632DCFC8" w14:textId="77777777">
            <w:pPr>
              <w:spacing w:line="276" w:lineRule="auto"/>
              <w:rPr>
                <w:b/>
                <w:sz w:val="18"/>
                <w:szCs w:val="18"/>
              </w:rPr>
            </w:pPr>
            <w:r w:rsidRPr="007524B2">
              <w:rPr>
                <w:b/>
                <w:sz w:val="18"/>
                <w:szCs w:val="18"/>
              </w:rPr>
              <w:t>Inclusion Criteria</w:t>
            </w: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  <w:hideMark/>
          </w:tcPr>
          <w:p w:rsidRPr="007524B2" w:rsidR="007524B2" w:rsidP="007524B2" w:rsidRDefault="007524B2" w14:paraId="6F8919A6" w14:textId="77777777">
            <w:pPr>
              <w:spacing w:line="276" w:lineRule="auto"/>
              <w:rPr>
                <w:b/>
                <w:sz w:val="18"/>
                <w:szCs w:val="18"/>
              </w:rPr>
            </w:pPr>
            <w:r w:rsidRPr="007524B2">
              <w:rPr>
                <w:b/>
                <w:sz w:val="18"/>
                <w:szCs w:val="18"/>
              </w:rPr>
              <w:t>Exclusion Criteria</w:t>
            </w:r>
          </w:p>
        </w:tc>
      </w:tr>
      <w:tr w:rsidR="007524B2" w:rsidTr="007524B2" w14:paraId="0D137C68" w14:textId="77777777">
        <w:trPr>
          <w:trHeight w:val="397"/>
        </w:trPr>
        <w:tc>
          <w:tcPr>
            <w:tcW w:w="4508" w:type="dxa"/>
            <w:tcBorders>
              <w:top w:val="single" w:color="auto" w:sz="4" w:space="0"/>
              <w:left w:val="nil"/>
              <w:bottom w:val="nil"/>
              <w:right w:val="nil"/>
            </w:tcBorders>
            <w:hideMark/>
          </w:tcPr>
          <w:p w:rsidRPr="007524B2" w:rsidR="007524B2" w:rsidP="007524B2" w:rsidRDefault="007524B2" w14:paraId="0636E541" w14:textId="77777777">
            <w:pPr>
              <w:pStyle w:val="a6"/>
              <w:numPr>
                <w:ilvl w:val="0"/>
                <w:numId w:val="1"/>
              </w:numPr>
              <w:spacing w:after="60" w:line="276" w:lineRule="auto"/>
              <w:ind w:left="180" w:hanging="180" w:hangingChars="100"/>
              <w:contextualSpacing/>
              <w:rPr>
                <w:sz w:val="18"/>
                <w:szCs w:val="18"/>
              </w:rPr>
            </w:pPr>
            <w:r w:rsidRPr="007524B2">
              <w:rPr>
                <w:sz w:val="18"/>
                <w:szCs w:val="18"/>
              </w:rPr>
              <w:t>Mentions opioids currently prescribed or monitored in the UK</w:t>
            </w:r>
          </w:p>
        </w:tc>
        <w:tc>
          <w:tcPr>
            <w:tcW w:w="4508" w:type="dxa"/>
            <w:tcBorders>
              <w:top w:val="single" w:color="auto" w:sz="4" w:space="0"/>
              <w:left w:val="nil"/>
              <w:bottom w:val="nil"/>
              <w:right w:val="nil"/>
            </w:tcBorders>
            <w:hideMark/>
          </w:tcPr>
          <w:p w:rsidRPr="007524B2" w:rsidR="007524B2" w:rsidP="007524B2" w:rsidRDefault="007524B2" w14:paraId="0305B593" w14:textId="77777777">
            <w:pPr>
              <w:pStyle w:val="a6"/>
              <w:numPr>
                <w:ilvl w:val="0"/>
                <w:numId w:val="1"/>
              </w:numPr>
              <w:spacing w:after="60" w:line="276" w:lineRule="auto"/>
              <w:ind w:left="180" w:hanging="180" w:hangingChars="100"/>
              <w:contextualSpacing/>
              <w:rPr>
                <w:sz w:val="18"/>
                <w:szCs w:val="18"/>
              </w:rPr>
            </w:pPr>
            <w:r w:rsidRPr="007524B2">
              <w:rPr>
                <w:sz w:val="18"/>
                <w:szCs w:val="18"/>
              </w:rPr>
              <w:t>Use of opioids in palliative care</w:t>
            </w:r>
          </w:p>
        </w:tc>
      </w:tr>
      <w:tr w:rsidR="007524B2" w:rsidTr="007524B2" w14:paraId="1151BCB4" w14:textId="77777777">
        <w:trPr>
          <w:trHeight w:val="397"/>
        </w:trPr>
        <w:tc>
          <w:tcPr>
            <w:tcW w:w="4508" w:type="dxa"/>
            <w:hideMark/>
          </w:tcPr>
          <w:p w:rsidRPr="007524B2" w:rsidR="007524B2" w:rsidP="007524B2" w:rsidRDefault="007524B2" w14:paraId="3F985782" w14:textId="77777777">
            <w:pPr>
              <w:pStyle w:val="a6"/>
              <w:numPr>
                <w:ilvl w:val="0"/>
                <w:numId w:val="1"/>
              </w:numPr>
              <w:spacing w:after="60" w:line="276" w:lineRule="auto"/>
              <w:ind w:left="180" w:hanging="180" w:hangingChars="100"/>
              <w:contextualSpacing/>
              <w:rPr>
                <w:sz w:val="18"/>
                <w:szCs w:val="18"/>
              </w:rPr>
            </w:pPr>
            <w:r w:rsidRPr="007524B2">
              <w:rPr>
                <w:sz w:val="18"/>
                <w:szCs w:val="18"/>
              </w:rPr>
              <w:t>Mentions opioids that are prescribed in tertiary or secondary care but are monitored in primary care</w:t>
            </w:r>
          </w:p>
        </w:tc>
        <w:tc>
          <w:tcPr>
            <w:tcW w:w="4508" w:type="dxa"/>
            <w:hideMark/>
          </w:tcPr>
          <w:p w:rsidRPr="007524B2" w:rsidR="007524B2" w:rsidP="007524B2" w:rsidRDefault="007524B2" w14:paraId="5261E9C3" w14:textId="77777777">
            <w:pPr>
              <w:pStyle w:val="a6"/>
              <w:numPr>
                <w:ilvl w:val="0"/>
                <w:numId w:val="1"/>
              </w:numPr>
              <w:spacing w:after="60" w:line="276" w:lineRule="auto"/>
              <w:ind w:left="180" w:hanging="180" w:hangingChars="100"/>
              <w:contextualSpacing/>
              <w:rPr>
                <w:sz w:val="18"/>
                <w:szCs w:val="18"/>
              </w:rPr>
            </w:pPr>
            <w:r w:rsidRPr="007524B2">
              <w:rPr>
                <w:sz w:val="18"/>
                <w:szCs w:val="18"/>
              </w:rPr>
              <w:t>Acute prescribing of opioids</w:t>
            </w:r>
          </w:p>
        </w:tc>
      </w:tr>
      <w:tr w:rsidR="007524B2" w:rsidTr="007524B2" w14:paraId="6DA8BF95" w14:textId="77777777">
        <w:trPr>
          <w:trHeight w:val="397"/>
        </w:trPr>
        <w:tc>
          <w:tcPr>
            <w:tcW w:w="4508" w:type="dxa"/>
            <w:hideMark/>
          </w:tcPr>
          <w:p w:rsidRPr="007524B2" w:rsidR="007524B2" w:rsidP="007524B2" w:rsidRDefault="007524B2" w14:paraId="07C0F739" w14:textId="77777777">
            <w:pPr>
              <w:pStyle w:val="a6"/>
              <w:numPr>
                <w:ilvl w:val="0"/>
                <w:numId w:val="1"/>
              </w:numPr>
              <w:spacing w:after="60" w:line="276" w:lineRule="auto"/>
              <w:ind w:left="180" w:hanging="180" w:hangingChars="100"/>
              <w:contextualSpacing/>
              <w:rPr>
                <w:sz w:val="18"/>
                <w:szCs w:val="18"/>
              </w:rPr>
            </w:pPr>
            <w:r w:rsidRPr="007524B2">
              <w:rPr>
                <w:sz w:val="18"/>
                <w:szCs w:val="18"/>
              </w:rPr>
              <w:t>Patients prescribed opioids for chronic non-cancer pain</w:t>
            </w:r>
          </w:p>
        </w:tc>
        <w:tc>
          <w:tcPr>
            <w:tcW w:w="4508" w:type="dxa"/>
            <w:hideMark/>
          </w:tcPr>
          <w:p w:rsidRPr="007524B2" w:rsidR="007524B2" w:rsidP="007524B2" w:rsidRDefault="007524B2" w14:paraId="10D8F12B" w14:textId="77777777">
            <w:pPr>
              <w:pStyle w:val="a6"/>
              <w:numPr>
                <w:ilvl w:val="0"/>
                <w:numId w:val="1"/>
              </w:numPr>
              <w:spacing w:after="60" w:line="276" w:lineRule="auto"/>
              <w:ind w:left="180" w:hanging="180" w:hangingChars="100"/>
              <w:contextualSpacing/>
              <w:rPr>
                <w:sz w:val="18"/>
                <w:szCs w:val="18"/>
              </w:rPr>
            </w:pPr>
            <w:r w:rsidRPr="007524B2">
              <w:rPr>
                <w:sz w:val="18"/>
                <w:szCs w:val="18"/>
              </w:rPr>
              <w:t>Use of opioids in cancer</w:t>
            </w:r>
          </w:p>
        </w:tc>
      </w:tr>
      <w:tr w:rsidR="007524B2" w:rsidTr="007524B2" w14:paraId="0DE56268" w14:textId="77777777">
        <w:trPr>
          <w:trHeight w:val="397"/>
        </w:trPr>
        <w:tc>
          <w:tcPr>
            <w:tcW w:w="4508" w:type="dxa"/>
            <w:hideMark/>
          </w:tcPr>
          <w:p w:rsidRPr="007524B2" w:rsidR="007524B2" w:rsidP="007524B2" w:rsidRDefault="007524B2" w14:paraId="7DCAA379" w14:textId="77777777">
            <w:pPr>
              <w:pStyle w:val="a6"/>
              <w:numPr>
                <w:ilvl w:val="0"/>
                <w:numId w:val="1"/>
              </w:numPr>
              <w:spacing w:after="60" w:line="276" w:lineRule="auto"/>
              <w:ind w:left="180" w:hanging="180" w:hangingChars="100"/>
              <w:contextualSpacing/>
              <w:rPr>
                <w:sz w:val="18"/>
                <w:szCs w:val="18"/>
              </w:rPr>
            </w:pPr>
            <w:r w:rsidRPr="007524B2">
              <w:rPr>
                <w:sz w:val="18"/>
                <w:szCs w:val="18"/>
              </w:rPr>
              <w:t>Describes a prescribing practice that could carry a potential risk or harm to a patient’s wellbeing</w:t>
            </w:r>
          </w:p>
        </w:tc>
        <w:tc>
          <w:tcPr>
            <w:tcW w:w="4508" w:type="dxa"/>
            <w:hideMark/>
          </w:tcPr>
          <w:p w:rsidRPr="007524B2" w:rsidR="007524B2" w:rsidP="007524B2" w:rsidRDefault="007524B2" w14:paraId="61EE4BF8" w14:textId="17DE185B">
            <w:pPr>
              <w:pStyle w:val="a6"/>
              <w:numPr>
                <w:ilvl w:val="0"/>
                <w:numId w:val="1"/>
              </w:numPr>
              <w:spacing w:after="60" w:line="276" w:lineRule="auto"/>
              <w:ind w:left="180" w:hanging="180" w:hangingChars="100"/>
              <w:contextualSpacing/>
              <w:rPr>
                <w:sz w:val="18"/>
                <w:szCs w:val="18"/>
              </w:rPr>
            </w:pPr>
            <w:r w:rsidRPr="007524B2">
              <w:rPr>
                <w:sz w:val="18"/>
                <w:szCs w:val="18"/>
              </w:rPr>
              <w:t>Indicators attributed to prescribing error rather than prescribing quality</w:t>
            </w:r>
          </w:p>
        </w:tc>
      </w:tr>
      <w:tr w:rsidR="007524B2" w:rsidTr="007524B2" w14:paraId="0022D76F" w14:textId="77777777">
        <w:trPr>
          <w:trHeight w:val="397"/>
        </w:trPr>
        <w:tc>
          <w:tcPr>
            <w:tcW w:w="4508" w:type="dxa"/>
            <w:hideMark/>
          </w:tcPr>
          <w:p w:rsidRPr="007524B2" w:rsidR="007524B2" w:rsidP="007524B2" w:rsidRDefault="007524B2" w14:paraId="33FCE62E" w14:textId="77777777">
            <w:pPr>
              <w:pStyle w:val="a6"/>
              <w:numPr>
                <w:ilvl w:val="0"/>
                <w:numId w:val="1"/>
              </w:numPr>
              <w:spacing w:after="60" w:line="276" w:lineRule="auto"/>
              <w:ind w:left="180" w:hanging="180" w:hangingChars="100"/>
              <w:contextualSpacing/>
              <w:rPr>
                <w:sz w:val="18"/>
                <w:szCs w:val="18"/>
              </w:rPr>
            </w:pPr>
            <w:r w:rsidRPr="007524B2">
              <w:rPr>
                <w:sz w:val="18"/>
                <w:szCs w:val="18"/>
              </w:rPr>
              <w:t>Describes an opioid prescribing or monitoring scenario that could be modified for use in the UK GP system</w:t>
            </w:r>
          </w:p>
        </w:tc>
        <w:tc>
          <w:tcPr>
            <w:tcW w:w="4508" w:type="dxa"/>
            <w:hideMark/>
          </w:tcPr>
          <w:p w:rsidRPr="007524B2" w:rsidR="007524B2" w:rsidP="007524B2" w:rsidRDefault="007524B2" w14:paraId="0817479C" w14:textId="77777777">
            <w:pPr>
              <w:pStyle w:val="a6"/>
              <w:numPr>
                <w:ilvl w:val="0"/>
                <w:numId w:val="1"/>
              </w:numPr>
              <w:spacing w:after="60" w:line="276" w:lineRule="auto"/>
              <w:ind w:left="180" w:hanging="180" w:hangingChars="100"/>
              <w:contextualSpacing/>
              <w:rPr>
                <w:sz w:val="18"/>
                <w:szCs w:val="18"/>
              </w:rPr>
            </w:pPr>
            <w:r w:rsidRPr="007524B2">
              <w:rPr>
                <w:sz w:val="18"/>
                <w:szCs w:val="18"/>
              </w:rPr>
              <w:t>Describes a scenario that would only occur very rarely in the UK GP system</w:t>
            </w:r>
          </w:p>
        </w:tc>
      </w:tr>
      <w:tr w:rsidR="007524B2" w:rsidTr="007524B2" w14:paraId="75CF10D7" w14:textId="77777777">
        <w:trPr>
          <w:trHeight w:val="397"/>
        </w:trPr>
        <w:tc>
          <w:tcPr>
            <w:tcW w:w="450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7524B2" w:rsidR="007524B2" w:rsidP="007524B2" w:rsidRDefault="007524B2" w14:paraId="53AF73CC" w14:textId="77777777">
            <w:pPr>
              <w:spacing w:after="60" w:line="276" w:lineRule="auto"/>
              <w:rPr>
                <w:sz w:val="18"/>
                <w:szCs w:val="18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7524B2" w:rsidR="007524B2" w:rsidP="007524B2" w:rsidRDefault="007524B2" w14:paraId="0CFA34FA" w14:textId="77777777">
            <w:pPr>
              <w:pStyle w:val="a6"/>
              <w:numPr>
                <w:ilvl w:val="0"/>
                <w:numId w:val="1"/>
              </w:numPr>
              <w:spacing w:after="60" w:line="276" w:lineRule="auto"/>
              <w:ind w:left="180" w:hanging="180" w:hangingChars="100"/>
              <w:contextualSpacing/>
              <w:rPr>
                <w:sz w:val="18"/>
                <w:szCs w:val="18"/>
              </w:rPr>
            </w:pPr>
            <w:r w:rsidRPr="007524B2">
              <w:rPr>
                <w:sz w:val="18"/>
                <w:szCs w:val="18"/>
              </w:rPr>
              <w:t>The indicator includes an element that would not be operational through the GP electronic system</w:t>
            </w:r>
          </w:p>
        </w:tc>
      </w:tr>
    </w:tbl>
    <w:p w:rsidR="003F631C" w:rsidRDefault="003F631C" w14:paraId="6301B204" w14:textId="77777777"/>
    <w:sectPr w:rsidR="003F631C">
      <w:pgSz w:w="11906" w:h="16838" w:orient="portrait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5905" w:rsidP="00855905" w:rsidRDefault="00855905" w14:paraId="72BDACAF" w14:textId="77777777">
      <w:pPr>
        <w:spacing w:line="240" w:lineRule="auto"/>
      </w:pPr>
      <w:r>
        <w:separator/>
      </w:r>
    </w:p>
  </w:endnote>
  <w:endnote w:type="continuationSeparator" w:id="0">
    <w:p w:rsidR="00855905" w:rsidP="00855905" w:rsidRDefault="00855905" w14:paraId="63076B6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5905" w:rsidP="00855905" w:rsidRDefault="00855905" w14:paraId="62294019" w14:textId="77777777">
      <w:pPr>
        <w:spacing w:line="240" w:lineRule="auto"/>
      </w:pPr>
      <w:r>
        <w:separator/>
      </w:r>
    </w:p>
  </w:footnote>
  <w:footnote w:type="continuationSeparator" w:id="0">
    <w:p w:rsidR="00855905" w:rsidP="00855905" w:rsidRDefault="00855905" w14:paraId="7D923CB4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F7804"/>
    <w:multiLevelType w:val="hybridMultilevel"/>
    <w:tmpl w:val="07883336"/>
    <w:lvl w:ilvl="0" w:tplc="41E8E082">
      <w:start w:val="1"/>
      <w:numFmt w:val="bullet"/>
      <w:lvlText w:val=""/>
      <w:lvlJc w:val="left"/>
      <w:pPr>
        <w:ind w:left="480" w:hanging="480"/>
      </w:pPr>
      <w:rPr>
        <w:rFonts w:hint="default" w:ascii="Wingdings" w:hAnsi="Wingding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hint="default" w:ascii="Wingdings" w:hAnsi="Wingdings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hint="default" w:ascii="Wingdings" w:hAnsi="Wingdings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hint="default" w:ascii="Wingdings" w:hAnsi="Wingdings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</w:abstractNum>
  <w:num w:numId="1" w16cid:durableId="150131435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81"/>
  <w:bordersDoNotSurroundHeader/>
  <w:bordersDoNotSurroundFooter/>
  <w:hideSpellingErrors/>
  <w:hideGrammaticalErrors/>
  <w:trackRevisions w:val="false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zNLA0NTM1tDAwMTBW0lEKTi0uzszPAykwqgUAAI90HiwAAAA="/>
  </w:docVars>
  <w:rsids>
    <w:rsidRoot w:val="007524B2"/>
    <w:rsid w:val="00000C26"/>
    <w:rsid w:val="003F631C"/>
    <w:rsid w:val="007370F2"/>
    <w:rsid w:val="007524B2"/>
    <w:rsid w:val="00770995"/>
    <w:rsid w:val="00855905"/>
    <w:rsid w:val="00933FEE"/>
    <w:rsid w:val="0099381C"/>
    <w:rsid w:val="00AF54B2"/>
    <w:rsid w:val="00CB1E5D"/>
    <w:rsid w:val="044D1008"/>
    <w:rsid w:val="40E4A709"/>
    <w:rsid w:val="70648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CB97EB"/>
  <w15:chartTrackingRefBased/>
  <w15:docId w15:val="{57A9AFC6-BC5F-4D6B-8C18-81201C85EB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eastAsia="新細明體" w:asciiTheme="minorHAnsi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7524B2"/>
    <w:pPr>
      <w:spacing w:line="480" w:lineRule="auto"/>
      <w:jc w:val="both"/>
    </w:pPr>
    <w:rPr>
      <w:rFonts w:ascii="Arial" w:hAnsi="Arial" w:eastAsiaTheme="minorEastAsia"/>
      <w:kern w:val="0"/>
      <w:sz w:val="22"/>
      <w:lang w:val="en-GB" w:eastAsia="en-US"/>
    </w:rPr>
  </w:style>
  <w:style w:type="paragraph" w:styleId="1">
    <w:name w:val="heading 1"/>
    <w:basedOn w:val="a"/>
    <w:next w:val="a"/>
    <w:link w:val="10"/>
    <w:uiPriority w:val="9"/>
    <w:qFormat/>
    <w:rsid w:val="00770995"/>
    <w:pPr>
      <w:keepNext/>
      <w:keepLines/>
      <w:jc w:val="left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33FEE"/>
    <w:pPr>
      <w:keepNext/>
      <w:keepLines/>
      <w:ind w:left="720" w:hanging="72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33FEE"/>
    <w:pPr>
      <w:keepNext/>
      <w:keepLines/>
      <w:jc w:val="left"/>
      <w:outlineLvl w:val="2"/>
    </w:pPr>
    <w:rPr>
      <w:rFonts w:eastAsiaTheme="majorEastAsia" w:cstheme="majorBidi"/>
      <w:b/>
    </w:rPr>
  </w:style>
  <w:style w:type="paragraph" w:styleId="4">
    <w:name w:val="heading 4"/>
    <w:basedOn w:val="a"/>
    <w:next w:val="a"/>
    <w:link w:val="40"/>
    <w:uiPriority w:val="9"/>
    <w:unhideWhenUsed/>
    <w:qFormat/>
    <w:rsid w:val="00933FEE"/>
    <w:pPr>
      <w:keepNext/>
      <w:keepLines/>
      <w:jc w:val="left"/>
      <w:outlineLvl w:val="3"/>
    </w:pPr>
    <w:rPr>
      <w:rFonts w:eastAsiaTheme="majorEastAsia" w:cstheme="majorBidi"/>
      <w:b/>
      <w:i/>
      <w:iCs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標題 1 字元"/>
    <w:basedOn w:val="a0"/>
    <w:link w:val="1"/>
    <w:uiPriority w:val="9"/>
    <w:rsid w:val="00770995"/>
    <w:rPr>
      <w:rFonts w:ascii="Arial" w:hAnsi="Arial" w:eastAsiaTheme="majorEastAsia" w:cstheme="majorBidi"/>
      <w:b/>
      <w:color w:val="000000" w:themeColor="text1"/>
      <w:kern w:val="0"/>
      <w:sz w:val="22"/>
      <w:szCs w:val="32"/>
      <w:lang w:val="en-GB" w:eastAsia="en-US"/>
    </w:rPr>
  </w:style>
  <w:style w:type="character" w:styleId="20" w:customStyle="1">
    <w:name w:val="標題 2 字元"/>
    <w:basedOn w:val="a0"/>
    <w:link w:val="2"/>
    <w:uiPriority w:val="9"/>
    <w:rsid w:val="00933FEE"/>
    <w:rPr>
      <w:rFonts w:ascii="Arial" w:hAnsi="Arial" w:eastAsiaTheme="majorEastAsia" w:cstheme="majorBidi"/>
      <w:b/>
      <w:color w:val="000000" w:themeColor="text1"/>
      <w:sz w:val="22"/>
      <w:szCs w:val="26"/>
    </w:rPr>
  </w:style>
  <w:style w:type="character" w:styleId="40" w:customStyle="1">
    <w:name w:val="標題 4 字元"/>
    <w:basedOn w:val="a0"/>
    <w:link w:val="4"/>
    <w:uiPriority w:val="9"/>
    <w:rsid w:val="00933FEE"/>
    <w:rPr>
      <w:rFonts w:ascii="Arial" w:hAnsi="Arial" w:eastAsiaTheme="majorEastAsia" w:cstheme="majorBidi"/>
      <w:b/>
      <w:i/>
      <w:iCs/>
      <w:color w:val="000000" w:themeColor="text1"/>
      <w:sz w:val="22"/>
    </w:rPr>
  </w:style>
  <w:style w:type="character" w:styleId="30" w:customStyle="1">
    <w:name w:val="標題 3 字元"/>
    <w:basedOn w:val="a0"/>
    <w:link w:val="3"/>
    <w:uiPriority w:val="9"/>
    <w:rsid w:val="00933FEE"/>
    <w:rPr>
      <w:rFonts w:ascii="Arial" w:hAnsi="Arial" w:eastAsiaTheme="majorEastAsia" w:cstheme="majorBidi"/>
      <w:b/>
      <w:color w:val="000000" w:themeColor="text1"/>
      <w:sz w:val="22"/>
    </w:rPr>
  </w:style>
  <w:style w:type="paragraph" w:styleId="a3">
    <w:name w:val="caption"/>
    <w:basedOn w:val="a"/>
    <w:next w:val="a"/>
    <w:uiPriority w:val="35"/>
    <w:unhideWhenUsed/>
    <w:qFormat/>
    <w:rsid w:val="00933FEE"/>
    <w:pPr>
      <w:ind w:left="1440" w:hanging="1440"/>
    </w:pPr>
    <w:rPr>
      <w:b/>
      <w:iCs/>
      <w:szCs w:val="18"/>
    </w:rPr>
  </w:style>
  <w:style w:type="paragraph" w:styleId="a4">
    <w:name w:val="Title"/>
    <w:basedOn w:val="a"/>
    <w:next w:val="a"/>
    <w:link w:val="a5"/>
    <w:uiPriority w:val="10"/>
    <w:qFormat/>
    <w:rsid w:val="00933FEE"/>
    <w:pPr>
      <w:contextualSpacing/>
    </w:pPr>
    <w:rPr>
      <w:rFonts w:eastAsiaTheme="majorEastAsia" w:cstheme="majorBidi"/>
      <w:b/>
      <w:spacing w:val="-10"/>
      <w:kern w:val="28"/>
      <w:szCs w:val="56"/>
      <w:lang w:val="en-US" w:eastAsia="zh-TW"/>
    </w:rPr>
  </w:style>
  <w:style w:type="character" w:styleId="a5" w:customStyle="1">
    <w:name w:val="標題 字元"/>
    <w:basedOn w:val="a0"/>
    <w:link w:val="a4"/>
    <w:uiPriority w:val="10"/>
    <w:rsid w:val="00933FEE"/>
    <w:rPr>
      <w:rFonts w:ascii="Arial" w:hAnsi="Arial" w:eastAsiaTheme="majorEastAsia" w:cstheme="majorBidi"/>
      <w:b/>
      <w:spacing w:val="-10"/>
      <w:kern w:val="28"/>
      <w:sz w:val="22"/>
      <w:szCs w:val="56"/>
    </w:rPr>
  </w:style>
  <w:style w:type="paragraph" w:styleId="11" w:customStyle="1">
    <w:name w:val="樣式1"/>
    <w:basedOn w:val="1"/>
    <w:link w:val="12"/>
    <w:qFormat/>
    <w:rsid w:val="0099381C"/>
  </w:style>
  <w:style w:type="character" w:styleId="12" w:customStyle="1">
    <w:name w:val="樣式1 字元"/>
    <w:basedOn w:val="10"/>
    <w:link w:val="11"/>
    <w:rsid w:val="0099381C"/>
    <w:rPr>
      <w:rFonts w:ascii="Arial" w:hAnsi="Arial" w:eastAsiaTheme="majorEastAsia" w:cstheme="majorBidi"/>
      <w:b/>
      <w:color w:val="000000" w:themeColor="text1"/>
      <w:kern w:val="0"/>
      <w:sz w:val="22"/>
      <w:szCs w:val="32"/>
      <w:lang w:val="en-GB" w:eastAsia="en-US"/>
    </w:rPr>
  </w:style>
  <w:style w:type="paragraph" w:styleId="a6">
    <w:name w:val="List Paragraph"/>
    <w:basedOn w:val="a"/>
    <w:link w:val="a7"/>
    <w:uiPriority w:val="34"/>
    <w:qFormat/>
    <w:rsid w:val="0099381C"/>
    <w:pPr>
      <w:ind w:left="482" w:hanging="482"/>
    </w:pPr>
  </w:style>
  <w:style w:type="character" w:styleId="a7" w:customStyle="1">
    <w:name w:val="清單段落 字元"/>
    <w:basedOn w:val="a0"/>
    <w:link w:val="a6"/>
    <w:uiPriority w:val="34"/>
    <w:locked/>
    <w:rsid w:val="007524B2"/>
    <w:rPr>
      <w:rFonts w:ascii="Arial" w:hAnsi="Arial"/>
      <w:color w:val="000000" w:themeColor="text1"/>
      <w:kern w:val="0"/>
      <w:sz w:val="22"/>
      <w:szCs w:val="24"/>
      <w:lang w:val="en-GB" w:eastAsia="en-US"/>
    </w:rPr>
  </w:style>
  <w:style w:type="table" w:styleId="a8">
    <w:name w:val="Table Grid"/>
    <w:basedOn w:val="a1"/>
    <w:uiPriority w:val="59"/>
    <w:rsid w:val="007524B2"/>
    <w:rPr>
      <w:rFonts w:eastAsiaTheme="minorEastAsia"/>
      <w:kern w:val="0"/>
      <w:sz w:val="22"/>
      <w:lang w:val="en-GB"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9">
    <w:name w:val="header"/>
    <w:basedOn w:val="a"/>
    <w:link w:val="aa"/>
    <w:uiPriority w:val="99"/>
    <w:unhideWhenUsed/>
    <w:rsid w:val="00855905"/>
    <w:pPr>
      <w:tabs>
        <w:tab w:val="center" w:pos="4153"/>
        <w:tab w:val="right" w:pos="8306"/>
      </w:tabs>
      <w:spacing w:line="240" w:lineRule="auto"/>
    </w:pPr>
  </w:style>
  <w:style w:type="character" w:styleId="aa" w:customStyle="1">
    <w:name w:val="頁首 字元"/>
    <w:basedOn w:val="a0"/>
    <w:link w:val="a9"/>
    <w:uiPriority w:val="99"/>
    <w:rsid w:val="00855905"/>
    <w:rPr>
      <w:rFonts w:ascii="Arial" w:hAnsi="Arial" w:eastAsiaTheme="minorEastAsia"/>
      <w:kern w:val="0"/>
      <w:sz w:val="22"/>
      <w:lang w:val="en-GB" w:eastAsia="en-US"/>
    </w:rPr>
  </w:style>
  <w:style w:type="paragraph" w:styleId="ab">
    <w:name w:val="footer"/>
    <w:basedOn w:val="a"/>
    <w:link w:val="ac"/>
    <w:uiPriority w:val="99"/>
    <w:unhideWhenUsed/>
    <w:rsid w:val="00855905"/>
    <w:pPr>
      <w:tabs>
        <w:tab w:val="center" w:pos="4153"/>
        <w:tab w:val="right" w:pos="8306"/>
      </w:tabs>
      <w:spacing w:line="240" w:lineRule="auto"/>
    </w:pPr>
  </w:style>
  <w:style w:type="character" w:styleId="ac" w:customStyle="1">
    <w:name w:val="頁尾 字元"/>
    <w:basedOn w:val="a0"/>
    <w:link w:val="ab"/>
    <w:uiPriority w:val="99"/>
    <w:rsid w:val="00855905"/>
    <w:rPr>
      <w:rFonts w:ascii="Arial" w:hAnsi="Arial" w:eastAsiaTheme="minorEastAsia"/>
      <w:kern w:val="0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Li-Chia Chen</dc:creator>
  <keywords/>
  <dc:description/>
  <lastModifiedBy>Neetu Bansal</lastModifiedBy>
  <revision>3</revision>
  <dcterms:created xsi:type="dcterms:W3CDTF">2023-04-10T14:35:00.0000000Z</dcterms:created>
  <dcterms:modified xsi:type="dcterms:W3CDTF">2023-06-20T11:13:48.3667195Z</dcterms:modified>
</coreProperties>
</file>