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line="480" w:lineRule="auto"/>
        <w:jc w:val="center"/>
        <w:rPr>
          <w:rFonts w:ascii="Times New Roman" w:hAnsi="Times New Roman" w:eastAsia="宋体" w:cs="Times New Roman"/>
          <w:b/>
          <w:bCs/>
          <w:kern w:val="32"/>
          <w:sz w:val="28"/>
          <w:szCs w:val="32"/>
        </w:rPr>
      </w:pPr>
      <w:bookmarkStart w:id="0" w:name="OLE_LINK14"/>
      <w:bookmarkStart w:id="1" w:name="OLE_LINK1"/>
      <w:r>
        <w:rPr>
          <w:rFonts w:hint="eastAsia" w:ascii="Times New Roman" w:hAnsi="Times New Roman" w:eastAsia="宋体" w:cs="Times New Roman"/>
          <w:b/>
          <w:bCs/>
          <w:kern w:val="32"/>
          <w:sz w:val="28"/>
          <w:szCs w:val="32"/>
        </w:rPr>
        <w:t>Neutrophil extracellular trap-induced intermediate monocytes trigger macrophage activation syndrome in adult-onset Still</w:t>
      </w:r>
      <w:r>
        <w:rPr>
          <w:rFonts w:ascii="Times New Roman" w:hAnsi="Times New Roman" w:eastAsia="宋体" w:cs="Times New Roman"/>
          <w:b/>
          <w:bCs/>
          <w:kern w:val="32"/>
          <w:sz w:val="28"/>
          <w:szCs w:val="32"/>
        </w:rPr>
        <w:t>’</w:t>
      </w:r>
      <w:r>
        <w:rPr>
          <w:rFonts w:hint="eastAsia" w:ascii="Times New Roman" w:hAnsi="Times New Roman" w:eastAsia="宋体" w:cs="Times New Roman"/>
          <w:b/>
          <w:bCs/>
          <w:kern w:val="32"/>
          <w:sz w:val="28"/>
          <w:szCs w:val="32"/>
        </w:rPr>
        <w:t>s disease</w:t>
      </w:r>
      <w:bookmarkEnd w:id="0"/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1"/>
        </w:rPr>
      </w:pPr>
      <w:bookmarkStart w:id="2" w:name="_Hlk141450801"/>
      <w:r>
        <w:rPr>
          <w:rFonts w:ascii="Times New Roman" w:hAnsi="Times New Roman" w:cs="Times New Roman"/>
          <w:sz w:val="24"/>
          <w:szCs w:val="24"/>
        </w:rPr>
        <w:t>Jinchao Jia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</w:rPr>
        <w:t>, Mengyan Wang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</w:rPr>
        <w:t>, Yuning Ma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hAnsi="Times New Roman"/>
          <w:sz w:val="24"/>
          <w:szCs w:val="24"/>
        </w:rPr>
        <w:t xml:space="preserve">, Jianfen Meng, Dehao Zhu, Xia Chen, Hui Shi, Yue Sun, Honglei Liu, Xiaobing Cheng, Yutong Su, Junna Ye, Huihui Chi, Tingting Liu, Zhuochao Zhou, Fan Wang, Longfang Chen, Da Yi, </w:t>
      </w:r>
      <w:r>
        <w:rPr>
          <w:rFonts w:hint="eastAsia"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z w:val="24"/>
          <w:szCs w:val="24"/>
        </w:rPr>
        <w:t xml:space="preserve"> Xiao, </w:t>
      </w:r>
      <w:r>
        <w:rPr>
          <w:rFonts w:ascii="Times New Roman" w:hAnsi="Times New Roman" w:cs="Times New Roman"/>
          <w:sz w:val="24"/>
          <w:szCs w:val="24"/>
        </w:rPr>
        <w:t>Chengde Yang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Jialin Teng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, Qiongyi Hu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bookmarkStart w:id="8" w:name="_GoBack"/>
      <w:bookmarkEnd w:id="8"/>
    </w:p>
    <w:bookmarkEnd w:id="2"/>
    <w:p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Department of Rheumatology and Immunology, Ruijin Hospital, Shanghai Jiao Tong University School of Medicine, Shanghai, China.</w:t>
      </w:r>
    </w:p>
    <w:p>
      <w:pPr>
        <w:autoSpaceDE w:val="0"/>
        <w:autoSpaceDN w:val="0"/>
        <w:adjustRightInd w:val="0"/>
        <w:spacing w:line="480" w:lineRule="auto"/>
        <w:jc w:val="left"/>
        <w:outlineLvl w:val="0"/>
        <w:rPr>
          <w:rFonts w:ascii="Times New Roman" w:hAnsi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10"/>
          <w:sz w:val="24"/>
          <w:szCs w:val="24"/>
        </w:rPr>
        <w:t xml:space="preserve"># </w:t>
      </w:r>
      <w:r>
        <w:rPr>
          <w:rFonts w:ascii="Times New Roman" w:hAnsi="Times New Roman"/>
          <w:sz w:val="24"/>
          <w:szCs w:val="24"/>
        </w:rPr>
        <w:t>These authors contributed equally to this work.</w:t>
      </w:r>
    </w:p>
    <w:p>
      <w:pPr>
        <w:spacing w:line="480" w:lineRule="auto"/>
        <w:rPr>
          <w:rFonts w:ascii="Times New Roman" w:hAnsi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Correspondence to: Qiongyi Hu or Jialin Teng or Chengde Yang</w:t>
      </w:r>
    </w:p>
    <w:p>
      <w:pPr>
        <w:spacing w:line="480" w:lineRule="auto"/>
        <w:rPr>
          <w:rFonts w:ascii="等线" w:hAnsi="等线"/>
          <w:szCs w:val="21"/>
        </w:rPr>
      </w:pPr>
      <w:r>
        <w:rPr>
          <w:rFonts w:ascii="Times New Roman" w:hAnsi="Times New Roman"/>
          <w:sz w:val="24"/>
          <w:szCs w:val="24"/>
        </w:rPr>
        <w:t>Qiongyi Hu</w:t>
      </w:r>
      <w:r>
        <w:rPr>
          <w:rFonts w:hint="eastAsia"/>
        </w:rPr>
        <w:t xml:space="preserve"> </w:t>
      </w:r>
    </w:p>
    <w:p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Address: Department of Rheumatology and Immunology, Ruijin Hospital, Shanghai Jiao Tong University School of Medicine, No. 197 Ruijin Second Road, Shanghai 200025, China</w:t>
      </w:r>
    </w:p>
    <w:p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Tel.: (86)-21-64370045ext665130; Fax: (86)-21-54109718</w:t>
      </w:r>
    </w:p>
    <w:p>
      <w:pPr>
        <w:spacing w:line="48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Email: huqiongyi131@163.com</w:t>
      </w:r>
    </w:p>
    <w:p>
      <w:pPr>
        <w:spacing w:line="48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or to Jialin Teng, Email: tengteng8151@sina.com</w:t>
      </w:r>
    </w:p>
    <w:p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Chengde Yang,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Email: yangchengde@</w:t>
      </w:r>
      <w:r>
        <w:rPr>
          <w:rFonts w:hint="eastAsia" w:ascii="Times New Roman" w:hAnsi="Times New Roman"/>
          <w:sz w:val="24"/>
          <w:szCs w:val="24"/>
        </w:rPr>
        <w:t>sina</w:t>
      </w:r>
      <w:r>
        <w:rPr>
          <w:rFonts w:ascii="Times New Roman" w:hAnsi="Times New Roman"/>
          <w:sz w:val="24"/>
          <w:szCs w:val="24"/>
        </w:rPr>
        <w:t>.com</w:t>
      </w:r>
    </w:p>
    <w:bookmarkEnd w:id="1"/>
    <w:p>
      <w:pPr>
        <w:ind w:left="360" w:hanging="360"/>
      </w:pP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Additional f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ig</w:t>
      </w:r>
      <w:r>
        <w:rPr>
          <w:rFonts w:ascii="Times New Roman" w:hAnsi="Times New Roman" w:cs="Times New Roman"/>
          <w:b/>
          <w:bCs/>
          <w:sz w:val="28"/>
          <w:szCs w:val="28"/>
        </w:rPr>
        <w:t>ures</w:t>
      </w:r>
    </w:p>
    <w:p>
      <w:pPr>
        <w:pStyle w:val="14"/>
        <w:ind w:left="360" w:firstLine="0" w:firstLineChars="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drawing>
          <wp:inline distT="0" distB="0" distL="0" distR="0">
            <wp:extent cx="4372610" cy="4156075"/>
            <wp:effectExtent l="0" t="0" r="8890" b="0"/>
            <wp:docPr id="4726349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634909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2610" cy="41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ure</w:t>
      </w:r>
      <w:r>
        <w:rPr>
          <w:rFonts w:ascii="Times New Roman" w:hAnsi="Times New Roman" w:cs="Times New Roman"/>
          <w:b/>
          <w:bCs/>
          <w:sz w:val="24"/>
        </w:rPr>
        <w:t xml:space="preserve"> S1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Comparisons of clinical manifestations between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patients with low IM proportions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</w:rPr>
        <w:t>high IM proportion</w:t>
      </w:r>
      <w:r>
        <w:rPr>
          <w:rFonts w:hint="eastAsia" w:ascii="Times New Roman" w:hAnsi="Times New Roman" w:cs="Times New Roman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The differences were evaluated with Fisher’s exact test. </w:t>
      </w:r>
      <w:r>
        <w:rPr>
          <w:rFonts w:hint="eastAsia" w:ascii="Times New Roman" w:hAnsi="Times New Roman" w:cs="Times New Roman"/>
          <w:sz w:val="24"/>
        </w:rPr>
        <w:t>ns = not significance</w:t>
      </w:r>
      <w:r>
        <w:rPr>
          <w:rFonts w:ascii="Times New Roman" w:hAnsi="Times New Roman" w:cs="Times New Roman"/>
          <w:sz w:val="24"/>
        </w:rPr>
        <w:t>.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093970" cy="4091305"/>
            <wp:effectExtent l="0" t="0" r="0" b="4445"/>
            <wp:docPr id="3404300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430033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3970" cy="409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  <w:bookmarkStart w:id="3" w:name="OLE_LINK54"/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ure</w:t>
      </w:r>
      <w:r>
        <w:rPr>
          <w:rFonts w:ascii="Times New Roman" w:hAnsi="Times New Roman" w:cs="Times New Roman"/>
          <w:b/>
          <w:bCs/>
          <w:sz w:val="24"/>
        </w:rPr>
        <w:t xml:space="preserve"> S2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Associations between </w:t>
      </w:r>
      <w:r>
        <w:rPr>
          <w:rFonts w:hint="eastAsia" w:ascii="Times New Roman" w:hAnsi="Times New Roman" w:cs="Times New Roman"/>
          <w:b/>
          <w:bCs/>
          <w:sz w:val="24"/>
        </w:rPr>
        <w:t>DNA sensor expression</w:t>
      </w:r>
      <w:r>
        <w:rPr>
          <w:rFonts w:ascii="Times New Roman" w:hAnsi="Times New Roman" w:cs="Times New Roman"/>
          <w:b/>
          <w:bCs/>
          <w:sz w:val="24"/>
        </w:rPr>
        <w:t xml:space="preserve"> and </w:t>
      </w:r>
      <w:r>
        <w:rPr>
          <w:rFonts w:hint="eastAsia" w:ascii="Times New Roman" w:hAnsi="Times New Roman" w:cs="Times New Roman"/>
          <w:b/>
          <w:bCs/>
          <w:sz w:val="24"/>
        </w:rPr>
        <w:t>IM signature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 xml:space="preserve">of monocytes </w:t>
      </w:r>
      <w:r>
        <w:rPr>
          <w:rFonts w:ascii="Times New Roman" w:hAnsi="Times New Roman" w:cs="Times New Roman"/>
          <w:b/>
          <w:bCs/>
          <w:sz w:val="24"/>
        </w:rPr>
        <w:t>in patients with AOSD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and HCs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The correlations were evaluated with Spearman’s test. Each plot represents an individual patient. p value &lt;0.05 represents a significant difference.</w:t>
      </w:r>
      <w:bookmarkEnd w:id="3"/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drawing>
          <wp:inline distT="0" distB="0" distL="0" distR="0">
            <wp:extent cx="4777105" cy="1936115"/>
            <wp:effectExtent l="0" t="0" r="4445" b="6985"/>
            <wp:docPr id="853393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39358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9069" cy="19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ure</w:t>
      </w:r>
      <w:r>
        <w:rPr>
          <w:rFonts w:ascii="Times New Roman" w:hAnsi="Times New Roman" w:cs="Times New Roman"/>
          <w:b/>
          <w:bCs/>
          <w:sz w:val="24"/>
        </w:rPr>
        <w:t xml:space="preserve"> S3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mRNA levels of DNA sensors in THP-1 cells stimulated with NETs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(A) PCR Heatmap of mRNA levels of DNA sensors in THP-1 cells stimulated with AOSD-NETs or HC-NETs. (B) mRNA levels of ZBP1, DDX60, AIM2 and IFI16 in THP-1 cells stimulated with AOSD-NETs or HC-NETs. * = p&lt;0.05, ** = p&lt;0.01, *** = p&lt;0.001, ns = not significance, by ANOVA test followed by Tukey</w:t>
      </w:r>
      <w:r>
        <w:rPr>
          <w:rFonts w:ascii="Times New Roman" w:hAnsi="Times New Roman" w:cs="Times New Roman"/>
          <w:sz w:val="24"/>
        </w:rPr>
        <w:t>’</w:t>
      </w:r>
      <w:r>
        <w:rPr>
          <w:rFonts w:hint="eastAsia" w:ascii="Times New Roman" w:hAnsi="Times New Roman" w:cs="Times New Roman"/>
          <w:sz w:val="24"/>
        </w:rPr>
        <w:t xml:space="preserve">s test for multiple comparisons in B.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szCs w:val="21"/>
        </w:rPr>
        <w:t>Table S</w:t>
      </w:r>
      <w:r>
        <w:rPr>
          <w:rFonts w:hint="eastAsia" w:ascii="Times New Roman" w:hAnsi="Times New Roman"/>
          <w:b/>
          <w:bCs/>
          <w:szCs w:val="21"/>
        </w:rPr>
        <w:t>1</w:t>
      </w:r>
      <w:r>
        <w:rPr>
          <w:rFonts w:ascii="Times New Roman" w:hAnsi="Times New Roman"/>
          <w:b/>
          <w:bCs/>
          <w:szCs w:val="21"/>
        </w:rPr>
        <w:t>. Demographic and clinical characteristics of individuals with AOSD</w:t>
      </w:r>
      <w:r>
        <w:rPr>
          <w:rFonts w:hint="eastAsia" w:ascii="Times New Roman" w:hAnsi="Times New Roman"/>
          <w:b/>
          <w:bCs/>
          <w:szCs w:val="21"/>
        </w:rPr>
        <w:t xml:space="preserve"> in FACS analysis</w:t>
      </w:r>
    </w:p>
    <w:tbl>
      <w:tblPr>
        <w:tblStyle w:val="7"/>
        <w:tblW w:w="77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1842"/>
        <w:gridCol w:w="1701"/>
        <w:gridCol w:w="9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AOSD (n=</w:t>
            </w:r>
            <w:r>
              <w:rPr>
                <w:rFonts w:hint="eastAsia" w:ascii="Times New Roman" w:hAnsi="Times New Roman"/>
                <w:b/>
                <w:kern w:val="0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 xml:space="preserve">Active </w:t>
            </w:r>
          </w:p>
          <w:p>
            <w:pPr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(n=</w:t>
            </w:r>
            <w:r>
              <w:rPr>
                <w:rFonts w:hint="eastAsia" w:ascii="Times New Roman" w:hAnsi="Times New Roman"/>
                <w:b/>
                <w:kern w:val="0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Inactive (n=</w:t>
            </w:r>
            <w:r>
              <w:rPr>
                <w:rFonts w:hint="eastAsia" w:ascii="Times New Roman" w:hAnsi="Times New Roman"/>
                <w:b/>
                <w:kern w:val="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 xml:space="preserve"> HC</w:t>
            </w:r>
          </w:p>
          <w:p>
            <w:pPr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(n=</w:t>
            </w:r>
            <w:r>
              <w:rPr>
                <w:rFonts w:hint="eastAsia" w:ascii="Times New Roman" w:hAnsi="Times New Roman"/>
                <w:b/>
                <w:kern w:val="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40.56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± 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4.01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3.30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± 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2.18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42.75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Sex (F/M)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Clinical Manifestations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Fever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(8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Arthralgia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85.2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Skin rash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85.2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Sore throat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6 (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59.3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Lymphadenopathy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85.2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 (10.0)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Splenomegaly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48.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Hepatomegaly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14.8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Myalgia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(2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5.9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Pericarditis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8.5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 (10.0)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Pleuritis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25.9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Laboratory features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Hemoglobin (g/L)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10.4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12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5.0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Leukocytes (10</w:t>
            </w:r>
            <w:r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/L)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8.3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3.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Platelets (10</w:t>
            </w:r>
            <w:r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/L)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92.6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145.8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225.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6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ESR (mm/h)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2.2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33.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2.9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6.3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CRP (mg/L)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88.1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63.3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9.3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10.0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ALT (U/L)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82.3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119.8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21.3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12.4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AST (U/L)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90.8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124.5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20.9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Ferritin (&gt;1500 ng/mL)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7 (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63.0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Pouchot systemic score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5.4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0.4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HScore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102.0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51.7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19.9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isease course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New-onset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1 (77.8)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During disease course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(22.2)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0 (100.0)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Treatments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Steroid- and DMARD-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naive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1 (77.8)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Ste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roid monotherapy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(22.2)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(20.0)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Steroid + DMARD(s)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(80.0)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>
      <w:pPr>
        <w:widowControl/>
        <w:autoSpaceDE w:val="0"/>
        <w:autoSpaceDN w:val="0"/>
        <w:adjustRightInd w:val="0"/>
        <w:spacing w:before="312" w:beforeLines="100" w:after="240" w:line="240" w:lineRule="atLeast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Abbreviations: </w:t>
      </w:r>
      <w:r>
        <w:rPr>
          <w:rFonts w:hint="eastAsia"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OSD, adult-onset Still’s disease; HC, healthy control; </w:t>
      </w:r>
      <w:r>
        <w:rPr>
          <w:rFonts w:hint="eastAsia"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 xml:space="preserve">SR, erythrocyte sedimentation rate; CRP, C-reactive protein; </w:t>
      </w:r>
      <w:r>
        <w:rPr>
          <w:rFonts w:hint="eastAsia"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LT, alanine transaminase; </w:t>
      </w:r>
      <w:r>
        <w:rPr>
          <w:rFonts w:hint="eastAsia"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ST, aspartate transaminase; DMARD, disease-modifying anti-rheumatic drugs.</w:t>
      </w:r>
    </w:p>
    <w:p>
      <w:pPr>
        <w:widowControl/>
        <w:autoSpaceDE w:val="0"/>
        <w:autoSpaceDN w:val="0"/>
        <w:adjustRightInd w:val="0"/>
        <w:spacing w:before="312" w:beforeLines="100" w:after="240" w:line="240" w:lineRule="atLeast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 All values are presented as numbers (with percentage) or mean ± SD (standard deviation). </w:t>
      </w:r>
    </w:p>
    <w:p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. clinical characteristics of individuals with AOSD</w:t>
      </w:r>
      <w:r>
        <w:rPr>
          <w:rFonts w:hint="eastAsia" w:ascii="Times New Roman" w:hAnsi="Times New Roman"/>
          <w:b/>
          <w:bCs/>
          <w:sz w:val="24"/>
          <w:szCs w:val="24"/>
        </w:rPr>
        <w:t>-MAS in FACS analysis</w:t>
      </w:r>
    </w:p>
    <w:tbl>
      <w:tblPr>
        <w:tblStyle w:val="7"/>
        <w:tblW w:w="64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4"/>
        <w:gridCol w:w="1808"/>
        <w:gridCol w:w="18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kern w:val="0"/>
                <w:sz w:val="24"/>
                <w:szCs w:val="24"/>
              </w:rPr>
              <w:t>AOSD-MAS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 xml:space="preserve"> </w:t>
            </w:r>
          </w:p>
          <w:p>
            <w:pPr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(n=</w:t>
            </w:r>
            <w:r>
              <w:rPr>
                <w:rFonts w:hint="eastAsia" w:ascii="Times New Roman" w:hAnsi="Times New Roman"/>
                <w:b/>
                <w:kern w:val="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kern w:val="0"/>
                <w:sz w:val="24"/>
                <w:szCs w:val="24"/>
              </w:rPr>
              <w:t>AOSD without MAS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 xml:space="preserve"> (n=</w:t>
            </w:r>
            <w:r>
              <w:rPr>
                <w:rFonts w:hint="eastAsia" w:ascii="Times New Roman" w:hAnsi="Times New Roman"/>
                <w:b/>
                <w:kern w:val="0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80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47.00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± 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5.61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39.19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± 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Sex (F/M)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Clinical Manifestations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Fever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(8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14 (51.9)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Arthralgia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70.0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16 (59.3)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Skin rash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90.0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14 (51.9)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Sore throat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6 </w:t>
            </w:r>
            <w:bookmarkStart w:id="4" w:name="OLE_LINK2"/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(60.0)</w:t>
            </w:r>
            <w:bookmarkEnd w:id="4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10 (37.0)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Lymphadenopathy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9 (90.0)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15 (55.6)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Splenomegaly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 (40.0)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9 (33.3)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Hepatomegaly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 (20.0)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 (7.4)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Myalgia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 (40.0)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3 (11.1)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Pericarditis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 (10.0)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 (18.5)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Pleuritis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 (40.0)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3 (11.1)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Laboratory features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Hemoglobin (g/L)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11.2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3.6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15.6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Leukocytes (10</w:t>
            </w:r>
            <w:r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/L)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0.9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5.9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12.1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Platelets (10</w:t>
            </w:r>
            <w:r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/L)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01.4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112.8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301.6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128.1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ESR (mm/h)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44.8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29.8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40.4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34.6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CRP (mg/L)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76.5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57.0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63.2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66.9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ALT (U/L)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129.6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175.7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42.2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43.7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AST (U/L)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161.8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175.4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38.6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36.6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Ferritin (&gt;1500 ng/mL)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8 (80.0)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9 (33.3)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Pouchot systemic score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5.7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1.4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3.5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HScore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136.5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53.4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59.3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43.1</w:t>
            </w:r>
          </w:p>
        </w:tc>
      </w:tr>
    </w:tbl>
    <w:p>
      <w:pPr>
        <w:widowControl/>
        <w:autoSpaceDE w:val="0"/>
        <w:autoSpaceDN w:val="0"/>
        <w:adjustRightInd w:val="0"/>
        <w:spacing w:before="312" w:beforeLines="100" w:after="240" w:line="240" w:lineRule="atLeast"/>
        <w:jc w:val="left"/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Abbreviations: </w:t>
      </w:r>
      <w:r>
        <w:rPr>
          <w:rFonts w:hint="eastAsia"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OSD, adult-onset Still’s disease; HC, healthy control; </w:t>
      </w:r>
      <w:r>
        <w:rPr>
          <w:rFonts w:hint="eastAsia"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SR, erythrocyte sedimentation rate; CRP, C-reactive protein; </w:t>
      </w:r>
      <w:r>
        <w:rPr>
          <w:rFonts w:hint="eastAsia"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LT, alanine transaminase; </w:t>
      </w:r>
      <w:r>
        <w:rPr>
          <w:rFonts w:hint="eastAsia"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ST, aspartate transaminase</w:t>
      </w:r>
      <w:r>
        <w:rPr>
          <w:rFonts w:hint="eastAsia" w:ascii="Times New Roman" w:hAnsi="Times New Roman"/>
          <w:sz w:val="24"/>
          <w:szCs w:val="24"/>
        </w:rPr>
        <w:t>.</w:t>
      </w:r>
    </w:p>
    <w:p>
      <w:pPr>
        <w:widowControl/>
        <w:autoSpaceDE w:val="0"/>
        <w:autoSpaceDN w:val="0"/>
        <w:adjustRightInd w:val="0"/>
        <w:spacing w:after="240" w:line="240" w:lineRule="atLeast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All values are presented as numbers (with percentage) or mean ± SD (standard deviation). </w:t>
      </w:r>
    </w:p>
    <w:p>
      <w:pPr>
        <w:widowControl/>
        <w:autoSpaceDE w:val="0"/>
        <w:autoSpaceDN w:val="0"/>
        <w:adjustRightInd w:val="0"/>
        <w:spacing w:after="240" w:line="240" w:lineRule="atLeast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widowControl/>
        <w:autoSpaceDE w:val="0"/>
        <w:autoSpaceDN w:val="0"/>
        <w:adjustRightInd w:val="0"/>
        <w:spacing w:after="240" w:line="240" w:lineRule="atLeast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widowControl/>
        <w:autoSpaceDE w:val="0"/>
        <w:autoSpaceDN w:val="0"/>
        <w:adjustRightInd w:val="0"/>
        <w:spacing w:after="240" w:line="240" w:lineRule="atLeast"/>
        <w:jc w:val="left"/>
        <w:rPr>
          <w:rFonts w:ascii="Times New Roman" w:hAnsi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S3. Demographic and clinical characteristics of individuals with AOSD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in ELISA analysis</w:t>
      </w:r>
    </w:p>
    <w:p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Style w:val="7"/>
        <w:tblW w:w="64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4"/>
        <w:gridCol w:w="1808"/>
        <w:gridCol w:w="18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kern w:val="0"/>
                <w:sz w:val="24"/>
                <w:szCs w:val="24"/>
              </w:rPr>
              <w:t>AOSD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 xml:space="preserve"> </w:t>
            </w:r>
          </w:p>
          <w:p>
            <w:pPr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(n=</w:t>
            </w:r>
            <w:r>
              <w:rPr>
                <w:rFonts w:hint="eastAsia" w:ascii="Times New Roman" w:hAnsi="Times New Roman"/>
                <w:b/>
                <w:kern w:val="0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kern w:val="0"/>
                <w:sz w:val="24"/>
                <w:szCs w:val="24"/>
              </w:rPr>
              <w:t>HCs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 xml:space="preserve"> (n=</w:t>
            </w:r>
            <w:r>
              <w:rPr>
                <w:rFonts w:hint="eastAsia" w:ascii="Times New Roman" w:hAnsi="Times New Roman"/>
                <w:b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80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37.93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± 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4.73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36.65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± 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Sex (F/M)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47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16/4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Clinical Manifestations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Fever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47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(8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Arthralgia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51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70.0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Skin rash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54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90.0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Sore throat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44 (60.0)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Lymphadenopathy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55 (90.0)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Splenomegaly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39 (40.0)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Hepatomegaly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3 (20.0)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Myalgia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17 (40.0)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Pericarditis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14 (10.0)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Pleuritis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19 (40.0)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Laboratory features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Hemoglobin (g/L)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10.1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7.08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Leukocytes (10</w:t>
            </w:r>
            <w:r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/L)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1.42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4.9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Platelets (10</w:t>
            </w:r>
            <w:r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/L)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78.4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101.3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ESR (mm/h)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47.82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31.31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CRP (mg/L)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72.54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67.43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ALT (U/L)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61.72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121.3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AST (U/L)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73.58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139.8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Ferritin (&gt;1500 ng/mL)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27 (80.0)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HScore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104.5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60.2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>
      <w:pPr>
        <w:widowControl/>
        <w:autoSpaceDE w:val="0"/>
        <w:autoSpaceDN w:val="0"/>
        <w:adjustRightInd w:val="0"/>
        <w:spacing w:before="312" w:beforeLines="100" w:after="240" w:line="240" w:lineRule="atLeast"/>
        <w:jc w:val="left"/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Abbreviations: </w:t>
      </w:r>
      <w:r>
        <w:rPr>
          <w:rFonts w:hint="eastAsia"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OSD, adult-onset Still’s disease; HC, healthy control; </w:t>
      </w:r>
      <w:r>
        <w:rPr>
          <w:rFonts w:hint="eastAsia"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SR, erythrocyte sedimentation rate; CRP, C-reactive protein; </w:t>
      </w:r>
      <w:r>
        <w:rPr>
          <w:rFonts w:hint="eastAsia"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LT, alanine transaminase; </w:t>
      </w:r>
      <w:r>
        <w:rPr>
          <w:rFonts w:hint="eastAsia"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ST, aspartate transaminase</w:t>
      </w:r>
      <w:r>
        <w:rPr>
          <w:rFonts w:hint="eastAsia" w:ascii="Times New Roman" w:hAnsi="Times New Roman"/>
          <w:sz w:val="24"/>
          <w:szCs w:val="24"/>
        </w:rPr>
        <w:t>.</w:t>
      </w:r>
    </w:p>
    <w:p>
      <w:pPr>
        <w:widowControl/>
        <w:autoSpaceDE w:val="0"/>
        <w:autoSpaceDN w:val="0"/>
        <w:adjustRightInd w:val="0"/>
        <w:spacing w:after="240" w:line="240" w:lineRule="atLeast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All values are presented as numbers (with percentage) or mean ± SD (standard deviation). </w:t>
      </w:r>
    </w:p>
    <w:p>
      <w:pPr>
        <w:pStyle w:val="13"/>
        <w:spacing w:line="480" w:lineRule="auto"/>
        <w:ind w:firstLine="0"/>
        <w:rPr>
          <w:b/>
          <w:bCs/>
        </w:rPr>
      </w:pPr>
      <w:r>
        <w:rPr>
          <w:b/>
          <w:bCs/>
        </w:rPr>
        <w:t xml:space="preserve"> </w:t>
      </w:r>
    </w:p>
    <w:p>
      <w:pPr>
        <w:pStyle w:val="13"/>
        <w:spacing w:line="480" w:lineRule="auto"/>
        <w:ind w:firstLine="0"/>
        <w:rPr>
          <w:b/>
          <w:bCs/>
        </w:rPr>
      </w:pPr>
      <w:r>
        <w:rPr>
          <w:b/>
          <w:bCs/>
        </w:rPr>
        <w:t xml:space="preserve"> </w:t>
      </w:r>
    </w:p>
    <w:p>
      <w:pPr>
        <w:pStyle w:val="13"/>
        <w:spacing w:line="480" w:lineRule="auto"/>
        <w:ind w:firstLine="0"/>
        <w:rPr>
          <w:rFonts w:eastAsia="宋体"/>
          <w:b/>
          <w:bCs/>
        </w:rPr>
      </w:pPr>
      <w:r>
        <w:rPr>
          <w:b/>
          <w:bCs/>
        </w:rPr>
        <w:t>Table S4. Primers used in this study.</w:t>
      </w:r>
    </w:p>
    <w:tbl>
      <w:tblPr>
        <w:tblStyle w:val="6"/>
        <w:tblW w:w="0" w:type="auto"/>
        <w:tblInd w:w="159" w:type="dxa"/>
        <w:tblLayout w:type="autofit"/>
        <w:tblCellMar>
          <w:top w:w="57" w:type="dxa"/>
          <w:left w:w="57" w:type="dxa"/>
          <w:bottom w:w="0" w:type="dxa"/>
          <w:right w:w="57" w:type="dxa"/>
        </w:tblCellMar>
      </w:tblPr>
      <w:tblGrid>
        <w:gridCol w:w="1225"/>
        <w:gridCol w:w="5103"/>
        <w:gridCol w:w="1134"/>
      </w:tblGrid>
      <w:tr>
        <w:tblPrEx>
          <w:tblCellMar>
            <w:top w:w="57" w:type="dxa"/>
            <w:left w:w="57" w:type="dxa"/>
            <w:bottom w:w="0" w:type="dxa"/>
            <w:right w:w="57" w:type="dxa"/>
          </w:tblCellMar>
        </w:tblPrEx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sz w:val="24"/>
                <w:szCs w:val="24"/>
              </w:rPr>
              <w:t>Gene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sz w:val="24"/>
                <w:szCs w:val="24"/>
              </w:rPr>
              <w:t>Sequence (5’ &gt; 3’)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sz w:val="24"/>
                <w:szCs w:val="24"/>
              </w:rPr>
              <w:t>Species</w:t>
            </w:r>
          </w:p>
        </w:tc>
      </w:tr>
      <w:tr>
        <w:tblPrEx>
          <w:tblCellMar>
            <w:top w:w="57" w:type="dxa"/>
            <w:left w:w="57" w:type="dxa"/>
            <w:bottom w:w="0" w:type="dxa"/>
            <w:right w:w="57" w:type="dxa"/>
          </w:tblCellMar>
        </w:tblPrEx>
        <w:tc>
          <w:tcPr>
            <w:tcW w:w="12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CGAS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Forward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: TAACCCTGGCTTTGGAATCAAAA</w:t>
            </w:r>
          </w:p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everse: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TGGGTACAAGGTAAAATGGCTTT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Human</w:t>
            </w:r>
          </w:p>
        </w:tc>
      </w:tr>
      <w:tr>
        <w:tblPrEx>
          <w:tblCellMar>
            <w:top w:w="57" w:type="dxa"/>
            <w:left w:w="57" w:type="dxa"/>
            <w:bottom w:w="0" w:type="dxa"/>
            <w:right w:w="57" w:type="dxa"/>
          </w:tblCellMar>
        </w:tblPrEx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AIM2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Forward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: AGCAAGATATTATCGGCACAGTG</w:t>
            </w:r>
          </w:p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everse: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GTTCAGCGGGACATTAACCTT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Human</w:t>
            </w:r>
          </w:p>
        </w:tc>
      </w:tr>
      <w:tr>
        <w:tblPrEx>
          <w:tblCellMar>
            <w:top w:w="57" w:type="dxa"/>
            <w:left w:w="57" w:type="dxa"/>
            <w:bottom w:w="0" w:type="dxa"/>
            <w:right w:w="57" w:type="dxa"/>
          </w:tblCellMar>
        </w:tblPrEx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TLR9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Forward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: AATCCCTCATATCCCTGTCCC</w:t>
            </w:r>
          </w:p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everse: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GTTGCCGTCCATGAATAGGAAG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Human</w:t>
            </w:r>
          </w:p>
        </w:tc>
      </w:tr>
      <w:tr>
        <w:tblPrEx>
          <w:tblCellMar>
            <w:top w:w="57" w:type="dxa"/>
            <w:left w:w="57" w:type="dxa"/>
            <w:bottom w:w="0" w:type="dxa"/>
            <w:right w:w="57" w:type="dxa"/>
          </w:tblCellMar>
        </w:tblPrEx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DHX36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Forward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: GGATGAACGACGAGAAGAACAA</w:t>
            </w:r>
          </w:p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everse: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TTCAGTACCGTATCCATGATCCT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Human</w:t>
            </w:r>
          </w:p>
        </w:tc>
      </w:tr>
      <w:tr>
        <w:tblPrEx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223" w:hRule="atLeast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DHX9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Forward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: GCAGCAGAGTGTAACATCGTAG</w:t>
            </w:r>
          </w:p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everse: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ACTCAAATCGAACGCTGTAGC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Human</w:t>
            </w:r>
          </w:p>
        </w:tc>
      </w:tr>
      <w:tr>
        <w:tblPrEx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223" w:hRule="atLeast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DDX60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Forward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: CAGCTCCAATGAAATGGTGCC</w:t>
            </w:r>
          </w:p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everse: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CTCAGGGGTTTATGAGAATGCC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Human</w:t>
            </w:r>
          </w:p>
        </w:tc>
      </w:tr>
      <w:tr>
        <w:tblPrEx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223" w:hRule="atLeast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IFI16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Forward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: AGACTGAAGACTGAACCTGAAGA </w:t>
            </w:r>
          </w:p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everse: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GAACCCATTGCGGCAAACATA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Human</w:t>
            </w:r>
          </w:p>
        </w:tc>
      </w:tr>
      <w:tr>
        <w:tblPrEx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223" w:hRule="atLeast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ZBP1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Forward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: GGGAGCTCAACCAAGTCCTC</w:t>
            </w:r>
          </w:p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everse: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CTCGCCTTCAGGATCAGTCC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Human</w:t>
            </w:r>
          </w:p>
        </w:tc>
      </w:tr>
      <w:tr>
        <w:tblPrEx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223" w:hRule="atLeast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DDX41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Forward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: GGTGGAGGGAGACGGTATCC </w:t>
            </w:r>
          </w:p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everse: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GGCCAGATAGAATGGTGGGG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Human</w:t>
            </w:r>
          </w:p>
        </w:tc>
      </w:tr>
      <w:tr>
        <w:tblPrEx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223" w:hRule="atLeast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PQBP1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Forward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: GCCACGACAAGTCTGACAGG</w:t>
            </w:r>
          </w:p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everse: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CGTCTGAGTATGAGCTAGGGT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Human</w:t>
            </w:r>
          </w:p>
        </w:tc>
      </w:tr>
      <w:tr>
        <w:tblPrEx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223" w:hRule="atLeast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MRE11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Forward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: ATCGGCCTGTCCAGTTTGAAA </w:t>
            </w:r>
          </w:p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everse: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TGCCATCTTGATAGTTCACCCAT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Human</w:t>
            </w:r>
          </w:p>
        </w:tc>
      </w:tr>
      <w:tr>
        <w:tblPrEx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223" w:hRule="atLeast"/>
        </w:trPr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G</w:t>
            </w:r>
            <w:r>
              <w:rPr>
                <w:rFonts w:ascii="Times New Roman" w:hAnsi="Times New Roman" w:eastAsia="宋体"/>
                <w:b/>
                <w:sz w:val="24"/>
                <w:szCs w:val="24"/>
              </w:rPr>
              <w:t>APDH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Forward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CTGGGCTACACTGAGCACC</w:t>
            </w:r>
          </w:p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everse: AAGTGGTCGTTGAGGGCAATG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H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uman</w:t>
            </w:r>
          </w:p>
        </w:tc>
      </w:tr>
    </w:tbl>
    <w:p>
      <w:pPr>
        <w:pStyle w:val="13"/>
        <w:spacing w:line="480" w:lineRule="auto"/>
        <w:ind w:firstLine="0"/>
        <w:rPr>
          <w:rFonts w:eastAsia="宋体"/>
        </w:rPr>
      </w:pPr>
      <w:r>
        <w:t xml:space="preserve"> </w:t>
      </w:r>
    </w:p>
    <w:p>
      <w:pPr>
        <w:pStyle w:val="13"/>
        <w:spacing w:line="480" w:lineRule="auto"/>
        <w:ind w:firstLine="0"/>
        <w:rPr>
          <w:b/>
          <w:bCs/>
        </w:rPr>
      </w:pPr>
    </w:p>
    <w:p>
      <w:pPr>
        <w:pStyle w:val="13"/>
        <w:spacing w:line="480" w:lineRule="auto"/>
        <w:ind w:firstLine="0"/>
        <w:rPr>
          <w:b/>
          <w:bCs/>
        </w:rPr>
      </w:pPr>
    </w:p>
    <w:p>
      <w:pPr>
        <w:pStyle w:val="13"/>
        <w:spacing w:line="480" w:lineRule="auto"/>
        <w:ind w:firstLine="0"/>
        <w:rPr>
          <w:b/>
          <w:bCs/>
        </w:rPr>
      </w:pPr>
    </w:p>
    <w:p>
      <w:pPr>
        <w:pStyle w:val="13"/>
        <w:spacing w:line="480" w:lineRule="auto"/>
        <w:ind w:firstLine="0"/>
        <w:rPr>
          <w:b/>
          <w:bCs/>
        </w:rPr>
      </w:pPr>
    </w:p>
    <w:p>
      <w:pPr>
        <w:pStyle w:val="13"/>
        <w:spacing w:line="480" w:lineRule="auto"/>
        <w:ind w:firstLine="0"/>
        <w:rPr>
          <w:b/>
          <w:bCs/>
        </w:rPr>
      </w:pPr>
    </w:p>
    <w:p>
      <w:pPr>
        <w:pStyle w:val="13"/>
        <w:spacing w:line="480" w:lineRule="auto"/>
        <w:ind w:firstLine="0"/>
        <w:rPr>
          <w:b/>
          <w:bCs/>
        </w:rPr>
      </w:pPr>
      <w:r>
        <w:rPr>
          <w:b/>
          <w:bCs/>
        </w:rPr>
        <w:t xml:space="preserve">Table S5. Comparison of plasma </w:t>
      </w:r>
      <w:r>
        <w:rPr>
          <w:rFonts w:hint="eastAsia"/>
          <w:b/>
          <w:bCs/>
        </w:rPr>
        <w:t>CCL8 and CXCL10</w:t>
      </w:r>
      <w:r>
        <w:rPr>
          <w:b/>
          <w:bCs/>
        </w:rPr>
        <w:t xml:space="preserve"> levels according to disease manifestations in patients with adult-onset Still’s disease</w:t>
      </w:r>
    </w:p>
    <w:p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Style w:val="6"/>
        <w:tblW w:w="103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1481"/>
        <w:gridCol w:w="2272"/>
        <w:gridCol w:w="1354"/>
        <w:gridCol w:w="2284"/>
        <w:gridCol w:w="9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34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bookmarkStart w:id="5" w:name="OLE_LINK65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Manifestations </w:t>
            </w:r>
            <w:bookmarkEnd w:id="5"/>
          </w:p>
        </w:tc>
        <w:tc>
          <w:tcPr>
            <w:tcW w:w="22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CCL8 (pg/mL)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22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CXCL10 (pg/mL)</w:t>
            </w: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bookmarkStart w:id="6" w:name="OLE_LINK3"/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p</w:t>
            </w:r>
            <w:bookmarkEnd w:id="6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Fever</w:t>
            </w: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(+),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27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20.82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 1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8.88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0.2158</w:t>
            </w:r>
          </w:p>
        </w:tc>
        <w:tc>
          <w:tcPr>
            <w:tcW w:w="228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3153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±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4467</w:t>
            </w: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(-),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bookmarkStart w:id="7" w:name="OLE_LINK51"/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13.53 </w:t>
            </w:r>
            <w:bookmarkEnd w:id="7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±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12.19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820.5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±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536.9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Skin rash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(+),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20.91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±1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7.97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0.0065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2826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±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4245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3022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(-),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4.192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4.579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1039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±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937.3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Sore throat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(+),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19.36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±1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8.70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0.9901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2764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4419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7369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(-),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18.92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15.66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2329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2996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Arthralgia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(+),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19.48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±1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7.59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0.5849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2707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4282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9211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(-),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17.89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20.08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2311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2713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Hepatomegaly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(+),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40.45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38.90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0.3438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5484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3820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1329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(-),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18.12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15.97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2498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4058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Splenomegaly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(+),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19.22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±1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8.31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0.9355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3303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4676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0260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(-),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19.28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17.30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1431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2214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Lymphadenopathy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(+),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19.58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17.98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0.6071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2841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4197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0484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(-),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15.48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17.26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518.4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408.7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Pneumonia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(+),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24.04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22.75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0.3080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2840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3119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2045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(-),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16.26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13.41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2528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4599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Pleuritis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(+),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24.58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25.07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0.5403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3520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3299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0075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(-),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16.76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12.86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2243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4358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Pericarditis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(+),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27.45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27.55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0.4850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3249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3250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2424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(-),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16.74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13.02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2464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4302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Myalgia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(+),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20.45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15.21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0.3671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2291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2744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6940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(-), 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=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27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18.76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18.89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2789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4507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yMzYyMjE4OGEyYmU0NGU4OWM3NGNlZDgzMmNmZWUifQ=="/>
  </w:docVars>
  <w:rsids>
    <w:rsidRoot w:val="000B6EC4"/>
    <w:rsid w:val="00060E5E"/>
    <w:rsid w:val="000926AA"/>
    <w:rsid w:val="000B6EC4"/>
    <w:rsid w:val="000D1326"/>
    <w:rsid w:val="0017675D"/>
    <w:rsid w:val="0019214D"/>
    <w:rsid w:val="001A49E3"/>
    <w:rsid w:val="00205983"/>
    <w:rsid w:val="002E753C"/>
    <w:rsid w:val="00355013"/>
    <w:rsid w:val="00365FA2"/>
    <w:rsid w:val="0042729E"/>
    <w:rsid w:val="00477472"/>
    <w:rsid w:val="004F53BE"/>
    <w:rsid w:val="004F6FB4"/>
    <w:rsid w:val="005142D6"/>
    <w:rsid w:val="00552DB6"/>
    <w:rsid w:val="005A0FE7"/>
    <w:rsid w:val="00633A5B"/>
    <w:rsid w:val="006B57EE"/>
    <w:rsid w:val="006E2B78"/>
    <w:rsid w:val="00715897"/>
    <w:rsid w:val="007B23AF"/>
    <w:rsid w:val="007D3818"/>
    <w:rsid w:val="00857121"/>
    <w:rsid w:val="008D5DD6"/>
    <w:rsid w:val="009231A0"/>
    <w:rsid w:val="009B197B"/>
    <w:rsid w:val="009C5CD3"/>
    <w:rsid w:val="009F2D33"/>
    <w:rsid w:val="00A3270C"/>
    <w:rsid w:val="00A40F8D"/>
    <w:rsid w:val="00A5339E"/>
    <w:rsid w:val="00A54DDA"/>
    <w:rsid w:val="00A83C9F"/>
    <w:rsid w:val="00A83ED7"/>
    <w:rsid w:val="00AB3444"/>
    <w:rsid w:val="00AB3B99"/>
    <w:rsid w:val="00AB79EC"/>
    <w:rsid w:val="00AD12EA"/>
    <w:rsid w:val="00AD2CB4"/>
    <w:rsid w:val="00B14DD2"/>
    <w:rsid w:val="00B816B7"/>
    <w:rsid w:val="00B945D5"/>
    <w:rsid w:val="00BD4EEB"/>
    <w:rsid w:val="00C40A29"/>
    <w:rsid w:val="00CB751D"/>
    <w:rsid w:val="00D304CC"/>
    <w:rsid w:val="00D74FCB"/>
    <w:rsid w:val="00DC42DA"/>
    <w:rsid w:val="00F07DBE"/>
    <w:rsid w:val="00F90A3D"/>
    <w:rsid w:val="00FD5B6A"/>
    <w:rsid w:val="17E958DC"/>
    <w:rsid w:val="1D596599"/>
    <w:rsid w:val="20F52909"/>
    <w:rsid w:val="27C25A3A"/>
    <w:rsid w:val="29417B29"/>
    <w:rsid w:val="2FFD6DCF"/>
    <w:rsid w:val="32474CD0"/>
    <w:rsid w:val="33CD5020"/>
    <w:rsid w:val="3B071DF6"/>
    <w:rsid w:val="3B2C7494"/>
    <w:rsid w:val="3D74475E"/>
    <w:rsid w:val="44577D2A"/>
    <w:rsid w:val="456E7F64"/>
    <w:rsid w:val="548C69D8"/>
    <w:rsid w:val="5AEC2319"/>
    <w:rsid w:val="6BD7225F"/>
    <w:rsid w:val="6F307C01"/>
    <w:rsid w:val="79656669"/>
    <w:rsid w:val="7F21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9"/>
    <w:qFormat/>
    <w:uiPriority w:val="11"/>
    <w:pPr>
      <w:spacing w:before="240" w:after="60" w:line="312" w:lineRule="auto"/>
      <w:jc w:val="left"/>
      <w:outlineLvl w:val="1"/>
    </w:pPr>
    <w:rPr>
      <w:b/>
      <w:bCs/>
      <w:kern w:val="28"/>
      <w:sz w:val="24"/>
      <w:szCs w:val="32"/>
    </w:rPr>
  </w:style>
  <w:style w:type="paragraph" w:styleId="5">
    <w:name w:val="HTML Preformatted"/>
    <w:basedOn w:val="1"/>
    <w:link w:val="12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kern w:val="0"/>
      <w:sz w:val="20"/>
      <w:szCs w:val="20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副标题 字符"/>
    <w:basedOn w:val="8"/>
    <w:link w:val="4"/>
    <w:qFormat/>
    <w:uiPriority w:val="11"/>
    <w:rPr>
      <w:b/>
      <w:bCs/>
      <w:kern w:val="28"/>
      <w:sz w:val="24"/>
      <w:szCs w:val="32"/>
    </w:rPr>
  </w:style>
  <w:style w:type="character" w:customStyle="1" w:styleId="10">
    <w:name w:val="页眉 字符"/>
    <w:basedOn w:val="8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2"/>
    <w:qFormat/>
    <w:uiPriority w:val="99"/>
    <w:rPr>
      <w:sz w:val="18"/>
      <w:szCs w:val="18"/>
    </w:rPr>
  </w:style>
  <w:style w:type="character" w:customStyle="1" w:styleId="12">
    <w:name w:val="HTML 预设格式 字符"/>
    <w:basedOn w:val="8"/>
    <w:link w:val="5"/>
    <w:qFormat/>
    <w:uiPriority w:val="99"/>
    <w:rPr>
      <w:rFonts w:ascii="Courier New" w:hAnsi="Courier New" w:cs="Courier New"/>
      <w:kern w:val="0"/>
      <w:sz w:val="20"/>
      <w:szCs w:val="20"/>
    </w:rPr>
  </w:style>
  <w:style w:type="paragraph" w:customStyle="1" w:styleId="13">
    <w:name w:val="Paragraph"/>
    <w:basedOn w:val="1"/>
    <w:qFormat/>
    <w:uiPriority w:val="0"/>
    <w:pPr>
      <w:widowControl/>
      <w:spacing w:before="120"/>
      <w:ind w:firstLine="720"/>
      <w:jc w:val="left"/>
    </w:pPr>
    <w:rPr>
      <w:rFonts w:ascii="Times New Roman" w:hAnsi="Times New Roman" w:eastAsia="Times New Roman" w:cs="Times New Roman"/>
      <w:kern w:val="0"/>
      <w:sz w:val="24"/>
      <w:szCs w:val="24"/>
      <w:lang w:eastAsia="en-US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1182</Words>
  <Characters>6739</Characters>
  <Lines>56</Lines>
  <Paragraphs>15</Paragraphs>
  <TotalTime>86</TotalTime>
  <ScaleCrop>false</ScaleCrop>
  <LinksUpToDate>false</LinksUpToDate>
  <CharactersWithSpaces>7906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2019-12-16T13:10:00Z</dcterms:created>
  <dc:creator>jinchao jia</dc:creator>
  <cp:lastModifiedBy>边界1995</cp:lastModifiedBy>
  <dcterms:modified xsi:type="dcterms:W3CDTF">2023-12-13T02:09:23Z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BD7032FD60534B7E8E1D813A78B2E6EA</vt:lpwstr>
  </property>
</Properties>
</file>