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65F" w:rsidRPr="00522BAC" w:rsidRDefault="00A3665F" w:rsidP="00A3665F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24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</w:rPr>
        <w:t>8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. Hazard ratios for second primary tumors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status, based on multiple-imputed data, using cause-specific competing risk models with distant recurrence and death as competing events</w:t>
      </w:r>
    </w:p>
    <w:tbl>
      <w:tblPr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01"/>
        <w:gridCol w:w="1757"/>
      </w:tblGrid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All patients </w:t>
            </w:r>
          </w:p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478)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diagnosed from 1989-1997 </w:t>
            </w:r>
          </w:p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421)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ER and PR &lt; 1% </w:t>
            </w:r>
          </w:p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454)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tumors </w:t>
            </w:r>
          </w:p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401)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Univariable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left="177" w:hanging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5.39 (3.08-9.43)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 (2.75-8.52)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 (2.76-8.64)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 (2.29-8.09)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 (0.07-3.57)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 (0.07-3.59)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 (0.06-3.36)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(0.05-3.27)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(0.18-0.95)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 (0.16-0.87)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(0.17-0.92)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 (0.15-0.87)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Multivariable   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status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5.33 (3.02-9.40)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4.91 (2.75-8.77)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4.73 (2.65-8.47)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 (2.25-8.29)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(0.06-3.37)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 (0.06-3.35)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(0.06-3.24)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 (0.05-3.02)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(0.18-0.93)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 (0.15-0.84)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 (0.16-0.89)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 (0.14-0.85)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 (per 10% increment)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(0.96-1.10)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(0.96-1.12)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(0.97-1.12)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(0.94-1.10)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Tumor size   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 mm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20mm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(0.67-1.81)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(0.65-1.91)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(0.62-1.76)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(0.62-1.96)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grade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 (0.71-3.47)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 (0.69-3.39)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 (0.63-3.14)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 (0.69-5.47)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subtypes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of no special type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 (0.25-2.06)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(0.20-2.28)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(0.31-2.64)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(0.25-2.96)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histological types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 (0.36-4.30)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 (0.35-4.35)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 (0.34-4.18)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(0.15-5.40)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 (0.24-1.64)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(0.25-1.71)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 (0.24-1.65)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 (0.23-2.20)</w:t>
            </w:r>
          </w:p>
        </w:tc>
      </w:tr>
      <w:tr w:rsidR="00A3665F" w:rsidRPr="00522BAC" w:rsidTr="00082938">
        <w:trPr>
          <w:trHeight w:val="20"/>
        </w:trPr>
        <w:tc>
          <w:tcPr>
            <w:tcW w:w="9270" w:type="dxa"/>
            <w:gridSpan w:val="5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Locoregional</w:t>
            </w:r>
            <w:proofErr w:type="spellEnd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treatment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Lumpectomy and radiotherapy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57" w:type="dxa"/>
            <w:shd w:val="clear" w:color="auto" w:fill="auto"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Mastectomy alone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(0.58-1.67)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 (0.53-1.64)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(0.64-1.93)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(0.55-1.88)</w:t>
            </w:r>
          </w:p>
        </w:tc>
      </w:tr>
      <w:tr w:rsidR="00A3665F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treatment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(0.24-1.98)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 (0.16-1.86)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(0.28-2.41)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A3665F" w:rsidRPr="00522BAC" w:rsidRDefault="00A3665F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(0.19-2.29)</w:t>
            </w:r>
          </w:p>
        </w:tc>
      </w:tr>
    </w:tbl>
    <w:p w:rsidR="00A3665F" w:rsidRPr="00A3665F" w:rsidRDefault="00A3665F" w:rsidP="00A3665F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A366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Abbreviations: </w:t>
      </w:r>
      <w:r w:rsidRPr="00A3665F">
        <w:rPr>
          <w:rFonts w:ascii="Times New Roman" w:hAnsi="Times New Roman" w:cs="Times New Roman"/>
          <w:sz w:val="20"/>
          <w:szCs w:val="20"/>
        </w:rPr>
        <w:t xml:space="preserve">HR, hazard ratio; CI, confidence interval;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-non-alteration, tumor without germline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mutation, somatic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mutation or tumor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promoter methylation; g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m, germline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mutation; s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m, somatic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mutation; tumor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-PM, tumor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 promoter methylation; sTILs, stromal tumor infiltrating lymphocytes; ER, estrogen receptor; PR, progesterone receptor.</w:t>
      </w:r>
    </w:p>
    <w:p w:rsidR="00A3665F" w:rsidRPr="00A3665F" w:rsidRDefault="00A3665F" w:rsidP="00A366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3665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3665F">
        <w:rPr>
          <w:rFonts w:ascii="Times New Roman" w:hAnsi="Times New Roman" w:cs="Times New Roman"/>
          <w:sz w:val="20"/>
          <w:szCs w:val="20"/>
        </w:rPr>
        <w:t xml:space="preserve"> Other histological subtypes include adenoid cystic carcinoma, apocrine carcinoma, ductal-lobular carcinoma, invasive cribriform carcinoma, invasive papillary carcinoma, invasive lobular carcinoma, invasive </w:t>
      </w:r>
      <w:proofErr w:type="spellStart"/>
      <w:r w:rsidRPr="00A3665F">
        <w:rPr>
          <w:rFonts w:ascii="Times New Roman" w:hAnsi="Times New Roman" w:cs="Times New Roman"/>
          <w:sz w:val="20"/>
          <w:szCs w:val="20"/>
        </w:rPr>
        <w:t>micropapillary</w:t>
      </w:r>
      <w:proofErr w:type="spellEnd"/>
      <w:r w:rsidRPr="00A3665F">
        <w:rPr>
          <w:rFonts w:ascii="Times New Roman" w:hAnsi="Times New Roman" w:cs="Times New Roman"/>
          <w:sz w:val="20"/>
          <w:szCs w:val="20"/>
        </w:rPr>
        <w:t xml:space="preserve"> carcinoma.  </w:t>
      </w:r>
    </w:p>
    <w:p w:rsidR="00A3665F" w:rsidRPr="00A3665F" w:rsidRDefault="00A3665F" w:rsidP="00A366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665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3665F">
        <w:rPr>
          <w:rFonts w:ascii="Times New Roman" w:hAnsi="Times New Roman" w:cs="Times New Roman"/>
          <w:sz w:val="20"/>
          <w:szCs w:val="20"/>
        </w:rPr>
        <w:t xml:space="preserve"> Other treatment include lumpectomy alone, mastectomy and radiotherapy, and unspecified surgery with and without radiotherapy.  </w:t>
      </w:r>
    </w:p>
    <w:p w:rsidR="00A3665F" w:rsidRPr="00A3665F" w:rsidRDefault="00A3665F" w:rsidP="00A366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665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A3665F">
        <w:rPr>
          <w:rFonts w:ascii="Times New Roman" w:hAnsi="Times New Roman" w:cs="Times New Roman"/>
          <w:sz w:val="20"/>
          <w:szCs w:val="20"/>
        </w:rPr>
        <w:t xml:space="preserve"> The number of patients was the median number across the imputed datasets because the numbers of different imputed datasets could be different as germline </w:t>
      </w:r>
      <w:r w:rsidRPr="00A3665F">
        <w:rPr>
          <w:rFonts w:ascii="Times New Roman" w:hAnsi="Times New Roman" w:cs="Times New Roman"/>
          <w:i/>
          <w:sz w:val="20"/>
          <w:szCs w:val="20"/>
        </w:rPr>
        <w:t>BRCA2-</w:t>
      </w:r>
      <w:r w:rsidRPr="00A3665F">
        <w:rPr>
          <w:rFonts w:ascii="Times New Roman" w:hAnsi="Times New Roman" w:cs="Times New Roman"/>
          <w:sz w:val="20"/>
          <w:szCs w:val="20"/>
        </w:rPr>
        <w:t xml:space="preserve">mutated patients were removed from analysis (imputed variable), and/or patients with </w:t>
      </w:r>
      <w:r w:rsidRPr="00A3665F">
        <w:rPr>
          <w:rFonts w:ascii="Times New Roman" w:hAnsi="Times New Roman" w:cs="Times New Roman"/>
          <w:i/>
          <w:sz w:val="20"/>
          <w:szCs w:val="20"/>
        </w:rPr>
        <w:t>BRCA1</w:t>
      </w:r>
      <w:r w:rsidRPr="00A3665F">
        <w:rPr>
          <w:rFonts w:ascii="Times New Roman" w:hAnsi="Times New Roman" w:cs="Times New Roman"/>
          <w:sz w:val="20"/>
          <w:szCs w:val="20"/>
        </w:rPr>
        <w:t xml:space="preserve">-like tumors (imputed variable) were selected for sensitivity analysis. </w:t>
      </w:r>
    </w:p>
    <w:bookmarkEnd w:id="0"/>
    <w:p w:rsidR="00EF36B8" w:rsidRDefault="00EF36B8"/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9F"/>
    <w:rsid w:val="00A3665F"/>
    <w:rsid w:val="00EC559F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16F42-DD85-4D75-A0E8-5326BB1F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65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6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366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>NKI-AVL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2023-07-21T09:54:00Z</dcterms:created>
  <dcterms:modified xsi:type="dcterms:W3CDTF">2023-07-21T09:54:00Z</dcterms:modified>
</cp:coreProperties>
</file>