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DE1" w:rsidRPr="00522BAC" w:rsidRDefault="00787DE1" w:rsidP="00787DE1">
      <w:pPr>
        <w:pStyle w:val="Heading2"/>
        <w:spacing w:before="0" w:after="120"/>
        <w:rPr>
          <w:rFonts w:ascii="Times New Roman" w:hAnsi="Times New Roman" w:cs="Times New Roman"/>
          <w:b/>
          <w:color w:val="auto"/>
          <w:sz w:val="18"/>
        </w:rPr>
      </w:pPr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</w:t>
      </w:r>
      <w:r>
        <w:rPr>
          <w:rFonts w:ascii="Times New Roman" w:hAnsi="Times New Roman" w:cs="Times New Roman"/>
          <w:b/>
          <w:color w:val="auto"/>
          <w:sz w:val="24"/>
        </w:rPr>
        <w:t>9</w:t>
      </w:r>
      <w:r w:rsidRPr="00522BAC">
        <w:rPr>
          <w:rFonts w:ascii="Times New Roman" w:hAnsi="Times New Roman" w:cs="Times New Roman"/>
          <w:b/>
          <w:color w:val="auto"/>
          <w:sz w:val="24"/>
        </w:rPr>
        <w:t>. Univariable (</w:t>
      </w:r>
      <w:proofErr w:type="spellStart"/>
      <w:r w:rsidRPr="00522BAC">
        <w:rPr>
          <w:rFonts w:ascii="Times New Roman" w:hAnsi="Times New Roman" w:cs="Times New Roman"/>
          <w:b/>
          <w:color w:val="auto"/>
          <w:sz w:val="24"/>
        </w:rPr>
        <w:t>subdistribution</w:t>
      </w:r>
      <w:proofErr w:type="spellEnd"/>
      <w:r w:rsidRPr="00522BAC">
        <w:rPr>
          <w:rFonts w:ascii="Times New Roman" w:hAnsi="Times New Roman" w:cs="Times New Roman"/>
          <w:b/>
          <w:color w:val="auto"/>
          <w:sz w:val="24"/>
        </w:rPr>
        <w:t xml:space="preserve">) hazard ratios according to </w:t>
      </w:r>
      <w:r w:rsidRPr="00522BAC">
        <w:rPr>
          <w:rFonts w:ascii="Times New Roman" w:hAnsi="Times New Roman" w:cs="Times New Roman"/>
          <w:b/>
          <w:i/>
          <w:color w:val="auto"/>
          <w:sz w:val="24"/>
        </w:rPr>
        <w:t>BRCA1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-like status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1843"/>
        <w:gridCol w:w="1701"/>
      </w:tblGrid>
      <w:tr w:rsidR="00787DE1" w:rsidRPr="00522BAC" w:rsidTr="00082938">
        <w:trPr>
          <w:trHeight w:val="115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Overall survival </w:t>
            </w:r>
          </w:p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Distant recurrence-free survival </w:t>
            </w:r>
          </w:p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Second primary tumors (Fine and Gray model)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a </w:t>
            </w:r>
          </w:p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Second primary tumors (cause-specific model) 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</w:tr>
      <w:tr w:rsidR="00787DE1" w:rsidRPr="00522BAC" w:rsidTr="00082938">
        <w:trPr>
          <w:trHeight w:val="20"/>
        </w:trPr>
        <w:tc>
          <w:tcPr>
            <w:tcW w:w="9351" w:type="dxa"/>
            <w:gridSpan w:val="5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Based on multiple-imputed data </w:t>
            </w:r>
          </w:p>
        </w:tc>
      </w:tr>
      <w:tr w:rsidR="00787DE1" w:rsidRPr="00522BAC" w:rsidTr="00082938">
        <w:trPr>
          <w:trHeight w:val="20"/>
        </w:trPr>
        <w:tc>
          <w:tcPr>
            <w:tcW w:w="9351" w:type="dxa"/>
            <w:gridSpan w:val="5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status</w:t>
            </w:r>
          </w:p>
        </w:tc>
      </w:tr>
      <w:tr w:rsidR="00787DE1" w:rsidRPr="00522BAC" w:rsidTr="00082938">
        <w:trPr>
          <w:trHeight w:val="2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787DE1" w:rsidRPr="00522BAC" w:rsidTr="00082938">
        <w:trPr>
          <w:trHeight w:val="2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0.88 (0.52-1.47)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1.02 (0.56-1.86)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0.78 (0.41-1.48)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0.72 (0.38-1.39)</w:t>
            </w:r>
          </w:p>
        </w:tc>
      </w:tr>
      <w:tr w:rsidR="00787DE1" w:rsidRPr="00522BAC" w:rsidTr="00082938">
        <w:trPr>
          <w:trHeight w:val="20"/>
        </w:trPr>
        <w:tc>
          <w:tcPr>
            <w:tcW w:w="9351" w:type="dxa"/>
            <w:gridSpan w:val="5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Based on cases with complete information </w:t>
            </w:r>
          </w:p>
        </w:tc>
      </w:tr>
      <w:tr w:rsidR="00787DE1" w:rsidRPr="00522BAC" w:rsidTr="00082938">
        <w:trPr>
          <w:trHeight w:val="20"/>
        </w:trPr>
        <w:tc>
          <w:tcPr>
            <w:tcW w:w="9351" w:type="dxa"/>
            <w:gridSpan w:val="5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status</w:t>
            </w:r>
          </w:p>
        </w:tc>
      </w:tr>
      <w:tr w:rsidR="00787DE1" w:rsidRPr="00522BAC" w:rsidTr="00082938">
        <w:trPr>
          <w:trHeight w:val="2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787DE1" w:rsidRPr="00522BAC" w:rsidTr="00082938">
        <w:trPr>
          <w:trHeight w:val="2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787DE1" w:rsidRPr="00522BAC" w:rsidRDefault="00787DE1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0.92 (0.53-1.59)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1.03 (0.56-1.89)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0.74 (0.40-1.39)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87DE1" w:rsidRPr="00522BAC" w:rsidRDefault="00787DE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0.73 (0.38-1.40)</w:t>
            </w:r>
          </w:p>
        </w:tc>
      </w:tr>
    </w:tbl>
    <w:p w:rsidR="00787DE1" w:rsidRPr="00787DE1" w:rsidRDefault="00787DE1" w:rsidP="00787DE1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787D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Abbreviations: </w:t>
      </w:r>
      <w:r w:rsidRPr="00787DE1">
        <w:rPr>
          <w:rFonts w:ascii="Times New Roman" w:hAnsi="Times New Roman" w:cs="Times New Roman"/>
          <w:sz w:val="20"/>
          <w:szCs w:val="20"/>
        </w:rPr>
        <w:t xml:space="preserve">HR, hazard ratio; sHR, </w:t>
      </w:r>
      <w:proofErr w:type="spellStart"/>
      <w:r w:rsidRPr="00787DE1">
        <w:rPr>
          <w:rFonts w:ascii="Times New Roman" w:hAnsi="Times New Roman" w:cs="Times New Roman"/>
          <w:sz w:val="20"/>
          <w:szCs w:val="20"/>
        </w:rPr>
        <w:t>subdistribution</w:t>
      </w:r>
      <w:proofErr w:type="spellEnd"/>
      <w:r w:rsidRPr="00787DE1">
        <w:rPr>
          <w:rFonts w:ascii="Times New Roman" w:hAnsi="Times New Roman" w:cs="Times New Roman"/>
          <w:sz w:val="20"/>
          <w:szCs w:val="20"/>
        </w:rPr>
        <w:t xml:space="preserve"> hazard ratio; CI, confidence interval.</w:t>
      </w:r>
    </w:p>
    <w:p w:rsidR="00787DE1" w:rsidRPr="00787DE1" w:rsidRDefault="00787DE1" w:rsidP="00787D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7DE1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787DE1">
        <w:rPr>
          <w:rFonts w:ascii="Times New Roman" w:hAnsi="Times New Roman" w:cs="Times New Roman"/>
          <w:sz w:val="20"/>
          <w:szCs w:val="20"/>
        </w:rPr>
        <w:t xml:space="preserve"> Fine and Gray competing risk models were used to calculate </w:t>
      </w:r>
      <w:proofErr w:type="spellStart"/>
      <w:r w:rsidRPr="00787DE1">
        <w:rPr>
          <w:rFonts w:ascii="Times New Roman" w:hAnsi="Times New Roman" w:cs="Times New Roman"/>
          <w:sz w:val="20"/>
          <w:szCs w:val="20"/>
        </w:rPr>
        <w:t>subdistribution</w:t>
      </w:r>
      <w:proofErr w:type="spellEnd"/>
      <w:r w:rsidRPr="00787DE1">
        <w:rPr>
          <w:rFonts w:ascii="Times New Roman" w:hAnsi="Times New Roman" w:cs="Times New Roman"/>
          <w:sz w:val="20"/>
          <w:szCs w:val="20"/>
        </w:rPr>
        <w:t xml:space="preserve"> hazard ratios. Second primary tumors were events of interest; death and distant recurrence were competing events.</w:t>
      </w:r>
    </w:p>
    <w:p w:rsidR="00787DE1" w:rsidRPr="00787DE1" w:rsidRDefault="00787DE1" w:rsidP="00787D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87DE1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787DE1">
        <w:rPr>
          <w:rFonts w:ascii="Times New Roman" w:hAnsi="Times New Roman" w:cs="Times New Roman"/>
          <w:sz w:val="20"/>
          <w:szCs w:val="20"/>
        </w:rPr>
        <w:t xml:space="preserve"> Cause-specific competing risk models were used to calculate hazard ratios. Second primary tumors were events of interest; death and distant recurrence were competing events (censored).</w:t>
      </w:r>
    </w:p>
    <w:bookmarkEnd w:id="0"/>
    <w:p w:rsidR="00EF36B8" w:rsidRDefault="00EF36B8"/>
    <w:sectPr w:rsidR="00EF3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24A"/>
    <w:rsid w:val="00787DE1"/>
    <w:rsid w:val="00AE524A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C58D3-F4A9-4E19-A8FC-B8521EF7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DE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7D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87D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>NKI-AVL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2</cp:revision>
  <dcterms:created xsi:type="dcterms:W3CDTF">2023-07-21T09:55:00Z</dcterms:created>
  <dcterms:modified xsi:type="dcterms:W3CDTF">2023-07-21T09:55:00Z</dcterms:modified>
</cp:coreProperties>
</file>