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E2" w:rsidRPr="00522BAC" w:rsidRDefault="00BD74E2" w:rsidP="00BD74E2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10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(subdistribution) Hazard ratios according to </w:t>
      </w:r>
      <w:r w:rsidRPr="00522BAC">
        <w:rPr>
          <w:rFonts w:ascii="Times New Roman" w:hAnsi="Times New Roman" w:cs="Times New Roman"/>
          <w:b/>
          <w:i/>
          <w:color w:val="auto"/>
          <w:sz w:val="24"/>
          <w:szCs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status, based on cases with complete information</w:t>
      </w:r>
    </w:p>
    <w:tbl>
      <w:tblPr>
        <w:tblW w:w="12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842"/>
        <w:gridCol w:w="1843"/>
        <w:gridCol w:w="1677"/>
        <w:gridCol w:w="1871"/>
        <w:gridCol w:w="1871"/>
      </w:tblGrid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Overall survival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Overall survival, with additional adjustment for second primary tumors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677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Distant recurrence-free survival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Second primary tumors (Fine and Gray model)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f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sHR (95% CI)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Second primary tumors (cause-specific model)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g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Univariable 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BRCA1-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non-alteration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0-3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(0.35-1.36)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77" w:type="dxa"/>
            <w:vMerge w:val="restart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 (0.74-2.03)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 (2.52-7.28)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 (2.87-8.75)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4-15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 (1.18-3.53)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77" w:type="dxa"/>
            <w:vMerge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 (0.51-2.57)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 (0.73-3.45)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 (0.05-2.38)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(0.05-2.91)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 (0.45-1.17)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 (0.48-1.28)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 (0.20-0.98)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(0.19-0.95)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Multivariable  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status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BRCA1-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non-alteration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0-3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 (0.37-1.47)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 (0.30-1.21)</w:t>
            </w:r>
          </w:p>
        </w:tc>
        <w:tc>
          <w:tcPr>
            <w:tcW w:w="1677" w:type="dxa"/>
            <w:vMerge w:val="restart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 (0.75-2.18)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 (2.44-7.39)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 (2.77-8.54)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4-15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 (1.25-3.86)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 (0.83-2.82)</w:t>
            </w:r>
          </w:p>
        </w:tc>
        <w:tc>
          <w:tcPr>
            <w:tcW w:w="1677" w:type="dxa"/>
            <w:vMerge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 (0.43-2.21)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 (0.49-2.28)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 (0.63-3.10)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 (0.04-2.18)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 (0.04-2.49)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 (0.84-2.70)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 (0.88-2.84)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(0.59-1.63)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(0.17-0.89)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 (0.18-0.89)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sTILs (per 10% increment)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 (0.77-0.90)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 (0.76-0.88)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 (0.65-0.78)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 (1.03-1.17)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(0.96-1.11)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Interaction term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sTILs (per 10% increment) by tumor </w:t>
            </w:r>
            <w:r w:rsidRPr="00522BA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 (0.63-0.94)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 (0.64-0.97)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Tumor size   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20 mm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20mm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 (1.18-2.60)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 (1.16-2.63)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 (1.07-2.49)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 (0.76-1.85)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 (0.76-2.08)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grade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1 or grade 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 (0.63-1.99)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 (0.60-1.84)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 (0.53-1.67)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 (0.71-5.54)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 (0.71-5.61)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Histological subtypes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Carcinoma of no special type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Metaplastic carcinoma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 (0.08-0.84)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 (0.07-0.99)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 (0.05-0.83)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 (0.25-2.13)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 (0.16-1.73)</w:t>
            </w:r>
          </w:p>
        </w:tc>
      </w:tr>
      <w:tr w:rsidR="00BD74E2" w:rsidRPr="00522BAC" w:rsidTr="00082938">
        <w:trPr>
          <w:trHeight w:val="20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histological types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 (0.19-2.14)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 (0.24-1.82)</w:t>
            </w:r>
          </w:p>
        </w:tc>
        <w:tc>
          <w:tcPr>
            <w:tcW w:w="1677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 (0.09-1.59)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 (0.20-6.19)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 (0.21-3.87)</w:t>
            </w:r>
          </w:p>
        </w:tc>
      </w:tr>
    </w:tbl>
    <w:p w:rsidR="00BD74E2" w:rsidRPr="00522BAC" w:rsidRDefault="00BD74E2" w:rsidP="00BD74E2">
      <w:pPr>
        <w:jc w:val="right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522BAC">
        <w:rPr>
          <w:rFonts w:ascii="Times New Roman" w:eastAsia="Times New Roman" w:hAnsi="Times New Roman" w:cs="Times New Roman"/>
          <w:color w:val="000000"/>
          <w:sz w:val="20"/>
          <w:szCs w:val="20"/>
        </w:rPr>
        <w:t>(Continued)</w:t>
      </w:r>
    </w:p>
    <w:p w:rsidR="00BD74E2" w:rsidRPr="00522BAC" w:rsidRDefault="00BD74E2" w:rsidP="00BD74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2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871"/>
        <w:gridCol w:w="1871"/>
        <w:gridCol w:w="1871"/>
        <w:gridCol w:w="1871"/>
        <w:gridCol w:w="1871"/>
      </w:tblGrid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bottom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71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Overall survival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Overall survival, with additional adjustment for second primary tumors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Distant recurrence-free survival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Second primary tumors (Fine and Gray model)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f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sHR (95% CI)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Second primary tumors (cause-specific model)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g</w:t>
            </w:r>
          </w:p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Lymphovascular invasion</w:t>
            </w: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 (1.49-3.87)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 (1.62-4.47)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2.44 (1.49-3.99)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 (0.16-1.20)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 (0.20-1.57)</w:t>
            </w: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Locoregional treatment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Lumpectomy and radiotherapy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Mastectomy alone 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 (0.88-2.03)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 (0.92-2.14)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 (0.99-2.45)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 (0.59-1.49)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(0.60-1.75)</w:t>
            </w: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Other treatment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 (0.79-3.17)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 (0.81-4.05)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  <w:t>1.77 (0.86-3.65)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  <w:t>0.61 (0.24-1.51)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  <w:t>0.72 (0.25-2.02)</w:t>
            </w:r>
          </w:p>
        </w:tc>
      </w:tr>
      <w:tr w:rsidR="00BD74E2" w:rsidRPr="00522BAC" w:rsidTr="00082938">
        <w:trPr>
          <w:trHeight w:val="20"/>
        </w:trPr>
        <w:tc>
          <w:tcPr>
            <w:tcW w:w="12360" w:type="dxa"/>
            <w:gridSpan w:val="6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nl-NL"/>
              </w:rPr>
              <w:t>Second primary tumors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nl-NL"/>
              </w:rPr>
              <w:t xml:space="preserve"> e</w:t>
            </w: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No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NA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NA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NA</w:t>
            </w:r>
          </w:p>
        </w:tc>
      </w:tr>
      <w:tr w:rsidR="00BD74E2" w:rsidRPr="00522BAC" w:rsidTr="00082938">
        <w:trPr>
          <w:trHeight w:val="20"/>
        </w:trPr>
        <w:tc>
          <w:tcPr>
            <w:tcW w:w="3005" w:type="dxa"/>
            <w:shd w:val="clear" w:color="auto" w:fill="auto"/>
            <w:noWrap/>
            <w:vAlign w:val="center"/>
          </w:tcPr>
          <w:p w:rsidR="00BD74E2" w:rsidRPr="00522BAC" w:rsidRDefault="00BD74E2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Yes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3.71 (2.08-6.61)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NA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NA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BD74E2" w:rsidRPr="00522BAC" w:rsidRDefault="00BD74E2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/>
              </w:rPr>
              <w:t>NA</w:t>
            </w:r>
          </w:p>
        </w:tc>
      </w:tr>
    </w:tbl>
    <w:p w:rsidR="00BD74E2" w:rsidRPr="00BD74E2" w:rsidRDefault="00BD74E2" w:rsidP="00BD74E2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Abbreviations: </w:t>
      </w:r>
      <w:r w:rsidRPr="00BD74E2">
        <w:rPr>
          <w:rFonts w:ascii="Times New Roman" w:hAnsi="Times New Roman" w:cs="Times New Roman"/>
          <w:sz w:val="20"/>
          <w:szCs w:val="20"/>
        </w:rPr>
        <w:t xml:space="preserve">HR, hazard ratio; sHR, subdistribution hazard ratio; CI, confidence interval;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-non-alteration, without germline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 mutation, without somatic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 mutation and without tumor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 promoter methylation; g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m, germline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 mutation; s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m, somatic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 mutation; tumor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-PM, tumor </w:t>
      </w:r>
      <w:r w:rsidRPr="00BD74E2">
        <w:rPr>
          <w:rFonts w:ascii="Times New Roman" w:hAnsi="Times New Roman" w:cs="Times New Roman"/>
          <w:i/>
          <w:sz w:val="20"/>
          <w:szCs w:val="20"/>
        </w:rPr>
        <w:t>BRCA1</w:t>
      </w:r>
      <w:r w:rsidRPr="00BD74E2">
        <w:rPr>
          <w:rFonts w:ascii="Times New Roman" w:hAnsi="Times New Roman" w:cs="Times New Roman"/>
          <w:sz w:val="20"/>
          <w:szCs w:val="20"/>
        </w:rPr>
        <w:t xml:space="preserve"> promoter methylation; sTILs, stromal tumor infiltrating lymphocytes; ER, estrogen receptor; PR, progesterone receptor; NA, not applicable.</w:t>
      </w:r>
    </w:p>
    <w:p w:rsidR="00BD74E2" w:rsidRPr="00BD74E2" w:rsidRDefault="00BD74E2" w:rsidP="00BD74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</w:pPr>
      <w:r w:rsidRPr="00BD74E2">
        <w:rPr>
          <w:rFonts w:ascii="Times New Roman" w:hAnsi="Times New Roman" w:cs="Times New Roman"/>
          <w:sz w:val="20"/>
          <w:szCs w:val="20"/>
          <w:vertAlign w:val="superscript"/>
          <w:lang w:eastAsia="nl-NL"/>
        </w:rPr>
        <w:t>a</w:t>
      </w: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 </w:t>
      </w: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</w:rPr>
        <w:t>Hazard ratios for g</w:t>
      </w:r>
      <w:r w:rsidRPr="00BD74E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BRCA1</w:t>
      </w: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</w:rPr>
        <w:t>m was estimated for the first three years and from the fourth year onwards separately for overall survival because of non-proportional hazards.</w:t>
      </w: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 </w:t>
      </w:r>
    </w:p>
    <w:p w:rsidR="00BD74E2" w:rsidRPr="00BD74E2" w:rsidRDefault="00BD74E2" w:rsidP="00BD74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Interaction terms between germline </w:t>
      </w:r>
      <w:r w:rsidRPr="00BD74E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BRCA1</w:t>
      </w: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mutation or somatic </w:t>
      </w:r>
      <w:r w:rsidRPr="00BD74E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BRCA1</w:t>
      </w:r>
      <w:r w:rsidRPr="00BD74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mutation, and stromal tumor infiltrating lymphocytes were not significant, thus were not included in the final model for overall survival. None interaction terms were significant in the models for distant recurrence-free survival or cumulative incidence of second primary tumor.</w:t>
      </w:r>
    </w:p>
    <w:p w:rsidR="00BD74E2" w:rsidRPr="00BD74E2" w:rsidRDefault="00BD74E2" w:rsidP="00BD74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74E2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BD74E2">
        <w:rPr>
          <w:rFonts w:ascii="Times New Roman" w:hAnsi="Times New Roman" w:cs="Times New Roman"/>
          <w:sz w:val="20"/>
          <w:szCs w:val="20"/>
        </w:rPr>
        <w:t xml:space="preserve"> Other histological subtypes include adenoid cystic carcinoma, apocrine carcinoma, ductal-lobular carcinoma, invasive cribriform carcinoma, invasive papillary carcinoma, invasive lobular carcinoma, invasive micropapillary carcinoma.  </w:t>
      </w:r>
    </w:p>
    <w:p w:rsidR="00BD74E2" w:rsidRPr="00BD74E2" w:rsidRDefault="00BD74E2" w:rsidP="00BD74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4E2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BD74E2">
        <w:rPr>
          <w:rFonts w:ascii="Times New Roman" w:hAnsi="Times New Roman" w:cs="Times New Roman"/>
          <w:sz w:val="20"/>
          <w:szCs w:val="20"/>
        </w:rPr>
        <w:t xml:space="preserve"> Other treatment include lumpectomy alone, mastectomy and radiotherapy, and unspecified surgery with and without radiotherapy.  </w:t>
      </w:r>
    </w:p>
    <w:p w:rsidR="00BD74E2" w:rsidRPr="00BD74E2" w:rsidRDefault="00BD74E2" w:rsidP="00BD74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4E2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BD74E2">
        <w:rPr>
          <w:rFonts w:ascii="Times New Roman" w:hAnsi="Times New Roman" w:cs="Times New Roman"/>
          <w:sz w:val="20"/>
          <w:szCs w:val="20"/>
        </w:rPr>
        <w:t xml:space="preserve"> Second primary tumors (yes/ no) was a time-varying covariate, i.e. with the value of 0 until the time when a second primary tumor occurred and with the value of 1 after that time.</w:t>
      </w:r>
    </w:p>
    <w:p w:rsidR="00BD74E2" w:rsidRPr="00BD74E2" w:rsidRDefault="00BD74E2" w:rsidP="00BD74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4E2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BD74E2">
        <w:rPr>
          <w:rFonts w:ascii="Times New Roman" w:hAnsi="Times New Roman" w:cs="Times New Roman"/>
          <w:sz w:val="20"/>
          <w:szCs w:val="20"/>
        </w:rPr>
        <w:t xml:space="preserve"> Fine and Gray competing risk models were used to calculate subdistribution hazard ratios. Second primary tumors were events of interest; death and distant recurrence were competing events.</w:t>
      </w:r>
    </w:p>
    <w:p w:rsidR="00BD74E2" w:rsidRPr="00BD74E2" w:rsidRDefault="00BD74E2" w:rsidP="00BD74E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BD74E2">
        <w:rPr>
          <w:rFonts w:ascii="Times New Roman" w:hAnsi="Times New Roman" w:cs="Times New Roman"/>
          <w:sz w:val="20"/>
          <w:szCs w:val="20"/>
          <w:vertAlign w:val="superscript"/>
        </w:rPr>
        <w:t>g</w:t>
      </w:r>
      <w:r w:rsidRPr="00BD74E2">
        <w:rPr>
          <w:rFonts w:ascii="Times New Roman" w:hAnsi="Times New Roman" w:cs="Times New Roman"/>
          <w:sz w:val="20"/>
          <w:szCs w:val="20"/>
        </w:rPr>
        <w:t xml:space="preserve"> Cause-specific competing risk models were used to calculate hazard ratios. Second primary tumors were events of interest; death and distant recurrence were competing events (censored).</w:t>
      </w:r>
    </w:p>
    <w:bookmarkEnd w:id="0"/>
    <w:p w:rsidR="00EF36B8" w:rsidRDefault="00EF36B8"/>
    <w:sectPr w:rsidR="00EF36B8" w:rsidSect="00911AC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022"/>
    <w:rsid w:val="00824022"/>
    <w:rsid w:val="00BD74E2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2EF5C-4219-4C87-AA22-F5D332F0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4E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74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74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4343</Characters>
  <Application>Microsoft Office Word</Application>
  <DocSecurity>0</DocSecurity>
  <Lines>36</Lines>
  <Paragraphs>10</Paragraphs>
  <ScaleCrop>false</ScaleCrop>
  <Company>NKI-AVL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2</cp:revision>
  <dcterms:created xsi:type="dcterms:W3CDTF">2023-07-21T09:56:00Z</dcterms:created>
  <dcterms:modified xsi:type="dcterms:W3CDTF">2023-07-21T09:57:00Z</dcterms:modified>
</cp:coreProperties>
</file>