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010" w:rsidRPr="00522BAC" w:rsidRDefault="00097010" w:rsidP="00097010">
      <w:pPr>
        <w:pStyle w:val="Heading2"/>
        <w:spacing w:before="0" w:after="120"/>
        <w:rPr>
          <w:rFonts w:ascii="Times New Roman" w:hAnsi="Times New Roman" w:cs="Times New Roman"/>
          <w:b/>
          <w:color w:val="auto"/>
          <w:sz w:val="24"/>
        </w:rPr>
      </w:pPr>
      <w:bookmarkStart w:id="0" w:name="_Toc131065125"/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 S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3. 3-, 5-, 10-, and 15-year overall survival rate, distant recurrence-free survival rate, and cumulative incidence of second primary tumors according to </w:t>
      </w:r>
      <w:r w:rsidRPr="00522BAC">
        <w:rPr>
          <w:rFonts w:ascii="Times New Roman" w:hAnsi="Times New Roman" w:cs="Times New Roman"/>
          <w:b/>
          <w:i/>
          <w:color w:val="auto"/>
          <w:sz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status</w:t>
      </w:r>
      <w:bookmarkEnd w:id="0"/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730"/>
        <w:gridCol w:w="1608"/>
        <w:gridCol w:w="1317"/>
        <w:gridCol w:w="1609"/>
        <w:gridCol w:w="1022"/>
        <w:gridCol w:w="1611"/>
      </w:tblGrid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vAlign w:val="bottom"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No.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death</w:t>
            </w:r>
          </w:p>
        </w:tc>
        <w:tc>
          <w:tcPr>
            <w:tcW w:w="859" w:type="pct"/>
            <w:shd w:val="clear" w:color="auto" w:fill="auto"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Overall survival</w:t>
            </w:r>
          </w:p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704" w:type="pct"/>
            <w:shd w:val="clear" w:color="auto" w:fill="auto"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No.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distant recurrence or death</w:t>
            </w:r>
          </w:p>
        </w:tc>
        <w:tc>
          <w:tcPr>
            <w:tcW w:w="860" w:type="pct"/>
            <w:shd w:val="clear" w:color="auto" w:fill="auto"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Distant recurrence-free survival</w:t>
            </w:r>
          </w:p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546" w:type="pct"/>
            <w:shd w:val="clear" w:color="auto" w:fill="auto"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No.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second primary tumors</w:t>
            </w:r>
          </w:p>
        </w:tc>
        <w:tc>
          <w:tcPr>
            <w:tcW w:w="860" w:type="pct"/>
            <w:shd w:val="clear" w:color="auto" w:fill="auto"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74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cumulative incidence of second primary tumors </w:t>
            </w: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</w:p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</w:tr>
      <w:tr w:rsidR="00097010" w:rsidRPr="00522BAC" w:rsidTr="00082938">
        <w:trPr>
          <w:trHeight w:val="57"/>
        </w:trPr>
        <w:tc>
          <w:tcPr>
            <w:tcW w:w="5000" w:type="pct"/>
            <w:gridSpan w:val="7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-non-alteration (n = 124)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to 3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83.9 (77.6-90.6)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79.3 (72.4-86.9)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4.0 (0.5-7.4)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to 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77.4 (70.4-85.1)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77.6 (70.5-85.4)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5.6 (1.5-9.6)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to 10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74.2 (66.8-82.3)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75.8 (68.5-83.9)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8.9 (3.8-13.7)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to 15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70.1 (62.5-78.6)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73.0 (65.4-81.5)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13.8 (7.6-19.6)</w:t>
            </w:r>
          </w:p>
        </w:tc>
      </w:tr>
      <w:tr w:rsidR="00097010" w:rsidRPr="00522BAC" w:rsidTr="00082938">
        <w:trPr>
          <w:trHeight w:val="57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 (n = 105)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to 3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88.6 (82.7-94.9)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76.6 (68.3-86.0)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18.1 (10.4-25.1)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to 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71.4 (63.3-80.6)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68.1 (58.9-78.7)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25.7 (17.1-33.4)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to 10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66.7 (58.2-76.3)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68.1 (58.9-78.7)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41.0 (31.6-49.1)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to 15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61.8 (53.2-71.9)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68.1 (58.9-78.7)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45.8 (36.4-53.8)</w:t>
            </w:r>
          </w:p>
        </w:tc>
      </w:tr>
      <w:tr w:rsidR="00097010" w:rsidRPr="00522BAC" w:rsidTr="00082938">
        <w:trPr>
          <w:trHeight w:val="57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 (n = 21)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to 3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81.0 (65.8-99.6)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66.7 (49.3-90.2)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0.0 (0.0-0.0)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to 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71.4 (54.5-93.6)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61.9 (44.3-86.6)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0.0 (0.0-0.0)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to 10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66.7 (49.3-90.2)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61.9 (44.3-86.6)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4.8 (0.0-13.5)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to 15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66.7 (49.3-90.2)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61.9 (44.3-86.6)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4.8 (0.0-13.5)</w:t>
            </w:r>
          </w:p>
        </w:tc>
      </w:tr>
      <w:tr w:rsidR="00097010" w:rsidRPr="00522BAC" w:rsidTr="00082938">
        <w:trPr>
          <w:trHeight w:val="57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-PM (n = 144)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to 3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88.1 (83.0-93.6)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84.5 (78.7-90.7)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1.4 (0.0-3.3)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to 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81.8 (75.7-88.4)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81.6 (75.5-88.3)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2.1 (0.0-4.4)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to 10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79.0 (72.6-86.0)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79.4 (73.0-86.4)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4.2 (0.9-7.5)</w:t>
            </w:r>
          </w:p>
        </w:tc>
      </w:tr>
      <w:tr w:rsidR="00097010" w:rsidRPr="00522BAC" w:rsidTr="00082938">
        <w:trPr>
          <w:trHeight w:val="57"/>
        </w:trPr>
        <w:tc>
          <w:tcPr>
            <w:tcW w:w="780" w:type="pct"/>
            <w:shd w:val="clear" w:color="auto" w:fill="auto"/>
            <w:noWrap/>
            <w:hideMark/>
          </w:tcPr>
          <w:p w:rsidR="00097010" w:rsidRPr="00522BAC" w:rsidRDefault="0009701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to 15 years</w:t>
            </w:r>
          </w:p>
        </w:tc>
        <w:tc>
          <w:tcPr>
            <w:tcW w:w="39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9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77.6 (71.0-84.7)</w:t>
            </w:r>
          </w:p>
        </w:tc>
        <w:tc>
          <w:tcPr>
            <w:tcW w:w="704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77.9 (71.3-85.1)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0" w:type="pct"/>
            <w:shd w:val="clear" w:color="auto" w:fill="auto"/>
            <w:noWrap/>
            <w:vAlign w:val="center"/>
            <w:hideMark/>
          </w:tcPr>
          <w:p w:rsidR="00097010" w:rsidRPr="00522BAC" w:rsidRDefault="00097010" w:rsidP="00082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6.4 (2.3 -10.3)</w:t>
            </w:r>
          </w:p>
        </w:tc>
      </w:tr>
    </w:tbl>
    <w:p w:rsidR="00097010" w:rsidRPr="00097010" w:rsidRDefault="00097010" w:rsidP="00097010">
      <w:pPr>
        <w:spacing w:before="120" w:after="0" w:line="240" w:lineRule="auto"/>
        <w:rPr>
          <w:rFonts w:ascii="Times New Roman" w:hAnsi="Times New Roman" w:cs="Times New Roman"/>
          <w:sz w:val="28"/>
        </w:rPr>
      </w:pPr>
      <w:r w:rsidRPr="00097010">
        <w:rPr>
          <w:rFonts w:ascii="Times New Roman" w:eastAsia="Times New Roman" w:hAnsi="Times New Roman" w:cs="Times New Roman"/>
          <w:color w:val="000000"/>
          <w:sz w:val="20"/>
        </w:rPr>
        <w:t xml:space="preserve">Abbreviations: </w:t>
      </w:r>
      <w:r w:rsidRPr="00097010">
        <w:rPr>
          <w:rFonts w:ascii="Times New Roman" w:hAnsi="Times New Roman" w:cs="Times New Roman"/>
          <w:sz w:val="20"/>
        </w:rPr>
        <w:t xml:space="preserve">CI, confidence interval;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-non-alteration, without germline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 mutation, without somatic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 mutation, and without tumor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 promoter methylation; g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m, germline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 mutation; s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m, somatic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 mutation; tumor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-PM, tumor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 promoter methylation.</w:t>
      </w:r>
      <w:r w:rsidRPr="00097010">
        <w:rPr>
          <w:rFonts w:ascii="Times New Roman" w:hAnsi="Times New Roman" w:cs="Times New Roman"/>
          <w:sz w:val="28"/>
        </w:rPr>
        <w:t xml:space="preserve"> </w:t>
      </w:r>
    </w:p>
    <w:p w:rsidR="00097010" w:rsidRPr="00097010" w:rsidRDefault="00097010" w:rsidP="00097010">
      <w:pPr>
        <w:spacing w:after="0" w:line="240" w:lineRule="auto"/>
        <w:rPr>
          <w:rFonts w:ascii="Times New Roman" w:hAnsi="Times New Roman" w:cs="Times New Roman"/>
          <w:sz w:val="20"/>
        </w:rPr>
      </w:pPr>
      <w:r w:rsidRPr="00097010">
        <w:rPr>
          <w:rFonts w:ascii="Times New Roman" w:hAnsi="Times New Roman" w:cs="Times New Roman"/>
          <w:sz w:val="20"/>
        </w:rPr>
        <w:t xml:space="preserve">Note that the total number of tumor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 promoter methylated patients and </w:t>
      </w:r>
      <w:r w:rsidRPr="00097010">
        <w:rPr>
          <w:rFonts w:ascii="Times New Roman" w:hAnsi="Times New Roman" w:cs="Times New Roman"/>
          <w:i/>
          <w:sz w:val="20"/>
        </w:rPr>
        <w:t>BRCA1</w:t>
      </w:r>
      <w:r w:rsidRPr="00097010">
        <w:rPr>
          <w:rFonts w:ascii="Times New Roman" w:hAnsi="Times New Roman" w:cs="Times New Roman"/>
          <w:sz w:val="20"/>
        </w:rPr>
        <w:t xml:space="preserve">-non-altered patients were not 146 and 127, respectively, because five germline </w:t>
      </w:r>
      <w:r w:rsidRPr="00097010">
        <w:rPr>
          <w:rFonts w:ascii="Times New Roman" w:hAnsi="Times New Roman" w:cs="Times New Roman"/>
          <w:i/>
          <w:sz w:val="20"/>
        </w:rPr>
        <w:t>BRCA2</w:t>
      </w:r>
      <w:r w:rsidRPr="00097010">
        <w:rPr>
          <w:rFonts w:ascii="Times New Roman" w:hAnsi="Times New Roman" w:cs="Times New Roman"/>
          <w:sz w:val="20"/>
        </w:rPr>
        <w:t>-mutated patients were removed.</w:t>
      </w:r>
    </w:p>
    <w:p w:rsidR="00EF36B8" w:rsidRPr="00097010" w:rsidRDefault="00EF36B8">
      <w:pPr>
        <w:rPr>
          <w:rFonts w:ascii="Times New Roman" w:eastAsia="Times New Roman" w:hAnsi="Times New Roman" w:cs="Times New Roman"/>
          <w:color w:val="000000"/>
          <w:sz w:val="24"/>
        </w:rPr>
      </w:pPr>
      <w:bookmarkStart w:id="1" w:name="_GoBack"/>
      <w:bookmarkEnd w:id="1"/>
    </w:p>
    <w:sectPr w:rsidR="00EF36B8" w:rsidRPr="000970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5E2"/>
    <w:rsid w:val="00097010"/>
    <w:rsid w:val="00D965E2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2853"/>
  <w15:chartTrackingRefBased/>
  <w15:docId w15:val="{3F9516F3-2653-4BCB-B827-5F9D2144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01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70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70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Company>NKI-AVL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2</cp:revision>
  <dcterms:created xsi:type="dcterms:W3CDTF">2023-07-21T09:39:00Z</dcterms:created>
  <dcterms:modified xsi:type="dcterms:W3CDTF">2023-07-21T09:40:00Z</dcterms:modified>
</cp:coreProperties>
</file>