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spacing w:before="183" w:after="0" w:line="360" w:lineRule="auto"/>
        <w:jc w:val="both"/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</w:pP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Figure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1. 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fldChar w:fldCharType="begin"/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instrText xml:space="preserve"> HYPERLINK "https://www.ncbi.nlm.nih.gov/pmc/articles/PMC7532091/bin/12889_2020_9552_MOESM3_ESM.pdf" </w:instrTex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fldChar w:fldCharType="separate"/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Directed Acyclic Graphs (DAG) for covariate selection.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fldChar w:fldCharType="end"/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 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305425" cy="2858770"/>
            <wp:effectExtent l="0" t="0" r="0" b="8255"/>
            <wp:docPr id="7" name="图片 7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 S1"/>
                    <pic:cNvPicPr>
                      <a:picLocks noChangeAspect="1"/>
                    </pic:cNvPicPr>
                  </pic:nvPicPr>
                  <pic:blipFill>
                    <a:blip r:embed="rId4"/>
                    <a:srcRect b="1324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spacing w:before="183" w:after="0" w:line="36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cs="Times New Roman"/>
          <w:b w:val="0"/>
          <w:bCs/>
          <w:spacing w:val="-1"/>
          <w:sz w:val="24"/>
          <w:szCs w:val="24"/>
        </w:rPr>
        <w:t>DAG showing the relationships between the study variables.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highlight w:val="none"/>
          <w:lang w:val="en-US" w:eastAsia="zh-CN"/>
        </w:rPr>
        <w:br w:type="page"/>
      </w:r>
    </w:p>
    <w:p>
      <w:pPr>
        <w:pStyle w:val="16"/>
        <w:spacing w:before="183" w:after="0" w:line="36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cs="Times New Roman"/>
          <w:b w:val="0"/>
          <w:bCs/>
          <w:spacing w:val="1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2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</w:rPr>
        <w:t>. Fl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ow chart of 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</w:rPr>
        <w:t>eligibl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e parti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</w:rPr>
        <w:t>cipants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’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</w:rPr>
        <w:t xml:space="preserve"> selection.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133975" cy="3258820"/>
            <wp:effectExtent l="0" t="0" r="0" b="8255"/>
            <wp:docPr id="6" name="图片 6" descr="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br w:type="page"/>
      </w:r>
    </w:p>
    <w:p>
      <w:pPr>
        <w:pStyle w:val="16"/>
        <w:spacing w:before="183" w:after="0" w:line="360" w:lineRule="auto"/>
        <w:jc w:val="both"/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</w:pPr>
      <w:r>
        <w:rPr>
          <w:rFonts w:ascii="Times New Roman" w:hAnsi="Times New Roman" w:cs="Times New Roman"/>
          <w:b w:val="0"/>
          <w:bCs/>
          <w:spacing w:val="1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3.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 Distribution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</w:rPr>
        <w:t xml:space="preserve">of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follow-up time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</w:rPr>
        <w:t xml:space="preserve"> in the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contemporary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</w:rPr>
        <w:t>co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h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</w:rPr>
        <w:t>ort (A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)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</w:rPr>
        <w:t xml:space="preserve"> and the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historical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</w:rPr>
        <w:t>cohort (B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).</w:t>
      </w:r>
    </w:p>
    <w:p>
      <w:pPr>
        <w:pStyle w:val="16"/>
        <w:spacing w:before="183" w:after="0"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4245610" cy="4843145"/>
            <wp:effectExtent l="0" t="0" r="0" b="0"/>
            <wp:docPr id="5" name="图片 5" descr="Fig.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. S3"/>
                    <pic:cNvPicPr>
                      <a:picLocks noChangeAspect="1"/>
                    </pic:cNvPicPr>
                  </pic:nvPicPr>
                  <pic:blipFill>
                    <a:blip r:embed="rId6"/>
                    <a:srcRect t="4531"/>
                    <a:stretch>
                      <a:fillRect/>
                    </a:stretch>
                  </pic:blipFill>
                  <pic:spPr>
                    <a:xfrm>
                      <a:off x="0" y="0"/>
                      <a:ext cx="4245610" cy="48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pacing w:val="1"/>
          <w:sz w:val="24"/>
          <w:szCs w:val="24"/>
        </w:rPr>
        <w:br w:type="page"/>
      </w:r>
    </w:p>
    <w:p>
      <w:pPr>
        <w:pStyle w:val="16"/>
        <w:spacing w:before="183" w:after="0" w:line="360" w:lineRule="auto"/>
        <w:jc w:val="both"/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</w:pPr>
      <w:r>
        <w:rPr>
          <w:rFonts w:ascii="Times New Roman" w:hAnsi="Times New Roman" w:cs="Times New Roman"/>
          <w:b w:val="0"/>
          <w:bCs/>
          <w:spacing w:val="1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4. Hazard ratio of digestive outcomes in COVID-19 group and the contemporary </w:t>
      </w:r>
      <w:r>
        <w:rPr>
          <w:rFonts w:hint="eastAsia"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 xml:space="preserve">comparison </w:t>
      </w:r>
      <w:r>
        <w:rPr>
          <w:rFonts w:ascii="Times New Roman" w:hAnsi="Times New Roman" w:cs="Times New Roman"/>
          <w:b w:val="0"/>
          <w:bCs/>
          <w:spacing w:val="1"/>
          <w:sz w:val="24"/>
          <w:szCs w:val="24"/>
          <w:lang w:eastAsia="zh-CN"/>
        </w:rPr>
        <w:t>by severity of COVID-19.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87645" cy="4360545"/>
            <wp:effectExtent l="0" t="0" r="8255" b="1905"/>
            <wp:docPr id="4" name="图片 4" descr="Fig.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 S4"/>
                    <pic:cNvPicPr>
                      <a:picLocks noChangeAspect="1"/>
                    </pic:cNvPicPr>
                  </pic:nvPicPr>
                  <pic:blipFill>
                    <a:blip r:embed="rId7"/>
                    <a:srcRect l="12127" r="13985"/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436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HR: </w:t>
      </w:r>
      <w:r>
        <w:rPr>
          <w:rFonts w:ascii="Times New Roman" w:hAnsi="Times New Roman" w:cs="Times New Roman"/>
          <w:sz w:val="24"/>
          <w:szCs w:val="24"/>
          <w:lang w:eastAsia="en-US"/>
        </w:rPr>
        <w:t>hazard ratios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CI: confidence interval;</w:t>
      </w:r>
    </w:p>
    <w:p>
      <w:pPr>
        <w:widowControl/>
        <w:spacing w:line="360" w:lineRule="auto"/>
        <w:jc w:val="both"/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</w:pPr>
      <w:r>
        <w:rPr>
          <w:rFonts w:ascii="Times New Roman" w:hAnsi="Times New Roman" w:cs="Times New Roman"/>
          <w:spacing w:val="-1"/>
          <w:kern w:val="0"/>
          <w:sz w:val="24"/>
          <w:szCs w:val="24"/>
          <w:lang w:eastAsia="en-US"/>
        </w:rPr>
        <w:t xml:space="preserve">Outcomes were ascertained 30 days after the COVID-19-positive test until the end of </w:t>
      </w:r>
      <w:r>
        <w:rPr>
          <w:rFonts w:ascii="Times New Roman" w:hAnsi="Times New Roman" w:cs="Times New Roman"/>
          <w:spacing w:val="-1"/>
          <w:kern w:val="0"/>
          <w:sz w:val="24"/>
          <w:szCs w:val="24"/>
        </w:rPr>
        <w:t>f</w:t>
      </w:r>
      <w:r>
        <w:rPr>
          <w:rFonts w:ascii="Times New Roman" w:hAnsi="Times New Roman" w:cs="Times New Roman"/>
          <w:spacing w:val="-1"/>
          <w:kern w:val="0"/>
          <w:sz w:val="24"/>
          <w:szCs w:val="24"/>
          <w:lang w:eastAsia="en-US"/>
        </w:rPr>
        <w:t xml:space="preserve">ollow-up. Weighted HRs after IPTW and 95% CIs are presented.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br w:type="column"/>
      </w:r>
      <w:r>
        <w:rPr>
          <w:rFonts w:hint="eastAsia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  <w:t>Table S</w:t>
      </w:r>
      <w:r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eastAsia="zh-CN" w:bidi="ar"/>
        </w:rPr>
        <w:t>1</w:t>
      </w:r>
      <w:r>
        <w:rPr>
          <w:rFonts w:hint="eastAsia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  <w:t>. R</w:t>
      </w:r>
      <w:r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eastAsia="zh-CN" w:bidi="ar"/>
        </w:rPr>
        <w:t>espiratory support treatments</w:t>
      </w:r>
      <w:r>
        <w:rPr>
          <w:rFonts w:hint="eastAsia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  <w:t xml:space="preserve"> definition</w:t>
      </w:r>
      <w:r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  <w:t>.</w:t>
      </w:r>
    </w:p>
    <w:tbl>
      <w:tblPr>
        <w:tblStyle w:val="5"/>
        <w:tblW w:w="603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1"/>
        <w:gridCol w:w="183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Outcome</w:t>
            </w:r>
          </w:p>
        </w:tc>
        <w:tc>
          <w:tcPr>
            <w:tcW w:w="1839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OPCS-4-codes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Invasive ventilation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E85.1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Continuous positive airway pressure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E85.6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Non-invasive ventilation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E85.2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Unspecified oxygen therapy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X52.9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Other specified oxygen therapy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X52.8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Other specified ventilation support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E85.8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Unspecified ventilation support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E85.9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Other specified oxygen therapy support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E87.8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4191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 Unspecified oxygen therapy support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E87.9 </w:t>
            </w:r>
          </w:p>
        </w:tc>
      </w:tr>
    </w:tbl>
    <w:p>
      <w:pPr>
        <w:spacing w:line="360" w:lineRule="auto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  <w:t>Table S2</w:t>
      </w:r>
      <w:r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eastAsia="zh-CN" w:bidi="ar"/>
        </w:rPr>
        <w:t>.</w:t>
      </w:r>
      <w:r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  <w:t xml:space="preserve"> Outcome ascertainment.</w:t>
      </w:r>
    </w:p>
    <w:tbl>
      <w:tblPr>
        <w:tblStyle w:val="5"/>
        <w:tblW w:w="741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3"/>
        <w:gridCol w:w="367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Outcome</w:t>
            </w:r>
          </w:p>
        </w:tc>
        <w:tc>
          <w:tcPr>
            <w:tcW w:w="3679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ICD-10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GI dysfunction</w:t>
            </w:r>
          </w:p>
        </w:tc>
        <w:tc>
          <w:tcPr>
            <w:tcW w:w="3679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Dyspepsia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K30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Irritable bowel syndrome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K58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Constipation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K590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PUD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Gastric ulcer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K25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Duodenal ulcer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K26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Other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PUD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K27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GERD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K21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IBD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CD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K50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UC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K51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Gallbladder disease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Cholelithiasis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K80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Cholecystitis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K81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Severe liver disease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K703,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K704, K721, K729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K741,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742, K746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I850,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I859,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K766, K767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NAFLD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K758, K759, K760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Pancreatic disease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Acute pancreatitis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K85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Chronic pancreatitis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K861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Pancreatic cyst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K862, K863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3733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 w:firstLine="240" w:firstLineChars="100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Other pancreatic diseases</w:t>
            </w:r>
          </w:p>
        </w:tc>
        <w:tc>
          <w:tcPr>
            <w:tcW w:w="367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K868, K869</w:t>
            </w:r>
          </w:p>
        </w:tc>
      </w:tr>
    </w:tbl>
    <w:p>
      <w:pPr>
        <w:spacing w:line="360" w:lineRule="auto"/>
        <w:jc w:val="left"/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GI, </w:t>
      </w:r>
      <w:r>
        <w:rPr>
          <w:rFonts w:ascii="Times New Roman" w:hAnsi="Times New Roman" w:cs="Times New Roman"/>
          <w:sz w:val="24"/>
          <w:szCs w:val="24"/>
          <w:highlight w:val="none"/>
        </w:rPr>
        <w:t>gastrointestinal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; IBS, </w:t>
      </w:r>
      <w:r>
        <w:rPr>
          <w:rFonts w:ascii="Times New Roman" w:hAnsi="Times New Roman" w:cs="Times New Roman"/>
          <w:sz w:val="24"/>
          <w:szCs w:val="24"/>
          <w:highlight w:val="none"/>
        </w:rPr>
        <w:t>irritable bowel syndrome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; PUD, </w:t>
      </w:r>
      <w:r>
        <w:rPr>
          <w:rFonts w:ascii="Times New Roman" w:hAnsi="Times New Roman" w:cs="Times New Roman"/>
          <w:sz w:val="24"/>
          <w:szCs w:val="24"/>
          <w:highlight w:val="none"/>
        </w:rPr>
        <w:t>peptic ulcer</w:t>
      </w:r>
      <w:r>
        <w:rPr>
          <w:rFonts w:ascii="Times New Roman" w:hAnsi="Times New Roman" w:cs="Times New Roman"/>
          <w:sz w:val="24"/>
          <w:szCs w:val="24"/>
          <w:highlight w:val="none"/>
          <w:lang w:eastAsia="zh-CN"/>
        </w:rPr>
        <w:t xml:space="preserve"> disease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; IBD, </w:t>
      </w:r>
      <w:r>
        <w:rPr>
          <w:rFonts w:ascii="Times New Roman" w:hAnsi="Times New Roman" w:cs="Times New Roman"/>
          <w:sz w:val="24"/>
          <w:szCs w:val="24"/>
          <w:highlight w:val="none"/>
        </w:rPr>
        <w:t>inflammatory bowel disease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; </w:t>
      </w:r>
      <w:r>
        <w:rPr>
          <w:rFonts w:ascii="Times New Roman" w:hAnsi="Times New Roman" w:cs="Times New Roman"/>
          <w:sz w:val="24"/>
          <w:szCs w:val="24"/>
          <w:highlight w:val="none"/>
          <w:lang w:eastAsia="zh-CN"/>
        </w:rPr>
        <w:t>CD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, </w:t>
      </w:r>
      <w:r>
        <w:rPr>
          <w:rFonts w:ascii="Times New Roman" w:hAnsi="Times New Roman" w:cs="Times New Roman"/>
          <w:sz w:val="24"/>
          <w:szCs w:val="24"/>
          <w:highlight w:val="none"/>
        </w:rPr>
        <w:t>Crohn’s disease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; UC, </w:t>
      </w:r>
      <w:r>
        <w:rPr>
          <w:rFonts w:ascii="Times New Roman" w:hAnsi="Times New Roman" w:cs="Times New Roman"/>
          <w:sz w:val="24"/>
          <w:szCs w:val="24"/>
          <w:highlight w:val="none"/>
        </w:rPr>
        <w:t>ulcerative colitis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; </w:t>
      </w:r>
      <w:r>
        <w:rPr>
          <w:rFonts w:ascii="Times New Roman" w:hAnsi="Times New Roman" w:cs="Times New Roman"/>
          <w:sz w:val="24"/>
          <w:szCs w:val="24"/>
          <w:highlight w:val="none"/>
          <w:lang w:eastAsia="zh-CN"/>
        </w:rPr>
        <w:t>NAFLD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 xml:space="preserve">, </w:t>
      </w:r>
      <w:r>
        <w:rPr>
          <w:rFonts w:ascii="Times New Roman" w:hAnsi="Times New Roman" w:cs="Times New Roman"/>
          <w:sz w:val="24"/>
          <w:szCs w:val="24"/>
          <w:highlight w:val="none"/>
        </w:rPr>
        <w:t>non-alcohol fatty liver diseas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e</w:t>
      </w:r>
    </w:p>
    <w:p>
      <w:pPr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eastAsia="zh-CN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eastAsia="zh-CN" w:bidi="ar"/>
        </w:rPr>
        <w:br w:type="page"/>
      </w: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  <w:r>
        <w:rPr>
          <w:rFonts w:hint="eastAsia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eastAsia="zh-CN" w:bidi="ar"/>
        </w:rPr>
        <w:t>Table S</w:t>
      </w:r>
      <w:r>
        <w:rPr>
          <w:rFonts w:hint="eastAsia" w:ascii="Times New Roman" w:hAnsi="Times New Roman" w:eastAsia="Microsoft JhengHei" w:cs="Times New Roman"/>
          <w:b w:val="0"/>
          <w:bCs w:val="0"/>
          <w:kern w:val="2"/>
          <w:sz w:val="24"/>
          <w:szCs w:val="24"/>
          <w:highlight w:val="none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highlight w:val="none"/>
          <w:lang w:eastAsia="zh-CN" w:bidi="ar"/>
        </w:rPr>
        <w:t>.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 xml:space="preserve"> The numbers (percentages) of participants with missing covariates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none" w:color="auto" w:sz="4" w:space="0"/>
          <w:bottom w:val="single" w:color="auto" w:sz="12" w:space="0"/>
          <w:right w:val="non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3"/>
        <w:gridCol w:w="1628"/>
        <w:gridCol w:w="1106"/>
      </w:tblGrid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7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" w:cs="Times New Roman"/>
                <w:b w:val="0"/>
                <w:bCs w:val="0"/>
                <w:sz w:val="24"/>
                <w:szCs w:val="24"/>
                <w:highlight w:val="none"/>
              </w:rPr>
              <w:t>Covariates</w:t>
            </w:r>
          </w:p>
        </w:tc>
        <w:tc>
          <w:tcPr>
            <w:tcW w:w="162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" w:cs="Times New Roman"/>
                <w:b w:val="0"/>
                <w:bCs w:val="0"/>
                <w:sz w:val="24"/>
                <w:szCs w:val="24"/>
                <w:highlight w:val="none"/>
              </w:rPr>
              <w:t>N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" w:cs="Times New Roman"/>
                <w:b w:val="0"/>
                <w:bCs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7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</w:t>
            </w:r>
          </w:p>
        </w:tc>
        <w:tc>
          <w:tcPr>
            <w:tcW w:w="162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2 777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0.55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Household income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012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624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0.12%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3 105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62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1 501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2 949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59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%</w:t>
            </w:r>
          </w:p>
        </w:tc>
      </w:tr>
      <w:tr>
        <w:tblPrEx>
          <w:tblBorders>
            <w:top w:val="single" w:color="auto" w:sz="12" w:space="0"/>
            <w:left w:val="none" w:color="auto" w:sz="4" w:space="0"/>
            <w:bottom w:val="single" w:color="auto" w:sz="12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87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100 103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9.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%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BMI: body mass index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COVID-19 group and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contemporary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s before weighting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2437"/>
        <w:gridCol w:w="2878"/>
        <w:gridCol w:w="9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442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43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COVID-19 group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112 311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87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359 671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54.43(8.19)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56.79(7.97)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61 495(54.8)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199 368(55.4)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106 315(94.7)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339 676(94.4)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19 465(17.3)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82 983(23.1)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26 102(23.2)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94 121(26.2)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31 853(28.4)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92 659(25.8)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27 297(24.3)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70 470(19.6)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7 594(6.8)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19 438(5.4)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-1.38(3.00)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-1.32(3.09)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27.47(4.82)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27.36(4.74)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21 925(19.5)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73 209(20.4)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28 027(25.0)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81 886(22.8)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30 734(27.4)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91 957(25.6)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12 790(11.4)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40 314(11.2)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11 298(10.1)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42 710(11.9)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7 537(6.7)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29 595(8.2)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63 505(56.5)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199 721(55.5)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38 875(34.6)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122 502(34.1)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9 931(8.8)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37 448(10.4)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2536.46(2603.69)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2686.42(2739.02)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38 023(33.9)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132 105(36.7)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8 384(7.5)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27 531(7.7)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4 646(4.1)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15 075(4.2)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4 557(4.1)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15 720(4.4)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2 706(2.4)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9 577(2.7)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4 377(3.9)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14 699(4.1)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17 231(15.3)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48 079(13.4)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2 356(2.1)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7888(2.2)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1 060(0.9)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2 322(0.6)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Recent hospital admissions, 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mean(SD)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1.0(1.9)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(1.7)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442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History of previous digestive diseases, n(%)</w:t>
            </w:r>
          </w:p>
        </w:tc>
        <w:tc>
          <w:tcPr>
            <w:tcW w:w="243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37 375(33.3)</w:t>
            </w:r>
          </w:p>
        </w:tc>
        <w:tc>
          <w:tcPr>
            <w:tcW w:w="287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116 937(32.5)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S5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Hazard ratio of digestive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outcomes in COVID-19 group and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the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contemporary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at different follow-up times</w:t>
      </w:r>
    </w:p>
    <w:tbl>
      <w:tblPr>
        <w:tblStyle w:val="5"/>
        <w:tblW w:w="11475" w:type="dxa"/>
        <w:tblInd w:w="1324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7"/>
        <w:gridCol w:w="1858"/>
        <w:gridCol w:w="1159"/>
        <w:gridCol w:w="1908"/>
        <w:gridCol w:w="958"/>
        <w:gridCol w:w="1900"/>
        <w:gridCol w:w="1325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vMerge w:val="restart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Outcome</w:t>
            </w:r>
          </w:p>
        </w:tc>
        <w:tc>
          <w:tcPr>
            <w:tcW w:w="3017" w:type="dxa"/>
            <w:gridSpan w:val="2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0 to 6-month follow-up</w:t>
            </w:r>
          </w:p>
        </w:tc>
        <w:tc>
          <w:tcPr>
            <w:tcW w:w="2866" w:type="dxa"/>
            <w:gridSpan w:val="2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6 to 12-month follow-up</w:t>
            </w:r>
          </w:p>
        </w:tc>
        <w:tc>
          <w:tcPr>
            <w:tcW w:w="3225" w:type="dxa"/>
            <w:gridSpan w:val="2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12 to 24-month follow up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vMerge w:val="continue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858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 (95% CI)</w:t>
            </w:r>
          </w:p>
        </w:tc>
        <w:tc>
          <w:tcPr>
            <w:tcW w:w="1159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P value</w:t>
            </w:r>
          </w:p>
        </w:tc>
        <w:tc>
          <w:tcPr>
            <w:tcW w:w="1908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 (95% CI)</w:t>
            </w:r>
          </w:p>
        </w:tc>
        <w:tc>
          <w:tcPr>
            <w:tcW w:w="958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 value</w:t>
            </w:r>
          </w:p>
        </w:tc>
        <w:tc>
          <w:tcPr>
            <w:tcW w:w="1900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 (95% CI)</w:t>
            </w:r>
          </w:p>
        </w:tc>
        <w:tc>
          <w:tcPr>
            <w:tcW w:w="1325" w:type="dxa"/>
            <w:tcBorders>
              <w:bottom w:val="single" w:color="auto" w:sz="12" w:space="0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 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2367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GI dysfunction</w:t>
            </w:r>
          </w:p>
        </w:tc>
        <w:tc>
          <w:tcPr>
            <w:tcW w:w="1858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1.96(1.48,2.60)</w:t>
            </w:r>
          </w:p>
        </w:tc>
        <w:tc>
          <w:tcPr>
            <w:tcW w:w="1159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908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1.20(0.84,1.71)</w:t>
            </w:r>
          </w:p>
        </w:tc>
        <w:tc>
          <w:tcPr>
            <w:tcW w:w="958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0.322 </w:t>
            </w:r>
          </w:p>
        </w:tc>
        <w:tc>
          <w:tcPr>
            <w:tcW w:w="1900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1.35(1.04,1.75)</w:t>
            </w:r>
          </w:p>
        </w:tc>
        <w:tc>
          <w:tcPr>
            <w:tcW w:w="1325" w:type="dxa"/>
            <w:tcBorders>
              <w:top w:val="single" w:color="auto" w:sz="12" w:space="0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0.023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PUD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1.08(0.51,2.28)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0.838 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1.04(0.37,2.93)</w:t>
            </w:r>
          </w:p>
        </w:tc>
        <w:tc>
          <w:tcPr>
            <w:tcW w:w="9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0.942 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1.49(0.79,2.82)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0.218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GERD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1.86(1.38,2.52)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1.36(0.97,1.91)</w:t>
            </w:r>
          </w:p>
        </w:tc>
        <w:tc>
          <w:tcPr>
            <w:tcW w:w="9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0.072 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1.64(1.30,2.07)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IBD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1.48(0.56,3.90)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0.424 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2.26(0.89,5.75)</w:t>
            </w:r>
          </w:p>
        </w:tc>
        <w:tc>
          <w:tcPr>
            <w:tcW w:w="9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0.087 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0.85(0.24,3.00)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0.797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Gallbladder disease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1.86(1.26,2.76)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1.48(0.93,2.35)</w:t>
            </w:r>
          </w:p>
        </w:tc>
        <w:tc>
          <w:tcPr>
            <w:tcW w:w="9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0.095 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1.29(0.88,1.89)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0.188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Severe liver disease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1.64(0.74,3.60)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0.221 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1.56(0.57,4.26)</w:t>
            </w:r>
          </w:p>
        </w:tc>
        <w:tc>
          <w:tcPr>
            <w:tcW w:w="9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0.385 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1.49(0.64,3.46)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0.359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NAFLD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1.63(0.95,2.77)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1.47(0.87,2.51)</w:t>
            </w:r>
          </w:p>
        </w:tc>
        <w:tc>
          <w:tcPr>
            <w:tcW w:w="9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1.40(0.93,2.10)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0.103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67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Pancreatic disease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1.49(0.77,2.88)</w:t>
            </w:r>
          </w:p>
        </w:tc>
        <w:tc>
          <w:tcPr>
            <w:tcW w:w="1159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0.237 </w:t>
            </w:r>
          </w:p>
        </w:tc>
        <w:tc>
          <w:tcPr>
            <w:tcW w:w="190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1.22(0.54,2.79)</w:t>
            </w:r>
          </w:p>
        </w:tc>
        <w:tc>
          <w:tcPr>
            <w:tcW w:w="958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0.633 </w:t>
            </w:r>
          </w:p>
        </w:tc>
        <w:tc>
          <w:tcPr>
            <w:tcW w:w="1900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1.63(0.99,2.68)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0.057 </w:t>
            </w:r>
          </w:p>
        </w:tc>
      </w:tr>
    </w:tbl>
    <w:p>
      <w:pPr>
        <w:widowControl/>
        <w:jc w:val="left"/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GI, gastrointestinal;</w:t>
      </w:r>
      <w:r>
        <w:rPr>
          <w:rFonts w:ascii="Times New Roman" w:hAnsi="Times New Roman"/>
          <w:sz w:val="24"/>
          <w:szCs w:val="24"/>
          <w:highlight w:val="none"/>
        </w:rPr>
        <w:t>GERD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sz w:val="24"/>
          <w:szCs w:val="24"/>
          <w:highlight w:val="none"/>
        </w:rPr>
        <w:t>gastroesophageal reflux disease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>;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PUD, peptic ulcer disease; IBD, inflammatory bowel disease; NAFLD, non-alcohol fatty liver disease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>;</w:t>
      </w:r>
    </w:p>
    <w:p>
      <w:pPr>
        <w:widowControl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val="en-US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 xml:space="preserve">HR: hazard ratio; CI: confidence interval; </w:t>
      </w:r>
    </w:p>
    <w:p>
      <w:pPr>
        <w:widowControl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t xml:space="preserve">Weighted HRs after IPTW and 95% CIs are presented. </w:t>
      </w: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S6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COVID-19, contemporary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s by severity of COVID-19 before weighting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160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5"/>
        <w:gridCol w:w="1933"/>
        <w:gridCol w:w="1867"/>
        <w:gridCol w:w="1810"/>
        <w:gridCol w:w="1807"/>
        <w:gridCol w:w="1767"/>
        <w:gridCol w:w="2091"/>
        <w:gridCol w:w="19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2775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1933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Non-hospitalized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 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104 201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867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Hospitalized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7 523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810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Severe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588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807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359 671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5830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exact"/>
          <w:jc w:val="center"/>
        </w:trPr>
        <w:tc>
          <w:tcPr>
            <w:tcW w:w="2775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33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67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10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6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Non-hospitalized COVID and 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209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Hospitalized COVID and 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197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Severe COVID and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54.02(8.09)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59.84(7.55)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57.78(7.99)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56.79(7.97)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57 959(55.6)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3 324(44.2)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212(36.1)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199 368(55.4)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98 873(94.9)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6 951(92.4)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492(83.7)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339 676(94.4)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0.232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0.335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16 497(15.8)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2 741(36.4)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227(38.6)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82 983(23.1)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23 945(23.0)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2 003(26.6)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154(26.2)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94 121(26.2)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30 165(28.9)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1 567(20.8)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122(20.7)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92 659(25.8)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26 266(25.2)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961(12.8)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70(11.9)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70 470(19.6)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7 328(7.0)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251(3.3)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15(2.6)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19 438(5.4)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-1.46(2.95)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-0.43(3.40)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0.16(3.54)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-1.32(3.09)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27.33(4.72)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29.23(5.63)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30.61(5.78)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27.36(4.74)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0.360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0.124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0.209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20 416(19.6)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1 414(18.8)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96(16.3)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73 209(20.4)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26 582(25.5)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1353(18.0)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92(15.6)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81 886(22.8)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28 762(27.6)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1 825(24.3)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147(25.0)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91 957(25.6)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11 927(11.4)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799(10.6)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64(10.9)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40 314(11.2)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10 034(9.6)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1 168(15.5)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96(16.3)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42 710(11.9)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6 480(6.2)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964(12.8)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93(15.8)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29 595(8.2)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0.070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0.228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59 921(57.5)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3 335(44.3)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250(42.5)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199 721(55.5)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35 500(34.1)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3 115(41.4)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260(44.2)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122 502(34.1)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8 780(8.4)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1 073(14.3)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78(13.3)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37 448(10.4)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2529.22(2585.74)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2623.26(2813.78)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2707.49(2935.05)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2686.42(2739.02)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0.059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33 161(31.8)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4 523(60.1)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339(57.7)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132 105(36.7)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0.481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6 579(6.3)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1 678(22.3)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127(21.6)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27 531(7.7)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0.419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3 515(3.4)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1 050(14.0)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81(13.8)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15 075(4.2)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0.043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3 599(3.5)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890(11.8)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68(11.6)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15 720(4.4)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2 056(2.0)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623(8.3)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27(4.6)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9 577(2.7)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0.249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3 174(3.0)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1 123(14.9)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80(13.6)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48 079(13.4)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15 561(14.9)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1 534(20.4)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136(23.1)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14 699(4.1)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0.045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0.188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1 607(1.5)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714(9.5)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35(6.0)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7 888(2.2)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0.048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732(0.7)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321(4.3)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7(1.2)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2 322(0.6)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  <w:jc w:val="center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0.8(1.5)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3.5(4.0)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2.1(2.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0.036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27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History of previous digestive diseases, n(%)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33 024(31.7)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4 085(54.3)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266(45.2)</w:t>
            </w:r>
          </w:p>
        </w:tc>
        <w:tc>
          <w:tcPr>
            <w:tcW w:w="180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116 937(32.5)</w:t>
            </w:r>
          </w:p>
        </w:tc>
        <w:tc>
          <w:tcPr>
            <w:tcW w:w="17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0.018</w:t>
            </w:r>
          </w:p>
        </w:tc>
        <w:tc>
          <w:tcPr>
            <w:tcW w:w="20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0.451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0.263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S7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COVID-19, contemporary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s by severity of COVID-19 after weighting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155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8"/>
        <w:gridCol w:w="2114"/>
        <w:gridCol w:w="1752"/>
        <w:gridCol w:w="1627"/>
        <w:gridCol w:w="1711"/>
        <w:gridCol w:w="1943"/>
        <w:gridCol w:w="1662"/>
        <w:gridCol w:w="1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3248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14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Non-hospitalized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 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104 201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752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Hospitalized COVID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7 523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627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Severe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588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711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359 671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5143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exact"/>
          <w:jc w:val="center"/>
        </w:trPr>
        <w:tc>
          <w:tcPr>
            <w:tcW w:w="3248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14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27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4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Non-hospitalized COVID and 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166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Hospitalized COVID and 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153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Severe COVID and 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56.1(8.0)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56.9(8.3)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57.5(7.7)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56.2(8.1)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57415(55.1)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4002(53.2)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290(49.4)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198 538(55.2)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98574(94.6)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7072(94)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550(93.5)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339 889(94.5)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22195(21.3)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1836(24.4)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148(25.2)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78 049(21.7)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26467(25.4)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1941(25.8)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167(28.4)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91 716(25.5)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27613(26.5)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1948(25.9)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143(24.4)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94 953(26.4)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21882(21)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1399(18.6)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102(17.3)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74 452(20.7)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6044(5.8)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391(5.2)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28(4.8)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20 501(5.7)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-1.4(3.0)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-1.2(3.1)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-1.1(3.2)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-1.3(3.1)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27.3(4.7)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27.8(5.0)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28.3(4.7)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27.4(4.8)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21257(20.4)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1550(20.6)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106(18.1)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72 654(20.2)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24487(23.5)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1625(21.6)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118(20.1)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83 803(23.3)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27092(26)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1836(24.4)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145(24.6)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93 514(26)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11671(11.2)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895(11.9)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82(14)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40 283(11.2)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11671(11.2)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963(12.8)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65(11)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41 002(11.4)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8128(7.8)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662(8.8)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71(12.1)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28 414(7.9)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58353(56)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4002(53.2)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320(54.5)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200 696(55.8)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35533(34.1)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2693(35.8)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193(32.8)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123 007(34.2)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10212(9.8)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835(11.1)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75(12.7)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35 967(10)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2644.4(2696.9)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2640.2(2719.5)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2651.6(2725.8)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2649.9(2708.2)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37096(35.6)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2979(39.6)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253(43.1)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129 841(36.1)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7711(7.4)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700(9.3)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66(11.2)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27 335(7.6)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4168(4)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414(5.5)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32(5.4)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15 106(4.2)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4376(4.2)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406(5.4)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36(6.2)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15 466(4.3)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2605(2.5)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256(3.4)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21(3.6)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9 351(2.6)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4064(3.9)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429(5.7)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36(6.2)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14 747(4.1)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14380(13.8)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1106(14.7)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98(16.6)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49 635(13.8)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2188(2.1)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263(3.5)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28(4.7)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7 913(2.2)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729(0.7)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90(1.2)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2(0.4)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2 518(0.7)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1.4(1.9)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1.3(1.9)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0.9(1.8)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History of previous digestive diseases, n(%)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33761(32.4)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2731(36.3)</w:t>
            </w:r>
          </w:p>
        </w:tc>
        <w:tc>
          <w:tcPr>
            <w:tcW w:w="16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231(39.3)</w:t>
            </w:r>
          </w:p>
        </w:tc>
        <w:tc>
          <w:tcPr>
            <w:tcW w:w="17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117 612(32.7)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6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0.067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0.141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br w:type="page"/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S8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COVID-19 group 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contemporary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s by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status of SARS-CoV reinfection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before weighting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136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8"/>
        <w:gridCol w:w="2114"/>
        <w:gridCol w:w="1752"/>
        <w:gridCol w:w="1926"/>
        <w:gridCol w:w="2495"/>
        <w:gridCol w:w="21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3248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14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Single SARS-CoV-2 infection group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107 950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752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Reinfected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group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4 361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926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Non-infected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359 671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465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exact"/>
          <w:jc w:val="center"/>
        </w:trPr>
        <w:tc>
          <w:tcPr>
            <w:tcW w:w="324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14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9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Single SARS-CoV-2 infection group and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Non-infected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einfected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group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and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Non-infected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54.55(8.17)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51.34(8.11)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56.79(7.97)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918(54.6)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577(59.1)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199 368(55.4)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0.017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257(94.7)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058(93.1)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339 676(94.4)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695(17.3)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770(17.7)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82 983(23.1)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173(23.3)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929(21.3)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94 121(26.2)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510(28.3)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343(30.8)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92 659(25.8)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261(24.3)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036(23.8)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70 470(19.6)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311(6.8)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283(6.5)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19 438(5.4)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-1.40(2.99)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-0.95(3.14)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-1.32(3.09)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27.47(4.81)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27.64(5.15)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27.36(4.74)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191(19.6)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734(16.8)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73 209(20.4)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044(25.1)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983(22.5)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81 886(22.8)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470(27.3)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264(29.0)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91 957(25.6)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211(11.3)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579(13.3)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40 314(11.2)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793(10.0)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505(11.6)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42 710(11.9)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241(6.7)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296(6.8)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29 595(8.2)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0.056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076(56.6)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429(55.7)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199 721(55.5)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408(34.7)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467(33.6)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122 502(34.1)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466(8.8)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465(10.7)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37 448(10.4)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2533.87(2598.45)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2600.62(2729.75)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2686.42(2739.02)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683(34.0)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340(30.7)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132 105(36.7)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026(7.4)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358(8.2)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27 531(7.7)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474(4.1)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172(3.9)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15 075(4.2)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380(4.1)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177(4.1)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15 720(4.4)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605(2.5)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256(3.4)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9 577(2.7)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064(3.9)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429(5.7)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48 079(13.4)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380(13.8)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106(14.7)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14 699(4.1)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188(2.1)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263(3.5)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7 888(2.2)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957(0.9)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103(2.4)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2 322(0.6)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1.00(1.92)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1.16(2.33)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(1.7)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0.073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History of previous digestive diseases, n(%)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880(33.2)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495(34.3)</w:t>
            </w:r>
          </w:p>
        </w:tc>
        <w:tc>
          <w:tcPr>
            <w:tcW w:w="19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116 937(32.5)</w:t>
            </w:r>
          </w:p>
        </w:tc>
        <w:tc>
          <w:tcPr>
            <w:tcW w:w="249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0.015</w:t>
            </w:r>
          </w:p>
        </w:tc>
        <w:tc>
          <w:tcPr>
            <w:tcW w:w="215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0.038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S9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COVID-19 group 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contemporary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s by severity of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SARS-CoV reinfection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after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weighting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136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8"/>
        <w:gridCol w:w="2114"/>
        <w:gridCol w:w="1752"/>
        <w:gridCol w:w="1711"/>
        <w:gridCol w:w="2523"/>
        <w:gridCol w:w="23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3248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14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Single SARS-CoV-2 infection group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107 950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752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Reinfected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group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4 361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711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Non-infected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359 671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4827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exact"/>
          <w:jc w:val="center"/>
        </w:trPr>
        <w:tc>
          <w:tcPr>
            <w:tcW w:w="3248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14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Single SARS-CoV-2 infection group and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Non-infected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einfected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group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and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Non-infected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56.3(8.1)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57.0(8.3)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56.2(8.1)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59265(54.9)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189(50.2)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198 538(55.2)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013(94.5)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108(94.2)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339 889(94.5)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317(21.6)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038(23.8)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78 049(21.7)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527(25.5)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090(25)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91 716(25.5)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391(26.3)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116(25.6)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94 953(26.4)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454(20.8)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859(19.7)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74 452(20.7)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261(5.8)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257(5.9)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20 501(5.7)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-1.3(3.0)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-1.3(3.1)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-1.3(3.1)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27.4(4.7)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27.4(4.8)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914(20.3)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938(21.5)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72 654(20.2)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260(23.4)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986(22.6)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83 803(23.3)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959(25.9)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099(25.2)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93 514(26)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090(11.2)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423(9.7)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40 283(11.2)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198(11.3)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515(11.8)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41 002(11.4)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528(7.9)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397(9.1)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28 414(7.9)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128(55.7)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412(55.3)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200 696(55.8)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027(34.3)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461(33.5)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123 007(34.2)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795(10)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488(11.2)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35 967(10)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2644.6(2699.9)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2693.4(2830.0)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2649.9(2708.2)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970(36.1)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683(38.6)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129 841(36.1)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204(7.6)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371(8.5)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27 335(7.6)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534(4.2)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170(3.9)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15 106(4.2)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642(4.3)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214(4.9)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15 466(4.3)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807(2.6)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131(3)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9 351(2.6)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426(4.1)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218(5)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14 747(4.1)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005(13.9)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593(13.6)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49 635(13.8)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375(2.2)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100(2.3)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7 913(2.2)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756(0.7)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35(0.8)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2 518(0.7)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1.0(1.8)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0.9(1.8)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0.009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  <w:jc w:val="center"/>
        </w:trPr>
        <w:tc>
          <w:tcPr>
            <w:tcW w:w="32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History of previous digestive diseases, n(%)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542(67.2)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913(66.8)</w:t>
            </w:r>
          </w:p>
        </w:tc>
        <w:tc>
          <w:tcPr>
            <w:tcW w:w="17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117 612(32.7)</w:t>
            </w:r>
          </w:p>
        </w:tc>
        <w:tc>
          <w:tcPr>
            <w:tcW w:w="25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0.014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spacing w:line="360" w:lineRule="auto"/>
        <w:jc w:val="both"/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Table 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. Hazard ratio of digestive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outcomes in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the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reinfected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 group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single SARS-CoV-2 infection group,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and non-infected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s.</w:t>
      </w:r>
    </w:p>
    <w:tbl>
      <w:tblPr>
        <w:tblStyle w:val="5"/>
        <w:tblpPr w:leftFromText="180" w:rightFromText="180" w:vertAnchor="text" w:horzAnchor="page" w:tblpXSpec="center" w:tblpY="91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757"/>
        <w:gridCol w:w="3113"/>
        <w:gridCol w:w="2031"/>
        <w:gridCol w:w="2835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548" w:type="dxa"/>
            <w:vMerge w:val="restart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Outcome</w:t>
            </w:r>
          </w:p>
        </w:tc>
        <w:tc>
          <w:tcPr>
            <w:tcW w:w="5870" w:type="dxa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Single SARS-CoV-2 infection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group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vs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Non-infected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</w:t>
            </w:r>
          </w:p>
        </w:tc>
        <w:tc>
          <w:tcPr>
            <w:tcW w:w="4866" w:type="dxa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einfected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group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vs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Non-infected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548" w:type="dxa"/>
            <w:vMerge w:val="continue"/>
            <w:tcBorders>
              <w:bottom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57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113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031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2835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2548" w:type="dxa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GI dysfunction</w:t>
            </w:r>
          </w:p>
        </w:tc>
        <w:tc>
          <w:tcPr>
            <w:tcW w:w="2757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1.44(1.29,1.62)</w:t>
            </w:r>
          </w:p>
        </w:tc>
        <w:tc>
          <w:tcPr>
            <w:tcW w:w="3113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31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(0.43,1.47)</w:t>
            </w:r>
          </w:p>
        </w:tc>
        <w:tc>
          <w:tcPr>
            <w:tcW w:w="2835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PUD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1.65(1.28,2.13)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3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0.73(0.22,2.39)</w:t>
            </w:r>
          </w:p>
        </w:tc>
        <w:tc>
          <w:tcPr>
            <w:tcW w:w="283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GERD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1.44(1.29,1.6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3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1.41(0.72,2.75)</w:t>
            </w:r>
          </w:p>
        </w:tc>
        <w:tc>
          <w:tcPr>
            <w:tcW w:w="283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IBD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1.65(1.09,2.51)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0.018</w:t>
            </w:r>
          </w:p>
        </w:tc>
        <w:tc>
          <w:tcPr>
            <w:tcW w:w="203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2.85(0.59,13.82)</w:t>
            </w:r>
          </w:p>
        </w:tc>
        <w:tc>
          <w:tcPr>
            <w:tcW w:w="283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Severe liver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1.28(1.08,1.53)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</w:t>
            </w:r>
          </w:p>
        </w:tc>
        <w:tc>
          <w:tcPr>
            <w:tcW w:w="203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(0.22,1.62)</w:t>
            </w:r>
          </w:p>
        </w:tc>
        <w:tc>
          <w:tcPr>
            <w:tcW w:w="283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NAFLD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1.12(0.77,1.61)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0.553</w:t>
            </w:r>
          </w:p>
        </w:tc>
        <w:tc>
          <w:tcPr>
            <w:tcW w:w="203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3.34(0.9,12.46)</w:t>
            </w:r>
          </w:p>
        </w:tc>
        <w:tc>
          <w:tcPr>
            <w:tcW w:w="283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Gallbladder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1.19(0.98,1.44)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0.081</w:t>
            </w:r>
          </w:p>
        </w:tc>
        <w:tc>
          <w:tcPr>
            <w:tcW w:w="203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1.22(0.39,3.81)</w:t>
            </w:r>
          </w:p>
        </w:tc>
        <w:tc>
          <w:tcPr>
            <w:tcW w:w="283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Pancreatic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1.44(1.11,1.88)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203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(2.22,13.15)</w:t>
            </w:r>
          </w:p>
        </w:tc>
        <w:tc>
          <w:tcPr>
            <w:tcW w:w="283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GI, gastrointestinal;</w:t>
      </w:r>
      <w:r>
        <w:rPr>
          <w:rFonts w:ascii="Times New Roman" w:hAnsi="Times New Roman"/>
          <w:sz w:val="24"/>
          <w:szCs w:val="24"/>
          <w:highlight w:val="none"/>
        </w:rPr>
        <w:t>GERD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sz w:val="24"/>
          <w:szCs w:val="24"/>
          <w:highlight w:val="none"/>
        </w:rPr>
        <w:t>gastroesophageal reflux disease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>;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PUD, peptic ulcer disease; IBD, inflammatory bowel disease; NAFLD, non-alcohol fatty liver disease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>;</w:t>
      </w:r>
    </w:p>
    <w:p>
      <w:pPr>
        <w:widowControl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val="en-US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 xml:space="preserve">HR: hazard ratio; CI: confidence interval; </w:t>
      </w:r>
    </w:p>
    <w:p>
      <w:pPr>
        <w:widowControl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t xml:space="preserve">Outcomes were ascertained 30 days after the COVID-19-positive test until the end of follow-up. Weighted HRs after IPTW and 95% CIs are presented. </w:t>
      </w:r>
    </w:p>
    <w:p>
      <w:pP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Table 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11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. Hazard ratio of digestive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outcomes in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reinfected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 group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single SARS-CoV-2 infection group in head-to-head comparison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</w:p>
    <w:tbl>
      <w:tblPr>
        <w:tblStyle w:val="5"/>
        <w:tblpPr w:leftFromText="180" w:rightFromText="180" w:vertAnchor="text" w:horzAnchor="page" w:tblpXSpec="center" w:tblpY="91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757"/>
        <w:gridCol w:w="3113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548" w:type="dxa"/>
            <w:vMerge w:val="restart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Outcome</w:t>
            </w:r>
          </w:p>
        </w:tc>
        <w:tc>
          <w:tcPr>
            <w:tcW w:w="5870" w:type="dxa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Reinfected group vs S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ingle SARS-CoV-2 infection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group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548" w:type="dxa"/>
            <w:vMerge w:val="continue"/>
            <w:tcBorders>
              <w:bottom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57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3113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2548" w:type="dxa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GI dysfunction</w:t>
            </w:r>
          </w:p>
        </w:tc>
        <w:tc>
          <w:tcPr>
            <w:tcW w:w="2757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1.12(0.65,1.91)</w:t>
            </w:r>
          </w:p>
        </w:tc>
        <w:tc>
          <w:tcPr>
            <w:tcW w:w="3113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0.685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PUD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0.95(0.30,3.01)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0.928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GERD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1.13(0.72,1.77)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0.606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IBD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1.77(0.42,7.47)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0.436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Severe liver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1.90(0.58,6.24)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0.293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NAFLD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0.90(0.37,2.20)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0.812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Gallbladder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0.94(0.42,2.14)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0.890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Pancreatic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2.57(1.23,5.38)</w:t>
            </w:r>
          </w:p>
        </w:tc>
        <w:tc>
          <w:tcPr>
            <w:tcW w:w="31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0.012 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val="en-US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 xml:space="preserve">HR: hazard ratio; CI: confidence interval; </w:t>
      </w:r>
    </w:p>
    <w:p>
      <w:pPr>
        <w:widowControl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t xml:space="preserve">Outcomes were ascertained 30 days after the COVID-19-positive test until the end of follow-up. Weighted HRs after IPTW and 95% CIs are presented. </w:t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Table 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12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Baseline characteristics of COVID-19 group and contemporary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in the sensitive analysis restricting to the period before vaccination was available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before weighting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9"/>
        <w:gridCol w:w="2196"/>
        <w:gridCol w:w="2480"/>
        <w:gridCol w:w="9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  <w:jc w:val="center"/>
        </w:trPr>
        <w:tc>
          <w:tcPr>
            <w:tcW w:w="452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COVID-19 group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8 431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359 671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54.39(8.82)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56.79(7.97)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4 280(50.8)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199 368(55.4)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7 771(92.2)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339 676(94.4)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2 147(25.5)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82 983(23.1)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2 119(25.1)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94 121(26.2)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2 236(26.5)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92 659(25.8)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1 546(18.3)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70 470(19.6)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383(4.5)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19 438(5.4)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-0.73(3.27)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-1.32(3.09)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28.43(5.07)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27.36(4.74)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1 408(16.7)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73 209(20.4)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1 843(21.9)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81 886(22.8)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2 394(28.4)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91 957(25.6)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965(11.4)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40 314(11.2)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1 004(11.9)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42 710(11.9)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817(9.7)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29 595(8.2)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4 322(51.3)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199 721(55.5)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3 115(36.9)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122 502(34.1)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994(11.8)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37 448(10.4)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2734.76(2828.4)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2686.42(2739.0)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3 411(40.5)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132 105(36.7)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1 005(11.9)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27 531(7.7)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573(6.8)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15 075(4.2)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547(6.5)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15 720(4.4)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398(4.7)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9 577(2.7)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616(7.3)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14 699(4.1)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1 382(16.4)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48 079(13.4)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385(4.6)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7 888(2.2)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345(4.1)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2 322(0.6)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1.6(2.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History of previous digestive diseases, n(%)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3 286(39.0)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116 937(32.5)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0.135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Table 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13.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Baseline characteristics of COVID-19 group and contemporary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in the sensitive analysis restricting to the period before vaccination was available after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weighting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9"/>
        <w:gridCol w:w="2196"/>
        <w:gridCol w:w="2480"/>
        <w:gridCol w:w="9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  <w:jc w:val="center"/>
        </w:trPr>
        <w:tc>
          <w:tcPr>
            <w:tcW w:w="452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COVID-19 group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8 431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Contemporary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359 671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56.8(8.5)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56.9(8.0)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494(53.3)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459(54.9)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942(94.2)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529(94.4)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066(24.5)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882(23.6)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175(25.8)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234(26.2)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133(25.3)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076(25.6)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593(18.9)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417(19.3)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464(5.5)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063(5.3)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-1.2(3.1)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27.6(4.6)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728(20.5)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373(20.4)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905(22.6)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286(22.6)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125(25.2)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716(25.5)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936(11.1)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283(11.2)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012(12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801(11.9)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733(8.7)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212(8.4)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519(53.6)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459(54.9)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926(34.7)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727(34.4)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978(11.6)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485(10.7)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2682.4(2718.9)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2684.3(2744.4)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Times New Roman" w:hAnsi="Times New Roman" w:eastAsia="Microsoft JhengHei UI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280(38.9)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236(37.6)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742(8.8)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493(8.2)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396(4.7)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905(4.7)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405(4.8)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264(4.8)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295(3.5)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150(3.1)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438(5.2)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905(4.7)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172(13.9)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915(13.6)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253(3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071(2.8)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101(1.2)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956(1.1)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1.0(1.7)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History of previous digestive diseases, n(%)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496(29.6)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182(29.8)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br w:type="page"/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highlight w:val="none"/>
          <w:lang w:eastAsia="zh-CN"/>
        </w:rPr>
        <w:t>Table 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14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Hazard ratio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of digestive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outcomes in COVID-19 group and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contemporary and historical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s in subgroups in the sensitive analysis restricting to the period before vaccination was available.</w:t>
      </w:r>
    </w:p>
    <w:tbl>
      <w:tblPr>
        <w:tblStyle w:val="5"/>
        <w:tblpPr w:leftFromText="180" w:rightFromText="180" w:vertAnchor="text" w:horzAnchor="page" w:tblpXSpec="center" w:tblpY="91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757"/>
        <w:gridCol w:w="1373"/>
        <w:gridCol w:w="2320"/>
        <w:gridCol w:w="2051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548" w:type="dxa"/>
            <w:vMerge w:val="restart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Outcome</w:t>
            </w:r>
          </w:p>
        </w:tc>
        <w:tc>
          <w:tcPr>
            <w:tcW w:w="4130" w:type="dxa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COVID-19 vs Contemporary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comparison</w:t>
            </w:r>
          </w:p>
        </w:tc>
        <w:tc>
          <w:tcPr>
            <w:tcW w:w="4371" w:type="dxa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COVID-19 vs Historical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comparison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548" w:type="dxa"/>
            <w:vMerge w:val="continue"/>
            <w:tcBorders>
              <w:bottom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57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373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320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2051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2548" w:type="dxa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GI dysfunction</w:t>
            </w:r>
          </w:p>
        </w:tc>
        <w:tc>
          <w:tcPr>
            <w:tcW w:w="2757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3.92(2.33,6.6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373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320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3.47(2.06,5.84)</w:t>
            </w:r>
          </w:p>
        </w:tc>
        <w:tc>
          <w:tcPr>
            <w:tcW w:w="2051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PUD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2.45(0.56,10.67)</w:t>
            </w:r>
          </w:p>
        </w:tc>
        <w:tc>
          <w:tcPr>
            <w:tcW w:w="137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0.233</w:t>
            </w:r>
          </w:p>
        </w:tc>
        <w:tc>
          <w:tcPr>
            <w:tcW w:w="232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1.82(0.4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,8.23)</w:t>
            </w:r>
          </w:p>
        </w:tc>
        <w:tc>
          <w:tcPr>
            <w:tcW w:w="205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GERD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1.26(0.5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,3.16)</w:t>
            </w:r>
          </w:p>
        </w:tc>
        <w:tc>
          <w:tcPr>
            <w:tcW w:w="137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0.625</w:t>
            </w:r>
          </w:p>
        </w:tc>
        <w:tc>
          <w:tcPr>
            <w:tcW w:w="232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1.03(0.41,2.63)</w:t>
            </w:r>
          </w:p>
        </w:tc>
        <w:tc>
          <w:tcPr>
            <w:tcW w:w="205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IBD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6.27(1.2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,32.86)</w:t>
            </w:r>
          </w:p>
        </w:tc>
        <w:tc>
          <w:tcPr>
            <w:tcW w:w="137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0.030</w:t>
            </w:r>
          </w:p>
        </w:tc>
        <w:tc>
          <w:tcPr>
            <w:tcW w:w="232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(0.78,20.6)</w:t>
            </w:r>
          </w:p>
        </w:tc>
        <w:tc>
          <w:tcPr>
            <w:tcW w:w="205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Severe liver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2.51(1.3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,4.85)</w:t>
            </w:r>
          </w:p>
        </w:tc>
        <w:tc>
          <w:tcPr>
            <w:tcW w:w="137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232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2.53(1.3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,4.92)</w:t>
            </w:r>
          </w:p>
        </w:tc>
        <w:tc>
          <w:tcPr>
            <w:tcW w:w="205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NAFLD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1.49(0.29,7.6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37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0.630</w:t>
            </w:r>
          </w:p>
        </w:tc>
        <w:tc>
          <w:tcPr>
            <w:tcW w:w="232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1.59(0.3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,8.39)</w:t>
            </w:r>
          </w:p>
        </w:tc>
        <w:tc>
          <w:tcPr>
            <w:tcW w:w="205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Gallbladder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2.86(1.02,8.07)</w:t>
            </w:r>
          </w:p>
        </w:tc>
        <w:tc>
          <w:tcPr>
            <w:tcW w:w="137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0.047</w:t>
            </w:r>
          </w:p>
        </w:tc>
        <w:tc>
          <w:tcPr>
            <w:tcW w:w="232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3.35(1.15,9.72)</w:t>
            </w:r>
          </w:p>
        </w:tc>
        <w:tc>
          <w:tcPr>
            <w:tcW w:w="205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Pancreatic disease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3.52(1.21,10.25)</w:t>
            </w:r>
          </w:p>
        </w:tc>
        <w:tc>
          <w:tcPr>
            <w:tcW w:w="137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0.021</w:t>
            </w:r>
          </w:p>
        </w:tc>
        <w:tc>
          <w:tcPr>
            <w:tcW w:w="232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3.58(1.2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,10.71)</w:t>
            </w:r>
          </w:p>
        </w:tc>
        <w:tc>
          <w:tcPr>
            <w:tcW w:w="2051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</w:t>
            </w:r>
          </w:p>
        </w:tc>
      </w:tr>
    </w:tbl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GI, gastrointestinal;</w:t>
      </w:r>
      <w:r>
        <w:rPr>
          <w:rFonts w:ascii="Times New Roman" w:hAnsi="Times New Roman"/>
          <w:sz w:val="24"/>
          <w:szCs w:val="24"/>
          <w:highlight w:val="none"/>
        </w:rPr>
        <w:t>GERD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sz w:val="24"/>
          <w:szCs w:val="24"/>
          <w:highlight w:val="none"/>
        </w:rPr>
        <w:t>gastroesophageal reflux disease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>;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PUD, peptic ulcer disease; IBD, inflammatory bowel disease; NAFLD, non-alcohol fatty liver disease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>;</w:t>
      </w:r>
    </w:p>
    <w:p>
      <w:pPr>
        <w:widowControl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val="en-US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 xml:space="preserve">HR: hazard ratio; CI: confidence interval; </w:t>
      </w:r>
    </w:p>
    <w:p>
      <w:pPr>
        <w:widowControl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t xml:space="preserve">Outcomes were ascertained 30 days after the COVID-19-positive test until the end of follow-up. Weighted HRs after IPTW and 95% CIs are presented. </w:t>
      </w:r>
    </w:p>
    <w:p>
      <w:pPr>
        <w:widowControl/>
        <w:shd w:val="clear" w:color="auto" w:fill="FFFFFF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br w:type="page"/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highlight w:val="none"/>
          <w:lang w:eastAsia="zh-CN"/>
        </w:rPr>
        <w:t>Table S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15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 xml:space="preserve">. Hazard ratio of digestive outcomes in COVID-19 group compared to the contemporary and historical comparisons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by pooling estimates across all five imputed datasets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highlight w:val="none"/>
        </w:rPr>
        <w:t>.</w:t>
      </w:r>
    </w:p>
    <w:tbl>
      <w:tblPr>
        <w:tblStyle w:val="6"/>
        <w:tblW w:w="0" w:type="auto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9"/>
        <w:gridCol w:w="2446"/>
        <w:gridCol w:w="1366"/>
        <w:gridCol w:w="2222"/>
        <w:gridCol w:w="1022"/>
      </w:tblGrid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Outcome</w:t>
            </w:r>
          </w:p>
        </w:tc>
        <w:tc>
          <w:tcPr>
            <w:tcW w:w="3812" w:type="dxa"/>
            <w:gridSpan w:val="2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COVID-19 group vs contemporary comparison (REF)</w:t>
            </w:r>
          </w:p>
        </w:tc>
        <w:tc>
          <w:tcPr>
            <w:tcW w:w="3244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COVID-19 group vs historical comparison (REF)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vMerge w:val="continue"/>
            <w:tcBorders>
              <w:bottom w:val="single" w:color="000000" w:themeColor="text1" w:sz="12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46" w:type="dxa"/>
            <w:tcBorders>
              <w:bottom w:val="single" w:color="000000" w:themeColor="text1" w:sz="12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HR (95% CI)</w:t>
            </w:r>
          </w:p>
        </w:tc>
        <w:tc>
          <w:tcPr>
            <w:tcW w:w="1366" w:type="dxa"/>
            <w:tcBorders>
              <w:bottom w:val="single" w:color="000000" w:themeColor="text1" w:sz="12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P value</w:t>
            </w:r>
          </w:p>
        </w:tc>
        <w:tc>
          <w:tcPr>
            <w:tcW w:w="2222" w:type="dxa"/>
            <w:tcBorders>
              <w:bottom w:val="single" w:color="000000" w:themeColor="text1" w:sz="12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HR (95% CI)</w:t>
            </w:r>
          </w:p>
        </w:tc>
        <w:tc>
          <w:tcPr>
            <w:tcW w:w="1022" w:type="dxa"/>
            <w:tcBorders>
              <w:bottom w:val="single" w:color="000000" w:themeColor="text1" w:sz="12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P value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op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GI dysfunction</w:t>
            </w:r>
          </w:p>
        </w:tc>
        <w:tc>
          <w:tcPr>
            <w:tcW w:w="2446" w:type="dxa"/>
            <w:tcBorders>
              <w:top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1.38(1.26,1.50)</w:t>
            </w:r>
          </w:p>
        </w:tc>
        <w:tc>
          <w:tcPr>
            <w:tcW w:w="1366" w:type="dxa"/>
            <w:tcBorders>
              <w:top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&lt;0.001 </w:t>
            </w:r>
          </w:p>
        </w:tc>
        <w:tc>
          <w:tcPr>
            <w:tcW w:w="2222" w:type="dxa"/>
            <w:tcBorders>
              <w:top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1.20(1.10,1.31)</w:t>
            </w:r>
          </w:p>
        </w:tc>
        <w:tc>
          <w:tcPr>
            <w:tcW w:w="1022" w:type="dxa"/>
            <w:tcBorders>
              <w:top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&lt;0.001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Dyspepsia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1.50(1.01,2.05)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0.010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1.03(0.77,1.39)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0.826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IBS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1.33(1.10,1.62)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0.004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1.07(0.88,1.29)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0.508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Constipation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1.41(1.29,1.55)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&lt;0.001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1.27(1.16,1.39)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&lt;0.001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PUD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1.23(1.00,1.51)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0.049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0.96(0.78,1.17)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0.667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Gastric ulcer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1.43(1.14,1.81)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0.002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1.05(0.84,1.32)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0.669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Duodenal ulcer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0.97(0.67,1.39)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0.868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0.80(0.56,1.15)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0.222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Other PUD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0.85(0.35,2.06)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0.702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0.60(0.26,1.41)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0.235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GERD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1.41(1.30,1.53)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&lt;0.001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1.22(1.13,1.32)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&lt;0.001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IBD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1.35(0.99,1.84)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0.062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1.20(0.88,1.63)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0.253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CD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1.31(0.83,2.07)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0.238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1.14(0.73,1.79)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0.557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UC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1.15(0.78,1.70)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0.476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1.01(0.69,1.49)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0.944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Gallbladder disease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1.21(1.06,1.38)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0.004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1.12(0.99,1.28)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0.079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Cholelithiasis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1.21(1.06,1.39)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0.005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1.12(0.98,1.28)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0.110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Cholecystitis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1.60(1.21,2.12)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0.001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1.49(1.13,1.97)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0.005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Severe liver disease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1.35(1.03,1.77)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0.029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1.18(0.90,1.54)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0.234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NAFLD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1.27(1.10,1.48)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0.001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1.66(1.42,1.93)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&lt;0.001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  <w:t>Pancreatic disease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1.36(1.11,1.66)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0.003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1.48(1.20,1.81)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&lt;0.001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Acute pancreatitis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1.49(1.12,1.98)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0.007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1.64(1.22,2.20)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0.001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Chronic pancreatitis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1.13(0.66,1.94)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0.649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0.95(0.56,1.64)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0.864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Pancreatic cyst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1.49(0.97,2.29)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0.066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1.55(1.00,2.41)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0.048 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9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/>
                <w:i w:val="0"/>
                <w:iCs w:val="0"/>
                <w:color w:val="auto"/>
                <w:sz w:val="24"/>
                <w:szCs w:val="24"/>
                <w:highlight w:val="none"/>
              </w:rPr>
              <w:t>Other pancreatic diseases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1.07(0.76,1.49)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0.697 </w:t>
            </w:r>
          </w:p>
        </w:tc>
        <w:tc>
          <w:tcPr>
            <w:tcW w:w="22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>1.27(0.90,1.79)</w:t>
            </w:r>
          </w:p>
        </w:tc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</w:rPr>
              <w:t xml:space="preserve">0.172 </w:t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i w:val="0"/>
          <w:i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GI,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gastrointestinal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; IBS,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irritable bowel syndrome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; PUD,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peptic ulcer disease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; IBD,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inflammatory bowel disease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;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CD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,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Crohn’s disease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; UC,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ulcerative colitis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;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NAFLD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,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non-alcohol fatty liver diseas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e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  <w:lang w:val="en-US" w:eastAsia="zh-CN"/>
        </w:rPr>
        <w:t>;</w:t>
      </w:r>
    </w:p>
    <w:p>
      <w:pPr>
        <w:widowControl/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  <w:lang w:eastAsia="en-US"/>
        </w:rPr>
      </w:pP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HR: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  <w:lang w:eastAsia="en-US"/>
        </w:rPr>
        <w:t>hazard ratios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; CI: confidence interval;</w:t>
      </w:r>
      <w:r>
        <w:rPr>
          <w:rFonts w:hint="eastAsia"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  <w:lang w:eastAsia="en-US"/>
        </w:rPr>
        <w:t xml:space="preserve">Outcomes were ascertained 30 days after the COVID-19-positive test until the end of 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</w:rPr>
        <w:t>f</w:t>
      </w:r>
      <w:r>
        <w:rPr>
          <w:rFonts w:ascii="Times New Roman" w:hAnsi="Times New Roman" w:cs="Times New Roman"/>
          <w:i w:val="0"/>
          <w:iCs w:val="0"/>
          <w:color w:val="auto"/>
          <w:kern w:val="0"/>
          <w:sz w:val="24"/>
          <w:szCs w:val="24"/>
          <w:highlight w:val="none"/>
          <w:lang w:eastAsia="en-US"/>
        </w:rPr>
        <w:t xml:space="preserve">ollow-up. Weighted HRs after IPTW and 95% CIs are presented. </w:t>
      </w:r>
    </w:p>
    <w:p>
      <w:pP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br w:type="page"/>
      </w:r>
    </w:p>
    <w:p>
      <w:pPr>
        <w:jc w:val="left"/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highlight w:val="none"/>
          <w:lang w:val="en-US" w:eastAsia="zh-CN"/>
        </w:rPr>
        <w:t xml:space="preserve">. Hazard ratio of digestive outcomes compared with contemporary and historical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comparison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highlight w:val="none"/>
          <w:lang w:val="en-US" w:eastAsia="zh-CN"/>
        </w:rPr>
        <w:t>s in subgroups</w:t>
      </w:r>
    </w:p>
    <w:tbl>
      <w:tblPr>
        <w:tblStyle w:val="5"/>
        <w:tblpPr w:leftFromText="180" w:rightFromText="180" w:vertAnchor="text" w:horzAnchor="page" w:tblpXSpec="center" w:tblpY="465"/>
        <w:tblOverlap w:val="never"/>
        <w:tblW w:w="110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581"/>
        <w:gridCol w:w="1359"/>
        <w:gridCol w:w="1190"/>
        <w:gridCol w:w="1265"/>
        <w:gridCol w:w="639"/>
        <w:gridCol w:w="1369"/>
        <w:gridCol w:w="22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0" w:hRule="atLeast"/>
          <w:jc w:val="center"/>
        </w:trPr>
        <w:tc>
          <w:tcPr>
            <w:tcW w:w="1470" w:type="dxa"/>
            <w:vMerge w:val="restar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Outcome</w:t>
            </w:r>
          </w:p>
        </w:tc>
        <w:tc>
          <w:tcPr>
            <w:tcW w:w="1581" w:type="dxa"/>
            <w:vMerge w:val="restar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Subgroup</w:t>
            </w:r>
          </w:p>
        </w:tc>
        <w:tc>
          <w:tcPr>
            <w:tcW w:w="3814" w:type="dxa"/>
            <w:gridSpan w:val="3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COVID-19 vs Contemporary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comparison</w:t>
            </w:r>
          </w:p>
        </w:tc>
        <w:tc>
          <w:tcPr>
            <w:tcW w:w="4216" w:type="dxa"/>
            <w:gridSpan w:val="3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COVID-19 vs Historical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comparison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vMerge w:val="continue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59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</w:t>
            </w:r>
          </w:p>
        </w:tc>
        <w:tc>
          <w:tcPr>
            <w:tcW w:w="1190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1265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Pi</w:t>
            </w:r>
          </w:p>
        </w:tc>
        <w:tc>
          <w:tcPr>
            <w:tcW w:w="639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</w:t>
            </w:r>
          </w:p>
        </w:tc>
        <w:tc>
          <w:tcPr>
            <w:tcW w:w="1369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2208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</w:p>
        </w:tc>
        <w:tc>
          <w:tcPr>
            <w:tcW w:w="1359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90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65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639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369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08" w:type="dxa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0.555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1.28,1.62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1.16,1.47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0.91,1.61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0.757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0.95,1.71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0.72,1.27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1.21,1.5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0.173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1.15,1.42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1.34,1.72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1.07,1.37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0.69,1.57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0.070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0.72,1.68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1.84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1.16,2.91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0.86,2.07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0.85,1.79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0.487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0.73,1.53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1.01,2.2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,1.93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0.146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,1.79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1.14,1.81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1.52,2.46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0.630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0.89,1.25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0.805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1.13,2.02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1.03,1.82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1.14,2.03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Ethnicity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1.25,1.51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0.754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0.891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1.02,2.16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0.83,1.72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0.563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0.77,1.17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0.67,3.1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0.49,2.17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1.31,1.56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0.257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1.14,1.34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0.83,1.62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0.76,1.47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1.03,1.94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0.155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0.94,1.76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0.09,2.12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0.06,1.29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0.336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0.93,1.59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0.16,3.17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0.16,2.96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0.516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1.38,1.91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0.87,2.51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1.03,3.11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1.05,1.37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0.453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0.98,1.28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0.86,2.66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0.69,2.09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0.649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1.21,1.85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0.71,3.88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0.55,2.84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ing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status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 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1.14,1.47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1.04,1.34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Previous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1.23,1.63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0.338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1.02,1.35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0.979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Current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1.21,2.02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1.08,1.79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 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0.71,1.28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Previous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0.97,1.82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0.674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0.78,1.44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Current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0.55,1.9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0.599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 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1.13,1.41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Previous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1.23,1.61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0.811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0.97,1.26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Current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1.25,2.03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0.279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1.16,1.86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0.257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 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0.55,1.61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0.51,1.52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Previous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1.08,2.64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0.89,2.12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Current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0.73,3.2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0.293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,3.12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 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,1.91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0.62,1.47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Previous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1.07,2.34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0.408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1.07,2.35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Current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0.49,1.98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0.611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0.43,1.68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 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1.09,1.68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1.34,2.1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Previous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0.93,1.49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0.410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,1.96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Current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0.83,1.84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0.630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1.28,3.04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 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0.98,1.41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Previous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0.95,1.45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0.587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0.87,1.32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Current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0.73,1.57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0.72,1.59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 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0.99,1.78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1.12,2.04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Previous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1.08,2.06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0.646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1.08,2.08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Current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0.64,1.9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0.532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0.76,2.26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lcohol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consumption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Daily or almost daily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0.95,1.41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Three or four times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0.781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Once or twice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1.17,1.68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0.96,1.36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0.954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One to three times a month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0.86,1.49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0.482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0.72,1.25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Special occasions only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1.12,1.85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0.470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1.01,1.65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1.34,2.27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0.071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1.16,1.94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Daily or almost daily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0.77,1.89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0.66,1.59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Three or four times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0.81,1.95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0.63,1.46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Once or twice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0.58,1.36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One to three times a month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0.51,1.82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0.507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0.39,1.4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Special occasions only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0.45,1.59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0.309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0.33,1.14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1.41,4.51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0.056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0.89,2.73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Daily or almost daily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1.07,1.59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0.87,1.29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Three or four times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1.14,1.61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0.751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1.17,1.66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0.038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Once or twice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1.28,1.75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0.276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1.08,1.46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One to three times a month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0.531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0.85,1.42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Special occasions only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1.11,1.74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0.645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1.04,1.62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1.45,2.48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0.028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0.88,1.45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Daily or almost daily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0.62,2.81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0.49,2.18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Three or four times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0.57,2.45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0.45,1.86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Once or twice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0.92,2.95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0.638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0.98,3.21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One to three times a month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0.62,3.04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0.937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0.62,3.19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Special occasions only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0.37,2.2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0.543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0.47,2.98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1.86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0.69,5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0.569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0.36,2.21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Daily or almost daily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0.45,1.49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0.44,1.48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Three or four times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0.62,2.02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0.454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0.58,1.88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Once or twice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0.42,1.64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0.31,1.18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One to three times a month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3.55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1.47,8.58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2.58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1.18,5.63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Special occasions only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1.44,5.04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1.42,4.88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0.67,3.65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0.202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0.52,2.65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Daily or almost daily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0.84,1.67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1.14,2.33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Three or four times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0.79,1.56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1.21,2.55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Once or twice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0.723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1.18,2.24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One to three times a month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0.87,2.1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0.670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1.02,2.55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Special occasions only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,2.04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0.494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,2.53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0.77,1.85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0.949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0.85,2.07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Daily or almost daily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0.89,1.75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0.78,1.54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Three or four times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0.71,1.29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0.288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Once or twice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1.08,1.76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0.586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0.91,1.47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One to three times a month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0.73,1.6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0.628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0.57,1.25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Special occasions only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0.507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1.12,2.08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0.69,1.56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0.522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Daily or almost daily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0.74,2.08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,2.28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Three or four times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0.48,1.35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0.280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0.65,1.89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Once or twice a week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0.96,2.15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0.567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0.86,1.91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One to three times a month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0.79,2.51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0.668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0.88,2.85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Special occasions only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1.18,3.08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0.192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2.12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,3.46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1.03,3.11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0.292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1.05,3.39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1.16,1.49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1.23,1.58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0.99,1.27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0.047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1.05,1.83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0.72,1.35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0.51,0.94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1.31,1.62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0.400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1.34,1.66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1.19,1.54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0.88,1.12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0.58,1.49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0.026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0.57,1.46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1.25,2.91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,2.24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0.294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0.71,1.82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1.07,2.08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0.86,1.64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0.668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1.43,2.35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1.27,1.9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1.06,1.51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0.462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1.01,1.45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0.86,1.25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0.92,1.68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1.21,2.28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1.12,1.92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1.03,1.78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Heart Failure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1.24,1.49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1.11,1.33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1.82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1.24,2.67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0.76,1.52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0.348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0.84,1.28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0.24,2.26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0.11,0.9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1.29,1.53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0.430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1.15,1.35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1.06,2.84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0.52,1.25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,1.89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0.555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0.92,1.72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0.16,4.41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0.13,2.6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0.91,1.65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0.177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0.655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2.04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1.06,3.93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0.73,2.4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0.010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1.36,1.89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1.48,4.34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1.17,3.13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1.08,1.41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0.096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1.03,1.34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0.35,1.34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0.27,1.01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1.11,1.68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0.618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1.26,1.93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,2.44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0.38,1.66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Renal Failure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0.556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1.14,1.37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1.12,2.03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,1.21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0.951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,1.23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0.61,2.42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0.39,1.47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1.32,1.56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0.131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1.19,1.41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,0.82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0.97,1.87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0.87,1.66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0.51,3.59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0.46,3.09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0.764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0.96,1.69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0.51,2.77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,1.48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1.07,1.46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0.620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1.44,2.01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0.89,2.3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0.82,2.13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1.08,1.41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0.262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1.04,1.37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0.56,1.51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,1.02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1.06,1.62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0.336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,1.87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0.98,3.29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0.74,2.37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sthma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0.821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1.09,1.33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1.09,1.65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0.97,1.46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0.756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0.77,1.2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0.81,2.14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0.59,1.52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0.783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1.18,1.41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,1.15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0.98,1.94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0.753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0.88,1.73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0.58,2.55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0.51,2.17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1.07,1.93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0.281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0.96,1.73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,1.87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0.38,1.36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0.137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1.39,2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1.15,2.1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1.17,2.15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1.02,1.36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0.384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0.99,1.31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1.01,1.86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0.79,1.44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1.09,1.7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0.964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1.23,1.94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0.83,2.18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0.74,1.91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ementia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1.24,1.48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0.146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1.11,1.33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2.05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1.16,3.6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0.51,1.17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0.79,1.19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0.636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1.13,1.33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0.5,2.34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0.41,1.53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0.99,1.85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 w:bidi="ar"/>
              </w:rPr>
              <w:t>NA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0.444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0.89,1.52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3.13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0.27,36.19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,7.48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,1.48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0.440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1.44,1.97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,3.43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0.16,2.08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0.303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0.22,1.72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0.19,1.19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1.12,1.68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0.288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1.22,1.85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0.12,2.79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0.12,2.72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Microsoft JhengHei UI" w:cs="Times New Roman"/>
                <w:b/>
                <w:bCs/>
                <w:sz w:val="24"/>
                <w:szCs w:val="24"/>
                <w:highlight w:val="none"/>
              </w:rPr>
              <w:t xml:space="preserve">Myocardial infarction 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0.448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1.11,1.33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0.487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1.13,2.13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0.81,1.47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0.692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,1.23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0.54,2.15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0.37,1.4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1.27,1.51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0.060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1.15,1.36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1.38,2.72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0.69,1.27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0.86,1.67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0.032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0.79,1.54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3.64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1.41,9.4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2.11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0.91,4.91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0.88,1.59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0.81,1.47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1.43,5.93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0.85,2.92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1.05,1.43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0.120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1.37,1.9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1.82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1.13,2.93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1.23,3.19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1.06,1.38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0.975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1.16,1.76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1.24,1.91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0.33,1.48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0.41,1.91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troke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1.24,1.48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0.152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1.11,1.33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1.22,2.61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0.267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0.82,1.24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0.05,2.88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0.02,0.86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1.31,1.55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0.288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1.14,1.34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0.67,1.77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0.53,1.34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0.564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0.88,1.66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0.49,8.14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0.27,3.57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0.612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0.87,1.51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0.61,5.16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0.55,3.9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1.08,1.46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0.707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1.39,1.92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0.75,2.89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0.96,3.98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1.05,1.37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0.607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0.99,1.29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0.77,2.8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0.58,2.01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1.09,1.65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0.522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1.23,1.89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1.84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0.73,4.65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0.38,1.96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COPD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1.24,1.49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0.515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1.13,1.36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1.12,2.03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0.75,1.3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0.883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,1.23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0.359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0.56,2.41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0.35,1.41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1.29,1.52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0.513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1.17,1.39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1.12,2.21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0.58,1.08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,1.73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0.097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0.84,1.63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1.09,7.99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0.58,3.09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0.98,1.75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0.747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0.88,1.58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0.75,2.92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0.57,2.06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0.177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1.35,1.88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1.09,2.5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1.26,2.9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1.06,1.38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0.891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0.74,1.83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0.56,1.33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1.15,1.75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0.116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1.26,1.94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0.37,1.58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iabetes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1.21,1.47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0.221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1.25,1.95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1.07,1.66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0.048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0.89,1.36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0.36,1.3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0.22,0.77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0.767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1.19,1.41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1.07,1.78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0.63,1.01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0.97,1.9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0.910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0.84,1.65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0.61,2.85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0.63,2.9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0.031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0.72,1.47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1.29,3.11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0.91,2.06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1.01,1.43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0.365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1.48,2.15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1.06,1.88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1.01,1.79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1.15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0.091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0.96,1.28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1.12,2.1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0.84,1.54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1.06,1.65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0.672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1.29,2.04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0.92,2.34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0.64,1.55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BMI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1.22,1.52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0.849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1.04,1.29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1.19,1.62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1.12,1.52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1.12,1.85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0.032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0.81,1.32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0.221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0.61,1.28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0.54,1.14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1.28,1.56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0.844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1.12,1.36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0.608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1.02,1.36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0.94,1.92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0.891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0.89,1.83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0.554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0.76,2.64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0.57,1.89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0.92,1.86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0.859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0.88,1.8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0.91,2.08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0.69,1.55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0.721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,2.05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1.04,1.56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,1.99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0.96,1.35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0.437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0.86,1.21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1.04,1.55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1.03,1.54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0.89,1.5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0.045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1.03,1.76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0.301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&gt;=30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1.77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1.28,2.45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1.22,2.32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Deprivation Index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GI dysfunction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0.732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1.08,1.37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1.22,1.6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1.03,1.34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PUD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0.81,1.45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0.236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0.66,1.19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1.04,1.86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0.77,1.35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GERD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1.23,1.53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0.558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1.16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1.04,1.29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0.182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1.28,1.63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1.15,1.46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IBD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0.99,2.28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0.462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0.81,1.83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0.75,1.88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0.74,1.86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Severe liver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0.83,1.84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0.622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1.41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0.98,2.04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1.28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0.89,1.85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NAFLD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0.92,1.41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0.246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1.44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1.15,1.81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1.11,1.67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1.82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1.47,2.25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Gallbladder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0.98,1.39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0.661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0.84,1.2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1.24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1.03,1.49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1.27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1.05,1.54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Pancreatic disease</w:t>
            </w:r>
          </w:p>
        </w:tc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&lt;mean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0.82,1.47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0.056 </w:t>
            </w:r>
          </w:p>
        </w:tc>
        <w:tc>
          <w:tcPr>
            <w:tcW w:w="63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136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0.95,1.75</w:t>
            </w:r>
          </w:p>
        </w:tc>
        <w:tc>
          <w:tcPr>
            <w:tcW w:w="2208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470" w:type="dxa"/>
            <w:vMerge w:val="continue"/>
            <w:tcBorders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1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&gt;=mean</w:t>
            </w:r>
          </w:p>
        </w:tc>
        <w:tc>
          <w:tcPr>
            <w:tcW w:w="135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1190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1.24,2.15</w:t>
            </w:r>
          </w:p>
        </w:tc>
        <w:tc>
          <w:tcPr>
            <w:tcW w:w="1265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1369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1.23,2.16</w:t>
            </w:r>
          </w:p>
        </w:tc>
        <w:tc>
          <w:tcPr>
            <w:tcW w:w="2208" w:type="dxa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widowControl/>
        <w:spacing w:line="480" w:lineRule="auto"/>
        <w:rPr>
          <w:rFonts w:hint="default" w:ascii="Times New Roman" w:hAnsi="Times New Roman" w:cs="Times New Roman"/>
          <w:color w:val="000000"/>
          <w:spacing w:val="-1"/>
          <w:kern w:val="0"/>
          <w:sz w:val="24"/>
          <w:szCs w:val="24"/>
          <w:highlight w:val="none"/>
        </w:rPr>
      </w:pPr>
    </w:p>
    <w:p>
      <w:pPr>
        <w:widowControl/>
        <w:spacing w:line="480" w:lineRule="auto"/>
        <w:rPr>
          <w:rFonts w:hint="default" w:ascii="Times New Roman" w:hAnsi="Times New Roman" w:cs="Times New Roman"/>
          <w:color w:val="000000"/>
          <w:spacing w:val="-1"/>
          <w:kern w:val="0"/>
          <w:sz w:val="24"/>
          <w:szCs w:val="24"/>
          <w:highlight w:val="none"/>
        </w:rPr>
      </w:pPr>
    </w:p>
    <w:p>
      <w:pPr>
        <w:widowControl/>
        <w:spacing w:line="480" w:lineRule="auto"/>
        <w:rPr>
          <w:rFonts w:hint="default" w:ascii="Times New Roman" w:hAnsi="Times New Roman" w:cs="Times New Roman"/>
          <w:color w:val="000000"/>
          <w:spacing w:val="-1"/>
          <w:kern w:val="0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</w:p>
    <w:p>
      <w:pP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/>
        </w:rPr>
        <w:t>GI, gastrointestinal;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GERD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gastroesophageal reflux disease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/>
        </w:rPr>
        <w:t>PUD, peptic ulcer disease; IBD, inflammatory bowel disease; NAFLD, non-alcohol fatty liver disease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/>
        </w:rPr>
        <w:t>;</w:t>
      </w: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BMI: body mass index; COPD: chronic obstructive pulmonary disease; HR: hazard ratio; CI: confidence interval; Pi: P value for interaction.</w:t>
      </w:r>
    </w:p>
    <w:p>
      <w:pPr>
        <w:spacing w:line="360" w:lineRule="auto"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en-US"/>
        </w:rPr>
        <w:t xml:space="preserve">Weighted HRs after IPTW and 95% CIs are presented. </w:t>
      </w: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br w:type="page"/>
      </w:r>
    </w:p>
    <w:p>
      <w:pPr>
        <w:jc w:val="left"/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Table 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1"/>
          <w:sz w:val="24"/>
          <w:szCs w:val="24"/>
          <w:highlight w:val="none"/>
          <w:lang w:eastAsia="zh-CN"/>
        </w:rPr>
        <w:t xml:space="preserve">Hazard ratio of digestive outcomes in COVID-19 group, the contemporary and historical </w:t>
      </w:r>
      <w:r>
        <w:rPr>
          <w:rFonts w:hint="eastAsia" w:ascii="Times New Roman" w:hAnsi="Times New Roman" w:cs="Times New Roman"/>
          <w:b w:val="0"/>
          <w:bCs w:val="0"/>
          <w:color w:val="000000"/>
          <w:spacing w:val="1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1"/>
          <w:sz w:val="24"/>
          <w:szCs w:val="24"/>
          <w:highlight w:val="none"/>
          <w:lang w:eastAsia="zh-CN"/>
        </w:rPr>
        <w:t xml:space="preserve"> by sex</w:t>
      </w:r>
    </w:p>
    <w:tbl>
      <w:tblPr>
        <w:tblStyle w:val="5"/>
        <w:tblpPr w:leftFromText="180" w:rightFromText="180" w:vertAnchor="text" w:horzAnchor="page" w:tblpXSpec="center" w:tblpY="91"/>
        <w:tblOverlap w:val="never"/>
        <w:tblW w:w="119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1350"/>
        <w:gridCol w:w="913"/>
        <w:gridCol w:w="1575"/>
        <w:gridCol w:w="1350"/>
        <w:gridCol w:w="812"/>
        <w:gridCol w:w="1938"/>
        <w:gridCol w:w="16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Outcome</w:t>
            </w:r>
          </w:p>
        </w:tc>
        <w:tc>
          <w:tcPr>
            <w:tcW w:w="1350" w:type="dxa"/>
            <w:vMerge w:val="restart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Subgroup</w:t>
            </w:r>
          </w:p>
        </w:tc>
        <w:tc>
          <w:tcPr>
            <w:tcW w:w="3838" w:type="dxa"/>
            <w:gridSpan w:val="3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COVID-19 vs Contemporary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comparison</w:t>
            </w:r>
          </w:p>
        </w:tc>
        <w:tc>
          <w:tcPr>
            <w:tcW w:w="4375" w:type="dxa"/>
            <w:gridSpan w:val="3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COVID-19 vs Historical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comparison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continue"/>
            <w:tcBorders>
              <w:bottom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13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</w:t>
            </w:r>
          </w:p>
        </w:tc>
        <w:tc>
          <w:tcPr>
            <w:tcW w:w="1575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1350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Pi</w:t>
            </w:r>
          </w:p>
        </w:tc>
        <w:tc>
          <w:tcPr>
            <w:tcW w:w="812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HR</w:t>
            </w:r>
          </w:p>
        </w:tc>
        <w:tc>
          <w:tcPr>
            <w:tcW w:w="1938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95% CI</w:t>
            </w:r>
          </w:p>
        </w:tc>
        <w:tc>
          <w:tcPr>
            <w:tcW w:w="1625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GI dysfunction</w:t>
            </w:r>
          </w:p>
        </w:tc>
        <w:tc>
          <w:tcPr>
            <w:tcW w:w="1350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913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1.48</w:t>
            </w:r>
          </w:p>
        </w:tc>
        <w:tc>
          <w:tcPr>
            <w:tcW w:w="1575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,1.69</w:t>
            </w:r>
          </w:p>
        </w:tc>
        <w:tc>
          <w:tcPr>
            <w:tcW w:w="1350" w:type="dxa"/>
            <w:vMerge w:val="restart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0.142</w:t>
            </w:r>
          </w:p>
        </w:tc>
        <w:tc>
          <w:tcPr>
            <w:tcW w:w="812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1.29</w:t>
            </w:r>
          </w:p>
        </w:tc>
        <w:tc>
          <w:tcPr>
            <w:tcW w:w="1938" w:type="dxa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1.13,1.46</w:t>
            </w:r>
          </w:p>
        </w:tc>
        <w:tc>
          <w:tcPr>
            <w:tcW w:w="1625" w:type="dxa"/>
            <w:vMerge w:val="restart"/>
            <w:tcBorders>
              <w:top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1.29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1.15,1.46</w:t>
            </w:r>
          </w:p>
        </w:tc>
        <w:tc>
          <w:tcPr>
            <w:tcW w:w="1350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,1.28</w:t>
            </w:r>
          </w:p>
        </w:tc>
        <w:tc>
          <w:tcPr>
            <w:tcW w:w="1625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PUD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0.97,1.69</w:t>
            </w:r>
          </w:p>
        </w:tc>
        <w:tc>
          <w:tcPr>
            <w:tcW w:w="1350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0.700</w:t>
            </w: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,1.21</w:t>
            </w:r>
          </w:p>
        </w:tc>
        <w:tc>
          <w:tcPr>
            <w:tcW w:w="1625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1.17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0.86,1.59</w:t>
            </w:r>
          </w:p>
        </w:tc>
        <w:tc>
          <w:tcPr>
            <w:tcW w:w="1350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1.00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0.74,1.36</w:t>
            </w:r>
          </w:p>
        </w:tc>
        <w:tc>
          <w:tcPr>
            <w:tcW w:w="1625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GERD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1.41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1.25,1.59</w:t>
            </w:r>
          </w:p>
        </w:tc>
        <w:tc>
          <w:tcPr>
            <w:tcW w:w="1350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0.963</w:t>
            </w: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1.08,1.38</w:t>
            </w:r>
          </w:p>
        </w:tc>
        <w:tc>
          <w:tcPr>
            <w:tcW w:w="1625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36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1.42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1.27,1.58</w:t>
            </w:r>
          </w:p>
        </w:tc>
        <w:tc>
          <w:tcPr>
            <w:tcW w:w="1350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1.22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,1.36</w:t>
            </w:r>
          </w:p>
        </w:tc>
        <w:tc>
          <w:tcPr>
            <w:tcW w:w="1625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IBD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1.56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1.02,2.38</w:t>
            </w:r>
          </w:p>
        </w:tc>
        <w:tc>
          <w:tcPr>
            <w:tcW w:w="1350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0.371</w:t>
            </w: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0.82,1.88</w:t>
            </w:r>
          </w:p>
        </w:tc>
        <w:tc>
          <w:tcPr>
            <w:tcW w:w="1625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1.17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0.74,1.84</w:t>
            </w:r>
          </w:p>
        </w:tc>
        <w:tc>
          <w:tcPr>
            <w:tcW w:w="1350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1.15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0.73,1.81</w:t>
            </w:r>
          </w:p>
        </w:tc>
        <w:tc>
          <w:tcPr>
            <w:tcW w:w="1625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Severe liver disease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1.50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1.08,2.08</w:t>
            </w:r>
          </w:p>
        </w:tc>
        <w:tc>
          <w:tcPr>
            <w:tcW w:w="1350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0.270</w:t>
            </w: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0.93,1.77</w:t>
            </w:r>
          </w:p>
        </w:tc>
        <w:tc>
          <w:tcPr>
            <w:tcW w:w="1625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1.07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0.67,1.73</w:t>
            </w:r>
          </w:p>
        </w:tc>
        <w:tc>
          <w:tcPr>
            <w:tcW w:w="1350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,1.55</w:t>
            </w:r>
          </w:p>
        </w:tc>
        <w:tc>
          <w:tcPr>
            <w:tcW w:w="1625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NAFLD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0.94,1.43</w:t>
            </w:r>
          </w:p>
        </w:tc>
        <w:tc>
          <w:tcPr>
            <w:tcW w:w="1350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0.275</w:t>
            </w: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1.65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1.32,2.06</w:t>
            </w:r>
          </w:p>
        </w:tc>
        <w:tc>
          <w:tcPr>
            <w:tcW w:w="1625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1.38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1.12,1.7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350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1.65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1.33,2.05</w:t>
            </w:r>
          </w:p>
        </w:tc>
        <w:tc>
          <w:tcPr>
            <w:tcW w:w="1625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Gallbladder disease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1.02,1.51</w:t>
            </w:r>
          </w:p>
        </w:tc>
        <w:tc>
          <w:tcPr>
            <w:tcW w:w="1350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0.793</w:t>
            </w: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0.93,1.38</w:t>
            </w:r>
          </w:p>
        </w:tc>
        <w:tc>
          <w:tcPr>
            <w:tcW w:w="1625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1.19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1.01,1.42</w:t>
            </w:r>
          </w:p>
        </w:tc>
        <w:tc>
          <w:tcPr>
            <w:tcW w:w="1350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1.12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0.95,1.33</w:t>
            </w:r>
          </w:p>
        </w:tc>
        <w:tc>
          <w:tcPr>
            <w:tcW w:w="1625" w:type="dxa"/>
            <w:vMerge w:val="continue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Pancreatic disease</w:t>
            </w:r>
          </w:p>
        </w:tc>
        <w:tc>
          <w:tcPr>
            <w:tcW w:w="1350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913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1.11</w:t>
            </w:r>
          </w:p>
        </w:tc>
        <w:tc>
          <w:tcPr>
            <w:tcW w:w="1575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0.82,1.48</w:t>
            </w:r>
          </w:p>
        </w:tc>
        <w:tc>
          <w:tcPr>
            <w:tcW w:w="1350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</w:t>
            </w:r>
          </w:p>
        </w:tc>
        <w:tc>
          <w:tcPr>
            <w:tcW w:w="812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</w:t>
            </w:r>
          </w:p>
        </w:tc>
        <w:tc>
          <w:tcPr>
            <w:tcW w:w="1938" w:type="dxa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0.93,1.7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625" w:type="dxa"/>
            <w:vMerge w:val="restart"/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365" w:type="dxa"/>
            <w:vMerge w:val="continue"/>
            <w:tcBorders>
              <w:bottom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50" w:type="dxa"/>
            <w:tcBorders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913" w:type="dxa"/>
            <w:tcBorders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1.24,2.14</w:t>
            </w:r>
          </w:p>
        </w:tc>
        <w:tc>
          <w:tcPr>
            <w:tcW w:w="1350" w:type="dxa"/>
            <w:vMerge w:val="continue"/>
            <w:tcBorders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12" w:type="dxa"/>
            <w:tcBorders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1.69</w:t>
            </w:r>
          </w:p>
        </w:tc>
        <w:tc>
          <w:tcPr>
            <w:tcW w:w="1938" w:type="dxa"/>
            <w:tcBorders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1.28,2.24</w:t>
            </w:r>
          </w:p>
        </w:tc>
        <w:tc>
          <w:tcPr>
            <w:tcW w:w="1625" w:type="dxa"/>
            <w:vMerge w:val="continue"/>
            <w:tcBorders>
              <w:bottom w:val="single" w:color="auto" w:sz="8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widowControl/>
        <w:jc w:val="left"/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GI, gastrointestinal;</w:t>
      </w:r>
      <w:r>
        <w:rPr>
          <w:rFonts w:ascii="Times New Roman" w:hAnsi="Times New Roman"/>
          <w:sz w:val="24"/>
          <w:szCs w:val="24"/>
          <w:highlight w:val="none"/>
        </w:rPr>
        <w:t>GERD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sz w:val="24"/>
          <w:szCs w:val="24"/>
          <w:highlight w:val="none"/>
        </w:rPr>
        <w:t>gastroesophageal reflux disease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>;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PUD, peptic ulcer disease; IBD, inflammatory bowel disease; NAFLD, non-alcohol fatty liver disease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>;</w:t>
      </w:r>
    </w:p>
    <w:p>
      <w:pPr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HR: hazard ratio; CI: confidence interval; Pi: P value for interaction.</w:t>
      </w: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en-US"/>
        </w:rPr>
        <w:t xml:space="preserve">Weighted HRs after IPTW and 95% CIs are presented. </w:t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br w:type="page"/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COVID-19 group and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historical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s before weighting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6"/>
        <w:gridCol w:w="2196"/>
        <w:gridCol w:w="2223"/>
        <w:gridCol w:w="7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COVID-19 group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112 311）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370 979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75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54.43 (8.19)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56.94 (7.97)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50 816 (45.2)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166 904 (45.0)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106 315 (94.7)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350 562 (94.5)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19 465 (17.3)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87 290 (23.5)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26 102 (23.2)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97 269 (26.2)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31 853 (28.4)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94 903 (25.6)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27 297 (24.3)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71 710 (19.3)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7 594 (6.8)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19 807 (5.3)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-1.38 (3.00)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-1.30 (3.10)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27.47 (4.82)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27.39 (4.76)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21 925 (19.5)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75 808 (20.4)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28 027 (25.0)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84 054 (22.7)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30 734 (27.4)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94 503 (25.5)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12 790 (11.4)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41 435 (11.2)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11 298 (10.1)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44 263 (11.9)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7 537 (6.7)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30 916 (8.3)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63 505 (56.5)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204 121 (55.0)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38 875 (34.6)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127 264 (34.3)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9 931 (8.8)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39 594 (10.7)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2536.46 (2603.69)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2683.22 (2740.86)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38 023 (33.9)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139 121 (37.5)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8 384 (7.5)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30 043 (8.1)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4 646 (4.1)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17 084 (4.6)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4 557 (4.1)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17 795 (4.8)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2 706 (2.4)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11 228 (3.0)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4 377 (3.9)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17 197 (4.6)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17 231 (15.3)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50 073 (13.5)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2 356 (2.1)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10 127 (2.7)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1 060 (0.9) 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3 788 (1.0)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1.0(1.9)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History of previous digestive diseases, n(%)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37 375 (33.3) </w:t>
            </w:r>
          </w:p>
        </w:tc>
        <w:tc>
          <w:tcPr>
            <w:tcW w:w="22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109 941 (29.6) 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0.079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COVID-19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group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and historical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s after weighting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6"/>
        <w:gridCol w:w="2196"/>
        <w:gridCol w:w="2223"/>
        <w:gridCol w:w="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491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COVID-19 group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112 311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370 979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56.3(8.1)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56.4(8.1)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61 322(54.6)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203 667(54.9)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106 246(94.6)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350 575(94.5)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24 596(21.9)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81 986(22.1)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28 639(25.5)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94 600(25.5)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29 538(26.3)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97 196(26.2)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23 248(20.7)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76 051(20.5)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6 402(5.7)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21 146(5.7)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-1.3(3.0)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-1.3(3.1)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27.4(4.7)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27.4(4.8)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22 911(20.4)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74 938(20.2)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26 168(23.3)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86 067(23.2)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29 089(25.9)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96 084(25.9)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12 467(11.1)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41 550(11.2)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12 803(11.4)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42 663(11.5)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8 985(8)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29 678(8)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62 220(55.4)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205 522(55.4)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38 635(34.4)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127 617(34.4)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11 456(10.2)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37 840(10.2)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2645.2(2702.9)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2648.5(2711.0)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41 106(36.6)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136 149(36.7)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873(7.9)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29 678(8)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5 054(4.5)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16 694(4.5)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5 166(4.6)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17 065(4.6)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3 032(2.7)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10 758(2.9)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5 054(4.5)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16 694(4.5)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15 724(14)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51 566(13.9)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2 920(2.6)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9 645(2.6)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1 123(1)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3 710(1)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0.9(1.7)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0.9(1.8)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91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History of previous digestive diseases, n(%)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34 030(30.3)</w:t>
            </w:r>
          </w:p>
        </w:tc>
        <w:tc>
          <w:tcPr>
            <w:tcW w:w="22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113 149(30.5)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eastAsia="AdvTT115fdb09 . B" w:cs="Times New Roman"/>
          <w:b w:val="0"/>
          <w:bCs w:val="0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S20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COVID-19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group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and historical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s by severity of COVID-19 before weighting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153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6"/>
        <w:gridCol w:w="1963"/>
        <w:gridCol w:w="1795"/>
        <w:gridCol w:w="1330"/>
        <w:gridCol w:w="1775"/>
        <w:gridCol w:w="1702"/>
        <w:gridCol w:w="1791"/>
        <w:gridCol w:w="18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3156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1963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Non-hospitalized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 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104 201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795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Hospitalized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7 523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330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Severe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588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775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370 979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5324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exact"/>
          <w:jc w:val="center"/>
        </w:trPr>
        <w:tc>
          <w:tcPr>
            <w:tcW w:w="3156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63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5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330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0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Non-hospitalized COVID and 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179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Hospitalized COVID and 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183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Severe COVID and 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54.02(8.09)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59.84(7.55)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57.78(7.99)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56.94(7.97)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0.365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57 959(55.6)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3 324(44.2)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212(36.1)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166 904 (45.0)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0.218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98 873(94.9)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6 951(92.4)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492(83.7)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350 562 (94.5)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0.322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16 497(15.8)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2 741(36.4)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227(38.6)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87 290 (23.5)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23 945(23.0)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2 003(26.6)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154(26.2)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97 269 (26.2)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30 165(28.9)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1 567(20.8)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122(20.7)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94 903 (25.6)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26 266(25.2)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961(12.8)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70(11.9)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71 710 (19.3)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7 328(7.0)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251(3.3)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15(2.6)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19 807 ( 5.3)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-1.46(2.95)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-0.43(3.40)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0.16(3.54)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-1.30 (3.10)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0.268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27.33(4.72)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29.23(5.63)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30.61(5.78)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27.39 (4.76)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0.353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0.129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20 416(19.6)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1 414(18.8)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96(16.3)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75 808 (20.4)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26 582(25.5)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1353(18.0)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92(15.6)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84 054 (22.7)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28 762(27.6)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1 825(24.3)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147(25.0)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94 503 (25.5)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11 927(11.4)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799(10.6)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64(10.9)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41 435 (11.2)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10 034(9.6)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1 168(15.5)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96(16.3)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44 263 (11.9)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6 480(6.2)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964(12.8)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93(15.8)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30 916 ( 8.3)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0.217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59 921(57.5)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3 335(44.3)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250(42.5)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204 121 (55.0)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35 500(34.1)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3 115(41.4)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260(44.2)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127 264 (34.3)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8 780(8.4)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1 073(14.3)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78(13.3)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39 594 (10.7)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2529.22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(2585.74)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2623.26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(2813.78)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2707.49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(2935.05)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2683.22 (2740.86)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33 161(31.8)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4 523(60.1)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339(57.7)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139 121 (37.5)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0.465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6 579(6.3)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1 678(22.3)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127(21.6)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30 043 ( 8.1)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0.069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3 515(3.4)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1 050(14.0)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81(13.8)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17 084 ( 4.6)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0.327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3 599(3.5)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890(11.8)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68(11.6)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17 795 ( 4.8)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0.257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2 056(2.0)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623(8.3)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27(4.6)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11 228 ( 3.0)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0.229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3 174(3.0)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1 123(14.9)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80(13.6)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17 197 ( 4.6)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15 561(14.9)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1 534(20.4)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136(23.1)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50 073 (13.5)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1 607(1.5)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714(9.5)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35(6.0)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10 127 ( 2.7)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0.285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732(0.7)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321(4.3)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7(1.2)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3 788 ( 1.0)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0.203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  <w:jc w:val="center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0.8(1.5)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3.5(4.0)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2.1(2.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0.036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0.854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exact"/>
          <w:jc w:val="center"/>
        </w:trPr>
        <w:tc>
          <w:tcPr>
            <w:tcW w:w="315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History of previous digestive diseases, n(%)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33 024(31.7)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4 085(54.3)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266(45.2)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109 941 (29.6) 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0.045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0.516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0.327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cs="Times New Roman" w:eastAsiaTheme="minorEastAsia"/>
          <w:b w:val="0"/>
          <w:bCs w:val="0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S21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Baseline characteristics of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COVID-19 group and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historical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s by severity of COVID-19 after weighting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156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8"/>
        <w:gridCol w:w="1831"/>
        <w:gridCol w:w="1736"/>
        <w:gridCol w:w="1575"/>
        <w:gridCol w:w="1644"/>
        <w:gridCol w:w="1939"/>
        <w:gridCol w:w="1775"/>
        <w:gridCol w:w="18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3288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1831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Non-hospitalized COVID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104 201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736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Hospitalized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7 523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575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Severe COVID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588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644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370 979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5539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exact"/>
          <w:jc w:val="center"/>
        </w:trPr>
        <w:tc>
          <w:tcPr>
            <w:tcW w:w="3288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31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36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75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44" w:type="dxa"/>
            <w:vMerge w:val="continue"/>
            <w:tcBorders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3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Non-hospitalized COVID and 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177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Hospitalized COVID and 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182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Severe COVID and 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56.3(8.0)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57.0(8.3)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57.6(7.6)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56.4(8.1)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57 102(54.8)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3 972(52.8)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288(49)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203 667(54.9)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98 574(94.6)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7 072(94)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550(93.5)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350 575(94.5)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22 507(21.6)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1 873(24.9)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151(25.6)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81 986(22.1)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26 467(25.4)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1 948(25.9)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167(28.4)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94 600(25.5)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27 509(26.4)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1 933(25.7)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142(24.1)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97 196(26.2)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21 674(20.8)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1 384(18.4)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100(17)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76 051(20.5)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6 044(5.8)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391(5.2)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29(4.9)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21 146(5.7)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-1.46(2.95)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-0.43(3.40)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0.16(3.54)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-1.3(3.1)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27.33(4.72)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29.23(5.63)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30.61(5.78)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27.4(4.8)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21 257(20.4)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1 550(20.6)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105(17.9)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74 938(20.2)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24 383(23.4)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1 610(21.4)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116(19.8)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86 067(23.2)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26 988(25.9)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1 836(24.4)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146(24.9)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96 084(25.9)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11 566(11.1)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895(11.9)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82(13.9)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41 550(11.2)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11 775(11.3)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955(12.7)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67(11.4)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42 663(11.5)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8 232(7.9)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677(9)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71(12)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29 678(8)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58 040(55.7)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3 950(52.5)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320(54.5)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205 522(55.4)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35 741(34.3)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2 723(36.2)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193(32.8)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127 617(34.4)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10 420(10.0)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850(11.3)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75(12.7)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37 840(10.2)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2643.0(2695.1)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2637.9(2707.0)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2639.3(2714.8)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2648.5(2711.0)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37 721(36.2)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3 024(40.2)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259(44.1)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136 149(36.7)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0.044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8 023(7.7)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722(9.6)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68(11.6)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29 678(8)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4 481(4.3)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451(6)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36(6.1)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16 694(4.5)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4 689(4.5)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436(5.8)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39(6.7)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17 065(4.6)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2 918(2.8)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278(3.7)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23(3.9)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10 758(2.9)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0.032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4 481(4.3)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474(6.3)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40(6.8)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16 694(4.5)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14 380(13.8)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1 106(14.7)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96(16.4)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51 566(13.9)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2 605(2.5)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308(4.1)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31(5.2)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9 645(2.6)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0.063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1 042(1)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120(1.6)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3(0.5)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3 710(1)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0.9(1.6)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1.4(1.9)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1.3(1.8)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0.9(1.8)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0.188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exact"/>
          <w:jc w:val="center"/>
        </w:trPr>
        <w:tc>
          <w:tcPr>
            <w:tcW w:w="32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History of previous digestive diseases, n(%)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31 365(30.1)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2 197(29.2)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199(33.8)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113 149(30.5)</w:t>
            </w:r>
          </w:p>
        </w:tc>
        <w:tc>
          <w:tcPr>
            <w:tcW w:w="193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7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</w:tbl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spacing w:line="360" w:lineRule="auto"/>
        <w:jc w:val="both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Table 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22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Baseline characteristics of COVID-19 group 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histo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in the sensitive analysis restricting to the period before vaccination was available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before weighting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9"/>
        <w:gridCol w:w="2196"/>
        <w:gridCol w:w="2480"/>
        <w:gridCol w:w="9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  <w:jc w:val="center"/>
        </w:trPr>
        <w:tc>
          <w:tcPr>
            <w:tcW w:w="452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COVID-19 group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8 431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Historical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370 979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54.39(8.82)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56.94(7.97)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4 280(50.8)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204 075(55.0)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7 771(92.2)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350 562(94.5)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2 147(25.5)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87 290(23.5)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2 119(25.1)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97 269(26.2)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2 236(26.5)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94 903(25.6)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1 546(18.3)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71 710(19.3)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383(4.5)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19 807(5.3)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-0.73(3.27)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-1.30(3.10)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28.43(5.07)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27.39(4.76)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1 408(16.7)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75 808(20.4)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1 843(21.9)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84 054(22.7)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2 394(28.4)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94 503(25.5)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965(11.4)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41 435(11.2)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1 004(11.9)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44 263(11.9)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817(9.7)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30 916(8.3)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4 322(51.3)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204 121(55.0)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3 115(36.9)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127 264(34.3)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994(11.8)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39 594(10.7)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2734.76(2828.44)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2683.22(2740.86)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3 411(40.5)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139 121(37.5)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1 005(11.9)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30 043(8.1)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573(6.8)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17 084(4.6)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547(6.5)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17 795(4.8)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398(4.7)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11 228(3.0)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616(7.3)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17 197(4.6)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1 382(16.4)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50 073(13.5)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385(4.6)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10 127(2.7)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345(4.1)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3 788(1.0)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Recent hospital admissions,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History of previous digestive diseases, n(%)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3 286(39.0)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109 941(29.6)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0.198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spacing w:line="360" w:lineRule="auto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Table 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23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 xml:space="preserve">Baseline characteristics of COVID-19 group and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historical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in the sensitive analysis restricting to the period before vaccination was available after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weighting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</w:p>
    <w:tbl>
      <w:tblPr>
        <w:tblStyle w:val="6"/>
        <w:tblpPr w:leftFromText="180" w:rightFromText="180" w:vertAnchor="text" w:horzAnchor="page" w:tblpXSpec="center" w:tblpY="504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9"/>
        <w:gridCol w:w="2196"/>
        <w:gridCol w:w="2480"/>
        <w:gridCol w:w="9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  <w:jc w:val="center"/>
        </w:trPr>
        <w:tc>
          <w:tcPr>
            <w:tcW w:w="452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21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COVID-19 group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8 431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Historical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comparison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 xml:space="preserve">(n =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370 979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SMD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Age, mean(SD), years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56.1(8.6)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56.4(8.1)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Sex, female,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527(53.7)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204038(55)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Ethnicity, White,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950(94.3)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350575(94.5)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Household income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&lt;18 000,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939(23)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81986(22.1)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18 000-30 999,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099(24.9)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94600(25.5)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31 000-51 999,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192(26)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97196(26.2)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52 000-100 000,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720(20.4)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76051(20.5)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&gt;100 000,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481(5.7)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21146(5.7)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Deprivation index,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-1.2(3.1)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-1.3(3.1)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BMI, mean(SD), kg/m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  <w:vertAlign w:val="superscript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27.6(4.6)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27.4(4.8)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Alcohol consumption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Daily or almost daily,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728(20.5)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74938(20.2)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Three or four times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931(22.9)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86067(23.2)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Once or twice a week,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158(25.6)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96084(25.9)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One to three times a month,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944(11.2)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41550(11.2)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Special occasions only or 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986(11.7)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42663(11.5)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683(8.1)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29678(8)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Smoking status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Never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586(54.4)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205522(55.4)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Previous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917(34.6)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127617(34.4)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Current smoker,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936(11.1)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37840(10.2)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Physical activity, mean(SD), MET minutes/week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2665.8(2691.2)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2648.3(2710.2)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Comorbidities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Hypertension,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178(37.7)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136149(36.7)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iabetes,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725(8.6)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29307(7.9)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Renal failure,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379(4.5)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16694(4.5)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 xml:space="preserve">Myocardial infarction, n(%) 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405(4.8)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17065(4.6)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Stroke,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278(3.3)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10758(2.9)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COPD,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413(4.9)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16694(4.5)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Asthma,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214(14.4)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51566(13.9)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Heart failure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236(2.8)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9645(2.6)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jc w:val="left"/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Dementia</w:t>
            </w:r>
            <w:r>
              <w:rPr>
                <w:rFonts w:hint="default" w:ascii="Times New Roman" w:hAnsi="Times New Roman" w:eastAsia="Microsoft JhengHei UI" w:cs="Times New Roman"/>
                <w:b w:val="0"/>
                <w:bCs w:val="0"/>
                <w:sz w:val="24"/>
                <w:szCs w:val="24"/>
                <w:highlight w:val="none"/>
              </w:rPr>
              <w:t>, n(%)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101(1.2)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3710(1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</w:rPr>
              <w:t>Recent hospital admissions, mean(SD)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 (1.8)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 (1.8)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52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History of previous digestive diseases, n(%)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3 263(38.7)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110 552(29.8)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</w:rPr>
        <w:t>SMD: standard mean difference; BMI: body mass index; MET: metabolic equivalent of task; COPD: chronic obstructive pulmonary disease; SD: standard deviatio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n</w:t>
      </w:r>
    </w:p>
    <w:p>
      <w:pP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br w:type="page"/>
      </w:r>
    </w:p>
    <w:p>
      <w:pPr>
        <w:jc w:val="left"/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Table S24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. Hazard ratio of digestive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outcomes in COVID-19 group and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the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historical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eastAsia="zh-CN"/>
        </w:rPr>
        <w:t>comparison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by severity of COVID-19</w:t>
      </w:r>
    </w:p>
    <w:tbl>
      <w:tblPr>
        <w:tblStyle w:val="5"/>
        <w:tblW w:w="750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solid" w:color="FFFFFF" w:themeColor="background1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3"/>
        <w:gridCol w:w="2647"/>
        <w:gridCol w:w="115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bottom w:val="single" w:color="auto" w:sz="12" w:space="0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Outcome</w:t>
            </w:r>
          </w:p>
        </w:tc>
        <w:tc>
          <w:tcPr>
            <w:tcW w:w="2647" w:type="dxa"/>
            <w:tcBorders>
              <w:bottom w:val="single" w:color="auto" w:sz="12" w:space="0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 (95% CI)</w:t>
            </w:r>
          </w:p>
        </w:tc>
        <w:tc>
          <w:tcPr>
            <w:tcW w:w="1153" w:type="dxa"/>
            <w:tcBorders>
              <w:bottom w:val="single" w:color="auto" w:sz="12" w:space="0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P 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3703" w:type="dxa"/>
            <w:tcBorders>
              <w:top w:val="single" w:color="auto" w:sz="12" w:space="0"/>
              <w:bottom w:val="nil"/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  <w:t>GI dysfunction</w:t>
            </w:r>
          </w:p>
        </w:tc>
        <w:tc>
          <w:tcPr>
            <w:tcW w:w="2647" w:type="dxa"/>
            <w:tcBorders>
              <w:top w:val="single" w:color="auto" w:sz="12" w:space="0"/>
              <w:bottom w:val="nil"/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3" w:type="dxa"/>
            <w:tcBorders>
              <w:top w:val="single" w:color="auto" w:sz="12" w:space="0"/>
              <w:bottom w:val="nil"/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3703" w:type="dxa"/>
            <w:tcBorders>
              <w:top w:val="nil"/>
              <w:bottom w:val="nil"/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Non-hospitalized COVID  </w:t>
            </w:r>
          </w:p>
        </w:tc>
        <w:tc>
          <w:tcPr>
            <w:tcW w:w="2647" w:type="dxa"/>
            <w:tcBorders>
              <w:top w:val="nil"/>
              <w:bottom w:val="nil"/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1.03(0.93,1.14)</w:t>
            </w:r>
          </w:p>
        </w:tc>
        <w:tc>
          <w:tcPr>
            <w:tcW w:w="1153" w:type="dxa"/>
            <w:tcBorders>
              <w:top w:val="nil"/>
              <w:bottom w:val="nil"/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0.549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3703" w:type="dxa"/>
            <w:tcBorders>
              <w:top w:val="nil"/>
              <w:bottom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Hospitalized COVID</w:t>
            </w:r>
          </w:p>
        </w:tc>
        <w:tc>
          <w:tcPr>
            <w:tcW w:w="2647" w:type="dxa"/>
            <w:tcBorders>
              <w:top w:val="nil"/>
              <w:bottom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3.33(2.68,4.13)</w:t>
            </w:r>
          </w:p>
        </w:tc>
        <w:tc>
          <w:tcPr>
            <w:tcW w:w="1153" w:type="dxa"/>
            <w:tcBorders>
              <w:top w:val="nil"/>
              <w:bottom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3703" w:type="dxa"/>
            <w:tcBorders>
              <w:top w:val="nil"/>
              <w:bottom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Severe COVID </w:t>
            </w:r>
          </w:p>
        </w:tc>
        <w:tc>
          <w:tcPr>
            <w:tcW w:w="2647" w:type="dxa"/>
            <w:tcBorders>
              <w:top w:val="nil"/>
              <w:bottom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2.74(1.42,5.28)</w:t>
            </w:r>
          </w:p>
        </w:tc>
        <w:tc>
          <w:tcPr>
            <w:tcW w:w="1153" w:type="dxa"/>
            <w:tcBorders>
              <w:top w:val="nil"/>
              <w:bottom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0.003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op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UD</w:t>
            </w:r>
          </w:p>
        </w:tc>
        <w:tc>
          <w:tcPr>
            <w:tcW w:w="2647" w:type="dxa"/>
            <w:tcBorders>
              <w:top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3" w:type="dxa"/>
            <w:tcBorders>
              <w:top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op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Non-hospitalized COVID  </w:t>
            </w:r>
          </w:p>
        </w:tc>
        <w:tc>
          <w:tcPr>
            <w:tcW w:w="2647" w:type="dxa"/>
            <w:tcBorders>
              <w:top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1.01(0.81,1.25)</w:t>
            </w:r>
          </w:p>
        </w:tc>
        <w:tc>
          <w:tcPr>
            <w:tcW w:w="1153" w:type="dxa"/>
            <w:tcBorders>
              <w:top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0.935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Hospitalized COVID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1.13(0.60,2.14)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0.701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Severe COVID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1.03(0.25,4.26)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0.971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G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ERD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Non-hospitalized COVID 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1.20(1.10,1.31)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Hospitalized COVID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1.78(1.38,2.29)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Severe COVID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2.14(1.01,4.53)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0.047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I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BD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Non-hospitalized COVID 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1.08(0.77,1.53)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0.644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Hospitalized COVID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1.78(0.78,4.10)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0.172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Severe COVID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Gallbladder disease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Non-hospitalized COVID 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1.03(0.89,1.19)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0.654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Hospitalized COVID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1.96(1.40,2.75)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Severe COVID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2.66(0.90,7.84)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0.076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Severe liver disease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Non-hospitalized COVID 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0.92(0.66,1.28)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0.622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Hospitalized COVID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2.80(1.65,4.73)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Severe COVID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3.41(0.41,28.40)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0.257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eastAsia="zh-CN"/>
              </w:rPr>
              <w:t>NAFLD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Non-hospitalized COVID 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1.61(1.35,1.91)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Hospitalized COVID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2.46(1.61,3.76)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Severe COVID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1.61(0.47,5.49)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0.446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Pancreatic disease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Non-hospitalized COVID 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1.16(0.91,1.48)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0.232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FFFFFF" w:themeColor="background1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Hospitalized COVID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3.37(2.28,4.99)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70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  Severe COVID </w:t>
            </w:r>
          </w:p>
        </w:tc>
        <w:tc>
          <w:tcPr>
            <w:tcW w:w="2647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3.30(0.54,20.10)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solid" w:color="FFFFFF" w:themeColor="background1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0.195 </w:t>
            </w:r>
          </w:p>
        </w:tc>
      </w:tr>
    </w:tbl>
    <w:p>
      <w:pPr>
        <w:widowControl/>
        <w:jc w:val="left"/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GI, gastrointestinal;</w:t>
      </w:r>
      <w:r>
        <w:rPr>
          <w:rFonts w:ascii="Times New Roman" w:hAnsi="Times New Roman"/>
          <w:sz w:val="24"/>
          <w:szCs w:val="24"/>
          <w:highlight w:val="none"/>
        </w:rPr>
        <w:t>GERD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sz w:val="24"/>
          <w:szCs w:val="24"/>
          <w:highlight w:val="none"/>
        </w:rPr>
        <w:t>gastroesophageal reflux disease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>;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>PUD, peptic ulcer disease; IBD, inflammatory bowel disease; NAFLD, non-alcohol fatty liver disease</w:t>
      </w:r>
      <w:r>
        <w:rPr>
          <w:rFonts w:hint="eastAsia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val="en-US" w:eastAsia="zh-CN" w:bidi="ar"/>
        </w:rPr>
        <w:t>;</w:t>
      </w:r>
    </w:p>
    <w:p>
      <w:pPr>
        <w:widowControl/>
        <w:jc w:val="left"/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eastAsia="Microsoft JhengHei" w:cs="Times New Roman"/>
          <w:b w:val="0"/>
          <w:bCs w:val="0"/>
          <w:sz w:val="24"/>
          <w:szCs w:val="24"/>
          <w:highlight w:val="none"/>
          <w:lang w:eastAsia="zh-CN" w:bidi="ar"/>
        </w:rPr>
        <w:t xml:space="preserve">HR: hazard ratio; CI: confidence interval; </w:t>
      </w:r>
    </w:p>
    <w:p>
      <w:pPr>
        <w:widowControl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hint="default" w:ascii="Times New Roman" w:hAnsi="Times New Roman" w:eastAsia="Shaker2Lancet-Regular" w:cs="Times New Roman"/>
          <w:b w:val="0"/>
          <w:bCs w:val="0"/>
          <w:color w:val="231F20"/>
          <w:kern w:val="0"/>
          <w:sz w:val="24"/>
          <w:szCs w:val="24"/>
          <w:highlight w:val="none"/>
          <w:lang w:bidi="ar"/>
        </w:rPr>
        <w:t xml:space="preserve">Outcomes were ascertained 30 days after the COVID-19-positive test until the end of follow-up. Weighted HRs after IPTW and 95% CIs are presented.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AdvTT115fdb09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haker2Lancet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jNTkxZWVjOGRhNzA4NjIzNDVhYTkwYmQyZGFiODQifQ=="/>
  </w:docVars>
  <w:rsids>
    <w:rsidRoot w:val="12BD72BA"/>
    <w:rsid w:val="00032192"/>
    <w:rsid w:val="00101039"/>
    <w:rsid w:val="001F7280"/>
    <w:rsid w:val="00282F7A"/>
    <w:rsid w:val="002C0961"/>
    <w:rsid w:val="002D3EF6"/>
    <w:rsid w:val="0032612F"/>
    <w:rsid w:val="00387A8E"/>
    <w:rsid w:val="003A6ED9"/>
    <w:rsid w:val="00405478"/>
    <w:rsid w:val="005058E3"/>
    <w:rsid w:val="005965A7"/>
    <w:rsid w:val="005F4EE9"/>
    <w:rsid w:val="00661FCC"/>
    <w:rsid w:val="006C1BD5"/>
    <w:rsid w:val="007457F8"/>
    <w:rsid w:val="007D5441"/>
    <w:rsid w:val="00824557"/>
    <w:rsid w:val="00871687"/>
    <w:rsid w:val="008D76E6"/>
    <w:rsid w:val="0092298A"/>
    <w:rsid w:val="00A37F8A"/>
    <w:rsid w:val="00AD3594"/>
    <w:rsid w:val="00BA3B0D"/>
    <w:rsid w:val="00C97C59"/>
    <w:rsid w:val="00D12726"/>
    <w:rsid w:val="00D56D1E"/>
    <w:rsid w:val="00D94D5B"/>
    <w:rsid w:val="00DE1BC6"/>
    <w:rsid w:val="00EC697F"/>
    <w:rsid w:val="00FA166A"/>
    <w:rsid w:val="01D84888"/>
    <w:rsid w:val="022E6257"/>
    <w:rsid w:val="02924A37"/>
    <w:rsid w:val="02BE69D8"/>
    <w:rsid w:val="02E32A26"/>
    <w:rsid w:val="03BA508A"/>
    <w:rsid w:val="04324316"/>
    <w:rsid w:val="04904FA7"/>
    <w:rsid w:val="04FC6AE0"/>
    <w:rsid w:val="053E6905"/>
    <w:rsid w:val="05803B49"/>
    <w:rsid w:val="07250E0E"/>
    <w:rsid w:val="07502719"/>
    <w:rsid w:val="07BC0198"/>
    <w:rsid w:val="085F392C"/>
    <w:rsid w:val="08637351"/>
    <w:rsid w:val="089D7C92"/>
    <w:rsid w:val="093403CB"/>
    <w:rsid w:val="09524F20"/>
    <w:rsid w:val="09B36186"/>
    <w:rsid w:val="0A3F1FD8"/>
    <w:rsid w:val="0A8351D4"/>
    <w:rsid w:val="0AAF1EFF"/>
    <w:rsid w:val="0B023928"/>
    <w:rsid w:val="0C437F80"/>
    <w:rsid w:val="0C7A60BC"/>
    <w:rsid w:val="0E8E5845"/>
    <w:rsid w:val="0EE3661B"/>
    <w:rsid w:val="0FB7347E"/>
    <w:rsid w:val="10991687"/>
    <w:rsid w:val="109B080D"/>
    <w:rsid w:val="10A36062"/>
    <w:rsid w:val="11380EA0"/>
    <w:rsid w:val="11E44B84"/>
    <w:rsid w:val="11FB29E1"/>
    <w:rsid w:val="12A158DD"/>
    <w:rsid w:val="12BD72BA"/>
    <w:rsid w:val="132A2A6A"/>
    <w:rsid w:val="132F0080"/>
    <w:rsid w:val="134C2B4F"/>
    <w:rsid w:val="136A2E67"/>
    <w:rsid w:val="140D1DDB"/>
    <w:rsid w:val="14501FC4"/>
    <w:rsid w:val="145A737F"/>
    <w:rsid w:val="14952165"/>
    <w:rsid w:val="14BA1BCC"/>
    <w:rsid w:val="14CB202B"/>
    <w:rsid w:val="15492A73"/>
    <w:rsid w:val="15910B7E"/>
    <w:rsid w:val="15AD68A2"/>
    <w:rsid w:val="15D849FF"/>
    <w:rsid w:val="162D4C67"/>
    <w:rsid w:val="165247B2"/>
    <w:rsid w:val="16E11692"/>
    <w:rsid w:val="179E4E83"/>
    <w:rsid w:val="1A3A7A37"/>
    <w:rsid w:val="1A474688"/>
    <w:rsid w:val="1B593EEC"/>
    <w:rsid w:val="1B6F1962"/>
    <w:rsid w:val="1B853763"/>
    <w:rsid w:val="1C7A236C"/>
    <w:rsid w:val="1CC0714B"/>
    <w:rsid w:val="1D5C5780"/>
    <w:rsid w:val="1DA90A2F"/>
    <w:rsid w:val="1DCD471E"/>
    <w:rsid w:val="1F330EF8"/>
    <w:rsid w:val="1F70568D"/>
    <w:rsid w:val="1FAE39AC"/>
    <w:rsid w:val="1FF7351A"/>
    <w:rsid w:val="211730A3"/>
    <w:rsid w:val="222C235B"/>
    <w:rsid w:val="234731C4"/>
    <w:rsid w:val="247C0C4C"/>
    <w:rsid w:val="24C820E3"/>
    <w:rsid w:val="252B4B4C"/>
    <w:rsid w:val="254D748B"/>
    <w:rsid w:val="25DF45EE"/>
    <w:rsid w:val="25E60A73"/>
    <w:rsid w:val="26FA2AFF"/>
    <w:rsid w:val="27624129"/>
    <w:rsid w:val="27CB38B2"/>
    <w:rsid w:val="280478D6"/>
    <w:rsid w:val="28481571"/>
    <w:rsid w:val="28ED4356"/>
    <w:rsid w:val="293C613F"/>
    <w:rsid w:val="2A752133"/>
    <w:rsid w:val="2AB11C6D"/>
    <w:rsid w:val="2AB51923"/>
    <w:rsid w:val="2ACA2711"/>
    <w:rsid w:val="2AE64544"/>
    <w:rsid w:val="2AF05EF0"/>
    <w:rsid w:val="2B520958"/>
    <w:rsid w:val="2BE315B0"/>
    <w:rsid w:val="2C8763E0"/>
    <w:rsid w:val="2D1A7A85"/>
    <w:rsid w:val="2E8D24FE"/>
    <w:rsid w:val="2EE30245"/>
    <w:rsid w:val="2F1E127D"/>
    <w:rsid w:val="2F762541"/>
    <w:rsid w:val="302C5C1C"/>
    <w:rsid w:val="30515682"/>
    <w:rsid w:val="313C2816"/>
    <w:rsid w:val="314A25F5"/>
    <w:rsid w:val="31740D0A"/>
    <w:rsid w:val="31FE1DB2"/>
    <w:rsid w:val="320207B3"/>
    <w:rsid w:val="3207424B"/>
    <w:rsid w:val="322F554F"/>
    <w:rsid w:val="32674CE9"/>
    <w:rsid w:val="32B36180"/>
    <w:rsid w:val="32D16607"/>
    <w:rsid w:val="32F3657D"/>
    <w:rsid w:val="330B2845"/>
    <w:rsid w:val="332826CA"/>
    <w:rsid w:val="33F24A86"/>
    <w:rsid w:val="356E1027"/>
    <w:rsid w:val="357716E7"/>
    <w:rsid w:val="35A86BBC"/>
    <w:rsid w:val="36682302"/>
    <w:rsid w:val="3696087E"/>
    <w:rsid w:val="372E6FDF"/>
    <w:rsid w:val="37667C65"/>
    <w:rsid w:val="37BF1123"/>
    <w:rsid w:val="37DF5322"/>
    <w:rsid w:val="37F4177F"/>
    <w:rsid w:val="38107BD1"/>
    <w:rsid w:val="3838657C"/>
    <w:rsid w:val="385B797E"/>
    <w:rsid w:val="39783C80"/>
    <w:rsid w:val="39CF6653"/>
    <w:rsid w:val="3A2D4A6A"/>
    <w:rsid w:val="3A3E52D8"/>
    <w:rsid w:val="3A5B53BB"/>
    <w:rsid w:val="3AA0523C"/>
    <w:rsid w:val="3AC40684"/>
    <w:rsid w:val="3ADC3D9A"/>
    <w:rsid w:val="3B6355CD"/>
    <w:rsid w:val="3C132B45"/>
    <w:rsid w:val="3C21415B"/>
    <w:rsid w:val="3C2E6878"/>
    <w:rsid w:val="3C395948"/>
    <w:rsid w:val="3C7E3E5C"/>
    <w:rsid w:val="3E0B6E71"/>
    <w:rsid w:val="3FC23923"/>
    <w:rsid w:val="404448BC"/>
    <w:rsid w:val="419E2A97"/>
    <w:rsid w:val="431E31A2"/>
    <w:rsid w:val="43657023"/>
    <w:rsid w:val="43E31A3B"/>
    <w:rsid w:val="442A073D"/>
    <w:rsid w:val="45AF3BE3"/>
    <w:rsid w:val="45F14B9E"/>
    <w:rsid w:val="464D4B13"/>
    <w:rsid w:val="46A15105"/>
    <w:rsid w:val="47321912"/>
    <w:rsid w:val="48090EA0"/>
    <w:rsid w:val="4B253BE7"/>
    <w:rsid w:val="4C733834"/>
    <w:rsid w:val="4DFC67D6"/>
    <w:rsid w:val="4E964534"/>
    <w:rsid w:val="4ED76CD1"/>
    <w:rsid w:val="4F155DA1"/>
    <w:rsid w:val="51AE6039"/>
    <w:rsid w:val="51D32A1D"/>
    <w:rsid w:val="52691F60"/>
    <w:rsid w:val="528F19C6"/>
    <w:rsid w:val="5338205E"/>
    <w:rsid w:val="533B7DA0"/>
    <w:rsid w:val="5379601D"/>
    <w:rsid w:val="53D53D51"/>
    <w:rsid w:val="541B6A32"/>
    <w:rsid w:val="54450FF6"/>
    <w:rsid w:val="552F7491"/>
    <w:rsid w:val="55FA03E1"/>
    <w:rsid w:val="56794E67"/>
    <w:rsid w:val="569E48CE"/>
    <w:rsid w:val="57D65662"/>
    <w:rsid w:val="57F5621A"/>
    <w:rsid w:val="58353010"/>
    <w:rsid w:val="585658C4"/>
    <w:rsid w:val="58AB32D2"/>
    <w:rsid w:val="58C030EE"/>
    <w:rsid w:val="594B1686"/>
    <w:rsid w:val="5A731668"/>
    <w:rsid w:val="5B273049"/>
    <w:rsid w:val="5BB466CF"/>
    <w:rsid w:val="5BBD57F6"/>
    <w:rsid w:val="5C517214"/>
    <w:rsid w:val="5C62792D"/>
    <w:rsid w:val="5CA6485B"/>
    <w:rsid w:val="5CF214D0"/>
    <w:rsid w:val="5D3E5399"/>
    <w:rsid w:val="5D6F2B20"/>
    <w:rsid w:val="5EB97DCB"/>
    <w:rsid w:val="5F2F2187"/>
    <w:rsid w:val="5F5D78C8"/>
    <w:rsid w:val="5FC37153"/>
    <w:rsid w:val="611A222F"/>
    <w:rsid w:val="61E970D5"/>
    <w:rsid w:val="62DC034C"/>
    <w:rsid w:val="62F9530C"/>
    <w:rsid w:val="632B303C"/>
    <w:rsid w:val="633D1B90"/>
    <w:rsid w:val="6424218B"/>
    <w:rsid w:val="64F61D79"/>
    <w:rsid w:val="6530580C"/>
    <w:rsid w:val="65A13A93"/>
    <w:rsid w:val="6609788A"/>
    <w:rsid w:val="66106E6A"/>
    <w:rsid w:val="66E76C66"/>
    <w:rsid w:val="67317098"/>
    <w:rsid w:val="6760797E"/>
    <w:rsid w:val="67C65A33"/>
    <w:rsid w:val="68A815DC"/>
    <w:rsid w:val="69455D3C"/>
    <w:rsid w:val="696A4AE4"/>
    <w:rsid w:val="698906F6"/>
    <w:rsid w:val="69912070"/>
    <w:rsid w:val="6A296702"/>
    <w:rsid w:val="6A4F3DBE"/>
    <w:rsid w:val="6A752057"/>
    <w:rsid w:val="6AD40E1E"/>
    <w:rsid w:val="6B620765"/>
    <w:rsid w:val="6B6317EA"/>
    <w:rsid w:val="6D125276"/>
    <w:rsid w:val="6E505FD7"/>
    <w:rsid w:val="6EA712B7"/>
    <w:rsid w:val="6EF4149E"/>
    <w:rsid w:val="6F03131A"/>
    <w:rsid w:val="6F984159"/>
    <w:rsid w:val="6FCD36D6"/>
    <w:rsid w:val="700F0193"/>
    <w:rsid w:val="70967F6C"/>
    <w:rsid w:val="71754026"/>
    <w:rsid w:val="71B608C6"/>
    <w:rsid w:val="71D870DE"/>
    <w:rsid w:val="72365246"/>
    <w:rsid w:val="72761485"/>
    <w:rsid w:val="72C214EC"/>
    <w:rsid w:val="73124222"/>
    <w:rsid w:val="73A3628D"/>
    <w:rsid w:val="74206F03"/>
    <w:rsid w:val="75137DDD"/>
    <w:rsid w:val="75557F31"/>
    <w:rsid w:val="75706FDE"/>
    <w:rsid w:val="75826D11"/>
    <w:rsid w:val="75C94940"/>
    <w:rsid w:val="764D731F"/>
    <w:rsid w:val="76CC0B8C"/>
    <w:rsid w:val="775A1B63"/>
    <w:rsid w:val="777F79AC"/>
    <w:rsid w:val="779E29C7"/>
    <w:rsid w:val="77C27899"/>
    <w:rsid w:val="780305DD"/>
    <w:rsid w:val="780E6874"/>
    <w:rsid w:val="788A03B6"/>
    <w:rsid w:val="79DA35C0"/>
    <w:rsid w:val="79FC6758"/>
    <w:rsid w:val="7AF75AAB"/>
    <w:rsid w:val="7B845591"/>
    <w:rsid w:val="7CCE0842"/>
    <w:rsid w:val="7CD15708"/>
    <w:rsid w:val="7D8B184C"/>
    <w:rsid w:val="7EB937A4"/>
    <w:rsid w:val="7F042C1B"/>
    <w:rsid w:val="7F4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21"/>
    <w:basedOn w:val="7"/>
    <w:qFormat/>
    <w:uiPriority w:val="0"/>
    <w:rPr>
      <w:rFonts w:hint="default" w:ascii="Calibri" w:hAnsi="Calibri" w:cs="Calibri"/>
      <w:b/>
      <w:bCs/>
      <w:color w:val="000000"/>
      <w:sz w:val="21"/>
      <w:szCs w:val="21"/>
      <w:u w:val="none"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51"/>
    <w:basedOn w:val="7"/>
    <w:qFormat/>
    <w:uiPriority w:val="0"/>
    <w:rPr>
      <w:rFonts w:hint="default" w:ascii="Calibri" w:hAnsi="Calibri" w:cs="Calibri"/>
      <w:b/>
      <w:bCs/>
      <w:color w:val="000000"/>
      <w:sz w:val="21"/>
      <w:szCs w:val="21"/>
      <w:u w:val="none"/>
      <w:vertAlign w:val="superscript"/>
    </w:rPr>
  </w:style>
  <w:style w:type="character" w:customStyle="1" w:styleId="11">
    <w:name w:val="font41"/>
    <w:basedOn w:val="7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12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font1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5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6">
    <w:name w:val="无列表1"/>
    <w:semiHidden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68</Pages>
  <Words>8162</Words>
  <Characters>48409</Characters>
  <Lines>129</Lines>
  <Paragraphs>36</Paragraphs>
  <TotalTime>0</TotalTime>
  <ScaleCrop>false</ScaleCrop>
  <LinksUpToDate>false</LinksUpToDate>
  <CharactersWithSpaces>53152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2023-03-24T13:47:00Z</dcterms:created>
  <dc:creator>呦呦</dc:creator>
  <cp:lastModifiedBy>呦呦</cp:lastModifiedBy>
  <dcterms:modified xsi:type="dcterms:W3CDTF">2023-12-15T01:20:00Z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51CFB7FDDF2E4F2D8AC7EEDAF675E62F</vt:lpwstr>
  </property>
</Properties>
</file>