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86B" w:rsidRDefault="00FD386C">
      <w:pPr>
        <w:jc w:val="center"/>
        <w:rPr>
          <w:rFonts w:ascii="Arial" w:eastAsia="SimSun" w:hAnsi="Arial" w:cs="Arial"/>
          <w:b/>
          <w:bCs/>
          <w:sz w:val="24"/>
          <w:szCs w:val="24"/>
        </w:rPr>
      </w:pPr>
      <w:bookmarkStart w:id="0" w:name="_GoBack"/>
      <w:r>
        <w:rPr>
          <w:rFonts w:ascii="Arial" w:hAnsi="Arial" w:cs="Arial"/>
          <w:b/>
          <w:bCs/>
          <w:sz w:val="28"/>
          <w:szCs w:val="32"/>
        </w:rPr>
        <w:t xml:space="preserve">Additional </w:t>
      </w:r>
      <w:r>
        <w:rPr>
          <w:rFonts w:ascii="Arial" w:hAnsi="Arial" w:cs="Arial"/>
          <w:b/>
          <w:bCs/>
          <w:sz w:val="28"/>
          <w:szCs w:val="32"/>
        </w:rPr>
        <w:t>F</w:t>
      </w:r>
      <w:r>
        <w:rPr>
          <w:rFonts w:ascii="Arial" w:hAnsi="Arial" w:cs="Arial"/>
          <w:b/>
          <w:bCs/>
          <w:sz w:val="28"/>
          <w:szCs w:val="32"/>
        </w:rPr>
        <w:t>ile</w:t>
      </w:r>
      <w:r>
        <w:rPr>
          <w:rFonts w:ascii="Arial" w:hAnsi="Arial" w:cs="Arial"/>
          <w:b/>
          <w:bCs/>
          <w:sz w:val="28"/>
          <w:szCs w:val="32"/>
        </w:rPr>
        <w:t xml:space="preserve"> 1</w:t>
      </w:r>
      <w:r>
        <w:rPr>
          <w:rFonts w:ascii="Arial" w:hAnsi="Arial" w:cs="Arial"/>
          <w:b/>
          <w:bCs/>
          <w:sz w:val="28"/>
          <w:szCs w:val="32"/>
        </w:rPr>
        <w:t xml:space="preserve"> </w:t>
      </w:r>
    </w:p>
    <w:p w:rsidR="00A2686B" w:rsidRDefault="00FD386C">
      <w:pPr>
        <w:rPr>
          <w:rFonts w:ascii="Times New Roman" w:hAnsi="Times New Roman" w:cs="Times New Roman"/>
          <w:sz w:val="20"/>
          <w:szCs w:val="20"/>
        </w:rPr>
      </w:pPr>
      <w:r>
        <w:rPr>
          <w:rStyle w:val="Hyperlink"/>
          <w:rFonts w:ascii="Arial" w:eastAsiaTheme="majorEastAsia" w:hAnsi="Arial" w:cs="Arial"/>
          <w:b/>
          <w:bCs/>
          <w:color w:val="auto"/>
          <w:kern w:val="0"/>
          <w:sz w:val="22"/>
          <w:u w:val="none"/>
          <w:lang w:eastAsia="en-US"/>
        </w:rPr>
        <w:t>Effects of 6-Month Customized Home-based Exercise on Motor Development, Bone Strength and Parental Stress in Children with Simple Congenital Heart Disease: A Single-blinded Randomized Clinical Trial</w:t>
      </w:r>
    </w:p>
    <w:bookmarkStart w:id="1" w:name="_Toc150241530" w:displacedByCustomXml="next"/>
    <w:bookmarkEnd w:id="1" w:displacedByCustomXml="next"/>
    <w:sdt>
      <w:sdtPr>
        <w:id w:val="-157281100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A2686B" w:rsidRDefault="00FD386C">
          <w:pPr>
            <w:pStyle w:val="TOC1"/>
            <w:tabs>
              <w:tab w:val="right" w:leader="dot" w:pos="8296"/>
            </w:tabs>
            <w:spacing w:line="280" w:lineRule="exact"/>
            <w:outlineLvl w:val="0"/>
            <w:rPr>
              <w:bCs/>
            </w:rPr>
          </w:pPr>
          <w:r>
            <w:rPr>
              <w:rFonts w:asciiTheme="majorHAnsi" w:eastAsiaTheme="majorEastAsia" w:hAnsiTheme="majorHAnsi" w:cstheme="majorBidi"/>
              <w:kern w:val="0"/>
              <w:sz w:val="32"/>
              <w:szCs w:val="32"/>
              <w:lang w:eastAsia="en-US"/>
            </w:rPr>
            <w:fldChar w:fldCharType="begin"/>
          </w:r>
          <w:r>
            <w:instrText xml:space="preserve"> TOC \o "1-3" \h \z \u </w:instrText>
          </w:r>
          <w:r>
            <w:rPr>
              <w:rFonts w:asciiTheme="majorHAnsi" w:eastAsiaTheme="majorEastAsia" w:hAnsiTheme="majorHAnsi" w:cstheme="majorBidi"/>
              <w:kern w:val="0"/>
              <w:sz w:val="32"/>
              <w:szCs w:val="32"/>
              <w:lang w:eastAsia="en-US"/>
            </w:rPr>
            <w:fldChar w:fldCharType="separate"/>
          </w:r>
        </w:p>
        <w:p w:rsidR="00A2686B" w:rsidRDefault="00FD386C">
          <w:pPr>
            <w:pStyle w:val="TOC1"/>
            <w:tabs>
              <w:tab w:val="right" w:leader="dot" w:pos="8306"/>
            </w:tabs>
            <w:spacing w:line="280" w:lineRule="exact"/>
          </w:pPr>
          <w:hyperlink w:anchor="_Toc26005" w:history="1">
            <w:r>
              <w:rPr>
                <w:rFonts w:ascii="Arial" w:hAnsi="Arial" w:cs="Arial"/>
              </w:rPr>
              <w:t>Randomization and masking</w:t>
            </w:r>
            <w:r>
              <w:tab/>
            </w:r>
            <w:r>
              <w:fldChar w:fldCharType="begin"/>
            </w:r>
            <w:r>
              <w:instrText xml:space="preserve"> PAGEREF _Toc26005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:rsidR="00A2686B" w:rsidRDefault="00FD386C">
          <w:pPr>
            <w:pStyle w:val="TOC1"/>
            <w:tabs>
              <w:tab w:val="right" w:leader="dot" w:pos="8306"/>
            </w:tabs>
            <w:spacing w:line="280" w:lineRule="exact"/>
          </w:pPr>
          <w:hyperlink w:anchor="_Toc7078" w:history="1">
            <w:r>
              <w:rPr>
                <w:rFonts w:ascii="Arial" w:hAnsi="Arial" w:cs="Arial"/>
              </w:rPr>
              <w:t>Protocol modifications</w:t>
            </w:r>
            <w:r>
              <w:tab/>
            </w:r>
            <w:r>
              <w:fldChar w:fldCharType="begin"/>
            </w:r>
            <w:r>
              <w:instrText xml:space="preserve"> PAGEREF _Toc7078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:rsidR="00A2686B" w:rsidRDefault="00FD386C">
          <w:pPr>
            <w:pStyle w:val="TOC1"/>
            <w:tabs>
              <w:tab w:val="right" w:leader="dot" w:pos="8306"/>
            </w:tabs>
            <w:spacing w:line="280" w:lineRule="exact"/>
          </w:pPr>
          <w:hyperlink w:anchor="_Toc27701" w:history="1">
            <w:r>
              <w:rPr>
                <w:rFonts w:ascii="Arial" w:hAnsi="Arial" w:cs="Arial"/>
              </w:rPr>
              <w:t>Supplementary Figures</w:t>
            </w:r>
            <w:r>
              <w:tab/>
            </w:r>
            <w:r>
              <w:fldChar w:fldCharType="begin"/>
            </w:r>
            <w:r>
              <w:instrText xml:space="preserve"> PAGEREF _Toc27701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:rsidR="00A2686B" w:rsidRDefault="00FD386C">
          <w:pPr>
            <w:pStyle w:val="TOC2"/>
            <w:tabs>
              <w:tab w:val="right" w:leader="dot" w:pos="8306"/>
            </w:tabs>
            <w:spacing w:line="280" w:lineRule="exact"/>
          </w:pPr>
          <w:hyperlink w:anchor="_Toc14133" w:history="1">
            <w:r>
              <w:rPr>
                <w:rFonts w:cs="Arial" w:hint="eastAsia"/>
              </w:rPr>
              <w:t>Figure S1. Post-catheterization echocardiographic changes by the CHD subtype</w:t>
            </w:r>
            <w:r>
              <w:rPr>
                <w:rFonts w:cs="Arial" w:hint="eastAsia"/>
              </w:rPr>
              <w:t>s in the intervention group</w:t>
            </w:r>
            <w:r>
              <w:tab/>
            </w:r>
            <w:r>
              <w:fldChar w:fldCharType="begin"/>
            </w:r>
            <w:r>
              <w:instrText xml:space="preserve"> PAGEREF _Toc14133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 w:rsidR="00A2686B" w:rsidRDefault="00FD386C">
          <w:pPr>
            <w:pStyle w:val="TOC2"/>
            <w:tabs>
              <w:tab w:val="right" w:leader="dot" w:pos="8306"/>
            </w:tabs>
            <w:spacing w:line="280" w:lineRule="exact"/>
          </w:pPr>
          <w:hyperlink w:anchor="_Toc8537" w:history="1">
            <w:r>
              <w:rPr>
                <w:rFonts w:cs="Arial" w:hint="eastAsia"/>
              </w:rPr>
              <w:t>Figure S</w:t>
            </w:r>
            <w:r>
              <w:rPr>
                <w:rFonts w:cs="Arial" w:hint="eastAsia"/>
              </w:rPr>
              <w:t>2</w:t>
            </w:r>
            <w:r>
              <w:rPr>
                <w:rFonts w:cs="Arial"/>
              </w:rPr>
              <w:t xml:space="preserve">. Post-catheterization echocardiographic changes by the CHD subtypes </w:t>
            </w:r>
            <w:r>
              <w:rPr>
                <w:rFonts w:cs="Arial" w:hint="eastAsia"/>
              </w:rPr>
              <w:t>i</w:t>
            </w:r>
            <w:r>
              <w:rPr>
                <w:rFonts w:cs="Arial"/>
              </w:rPr>
              <w:t>n the control group</w:t>
            </w:r>
            <w:r>
              <w:tab/>
            </w:r>
            <w:r>
              <w:fldChar w:fldCharType="begin"/>
            </w:r>
            <w:r>
              <w:instrText xml:space="preserve"> PAGEREF _Toc8537 \h 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:rsidR="00A2686B" w:rsidRDefault="00FD386C">
          <w:pPr>
            <w:pStyle w:val="TOC1"/>
            <w:tabs>
              <w:tab w:val="right" w:leader="dot" w:pos="8306"/>
            </w:tabs>
            <w:spacing w:line="280" w:lineRule="exact"/>
          </w:pPr>
          <w:hyperlink w:anchor="_Toc15858" w:history="1">
            <w:r>
              <w:rPr>
                <w:rFonts w:ascii="Arial" w:hAnsi="Arial" w:cs="Arial"/>
              </w:rPr>
              <w:t>Supplementary Tables</w:t>
            </w:r>
            <w:r>
              <w:tab/>
            </w:r>
            <w:r>
              <w:fldChar w:fldCharType="begin"/>
            </w:r>
            <w:r>
              <w:instrText xml:space="preserve"> PAGEREF _Toc15858 \h 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hyperlink>
        </w:p>
        <w:p w:rsidR="00A2686B" w:rsidRDefault="00FD386C">
          <w:pPr>
            <w:pStyle w:val="TOC2"/>
            <w:tabs>
              <w:tab w:val="right" w:leader="dot" w:pos="8306"/>
            </w:tabs>
            <w:spacing w:line="280" w:lineRule="exact"/>
          </w:pPr>
          <w:hyperlink w:anchor="_Toc25037" w:history="1">
            <w:r>
              <w:rPr>
                <w:rFonts w:hint="eastAsia"/>
                <w:lang w:val="en-GB"/>
              </w:rPr>
              <w:t>Table S</w:t>
            </w:r>
            <w:r>
              <w:rPr>
                <w:rFonts w:hint="eastAsia"/>
                <w:lang w:val="en-GB"/>
              </w:rPr>
              <w:t>1 Outlines of the home-based exercise program differed by development</w:t>
            </w:r>
            <w:r>
              <w:rPr>
                <w:rFonts w:hint="eastAsia"/>
                <w:lang w:val="en-GB"/>
              </w:rPr>
              <w:t>al age.</w:t>
            </w:r>
            <w:r>
              <w:tab/>
            </w:r>
            <w:r>
              <w:fldChar w:fldCharType="begin"/>
            </w:r>
            <w:r>
              <w:instrText xml:space="preserve"> PAGEREF _Toc25037 \h </w:instrText>
            </w:r>
            <w:r>
              <w:fldChar w:fldCharType="separate"/>
            </w:r>
            <w:r>
              <w:t>11</w:t>
            </w:r>
            <w:r>
              <w:fldChar w:fldCharType="end"/>
            </w:r>
          </w:hyperlink>
        </w:p>
        <w:p w:rsidR="00A2686B" w:rsidRDefault="00FD386C">
          <w:pPr>
            <w:pStyle w:val="TOC2"/>
            <w:tabs>
              <w:tab w:val="right" w:leader="dot" w:pos="8306"/>
            </w:tabs>
            <w:spacing w:line="280" w:lineRule="exact"/>
          </w:pPr>
          <w:hyperlink w:anchor="_Toc10550" w:history="1">
            <w:r>
              <w:rPr>
                <w:rFonts w:cs="Arial" w:hint="eastAsia"/>
              </w:rPr>
              <w:t>Table S</w:t>
            </w:r>
            <w:r>
              <w:rPr>
                <w:rFonts w:cs="Arial"/>
              </w:rPr>
              <w:t xml:space="preserve">2. </w:t>
            </w:r>
            <w:r>
              <w:rPr>
                <w:rFonts w:cs="Arial" w:hint="eastAsia"/>
                <w:lang w:val="en-GB"/>
              </w:rPr>
              <w:t xml:space="preserve">The Wilcoxon rank sum test of </w:t>
            </w:r>
            <w:r>
              <w:rPr>
                <w:rFonts w:cs="Arial"/>
              </w:rPr>
              <w:t>secondary outcomes (</w:t>
            </w:r>
            <w:r>
              <w:rPr>
                <w:rFonts w:cs="Arial"/>
                <w:lang w:val="en-GB"/>
              </w:rPr>
              <w:t>echocardiography</w:t>
            </w:r>
            <w:r>
              <w:rPr>
                <w:rFonts w:cs="Arial"/>
              </w:rPr>
              <w:t>)</w:t>
            </w:r>
            <w:r>
              <w:rPr>
                <w:rFonts w:cs="Arial" w:hint="eastAsia"/>
                <w:lang w:val="en-GB"/>
              </w:rPr>
              <w:t xml:space="preserve"> for </w:t>
            </w:r>
            <w:r>
              <w:rPr>
                <w:rFonts w:cs="Arial"/>
                <w:lang w:val="en-GB"/>
              </w:rPr>
              <w:t>congenital heart disease</w:t>
            </w:r>
            <w:r>
              <w:rPr>
                <w:rFonts w:cs="Arial"/>
              </w:rPr>
              <w:t xml:space="preserve"> (CHD)</w:t>
            </w:r>
            <w:r>
              <w:rPr>
                <w:rFonts w:cs="Arial" w:hint="eastAsia"/>
                <w:lang w:val="en-GB"/>
              </w:rPr>
              <w:t xml:space="preserve"> against preoperativ</w:t>
            </w:r>
            <w:r>
              <w:rPr>
                <w:rFonts w:cs="Arial" w:hint="eastAsia"/>
                <w:lang w:val="en-GB"/>
              </w:rPr>
              <w:t>e assessment</w:t>
            </w:r>
            <w:r>
              <w:tab/>
            </w:r>
            <w:r>
              <w:fldChar w:fldCharType="begin"/>
            </w:r>
            <w:r>
              <w:instrText xml:space="preserve"> PAGEREF _Toc10550 \h </w:instrText>
            </w:r>
            <w:r>
              <w:fldChar w:fldCharType="separate"/>
            </w:r>
            <w:r>
              <w:t>14</w:t>
            </w:r>
            <w:r>
              <w:fldChar w:fldCharType="end"/>
            </w:r>
          </w:hyperlink>
        </w:p>
        <w:p w:rsidR="00A2686B" w:rsidRDefault="00FD386C">
          <w:pPr>
            <w:pStyle w:val="TOC2"/>
            <w:tabs>
              <w:tab w:val="right" w:leader="dot" w:pos="8306"/>
            </w:tabs>
            <w:spacing w:line="280" w:lineRule="exact"/>
          </w:pPr>
          <w:hyperlink w:anchor="_Toc6716" w:history="1">
            <w:r>
              <w:rPr>
                <w:rFonts w:cs="Arial" w:hint="eastAsia"/>
              </w:rPr>
              <w:t>Table S</w:t>
            </w:r>
            <w:r>
              <w:rPr>
                <w:rFonts w:cs="Arial"/>
              </w:rPr>
              <w:t>3. The Wilcoxon rank sum test of secondary outcomes (</w:t>
            </w:r>
            <w:r>
              <w:rPr>
                <w:rFonts w:cs="Arial"/>
                <w:lang w:val="en-GB"/>
              </w:rPr>
              <w:t>echocardiography</w:t>
            </w:r>
            <w:r>
              <w:rPr>
                <w:rFonts w:cs="Arial"/>
              </w:rPr>
              <w:t>) against preoperative assessment in CHD subtypes</w:t>
            </w:r>
            <w:r>
              <w:tab/>
            </w:r>
            <w:r>
              <w:fldChar w:fldCharType="begin"/>
            </w:r>
            <w:r>
              <w:instrText xml:space="preserve"> PA</w:instrText>
            </w:r>
            <w:r>
              <w:instrText xml:space="preserve">GEREF _Toc6716 \h </w:instrText>
            </w:r>
            <w:r>
              <w:fldChar w:fldCharType="separate"/>
            </w:r>
            <w:r>
              <w:t>15</w:t>
            </w:r>
            <w:r>
              <w:fldChar w:fldCharType="end"/>
            </w:r>
          </w:hyperlink>
        </w:p>
        <w:p w:rsidR="00A2686B" w:rsidRDefault="00FD386C">
          <w:pPr>
            <w:pStyle w:val="TOC3"/>
            <w:tabs>
              <w:tab w:val="right" w:leader="dot" w:pos="8306"/>
            </w:tabs>
            <w:spacing w:line="280" w:lineRule="exact"/>
          </w:pPr>
          <w:hyperlink w:anchor="_Toc4312" w:history="1">
            <w:r>
              <w:rPr>
                <w:rFonts w:hint="eastAsia"/>
              </w:rPr>
              <w:t>Table S</w:t>
            </w:r>
            <w:r>
              <w:t>3</w:t>
            </w:r>
            <w:r>
              <w:rPr>
                <w:rFonts w:hint="eastAsia"/>
              </w:rPr>
              <w:t>a</w:t>
            </w:r>
            <w:r>
              <w:t>. The Wilcoxon rank sum test of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secondary</w:t>
            </w:r>
            <w:r>
              <w:t xml:space="preserve"> outcomes (</w:t>
            </w:r>
            <w:r>
              <w:rPr>
                <w:rFonts w:hint="eastAsia"/>
                <w:lang w:val="en-GB"/>
              </w:rPr>
              <w:t>echocardiography</w:t>
            </w:r>
            <w:r>
              <w:t>)</w:t>
            </w:r>
            <w:r>
              <w:t xml:space="preserve"> for atrial septal defect (ASD) against preoperative assessment</w:t>
            </w:r>
            <w:r>
              <w:tab/>
            </w:r>
            <w:r>
              <w:fldChar w:fldCharType="begin"/>
            </w:r>
            <w:r>
              <w:instrText xml:space="preserve"> PAGEREF _Toc4312 \h </w:instrText>
            </w:r>
            <w:r>
              <w:fldChar w:fldCharType="separate"/>
            </w:r>
            <w:r>
              <w:t>16</w:t>
            </w:r>
            <w:r>
              <w:fldChar w:fldCharType="end"/>
            </w:r>
          </w:hyperlink>
        </w:p>
        <w:p w:rsidR="00A2686B" w:rsidRDefault="00FD386C">
          <w:pPr>
            <w:pStyle w:val="TOC3"/>
            <w:tabs>
              <w:tab w:val="right" w:leader="dot" w:pos="8306"/>
            </w:tabs>
            <w:spacing w:line="280" w:lineRule="exact"/>
          </w:pPr>
          <w:hyperlink w:anchor="_Toc12716" w:history="1">
            <w:r>
              <w:rPr>
                <w:rFonts w:hint="eastAsia"/>
              </w:rPr>
              <w:t>Table S</w:t>
            </w:r>
            <w:r>
              <w:t xml:space="preserve">3b. The Wilcoxon rank sum test of </w:t>
            </w:r>
            <w:r>
              <w:rPr>
                <w:rFonts w:hint="eastAsia"/>
              </w:rPr>
              <w:t>secondary</w:t>
            </w:r>
            <w:r>
              <w:t xml:space="preserve"> outcomes (</w:t>
            </w:r>
            <w:r>
              <w:rPr>
                <w:rFonts w:hint="eastAsia"/>
                <w:lang w:val="en-GB"/>
              </w:rPr>
              <w:t>echocardiography</w:t>
            </w:r>
            <w:r>
              <w:t>)</w:t>
            </w:r>
            <w:r>
              <w:t xml:space="preserve"> for ventricular septal defect (VSD) against preoperative assessm</w:t>
            </w:r>
            <w:r>
              <w:t>ent</w:t>
            </w:r>
            <w:r>
              <w:tab/>
            </w:r>
            <w:r>
              <w:fldChar w:fldCharType="begin"/>
            </w:r>
            <w:r>
              <w:instrText xml:space="preserve"> PAGEREF _Toc12716 \h </w:instrText>
            </w:r>
            <w:r>
              <w:fldChar w:fldCharType="separate"/>
            </w:r>
            <w:r>
              <w:t>18</w:t>
            </w:r>
            <w:r>
              <w:fldChar w:fldCharType="end"/>
            </w:r>
          </w:hyperlink>
        </w:p>
        <w:p w:rsidR="00A2686B" w:rsidRDefault="00FD386C">
          <w:pPr>
            <w:pStyle w:val="TOC3"/>
            <w:tabs>
              <w:tab w:val="right" w:leader="dot" w:pos="8306"/>
            </w:tabs>
            <w:spacing w:line="280" w:lineRule="exact"/>
          </w:pPr>
          <w:hyperlink w:anchor="_Toc23587" w:history="1">
            <w:r>
              <w:rPr>
                <w:rFonts w:hint="eastAsia"/>
              </w:rPr>
              <w:t>Table S</w:t>
            </w:r>
            <w:r>
              <w:t xml:space="preserve">3c. The Wilcoxon rank sum test of </w:t>
            </w:r>
            <w:r>
              <w:rPr>
                <w:rFonts w:hint="eastAsia"/>
              </w:rPr>
              <w:t>secondary</w:t>
            </w:r>
            <w:r>
              <w:t xml:space="preserve"> outcomes (</w:t>
            </w:r>
            <w:r>
              <w:rPr>
                <w:rFonts w:hint="eastAsia"/>
                <w:lang w:val="en-GB"/>
              </w:rPr>
              <w:t>echocardiography</w:t>
            </w:r>
            <w:r>
              <w:t>)</w:t>
            </w:r>
            <w:r>
              <w:t xml:space="preserve"> for patent ductus arteriosis (PDA) against preoperative a</w:t>
            </w:r>
            <w:r>
              <w:t>ssessment</w:t>
            </w:r>
            <w:r>
              <w:tab/>
            </w:r>
            <w:r>
              <w:fldChar w:fldCharType="begin"/>
            </w:r>
            <w:r>
              <w:instrText xml:space="preserve"> PAGEREF _Toc23587 \h </w:instrText>
            </w:r>
            <w:r>
              <w:fldChar w:fldCharType="separate"/>
            </w:r>
            <w:r>
              <w:t>20</w:t>
            </w:r>
            <w:r>
              <w:fldChar w:fldCharType="end"/>
            </w:r>
          </w:hyperlink>
        </w:p>
        <w:p w:rsidR="00A2686B" w:rsidRDefault="00FD386C">
          <w:pPr>
            <w:pStyle w:val="TOC3"/>
            <w:tabs>
              <w:tab w:val="right" w:leader="dot" w:pos="8306"/>
            </w:tabs>
            <w:spacing w:line="280" w:lineRule="exact"/>
          </w:pPr>
          <w:hyperlink w:anchor="_Toc9495" w:history="1">
            <w:r>
              <w:rPr>
                <w:rFonts w:hint="eastAsia"/>
              </w:rPr>
              <w:t>Table S</w:t>
            </w:r>
            <w:r>
              <w:t xml:space="preserve">3d. The Wilcoxon rank sum test of </w:t>
            </w:r>
            <w:r>
              <w:rPr>
                <w:rFonts w:hint="eastAsia"/>
              </w:rPr>
              <w:t>secondary</w:t>
            </w:r>
            <w:r>
              <w:t xml:space="preserve"> outcomes (</w:t>
            </w:r>
            <w:r>
              <w:rPr>
                <w:rFonts w:hint="eastAsia"/>
                <w:lang w:val="en-GB"/>
              </w:rPr>
              <w:t>echocardiography</w:t>
            </w:r>
            <w:r>
              <w:t>)</w:t>
            </w:r>
            <w:r>
              <w:t>y for pulmonary stenosis (PS) against preoperative as</w:t>
            </w:r>
            <w:r>
              <w:t>sessment</w:t>
            </w:r>
            <w:r>
              <w:tab/>
            </w:r>
            <w:r>
              <w:fldChar w:fldCharType="begin"/>
            </w:r>
            <w:r>
              <w:instrText xml:space="preserve"> PAGEREF _Toc9495 \h </w:instrText>
            </w:r>
            <w:r>
              <w:fldChar w:fldCharType="separate"/>
            </w:r>
            <w:r>
              <w:t>22</w:t>
            </w:r>
            <w:r>
              <w:fldChar w:fldCharType="end"/>
            </w:r>
          </w:hyperlink>
        </w:p>
        <w:p w:rsidR="00A2686B" w:rsidRDefault="00FD386C">
          <w:pPr>
            <w:pStyle w:val="TOC2"/>
            <w:tabs>
              <w:tab w:val="right" w:leader="dot" w:pos="8306"/>
            </w:tabs>
            <w:spacing w:line="280" w:lineRule="exact"/>
          </w:pPr>
          <w:hyperlink w:anchor="_Toc25501" w:history="1">
            <w:r>
              <w:rPr>
                <w:rFonts w:cs="Arial" w:hint="eastAsia"/>
              </w:rPr>
              <w:t>Table S</w:t>
            </w:r>
            <w:r>
              <w:rPr>
                <w:rFonts w:cs="Arial"/>
              </w:rPr>
              <w:t>4. The Wilcoxon rank sum test of secondary outcomes (modified Ross score) against preoperative assessment</w:t>
            </w:r>
            <w:r>
              <w:tab/>
            </w:r>
            <w:r>
              <w:fldChar w:fldCharType="begin"/>
            </w:r>
            <w:r>
              <w:instrText xml:space="preserve"> PAGEREF _Toc25501 \</w:instrText>
            </w:r>
            <w:r>
              <w:instrText xml:space="preserve">h </w:instrText>
            </w:r>
            <w:r>
              <w:fldChar w:fldCharType="separate"/>
            </w:r>
            <w:r>
              <w:t>25</w:t>
            </w:r>
            <w:r>
              <w:fldChar w:fldCharType="end"/>
            </w:r>
          </w:hyperlink>
        </w:p>
        <w:p w:rsidR="00A2686B" w:rsidRDefault="00FD386C">
          <w:pPr>
            <w:pStyle w:val="TOC1"/>
            <w:tabs>
              <w:tab w:val="right" w:leader="dot" w:pos="8306"/>
            </w:tabs>
            <w:spacing w:line="280" w:lineRule="exact"/>
            <w:ind w:left="210"/>
          </w:pPr>
          <w:hyperlink w:anchor="_Toc17557" w:history="1">
            <w:r>
              <w:rPr>
                <w:rFonts w:hint="eastAsia"/>
              </w:rPr>
              <w:t>Table S</w:t>
            </w:r>
            <w:r>
              <w:t>5. The Wilcoxon rank sum test of secondary outcomes (parents’ anxiety, burden and quality of life) against preoperative assessment</w:t>
            </w:r>
            <w:r>
              <w:tab/>
            </w:r>
            <w:r>
              <w:fldChar w:fldCharType="begin"/>
            </w:r>
            <w:r>
              <w:instrText xml:space="preserve"> PAGEREF _Toc17557 \h </w:instrText>
            </w:r>
            <w:r>
              <w:fldChar w:fldCharType="separate"/>
            </w:r>
            <w:r>
              <w:t>26</w:t>
            </w:r>
            <w:r>
              <w:fldChar w:fldCharType="end"/>
            </w:r>
          </w:hyperlink>
        </w:p>
        <w:p w:rsidR="00A2686B" w:rsidRDefault="00FD386C">
          <w:pPr>
            <w:pStyle w:val="TOC2"/>
            <w:tabs>
              <w:tab w:val="right" w:leader="dot" w:pos="8306"/>
            </w:tabs>
            <w:spacing w:line="280" w:lineRule="exact"/>
          </w:pPr>
          <w:hyperlink w:anchor="_Toc20996" w:history="1">
            <w:r>
              <w:rPr>
                <w:rFonts w:cs="Arial" w:hint="eastAsia"/>
              </w:rPr>
              <w:t>Table S</w:t>
            </w:r>
            <w:r>
              <w:rPr>
                <w:rFonts w:cs="Arial" w:hint="eastAsia"/>
              </w:rPr>
              <w:t>6</w:t>
            </w:r>
            <w:r>
              <w:rPr>
                <w:rFonts w:cs="Arial"/>
              </w:rPr>
              <w:t>. Characteristics of the enrolled CHD children</w:t>
            </w:r>
            <w:r>
              <w:rPr>
                <w:rFonts w:cs="Arial"/>
              </w:rPr>
              <w:t xml:space="preserve"> with various residencies</w:t>
            </w:r>
            <w:r>
              <w:rPr>
                <w:rFonts w:cs="Arial"/>
              </w:rPr>
              <w:t xml:space="preserve"> at baseline </w:t>
            </w:r>
            <w:r>
              <w:rPr>
                <w:rFonts w:cs="Arial" w:hint="eastAsia"/>
              </w:rPr>
              <w:t>(</w:t>
            </w:r>
            <w:r>
              <w:rPr>
                <w:rFonts w:cs="Arial"/>
              </w:rPr>
              <w:t>n=192)</w:t>
            </w:r>
            <w:r>
              <w:tab/>
            </w:r>
            <w:r>
              <w:fldChar w:fldCharType="begin"/>
            </w:r>
            <w:r>
              <w:instrText xml:space="preserve"> PAGEREF _Toc20996 \h </w:instrText>
            </w:r>
            <w:r>
              <w:fldChar w:fldCharType="separate"/>
            </w:r>
            <w:r>
              <w:t>29</w:t>
            </w:r>
            <w:r>
              <w:fldChar w:fldCharType="end"/>
            </w:r>
          </w:hyperlink>
        </w:p>
        <w:p w:rsidR="00A2686B" w:rsidRDefault="00FD386C">
          <w:pPr>
            <w:pStyle w:val="TOC2"/>
            <w:tabs>
              <w:tab w:val="right" w:leader="dot" w:pos="8306"/>
            </w:tabs>
            <w:spacing w:line="280" w:lineRule="exact"/>
          </w:pPr>
          <w:hyperlink w:anchor="_Toc18150" w:history="1">
            <w:r>
              <w:rPr>
                <w:rFonts w:cs="Arial" w:hint="eastAsia"/>
              </w:rPr>
              <w:t>Table S</w:t>
            </w:r>
            <w:r>
              <w:rPr>
                <w:rFonts w:cs="Arial" w:hint="eastAsia"/>
              </w:rPr>
              <w:t>7</w:t>
            </w:r>
            <w:r>
              <w:rPr>
                <w:rFonts w:cs="Arial"/>
              </w:rPr>
              <w:t>. Outcomes of the CHD children</w:t>
            </w:r>
            <w:r>
              <w:rPr>
                <w:rFonts w:cs="Arial"/>
              </w:rPr>
              <w:t xml:space="preserve"> with various residencies</w:t>
            </w:r>
            <w:r>
              <w:rPr>
                <w:rFonts w:cs="Arial"/>
              </w:rPr>
              <w:t xml:space="preserve"> in the intervention group and the control group separately</w:t>
            </w:r>
            <w:r>
              <w:tab/>
            </w:r>
            <w:r>
              <w:fldChar w:fldCharType="begin"/>
            </w:r>
            <w:r>
              <w:instrText xml:space="preserve"> PAGEREF _Toc18150 \h </w:instrText>
            </w:r>
            <w:r>
              <w:fldChar w:fldCharType="separate"/>
            </w:r>
            <w:r>
              <w:t>31</w:t>
            </w:r>
            <w:r>
              <w:fldChar w:fldCharType="end"/>
            </w:r>
          </w:hyperlink>
        </w:p>
        <w:p w:rsidR="00A2686B" w:rsidRDefault="00FD386C">
          <w:pPr>
            <w:pStyle w:val="TOC3"/>
            <w:tabs>
              <w:tab w:val="right" w:leader="dot" w:pos="8306"/>
            </w:tabs>
            <w:spacing w:line="280" w:lineRule="exact"/>
          </w:pPr>
          <w:hyperlink w:anchor="_Toc17956" w:history="1">
            <w:r>
              <w:rPr>
                <w:rFonts w:hint="eastAsia"/>
              </w:rPr>
              <w:t>Table S</w:t>
            </w:r>
            <w:r>
              <w:rPr>
                <w:rFonts w:hint="eastAsia"/>
              </w:rPr>
              <w:t>7</w:t>
            </w:r>
            <w:r>
              <w:t>a. Outcomes of the CHD children</w:t>
            </w:r>
            <w:r>
              <w:t xml:space="preserve"> with various residencies</w:t>
            </w:r>
            <w:r>
              <w:t xml:space="preserve"> in the control group at 6 months </w:t>
            </w:r>
            <w:r>
              <w:rPr>
                <w:rFonts w:eastAsia="SimSun"/>
              </w:rPr>
              <w:t>after catheterization</w:t>
            </w:r>
            <w:r>
              <w:rPr>
                <w:rFonts w:hint="eastAsia"/>
              </w:rPr>
              <w:t xml:space="preserve"> (</w:t>
            </w:r>
            <w:r>
              <w:t>n=97)</w:t>
            </w:r>
            <w:r>
              <w:tab/>
            </w:r>
            <w:r>
              <w:fldChar w:fldCharType="begin"/>
            </w:r>
            <w:r>
              <w:instrText xml:space="preserve"> PAGEREF _Toc17956 \h </w:instrText>
            </w:r>
            <w:r>
              <w:fldChar w:fldCharType="separate"/>
            </w:r>
            <w:r>
              <w:t>32</w:t>
            </w:r>
            <w:r>
              <w:fldChar w:fldCharType="end"/>
            </w:r>
          </w:hyperlink>
        </w:p>
        <w:p w:rsidR="00A2686B" w:rsidRDefault="00FD386C">
          <w:pPr>
            <w:pStyle w:val="TOC3"/>
            <w:tabs>
              <w:tab w:val="right" w:leader="dot" w:pos="8306"/>
            </w:tabs>
            <w:spacing w:line="280" w:lineRule="exact"/>
          </w:pPr>
          <w:hyperlink w:anchor="_Toc20076" w:history="1">
            <w:r>
              <w:rPr>
                <w:rFonts w:hint="eastAsia"/>
              </w:rPr>
              <w:t>Table S</w:t>
            </w:r>
            <w:r>
              <w:rPr>
                <w:rFonts w:hint="eastAsia"/>
              </w:rPr>
              <w:t>7</w:t>
            </w:r>
            <w:r>
              <w:t>b. Outcomes of the CHD children</w:t>
            </w:r>
            <w:r>
              <w:t xml:space="preserve"> with various residencies</w:t>
            </w:r>
            <w:r>
              <w:t xml:space="preserve"> in the intervention group at 6 months </w:t>
            </w:r>
            <w:r>
              <w:rPr>
                <w:rFonts w:eastAsia="SimSun"/>
              </w:rPr>
              <w:t>after catheterization</w:t>
            </w:r>
            <w:r>
              <w:rPr>
                <w:rFonts w:eastAsia="SimSun" w:hint="eastAsia"/>
              </w:rPr>
              <w:t xml:space="preserve"> </w:t>
            </w:r>
            <w:r>
              <w:rPr>
                <w:rFonts w:hint="eastAsia"/>
              </w:rPr>
              <w:t>(</w:t>
            </w:r>
            <w:r>
              <w:t>n=95)</w:t>
            </w:r>
            <w:r>
              <w:tab/>
            </w:r>
            <w:r>
              <w:fldChar w:fldCharType="begin"/>
            </w:r>
            <w:r>
              <w:instrText xml:space="preserve"> PAGEREF _Toc20076 \h </w:instrText>
            </w:r>
            <w:r>
              <w:fldChar w:fldCharType="separate"/>
            </w:r>
            <w:r>
              <w:t>33</w:t>
            </w:r>
            <w:r>
              <w:fldChar w:fldCharType="end"/>
            </w:r>
          </w:hyperlink>
        </w:p>
        <w:p w:rsidR="00A2686B" w:rsidRDefault="00FD386C">
          <w:pPr>
            <w:tabs>
              <w:tab w:val="right" w:leader="dot" w:pos="8296"/>
            </w:tabs>
            <w:spacing w:line="280" w:lineRule="exact"/>
            <w:outlineLvl w:val="0"/>
          </w:pPr>
          <w:r>
            <w:rPr>
              <w:bCs/>
            </w:rPr>
            <w:fldChar w:fldCharType="end"/>
          </w:r>
        </w:p>
      </w:sdtContent>
    </w:sdt>
    <w:p w:rsidR="00A2686B" w:rsidRDefault="00FD386C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:rsidR="00A2686B" w:rsidRDefault="00FD386C">
      <w:pPr>
        <w:pStyle w:val="Heading1"/>
        <w:spacing w:before="0" w:after="0" w:line="240" w:lineRule="auto"/>
        <w:rPr>
          <w:rFonts w:ascii="Arial" w:hAnsi="Arial" w:cs="Arial"/>
          <w:sz w:val="22"/>
          <w:szCs w:val="22"/>
        </w:rPr>
      </w:pPr>
      <w:bookmarkStart w:id="2" w:name="_Toc10571"/>
      <w:bookmarkStart w:id="3" w:name="_Toc150241531"/>
      <w:bookmarkStart w:id="4" w:name="_Toc26005"/>
      <w:r>
        <w:rPr>
          <w:rFonts w:ascii="Arial" w:hAnsi="Arial" w:cs="Arial"/>
          <w:sz w:val="22"/>
          <w:szCs w:val="22"/>
        </w:rPr>
        <w:lastRenderedPageBreak/>
        <w:t>Randomization and masking</w:t>
      </w:r>
      <w:bookmarkEnd w:id="2"/>
      <w:bookmarkEnd w:id="3"/>
      <w:bookmarkEnd w:id="4"/>
    </w:p>
    <w:p w:rsidR="00A2686B" w:rsidRDefault="00FD386C">
      <w:pPr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After the parents signed the written informed consent, a study administrator assigned each participant to either the intervention group or the control group, according to computer-generated random numbers. The allocations were pla</w:t>
      </w:r>
      <w:r>
        <w:rPr>
          <w:rFonts w:ascii="Arial" w:hAnsi="Arial" w:cs="Arial"/>
          <w:sz w:val="22"/>
        </w:rPr>
        <w:t>ced in sequentially numbered, sealed envelopes with a signature across the seal. A trained research assistant, blinded to the allocation, enrolled patients and assigned them according to study protocol.</w:t>
      </w:r>
    </w:p>
    <w:p w:rsidR="00A2686B" w:rsidRDefault="00A2686B">
      <w:pPr>
        <w:spacing w:line="480" w:lineRule="auto"/>
        <w:jc w:val="left"/>
        <w:rPr>
          <w:rFonts w:ascii="Arial" w:hAnsi="Arial" w:cs="Arial"/>
          <w:sz w:val="22"/>
        </w:rPr>
      </w:pPr>
    </w:p>
    <w:p w:rsidR="00A2686B" w:rsidRDefault="00FD386C">
      <w:pPr>
        <w:pStyle w:val="Heading1"/>
        <w:spacing w:before="0" w:after="0" w:line="240" w:lineRule="auto"/>
        <w:rPr>
          <w:rFonts w:ascii="Arial" w:hAnsi="Arial" w:cs="Arial"/>
          <w:sz w:val="22"/>
          <w:szCs w:val="22"/>
        </w:rPr>
      </w:pPr>
      <w:bookmarkStart w:id="5" w:name="_Toc1626"/>
      <w:bookmarkStart w:id="6" w:name="_Toc150241532"/>
      <w:bookmarkStart w:id="7" w:name="_Toc7078"/>
      <w:r>
        <w:rPr>
          <w:rFonts w:ascii="Arial" w:hAnsi="Arial" w:cs="Arial"/>
          <w:sz w:val="22"/>
          <w:szCs w:val="22"/>
        </w:rPr>
        <w:t>Protocol modifications</w:t>
      </w:r>
      <w:bookmarkEnd w:id="5"/>
      <w:bookmarkEnd w:id="6"/>
      <w:bookmarkEnd w:id="7"/>
    </w:p>
    <w:p w:rsidR="00A2686B" w:rsidRDefault="00FD386C">
      <w:pPr>
        <w:jc w:val="left"/>
        <w:rPr>
          <w:rFonts w:ascii="Arial" w:hAnsi="Arial" w:cs="Arial"/>
          <w:sz w:val="22"/>
        </w:rPr>
      </w:pPr>
      <w:r>
        <w:rPr>
          <w:rFonts w:ascii="Arial" w:eastAsia="SimSun" w:hAnsi="Arial" w:cs="Arial"/>
          <w:sz w:val="22"/>
        </w:rPr>
        <w:t>The original protocol for saf</w:t>
      </w:r>
      <w:r>
        <w:rPr>
          <w:rFonts w:ascii="Arial" w:eastAsia="SimSun" w:hAnsi="Arial" w:cs="Arial"/>
          <w:sz w:val="22"/>
        </w:rPr>
        <w:t>ety supervision of home-based exercise training suggested the use of a portable device so that parents could measure the blood oxygen saturation and heart rates of children with CHD.</w:t>
      </w:r>
      <w:r>
        <w:rPr>
          <w:rFonts w:ascii="Arial" w:eastAsia="SimSun" w:hAnsi="Arial" w:cs="Arial"/>
          <w:sz w:val="22"/>
        </w:rPr>
        <w:fldChar w:fldCharType="begin">
          <w:fldData xml:space="preserve">PEVuZE5vdGU+PENpdGU+PEF1dGhvcj5EdTwvQXV0aG9yPjxZZWFyPjIwMTc8L1llYXI+PFJlY051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</w:fldData>
        </w:fldChar>
      </w:r>
      <w:r>
        <w:rPr>
          <w:rFonts w:ascii="Arial" w:eastAsia="SimSun" w:hAnsi="Arial" w:cs="Arial"/>
          <w:sz w:val="22"/>
        </w:rPr>
        <w:instrText xml:space="preserve"> ADDIN EN.CITE </w:instrText>
      </w:r>
      <w:r>
        <w:rPr>
          <w:rFonts w:ascii="Arial" w:eastAsia="SimSun" w:hAnsi="Arial" w:cs="Arial"/>
          <w:sz w:val="22"/>
        </w:rPr>
        <w:fldChar w:fldCharType="begin">
          <w:fldData xml:space="preserve">PEVuZE5vdGU+PENpdGU+PEF1dGhvcj5EdTwvQXV0aG9yPjxZZWFyPjIwMTc8L1llYXI+PFJlY051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</w:fldData>
        </w:fldChar>
      </w:r>
      <w:r>
        <w:rPr>
          <w:rFonts w:ascii="Arial" w:eastAsia="SimSun" w:hAnsi="Arial" w:cs="Arial"/>
          <w:sz w:val="22"/>
        </w:rPr>
        <w:instrText xml:space="preserve"> ADDIN EN.CITE.DATA </w:instrText>
      </w:r>
      <w:r>
        <w:rPr>
          <w:rFonts w:ascii="Arial" w:eastAsia="SimSun" w:hAnsi="Arial" w:cs="Arial"/>
          <w:sz w:val="22"/>
        </w:rPr>
      </w:r>
      <w:r>
        <w:rPr>
          <w:rFonts w:ascii="Arial" w:eastAsia="SimSun" w:hAnsi="Arial" w:cs="Arial"/>
          <w:sz w:val="22"/>
        </w:rPr>
        <w:fldChar w:fldCharType="end"/>
      </w:r>
      <w:r>
        <w:rPr>
          <w:rFonts w:ascii="Arial" w:eastAsia="SimSun" w:hAnsi="Arial" w:cs="Arial"/>
          <w:sz w:val="22"/>
        </w:rPr>
      </w:r>
      <w:r>
        <w:rPr>
          <w:rFonts w:ascii="Arial" w:eastAsia="SimSun" w:hAnsi="Arial" w:cs="Arial"/>
          <w:sz w:val="22"/>
        </w:rPr>
        <w:fldChar w:fldCharType="separate"/>
      </w:r>
      <w:proofErr w:type="gramStart"/>
      <w:r>
        <w:rPr>
          <w:rFonts w:ascii="Arial" w:eastAsia="SimSun" w:hAnsi="Arial" w:cs="Arial"/>
          <w:sz w:val="22"/>
          <w:vertAlign w:val="superscript"/>
        </w:rPr>
        <w:t>1</w:t>
      </w:r>
      <w:proofErr w:type="gramEnd"/>
      <w:r>
        <w:rPr>
          <w:rFonts w:ascii="Arial" w:eastAsia="SimSun" w:hAnsi="Arial" w:cs="Arial"/>
          <w:sz w:val="22"/>
        </w:rPr>
        <w:fldChar w:fldCharType="end"/>
      </w:r>
      <w:r>
        <w:rPr>
          <w:rFonts w:ascii="Arial" w:eastAsia="SimSun" w:hAnsi="Arial" w:cs="Arial"/>
          <w:sz w:val="22"/>
        </w:rPr>
        <w:t xml:space="preserve"> Initially, we provided a </w:t>
      </w:r>
      <w:r>
        <w:rPr>
          <w:rFonts w:ascii="Arial" w:eastAsia="SimSun" w:hAnsi="Arial" w:cs="Arial" w:hint="eastAsia"/>
          <w:sz w:val="22"/>
        </w:rPr>
        <w:t>f</w:t>
      </w:r>
      <w:r>
        <w:rPr>
          <w:rFonts w:ascii="Arial" w:eastAsia="SimSun" w:hAnsi="Arial" w:cs="Arial"/>
          <w:sz w:val="22"/>
        </w:rPr>
        <w:t xml:space="preserve">ingertip </w:t>
      </w:r>
      <w:r>
        <w:rPr>
          <w:rFonts w:ascii="Arial" w:eastAsia="SimSun" w:hAnsi="Arial" w:cs="Arial" w:hint="eastAsia"/>
          <w:sz w:val="22"/>
        </w:rPr>
        <w:t>p</w:t>
      </w:r>
      <w:r>
        <w:rPr>
          <w:rFonts w:ascii="Arial" w:eastAsia="SimSun" w:hAnsi="Arial" w:cs="Arial"/>
          <w:sz w:val="22"/>
        </w:rPr>
        <w:t xml:space="preserve">ulse </w:t>
      </w:r>
      <w:r>
        <w:rPr>
          <w:rFonts w:ascii="Arial" w:eastAsia="SimSun" w:hAnsi="Arial" w:cs="Arial" w:hint="eastAsia"/>
          <w:sz w:val="22"/>
        </w:rPr>
        <w:t>o</w:t>
      </w:r>
      <w:r>
        <w:rPr>
          <w:rFonts w:ascii="Arial" w:eastAsia="SimSun" w:hAnsi="Arial" w:cs="Arial"/>
          <w:sz w:val="22"/>
        </w:rPr>
        <w:t xml:space="preserve">ximeter. </w:t>
      </w:r>
      <w:r>
        <w:rPr>
          <w:rFonts w:ascii="Arial" w:hAnsi="Arial" w:cs="Arial"/>
          <w:sz w:val="22"/>
        </w:rPr>
        <w:t xml:space="preserve">However, some parents informed us of malfunctions caused by </w:t>
      </w:r>
      <w:r>
        <w:rPr>
          <w:rFonts w:ascii="Arial" w:hAnsi="Arial" w:cs="Arial" w:hint="eastAsia"/>
          <w:sz w:val="22"/>
        </w:rPr>
        <w:t>i</w:t>
      </w:r>
      <w:r>
        <w:rPr>
          <w:rFonts w:ascii="Arial" w:hAnsi="Arial" w:cs="Arial"/>
          <w:sz w:val="22"/>
        </w:rPr>
        <w:t>nsufficient contact between child’s finger and device, while others reported that device use disrupted the exercises. Thus, with the approval from the Xinhua Hospital Ethics Commit</w:t>
      </w:r>
      <w:r>
        <w:rPr>
          <w:rFonts w:ascii="Arial" w:hAnsi="Arial" w:cs="Arial"/>
          <w:sz w:val="22"/>
        </w:rPr>
        <w:t xml:space="preserve">tee, we stopped use of the Fingertip Pulse Oximeter, and instead we taught parents to monitor their children’s complexion, sweating, and heart rate (a targeted range of 60–80% of maximum heart rate). </w:t>
      </w:r>
    </w:p>
    <w:p w:rsidR="00A2686B" w:rsidRDefault="00A2686B">
      <w:pPr>
        <w:jc w:val="left"/>
        <w:rPr>
          <w:rFonts w:ascii="Arial" w:eastAsia="SimSun" w:hAnsi="Arial" w:cs="Arial"/>
          <w:sz w:val="22"/>
        </w:rPr>
      </w:pPr>
    </w:p>
    <w:p w:rsidR="00A2686B" w:rsidRDefault="00FD386C">
      <w:pPr>
        <w:jc w:val="left"/>
        <w:rPr>
          <w:rFonts w:ascii="Arial" w:hAnsi="Arial" w:cs="Arial"/>
          <w:sz w:val="22"/>
        </w:rPr>
      </w:pPr>
      <w:r>
        <w:rPr>
          <w:rFonts w:ascii="Arial" w:eastAsia="SimSun" w:hAnsi="Arial" w:cs="Arial"/>
          <w:sz w:val="22"/>
        </w:rPr>
        <w:t>The results of a pilot study showed that the motor quo</w:t>
      </w:r>
      <w:r>
        <w:rPr>
          <w:rFonts w:ascii="Arial" w:eastAsia="SimSun" w:hAnsi="Arial" w:cs="Arial"/>
          <w:sz w:val="22"/>
        </w:rPr>
        <w:t xml:space="preserve">tients of CHD subtypes, including PDA, PS, VSD, and ASD had different effect size, with 1.06, 1.70, 0.55, </w:t>
      </w:r>
      <w:proofErr w:type="gramStart"/>
      <w:r>
        <w:rPr>
          <w:rFonts w:ascii="Arial" w:eastAsia="SimSun" w:hAnsi="Arial" w:cs="Arial"/>
          <w:sz w:val="22"/>
        </w:rPr>
        <w:t>1.59</w:t>
      </w:r>
      <w:proofErr w:type="gramEnd"/>
      <w:r>
        <w:rPr>
          <w:rFonts w:ascii="Arial" w:eastAsia="SimSun" w:hAnsi="Arial" w:cs="Arial"/>
          <w:sz w:val="22"/>
        </w:rPr>
        <w:t xml:space="preserve"> respectively. Thus, with study potential attritions setting at α=0.05 and β=0.1, this study should recruit 54 PDA cases, 26 PS cases, 192 VSD cas</w:t>
      </w:r>
      <w:r>
        <w:rPr>
          <w:rFonts w:ascii="Arial" w:eastAsia="SimSun" w:hAnsi="Arial" w:cs="Arial"/>
          <w:sz w:val="22"/>
        </w:rPr>
        <w:t xml:space="preserve">es, and 28 ASD cases, with a total sample size of 300 CHD patients. </w:t>
      </w:r>
      <w:r>
        <w:rPr>
          <w:rFonts w:ascii="Arial" w:hAnsi="Arial" w:cs="Arial"/>
          <w:sz w:val="22"/>
        </w:rPr>
        <w:t>When 192 subjects finished the 6-months follow-up, we performed an interim analysis. Considering the clinical outcome changes of these subjects, observed by the statistically significant d</w:t>
      </w:r>
      <w:r>
        <w:rPr>
          <w:rFonts w:ascii="Arial" w:hAnsi="Arial" w:cs="Arial"/>
          <w:sz w:val="22"/>
        </w:rPr>
        <w:t xml:space="preserve">ifference of </w:t>
      </w:r>
      <w:bookmarkStart w:id="8" w:name="OLE_LINK2"/>
      <w:bookmarkStart w:id="9" w:name="OLE_LINK1"/>
      <w:r>
        <w:rPr>
          <w:rFonts w:ascii="Arial" w:hAnsi="Arial" w:cs="Arial"/>
          <w:sz w:val="22"/>
        </w:rPr>
        <w:t>GMQ, FMQ and TMQ</w:t>
      </w:r>
      <w:bookmarkEnd w:id="8"/>
      <w:bookmarkEnd w:id="9"/>
      <w:r>
        <w:rPr>
          <w:rFonts w:ascii="Arial" w:hAnsi="Arial" w:cs="Arial"/>
          <w:sz w:val="22"/>
        </w:rPr>
        <w:t xml:space="preserve"> between the control group and intervention group at 6 months after catheterization of more than 98% (99.88%, 98.92%, 99.95%), we decided to terminate the study with the approval from the Xinhua Hospital Ethics Committee.</w:t>
      </w:r>
    </w:p>
    <w:p w:rsidR="00A2686B" w:rsidRDefault="00A2686B">
      <w:pPr>
        <w:jc w:val="left"/>
        <w:rPr>
          <w:rFonts w:ascii="Arial" w:hAnsi="Arial" w:cs="Arial"/>
          <w:sz w:val="22"/>
        </w:rPr>
      </w:pPr>
    </w:p>
    <w:p w:rsidR="00A2686B" w:rsidRDefault="00FD386C">
      <w:pPr>
        <w:widowControl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Refe</w:t>
      </w:r>
      <w:r>
        <w:rPr>
          <w:rFonts w:ascii="Arial" w:hAnsi="Arial" w:cs="Arial"/>
          <w:sz w:val="22"/>
        </w:rPr>
        <w:t>rence:</w:t>
      </w:r>
    </w:p>
    <w:p w:rsidR="00A2686B" w:rsidRDefault="00FD386C">
      <w:pPr>
        <w:pStyle w:val="EndNoteBibliography"/>
      </w:pPr>
      <w:r>
        <w:rPr>
          <w:rFonts w:ascii="Arial" w:hAnsi="Arial" w:cs="Arial"/>
          <w:sz w:val="22"/>
          <w:szCs w:val="24"/>
        </w:rPr>
        <w:fldChar w:fldCharType="begin"/>
      </w:r>
      <w:r>
        <w:rPr>
          <w:rFonts w:ascii="Arial" w:hAnsi="Arial" w:cs="Arial"/>
          <w:sz w:val="22"/>
          <w:szCs w:val="24"/>
        </w:rPr>
        <w:instrText xml:space="preserve"> ADDIN EN.REFLIST </w:instrText>
      </w:r>
      <w:r>
        <w:rPr>
          <w:rFonts w:ascii="Arial" w:hAnsi="Arial" w:cs="Arial"/>
          <w:sz w:val="22"/>
          <w:szCs w:val="24"/>
        </w:rPr>
        <w:fldChar w:fldCharType="separate"/>
      </w:r>
      <w:r>
        <w:t>1.</w:t>
      </w:r>
      <w:r>
        <w:tab/>
        <w:t>Du Q, Salem Y, Liu HH, et al. A home-based exercise program for children with congenital heart disease following interventional cardiac catheterization: study protocol for a randomized controlled trial. Trials 2017;18:38-.</w:t>
      </w:r>
    </w:p>
    <w:p w:rsidR="00A2686B" w:rsidRDefault="00FD386C">
      <w:pPr>
        <w:widowControl/>
        <w:jc w:val="left"/>
        <w:rPr>
          <w:rFonts w:ascii="Arial" w:hAnsi="Arial" w:cs="Arial"/>
          <w:b/>
          <w:bCs/>
          <w:kern w:val="44"/>
          <w:sz w:val="22"/>
        </w:rPr>
      </w:pPr>
      <w:r>
        <w:rPr>
          <w:rFonts w:ascii="Arial" w:hAnsi="Arial" w:cs="Arial"/>
          <w:sz w:val="22"/>
          <w:szCs w:val="24"/>
        </w:rPr>
        <w:fldChar w:fldCharType="end"/>
      </w:r>
      <w:r>
        <w:rPr>
          <w:rFonts w:ascii="Arial" w:hAnsi="Arial" w:cs="Arial"/>
          <w:sz w:val="22"/>
        </w:rPr>
        <w:br w:type="page"/>
      </w:r>
    </w:p>
    <w:p w:rsidR="00A2686B" w:rsidRDefault="00FD386C">
      <w:pPr>
        <w:pStyle w:val="Heading1"/>
        <w:spacing w:before="0" w:after="0" w:line="240" w:lineRule="auto"/>
        <w:jc w:val="center"/>
        <w:rPr>
          <w:rFonts w:ascii="Arial" w:hAnsi="Arial" w:cs="Arial"/>
          <w:sz w:val="22"/>
          <w:szCs w:val="22"/>
        </w:rPr>
      </w:pPr>
      <w:bookmarkStart w:id="10" w:name="_Toc3819"/>
      <w:bookmarkStart w:id="11" w:name="_Toc150241533"/>
      <w:bookmarkStart w:id="12" w:name="_Toc27701"/>
      <w:r>
        <w:rPr>
          <w:rFonts w:ascii="Arial" w:hAnsi="Arial" w:cs="Arial"/>
          <w:sz w:val="22"/>
          <w:szCs w:val="22"/>
        </w:rPr>
        <w:lastRenderedPageBreak/>
        <w:t>Supplementary Figures</w:t>
      </w:r>
      <w:bookmarkEnd w:id="10"/>
      <w:bookmarkEnd w:id="11"/>
      <w:bookmarkEnd w:id="12"/>
    </w:p>
    <w:p w:rsidR="00A2686B" w:rsidRDefault="00A2686B">
      <w:pPr>
        <w:rPr>
          <w:rStyle w:val="fontstyle01"/>
          <w:rFonts w:ascii="Arial" w:hAnsi="Arial" w:cs="Arial"/>
          <w:color w:val="auto"/>
        </w:rPr>
      </w:pPr>
    </w:p>
    <w:p w:rsidR="00A2686B" w:rsidRDefault="00FD386C">
      <w:pPr>
        <w:pStyle w:val="Heading2"/>
        <w:spacing w:line="240" w:lineRule="auto"/>
        <w:rPr>
          <w:rFonts w:cs="Arial"/>
        </w:rPr>
      </w:pPr>
      <w:bookmarkStart w:id="13" w:name="_Toc14133"/>
      <w:r>
        <w:rPr>
          <w:rFonts w:cs="Arial" w:hint="eastAsia"/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-244475</wp:posOffset>
            </wp:positionH>
            <wp:positionV relativeFrom="paragraph">
              <wp:posOffset>822325</wp:posOffset>
            </wp:positionV>
            <wp:extent cx="5546090" cy="7588250"/>
            <wp:effectExtent l="0" t="0" r="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46090" cy="758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Arial" w:hint="eastAsia"/>
        </w:rPr>
        <w:t>Figure S1. Post-catheterization echocardiographic changes by the CHD subtypes in the intervention group</w:t>
      </w:r>
      <w:r>
        <w:rPr>
          <w:rFonts w:cs="Arial"/>
        </w:rPr>
        <w:br w:type="page"/>
      </w:r>
      <w:bookmarkEnd w:id="13"/>
    </w:p>
    <w:p w:rsidR="00A2686B" w:rsidRDefault="00A2686B">
      <w:pPr>
        <w:jc w:val="center"/>
        <w:rPr>
          <w:rFonts w:ascii="Arial" w:hAnsi="Arial" w:cs="Arial"/>
          <w:sz w:val="22"/>
        </w:rPr>
      </w:pPr>
    </w:p>
    <w:p w:rsidR="00A2686B" w:rsidRDefault="00FD386C">
      <w:pPr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The X-axis shows the </w:t>
      </w:r>
      <w:proofErr w:type="spellStart"/>
      <w:r>
        <w:rPr>
          <w:rFonts w:ascii="Arial" w:hAnsi="Arial" w:cs="Arial"/>
          <w:sz w:val="22"/>
        </w:rPr>
        <w:t>timepoints</w:t>
      </w:r>
      <w:proofErr w:type="spellEnd"/>
      <w:r>
        <w:rPr>
          <w:rFonts w:ascii="Arial" w:hAnsi="Arial" w:cs="Arial"/>
          <w:sz w:val="22"/>
        </w:rPr>
        <w:t xml:space="preserve"> (months) of the assessments, with “0” representing the preoperative assessment. The Y-axis shows the mean changes in the values of the cardiac ultrasound indexes, as calculated by subtracting each of the preoperative values </w:t>
      </w:r>
      <w:r>
        <w:rPr>
          <w:rFonts w:ascii="Arial" w:hAnsi="Arial" w:cs="Arial"/>
          <w:sz w:val="22"/>
        </w:rPr>
        <w:t xml:space="preserve">from the postoperative assessment values, in the intervention group. </w:t>
      </w:r>
    </w:p>
    <w:p w:rsidR="00A2686B" w:rsidRDefault="00FD386C">
      <w:pPr>
        <w:jc w:val="left"/>
        <w:rPr>
          <w:rFonts w:ascii="Arial" w:hAnsi="Arial" w:cs="Arial"/>
          <w:sz w:val="22"/>
          <w:highlight w:val="yellow"/>
        </w:rPr>
      </w:pPr>
      <w:r>
        <w:rPr>
          <w:rFonts w:ascii="Arial" w:hAnsi="Arial" w:cs="Arial"/>
          <w:sz w:val="22"/>
        </w:rPr>
        <w:t xml:space="preserve">For VSD patients, comparing with the preoperative assessment, the intervention group showed significant changes in </w:t>
      </w:r>
      <w:proofErr w:type="spellStart"/>
      <w:r>
        <w:rPr>
          <w:rFonts w:ascii="Arial" w:hAnsi="Arial" w:cs="Arial"/>
          <w:sz w:val="22"/>
        </w:rPr>
        <w:t>LVDd</w:t>
      </w:r>
      <w:proofErr w:type="spellEnd"/>
      <w:r>
        <w:rPr>
          <w:rFonts w:ascii="Arial" w:hAnsi="Arial" w:cs="Arial"/>
          <w:sz w:val="22"/>
        </w:rPr>
        <w:t xml:space="preserve"> </w:t>
      </w:r>
      <w:r>
        <w:rPr>
          <w:rFonts w:ascii="Arial" w:eastAsia="SimSun" w:hAnsi="Arial" w:cs="Arial"/>
          <w:sz w:val="22"/>
        </w:rPr>
        <w:t xml:space="preserve">at 6-month assessment. </w:t>
      </w:r>
      <w:r>
        <w:rPr>
          <w:rFonts w:ascii="Arial" w:hAnsi="Arial" w:cs="Arial"/>
          <w:sz w:val="22"/>
        </w:rPr>
        <w:t>For ASD patients, comparing with the preope</w:t>
      </w:r>
      <w:r>
        <w:rPr>
          <w:rFonts w:ascii="Arial" w:hAnsi="Arial" w:cs="Arial"/>
          <w:sz w:val="22"/>
        </w:rPr>
        <w:t xml:space="preserve">rative assessment, the intervention group showed significant changes in LVPWs </w:t>
      </w:r>
      <w:r>
        <w:rPr>
          <w:rFonts w:ascii="Arial" w:eastAsia="SimSun" w:hAnsi="Arial" w:cs="Arial"/>
          <w:sz w:val="22"/>
        </w:rPr>
        <w:t>at 6-month assessment.</w:t>
      </w:r>
    </w:p>
    <w:p w:rsidR="00A2686B" w:rsidRDefault="00FD386C">
      <w:pPr>
        <w:jc w:val="left"/>
        <w:rPr>
          <w:rFonts w:ascii="Arial" w:hAnsi="Arial" w:cs="Arial"/>
          <w:sz w:val="22"/>
          <w:highlight w:val="yellow"/>
        </w:rPr>
      </w:pPr>
      <w:r>
        <w:rPr>
          <w:rFonts w:ascii="Arial" w:hAnsi="Arial" w:cs="Arial"/>
          <w:sz w:val="22"/>
        </w:rPr>
        <w:t xml:space="preserve">ASD: atrial septal defect; </w:t>
      </w:r>
      <w:proofErr w:type="spellStart"/>
      <w:r>
        <w:rPr>
          <w:rFonts w:ascii="Arial" w:hAnsi="Arial" w:cs="Arial"/>
          <w:sz w:val="22"/>
        </w:rPr>
        <w:t>LVDd</w:t>
      </w:r>
      <w:proofErr w:type="spellEnd"/>
      <w:r>
        <w:rPr>
          <w:rFonts w:ascii="Arial" w:hAnsi="Arial" w:cs="Arial"/>
          <w:sz w:val="22"/>
        </w:rPr>
        <w:t>: left ventricular end diastolic dimension; LVDs: left ventricular end-systolic dimension; LVEF: left ventricular ejection f</w:t>
      </w:r>
      <w:r>
        <w:rPr>
          <w:rFonts w:ascii="Arial" w:hAnsi="Arial" w:cs="Arial"/>
          <w:sz w:val="22"/>
        </w:rPr>
        <w:t xml:space="preserve">raction; </w:t>
      </w:r>
      <w:proofErr w:type="spellStart"/>
      <w:r>
        <w:rPr>
          <w:rFonts w:ascii="Arial" w:hAnsi="Arial" w:cs="Arial"/>
          <w:sz w:val="22"/>
        </w:rPr>
        <w:t>LVPWd</w:t>
      </w:r>
      <w:proofErr w:type="spellEnd"/>
      <w:r>
        <w:rPr>
          <w:rFonts w:ascii="Arial" w:hAnsi="Arial" w:cs="Arial"/>
          <w:sz w:val="22"/>
        </w:rPr>
        <w:t>: left ventricular posterior wall depth; LVPWs: left ventricular posterior wall thickness at end-systole; MPA: main pulmonary artery diameter; MV: mitral blood flow velocity; PDA: patent ductus arteriosus; PS: pulmonary stenosis; TV: tricuspi</w:t>
      </w:r>
      <w:r>
        <w:rPr>
          <w:rFonts w:ascii="Arial" w:hAnsi="Arial" w:cs="Arial"/>
          <w:sz w:val="22"/>
        </w:rPr>
        <w:t xml:space="preserve">d blood flow velocity; VSD: ventricular septal. </w:t>
      </w:r>
    </w:p>
    <w:p w:rsidR="00A2686B" w:rsidRDefault="00A2686B">
      <w:pPr>
        <w:jc w:val="left"/>
        <w:rPr>
          <w:rFonts w:ascii="Arial" w:hAnsi="Arial" w:cs="Arial"/>
          <w:sz w:val="22"/>
        </w:rPr>
      </w:pPr>
    </w:p>
    <w:p w:rsidR="00A2686B" w:rsidRDefault="00FD386C">
      <w:pPr>
        <w:widowControl/>
        <w:jc w:val="lef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:rsidR="00A2686B" w:rsidRDefault="00FD386C">
      <w:pPr>
        <w:pStyle w:val="Heading2"/>
        <w:spacing w:before="0" w:after="0" w:line="240" w:lineRule="auto"/>
        <w:jc w:val="left"/>
        <w:rPr>
          <w:rFonts w:cs="Arial"/>
          <w:b w:val="0"/>
          <w:bCs w:val="0"/>
        </w:rPr>
      </w:pPr>
      <w:bookmarkStart w:id="14" w:name="_Toc150241535"/>
      <w:bookmarkStart w:id="15" w:name="_Toc16617"/>
      <w:bookmarkStart w:id="16" w:name="_Toc8537"/>
      <w:r>
        <w:rPr>
          <w:rFonts w:cs="Arial"/>
          <w:noProof/>
          <w:lang w:eastAsia="en-US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426720</wp:posOffset>
            </wp:positionV>
            <wp:extent cx="5842635" cy="800100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42660" cy="8000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Arial" w:hint="eastAsia"/>
        </w:rPr>
        <w:t>Figure S</w:t>
      </w:r>
      <w:r>
        <w:rPr>
          <w:rFonts w:cs="Arial" w:hint="eastAsia"/>
        </w:rPr>
        <w:t>2</w:t>
      </w:r>
      <w:r>
        <w:rPr>
          <w:rFonts w:cs="Arial"/>
        </w:rPr>
        <w:t xml:space="preserve">. Post-catheterization echocardiographic changes by the CHD subtypes </w:t>
      </w:r>
      <w:r>
        <w:rPr>
          <w:rFonts w:cs="Arial" w:hint="eastAsia"/>
        </w:rPr>
        <w:t>i</w:t>
      </w:r>
      <w:r>
        <w:rPr>
          <w:rFonts w:cs="Arial"/>
        </w:rPr>
        <w:t>n the control group</w:t>
      </w:r>
      <w:bookmarkEnd w:id="14"/>
      <w:bookmarkEnd w:id="15"/>
      <w:bookmarkEnd w:id="16"/>
    </w:p>
    <w:p w:rsidR="00A2686B" w:rsidRDefault="00A2686B">
      <w:pPr>
        <w:jc w:val="center"/>
        <w:rPr>
          <w:rFonts w:ascii="Arial" w:hAnsi="Arial" w:cs="Arial"/>
          <w:sz w:val="22"/>
        </w:rPr>
      </w:pPr>
    </w:p>
    <w:p w:rsidR="00A2686B" w:rsidRDefault="00FD386C">
      <w:pPr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The X-axis shows the </w:t>
      </w:r>
      <w:proofErr w:type="spellStart"/>
      <w:r>
        <w:rPr>
          <w:rFonts w:ascii="Arial" w:hAnsi="Arial" w:cs="Arial"/>
          <w:sz w:val="22"/>
        </w:rPr>
        <w:t>timepoints</w:t>
      </w:r>
      <w:proofErr w:type="spellEnd"/>
      <w:r>
        <w:rPr>
          <w:rFonts w:ascii="Arial" w:hAnsi="Arial" w:cs="Arial"/>
          <w:sz w:val="22"/>
        </w:rPr>
        <w:t xml:space="preserve"> (months) of the assessments, with “0” representing </w:t>
      </w:r>
      <w:r>
        <w:rPr>
          <w:rFonts w:ascii="Arial" w:hAnsi="Arial" w:cs="Arial"/>
          <w:sz w:val="22"/>
        </w:rPr>
        <w:lastRenderedPageBreak/>
        <w:t xml:space="preserve">the preoperative assessment. The Y-axis shows the mean changes in the values of the cardiac ultrasound indexes, as calculated by subtracting each of the preoperative values </w:t>
      </w:r>
      <w:r>
        <w:rPr>
          <w:rFonts w:ascii="Arial" w:hAnsi="Arial" w:cs="Arial"/>
          <w:sz w:val="22"/>
        </w:rPr>
        <w:t xml:space="preserve">from the postoperative assessment values, in the control group. For the four studied CHD subtypes, there </w:t>
      </w:r>
      <w:proofErr w:type="gramStart"/>
      <w:r>
        <w:rPr>
          <w:rFonts w:ascii="Arial" w:hAnsi="Arial" w:cs="Arial"/>
          <w:sz w:val="22"/>
        </w:rPr>
        <w:t>were no significant difference</w:t>
      </w:r>
      <w:proofErr w:type="gramEnd"/>
      <w:r>
        <w:rPr>
          <w:rFonts w:ascii="Arial" w:hAnsi="Arial" w:cs="Arial"/>
          <w:sz w:val="22"/>
        </w:rPr>
        <w:t xml:space="preserve"> in the cardiac ultrasound indexes in the control group. </w:t>
      </w:r>
    </w:p>
    <w:p w:rsidR="00A2686B" w:rsidRDefault="00FD386C">
      <w:pPr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ASD: atrial septal defect; </w:t>
      </w:r>
      <w:proofErr w:type="spellStart"/>
      <w:r>
        <w:rPr>
          <w:rFonts w:ascii="Arial" w:hAnsi="Arial" w:cs="Arial"/>
          <w:sz w:val="22"/>
        </w:rPr>
        <w:t>LVDd</w:t>
      </w:r>
      <w:proofErr w:type="spellEnd"/>
      <w:r>
        <w:rPr>
          <w:rFonts w:ascii="Arial" w:hAnsi="Arial" w:cs="Arial"/>
          <w:sz w:val="22"/>
        </w:rPr>
        <w:t xml:space="preserve">: left ventricular end diastolic dimension; LVDs: left ventricular end-systolic dimension; LVEF: left ventricular ejection fraction; </w:t>
      </w:r>
      <w:proofErr w:type="spellStart"/>
      <w:r>
        <w:rPr>
          <w:rFonts w:ascii="Arial" w:hAnsi="Arial" w:cs="Arial"/>
          <w:sz w:val="22"/>
        </w:rPr>
        <w:t>LVPWd</w:t>
      </w:r>
      <w:proofErr w:type="spellEnd"/>
      <w:r>
        <w:rPr>
          <w:rFonts w:ascii="Arial" w:hAnsi="Arial" w:cs="Arial"/>
          <w:sz w:val="22"/>
        </w:rPr>
        <w:t>= left ventricular posterior wall depth; LVPWs: left ventricular posterior wall thickne</w:t>
      </w:r>
      <w:r>
        <w:rPr>
          <w:rFonts w:ascii="Arial" w:hAnsi="Arial" w:cs="Arial"/>
          <w:sz w:val="22"/>
        </w:rPr>
        <w:t xml:space="preserve">ss at end-systole; MPA: main pulmonary artery diameter; MV: mitral blood flow velocity; PDA: patent ductus arteriosus; PS: pulmonary stenosis; TV: tricuspid blood flow velocity; VSD: ventricular septal. </w:t>
      </w:r>
    </w:p>
    <w:p w:rsidR="00A2686B" w:rsidRDefault="00A2686B">
      <w:pPr>
        <w:jc w:val="left"/>
        <w:rPr>
          <w:rFonts w:ascii="Arial" w:hAnsi="Arial" w:cs="Arial"/>
          <w:sz w:val="22"/>
          <w:highlight w:val="yellow"/>
        </w:rPr>
      </w:pPr>
    </w:p>
    <w:p w:rsidR="00A2686B" w:rsidRDefault="00FD386C">
      <w:pPr>
        <w:widowControl/>
        <w:jc w:val="left"/>
        <w:rPr>
          <w:rFonts w:ascii="Arial" w:hAnsi="Arial" w:cs="Arial"/>
          <w:b/>
          <w:bCs/>
          <w:kern w:val="44"/>
          <w:sz w:val="22"/>
        </w:rPr>
      </w:pPr>
      <w:r>
        <w:rPr>
          <w:rFonts w:ascii="Arial" w:hAnsi="Arial" w:cs="Arial"/>
          <w:sz w:val="22"/>
        </w:rPr>
        <w:br w:type="page"/>
      </w:r>
    </w:p>
    <w:p w:rsidR="00A2686B" w:rsidRDefault="00FD386C">
      <w:pPr>
        <w:pStyle w:val="Heading1"/>
        <w:spacing w:before="0" w:after="0" w:line="240" w:lineRule="auto"/>
        <w:jc w:val="center"/>
        <w:rPr>
          <w:rFonts w:ascii="Arial" w:hAnsi="Arial" w:cs="Arial"/>
          <w:sz w:val="22"/>
          <w:szCs w:val="22"/>
        </w:rPr>
      </w:pPr>
      <w:bookmarkStart w:id="17" w:name="_Toc150241536"/>
      <w:bookmarkStart w:id="18" w:name="_Toc5592"/>
      <w:bookmarkStart w:id="19" w:name="_Toc15858"/>
      <w:r>
        <w:rPr>
          <w:rFonts w:ascii="Arial" w:hAnsi="Arial" w:cs="Arial"/>
          <w:sz w:val="22"/>
          <w:szCs w:val="22"/>
        </w:rPr>
        <w:lastRenderedPageBreak/>
        <w:t>Supplementary Tables</w:t>
      </w:r>
      <w:bookmarkEnd w:id="17"/>
      <w:bookmarkEnd w:id="18"/>
      <w:bookmarkEnd w:id="19"/>
    </w:p>
    <w:p w:rsidR="00A2686B" w:rsidRDefault="00A2686B">
      <w:pPr>
        <w:ind w:right="210"/>
        <w:rPr>
          <w:rFonts w:ascii="Arial" w:hAnsi="Arial" w:cs="Arial"/>
          <w:sz w:val="22"/>
          <w:szCs w:val="24"/>
        </w:rPr>
      </w:pPr>
    </w:p>
    <w:p w:rsidR="00A2686B" w:rsidRDefault="00FD386C">
      <w:pPr>
        <w:pStyle w:val="Heading2"/>
        <w:spacing w:line="240" w:lineRule="auto"/>
        <w:jc w:val="left"/>
        <w:rPr>
          <w:lang w:val="en-GB"/>
        </w:rPr>
      </w:pPr>
      <w:bookmarkStart w:id="20" w:name="_Toc25037"/>
      <w:r>
        <w:rPr>
          <w:rFonts w:hint="eastAsia"/>
          <w:lang w:val="en-GB"/>
        </w:rPr>
        <w:t>Table S</w:t>
      </w:r>
      <w:r>
        <w:rPr>
          <w:rFonts w:hint="eastAsia"/>
          <w:lang w:val="en-GB"/>
        </w:rPr>
        <w:t>1 Outlines of the ho</w:t>
      </w:r>
      <w:r>
        <w:rPr>
          <w:rFonts w:hint="eastAsia"/>
          <w:lang w:val="en-GB"/>
        </w:rPr>
        <w:t>me-based exercise program differed by developmental age.</w:t>
      </w:r>
      <w:bookmarkEnd w:id="20"/>
    </w:p>
    <w:tbl>
      <w:tblPr>
        <w:tblStyle w:val="TableGrid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797"/>
      </w:tblGrid>
      <w:tr w:rsidR="00A2686B">
        <w:trPr>
          <w:trHeight w:val="445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A2686B" w:rsidRDefault="00FD386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</w:t>
            </w:r>
          </w:p>
        </w:tc>
        <w:tc>
          <w:tcPr>
            <w:tcW w:w="7797" w:type="dxa"/>
            <w:tcBorders>
              <w:top w:val="single" w:sz="4" w:space="0" w:color="auto"/>
              <w:bottom w:val="single" w:sz="4" w:space="0" w:color="auto"/>
            </w:tcBorders>
          </w:tcPr>
          <w:p w:rsidR="00A2686B" w:rsidRDefault="00FD386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Overview of home-based exercise program*</w:t>
            </w:r>
          </w:p>
        </w:tc>
      </w:tr>
      <w:tr w:rsidR="00A2686B">
        <w:trPr>
          <w:trHeight w:val="1480"/>
        </w:trPr>
        <w:tc>
          <w:tcPr>
            <w:tcW w:w="1809" w:type="dxa"/>
            <w:tcBorders>
              <w:top w:val="single" w:sz="4" w:space="0" w:color="auto"/>
            </w:tcBorders>
          </w:tcPr>
          <w:p w:rsidR="00A2686B" w:rsidRDefault="00FD386C">
            <w:pPr>
              <w:pStyle w:val="ListParagraph"/>
              <w:numPr>
                <w:ilvl w:val="1"/>
                <w:numId w:val="1"/>
              </w:numPr>
              <w:spacing w:line="360" w:lineRule="auto"/>
              <w:ind w:firstLineChars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months</w:t>
            </w:r>
          </w:p>
        </w:tc>
        <w:tc>
          <w:tcPr>
            <w:tcW w:w="7797" w:type="dxa"/>
            <w:tcBorders>
              <w:top w:val="single" w:sz="4" w:space="0" w:color="auto"/>
            </w:tcBorders>
          </w:tcPr>
          <w:p w:rsidR="00A2686B" w:rsidRDefault="00FD386C">
            <w:pPr>
              <w:pStyle w:val="ListParagraph"/>
              <w:numPr>
                <w:ilvl w:val="0"/>
                <w:numId w:val="2"/>
              </w:numPr>
              <w:ind w:firstLineChars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Developmental activities: activities/games with different postures, such as head lifting, support in prone position, hand, or elbow support, etc. </w:t>
            </w:r>
            <w:r>
              <w:rPr>
                <w:rFonts w:ascii="Arial" w:hAnsi="Arial" w:cs="Arial"/>
              </w:rPr>
              <w:t>For example, the infant could lie on the mother’s leg in a prone position; the mother could shake a sound toy over the infant’s head to induce the infant to lift his/her head or hand; the infant can also lie on a big ball in a prone position.</w:t>
            </w:r>
          </w:p>
          <w:p w:rsidR="00A2686B" w:rsidRDefault="00FD386C">
            <w:pPr>
              <w:pStyle w:val="ListParagraph"/>
              <w:numPr>
                <w:ilvl w:val="0"/>
                <w:numId w:val="2"/>
              </w:numPr>
              <w:ind w:firstLineChars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Passive exerc</w:t>
            </w:r>
            <w:r>
              <w:rPr>
                <w:rFonts w:ascii="Arial" w:hAnsi="Arial" w:cs="Arial"/>
              </w:rPr>
              <w:t>ise: stretching the infant’s limbs and shoulder, and wrist and leg manipulation by the parents, such as clapping or nudging the infant’s feet.</w:t>
            </w:r>
          </w:p>
        </w:tc>
      </w:tr>
      <w:tr w:rsidR="00A2686B">
        <w:trPr>
          <w:trHeight w:val="131"/>
        </w:trPr>
        <w:tc>
          <w:tcPr>
            <w:tcW w:w="1809" w:type="dxa"/>
          </w:tcPr>
          <w:p w:rsidR="00A2686B" w:rsidRDefault="00FD38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7–12 months</w:t>
            </w:r>
          </w:p>
          <w:p w:rsidR="00A2686B" w:rsidRDefault="00A2686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97" w:type="dxa"/>
          </w:tcPr>
          <w:p w:rsidR="00A2686B" w:rsidRDefault="00FD386C">
            <w:pPr>
              <w:pStyle w:val="ListParagraph"/>
              <w:numPr>
                <w:ilvl w:val="0"/>
                <w:numId w:val="3"/>
              </w:numPr>
              <w:ind w:firstLineChars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Developmental activities: activities in different positions (prone, sitting, crawling, creeping, kn</w:t>
            </w:r>
            <w:r>
              <w:rPr>
                <w:rFonts w:ascii="Arial" w:hAnsi="Arial" w:cs="Arial"/>
              </w:rPr>
              <w:t xml:space="preserve">eeling, and standing). </w:t>
            </w:r>
          </w:p>
          <w:p w:rsidR="00A2686B" w:rsidRDefault="00FD386C">
            <w:pPr>
              <w:pStyle w:val="ListParagraph"/>
              <w:numPr>
                <w:ilvl w:val="0"/>
                <w:numId w:val="3"/>
              </w:numPr>
              <w:ind w:firstLineChars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Passive exercise: stretching the infant’s limbs and shoulder, and wrist and leg manipulation by the parents, like the baby’s feet touching the mother’s feet with bending and extending movements, and stepping on a bicycle.</w:t>
            </w:r>
          </w:p>
        </w:tc>
      </w:tr>
      <w:tr w:rsidR="00A2686B">
        <w:trPr>
          <w:trHeight w:val="2188"/>
        </w:trPr>
        <w:tc>
          <w:tcPr>
            <w:tcW w:w="1809" w:type="dxa"/>
          </w:tcPr>
          <w:p w:rsidR="00A2686B" w:rsidRDefault="00FD38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13–24 </w:t>
            </w:r>
            <w:r>
              <w:rPr>
                <w:rFonts w:ascii="Arial" w:hAnsi="Arial" w:cs="Arial"/>
              </w:rPr>
              <w:t>months</w:t>
            </w:r>
          </w:p>
          <w:p w:rsidR="00A2686B" w:rsidRDefault="00A2686B">
            <w:pPr>
              <w:rPr>
                <w:rFonts w:ascii="Arial" w:hAnsi="Arial" w:cs="Arial"/>
              </w:rPr>
            </w:pPr>
          </w:p>
        </w:tc>
        <w:tc>
          <w:tcPr>
            <w:tcW w:w="7797" w:type="dxa"/>
          </w:tcPr>
          <w:p w:rsidR="00A2686B" w:rsidRDefault="00FD386C">
            <w:pPr>
              <w:pStyle w:val="ListParagraph"/>
              <w:numPr>
                <w:ilvl w:val="0"/>
                <w:numId w:val="3"/>
              </w:numPr>
              <w:ind w:firstLineChars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Postural training: kneeling and standing.</w:t>
            </w:r>
          </w:p>
          <w:p w:rsidR="00A2686B" w:rsidRDefault="00FD386C">
            <w:pPr>
              <w:pStyle w:val="ListParagraph"/>
              <w:numPr>
                <w:ilvl w:val="0"/>
                <w:numId w:val="3"/>
              </w:numPr>
              <w:ind w:firstLineChars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Flexibility training: active stretching of the upper and lower limbs, chest expansion, and shoulder, wrist, and leg movement.</w:t>
            </w:r>
          </w:p>
          <w:p w:rsidR="00A2686B" w:rsidRDefault="00FD386C">
            <w:pPr>
              <w:pStyle w:val="ListParagraph"/>
              <w:numPr>
                <w:ilvl w:val="0"/>
                <w:numId w:val="4"/>
              </w:numPr>
              <w:ind w:firstLineChars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Breathing exercises: abdominal respiration, resisted breathing, deep breathing, </w:t>
            </w:r>
            <w:r>
              <w:rPr>
                <w:rFonts w:ascii="Arial" w:hAnsi="Arial" w:cs="Arial"/>
              </w:rPr>
              <w:t>and blowing bubbles and pinwheels.</w:t>
            </w:r>
          </w:p>
          <w:p w:rsidR="00A2686B" w:rsidRDefault="00FD386C">
            <w:pPr>
              <w:pStyle w:val="ListParagraph"/>
              <w:numPr>
                <w:ilvl w:val="0"/>
                <w:numId w:val="4"/>
              </w:numPr>
              <w:ind w:firstLineChars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Developmental activities: walking, stair activities, stepping activities, and throwing a ball.</w:t>
            </w:r>
          </w:p>
          <w:p w:rsidR="00A2686B" w:rsidRDefault="00FD386C">
            <w:pPr>
              <w:pStyle w:val="ListParagraph"/>
              <w:numPr>
                <w:ilvl w:val="0"/>
                <w:numId w:val="4"/>
              </w:numPr>
              <w:ind w:firstLineChars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Aerobic endurance training: swimming, riding a bike, and walking.</w:t>
            </w:r>
          </w:p>
        </w:tc>
      </w:tr>
      <w:tr w:rsidR="00A2686B">
        <w:trPr>
          <w:trHeight w:val="4007"/>
        </w:trPr>
        <w:tc>
          <w:tcPr>
            <w:tcW w:w="1809" w:type="dxa"/>
            <w:tcBorders>
              <w:bottom w:val="single" w:sz="4" w:space="0" w:color="auto"/>
            </w:tcBorders>
          </w:tcPr>
          <w:p w:rsidR="00A2686B" w:rsidRDefault="00FD38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25–60 months</w:t>
            </w:r>
          </w:p>
          <w:p w:rsidR="00A2686B" w:rsidRDefault="00A2686B">
            <w:pPr>
              <w:rPr>
                <w:rFonts w:ascii="Arial" w:hAnsi="Arial" w:cs="Arial"/>
              </w:rPr>
            </w:pPr>
          </w:p>
        </w:tc>
        <w:tc>
          <w:tcPr>
            <w:tcW w:w="7797" w:type="dxa"/>
            <w:tcBorders>
              <w:bottom w:val="single" w:sz="4" w:space="0" w:color="auto"/>
            </w:tcBorders>
          </w:tcPr>
          <w:p w:rsidR="00A2686B" w:rsidRDefault="00FD386C">
            <w:pPr>
              <w:pStyle w:val="ListParagraph"/>
              <w:numPr>
                <w:ilvl w:val="0"/>
                <w:numId w:val="3"/>
              </w:numPr>
              <w:ind w:firstLineChars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Postural training: single-leg standing, </w:t>
            </w:r>
            <w:r>
              <w:rPr>
                <w:rFonts w:ascii="Arial" w:hAnsi="Arial" w:cs="Arial"/>
              </w:rPr>
              <w:t>standing on tiptoe, single-leg jumping, such as jumping following a rope with snake shapes, rope skipping, or standing on a soft cushion.</w:t>
            </w:r>
          </w:p>
          <w:p w:rsidR="00A2686B" w:rsidRDefault="00FD386C">
            <w:pPr>
              <w:pStyle w:val="ListParagraph"/>
              <w:numPr>
                <w:ilvl w:val="0"/>
                <w:numId w:val="3"/>
              </w:numPr>
              <w:ind w:firstLineChars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Flexibility training: active stretching of the upper and lower limbs, chest expansions, and shoulder, wrist, and leg m</w:t>
            </w:r>
            <w:r>
              <w:rPr>
                <w:rFonts w:ascii="Arial" w:hAnsi="Arial" w:cs="Arial"/>
              </w:rPr>
              <w:t>ovements.</w:t>
            </w:r>
          </w:p>
          <w:p w:rsidR="00A2686B" w:rsidRDefault="00FD386C">
            <w:pPr>
              <w:pStyle w:val="ListParagraph"/>
              <w:numPr>
                <w:ilvl w:val="0"/>
                <w:numId w:val="3"/>
              </w:numPr>
              <w:ind w:firstLineChars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Breathing training: abdominal respiration, resistant breathing, deep breathing, and blowing bubbles and pinwheels.</w:t>
            </w:r>
          </w:p>
          <w:p w:rsidR="00A2686B" w:rsidRDefault="00FD386C">
            <w:pPr>
              <w:pStyle w:val="ListParagraph"/>
              <w:numPr>
                <w:ilvl w:val="0"/>
                <w:numId w:val="3"/>
              </w:numPr>
              <w:ind w:firstLineChars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Muscle strength training: pulling elastic bands with the upper limbs, squatting down and standing up, straight-leg raising movement</w:t>
            </w:r>
            <w:r>
              <w:rPr>
                <w:rFonts w:ascii="Arial" w:hAnsi="Arial" w:cs="Arial"/>
              </w:rPr>
              <w:t>s, and gluteus training, like hiding in a big box, and inducing the child out with preferred toys.</w:t>
            </w:r>
          </w:p>
          <w:p w:rsidR="00A2686B" w:rsidRDefault="00FD386C">
            <w:pPr>
              <w:pStyle w:val="ListParagraph"/>
              <w:numPr>
                <w:ilvl w:val="0"/>
                <w:numId w:val="3"/>
              </w:numPr>
              <w:ind w:firstLineChars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Developmental activities: climbing upstairs and coming downstairs, stepping activities, and throwing and kicking a ball.</w:t>
            </w:r>
          </w:p>
          <w:p w:rsidR="00A2686B" w:rsidRDefault="00FD386C">
            <w:pPr>
              <w:pStyle w:val="ListParagraph"/>
              <w:numPr>
                <w:ilvl w:val="0"/>
                <w:numId w:val="3"/>
              </w:numPr>
              <w:ind w:firstLineChars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Aerobic endurance training: swimming</w:t>
            </w:r>
            <w:r>
              <w:rPr>
                <w:rFonts w:ascii="Arial" w:hAnsi="Arial" w:cs="Arial"/>
              </w:rPr>
              <w:t>, riding a bike, walking, jogging, and running to catch things with a crossing obstacle.</w:t>
            </w:r>
          </w:p>
        </w:tc>
      </w:tr>
    </w:tbl>
    <w:p w:rsidR="00A2686B" w:rsidRDefault="00FD386C">
      <w:pPr>
        <w:jc w:val="left"/>
        <w:rPr>
          <w:rFonts w:ascii="Arial" w:hAnsi="Arial" w:cs="Arial"/>
          <w:sz w:val="22"/>
          <w:szCs w:val="24"/>
        </w:rPr>
      </w:pPr>
      <w:r>
        <w:rPr>
          <w:rFonts w:ascii="Times New Roman" w:hAnsi="Times New Roman" w:cs="Times New Roman"/>
        </w:rPr>
        <w:t>* Parents implemented the rehabilitation program at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home over a 6-month period; the total daily time request will be 30 minutes for no less than 5 days per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week.</w:t>
      </w:r>
    </w:p>
    <w:p w:rsidR="00A2686B" w:rsidRDefault="00FD386C">
      <w:pPr>
        <w:widowControl/>
        <w:jc w:val="left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lastRenderedPageBreak/>
        <w:br w:type="page"/>
      </w:r>
    </w:p>
    <w:p w:rsidR="00A2686B" w:rsidRDefault="00FD386C">
      <w:pPr>
        <w:pStyle w:val="Heading2"/>
        <w:spacing w:before="0" w:after="0" w:line="240" w:lineRule="auto"/>
        <w:jc w:val="left"/>
        <w:rPr>
          <w:rFonts w:cs="Arial"/>
          <w:lang w:val="en-GB"/>
        </w:rPr>
      </w:pPr>
      <w:bookmarkStart w:id="21" w:name="_Toc3865"/>
      <w:bookmarkStart w:id="22" w:name="_Toc10550"/>
      <w:r>
        <w:rPr>
          <w:rFonts w:cs="Arial" w:hint="eastAsia"/>
        </w:rPr>
        <w:lastRenderedPageBreak/>
        <w:t>Ta</w:t>
      </w:r>
      <w:r>
        <w:rPr>
          <w:rFonts w:cs="Arial" w:hint="eastAsia"/>
        </w:rPr>
        <w:t>ble S</w:t>
      </w:r>
      <w:r>
        <w:rPr>
          <w:rFonts w:cs="Arial"/>
        </w:rPr>
        <w:t xml:space="preserve">2. </w:t>
      </w:r>
      <w:r>
        <w:rPr>
          <w:rFonts w:cs="Arial" w:hint="eastAsia"/>
          <w:lang w:val="en-GB"/>
        </w:rPr>
        <w:t xml:space="preserve">The Wilcoxon rank sum test of </w:t>
      </w:r>
      <w:r>
        <w:rPr>
          <w:rFonts w:cs="Arial"/>
        </w:rPr>
        <w:t>secondary outcomes (</w:t>
      </w:r>
      <w:r>
        <w:rPr>
          <w:rFonts w:cs="Arial"/>
          <w:lang w:val="en-GB"/>
        </w:rPr>
        <w:t>echocardiography</w:t>
      </w:r>
      <w:r>
        <w:rPr>
          <w:rFonts w:cs="Arial"/>
        </w:rPr>
        <w:t>)</w:t>
      </w:r>
      <w:r>
        <w:rPr>
          <w:rFonts w:cs="Arial" w:hint="eastAsia"/>
          <w:lang w:val="en-GB"/>
        </w:rPr>
        <w:t xml:space="preserve"> for </w:t>
      </w:r>
      <w:r>
        <w:rPr>
          <w:rFonts w:cs="Arial"/>
          <w:lang w:val="en-GB"/>
        </w:rPr>
        <w:t>congenital heart disease</w:t>
      </w:r>
      <w:r>
        <w:rPr>
          <w:rFonts w:cs="Arial"/>
        </w:rPr>
        <w:t xml:space="preserve"> (CHD)</w:t>
      </w:r>
      <w:r>
        <w:rPr>
          <w:rFonts w:cs="Arial" w:hint="eastAsia"/>
          <w:lang w:val="en-GB"/>
        </w:rPr>
        <w:t xml:space="preserve"> against preoperative assessment</w:t>
      </w:r>
      <w:bookmarkEnd w:id="21"/>
      <w:bookmarkEnd w:id="22"/>
    </w:p>
    <w:tbl>
      <w:tblPr>
        <w:tblpPr w:leftFromText="180" w:rightFromText="180" w:vertAnchor="text" w:horzAnchor="page" w:tblpX="1799" w:tblpY="184"/>
        <w:tblOverlap w:val="never"/>
        <w:tblW w:w="8080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127"/>
        <w:gridCol w:w="1134"/>
        <w:gridCol w:w="2126"/>
        <w:gridCol w:w="992"/>
      </w:tblGrid>
      <w:tr w:rsidR="00A2686B">
        <w:trPr>
          <w:trHeight w:val="430"/>
        </w:trPr>
        <w:tc>
          <w:tcPr>
            <w:tcW w:w="1701" w:type="dxa"/>
            <w:vMerge w:val="restart"/>
            <w:tcBorders>
              <w:top w:val="single" w:sz="6" w:space="0" w:color="auto"/>
              <w:bottom w:val="nil"/>
              <w:right w:val="nil"/>
            </w:tcBorders>
          </w:tcPr>
          <w:p w:rsidR="00A2686B" w:rsidRDefault="00A2686B">
            <w:pPr>
              <w:adjustRightInd w:val="0"/>
              <w:snapToGrid w:val="0"/>
              <w:spacing w:line="16" w:lineRule="atLeas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1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Intervention group(n=</w:t>
            </w:r>
            <w:r>
              <w:rPr>
                <w:rFonts w:ascii="Arial" w:hAnsi="Arial" w:cs="Arial" w:hint="eastAsia"/>
                <w:b/>
                <w:bCs/>
              </w:rPr>
              <w:t>95</w:t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Control group(n=</w:t>
            </w:r>
            <w:r>
              <w:rPr>
                <w:rFonts w:ascii="Arial" w:hAnsi="Arial" w:cs="Arial" w:hint="eastAsia"/>
                <w:b/>
                <w:bCs/>
              </w:rPr>
              <w:t>97</w:t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A2686B">
        <w:trPr>
          <w:trHeight w:val="194"/>
        </w:trPr>
        <w:tc>
          <w:tcPr>
            <w:tcW w:w="1701" w:type="dxa"/>
            <w:vMerge/>
            <w:tcBorders>
              <w:top w:val="nil"/>
              <w:bottom w:val="single" w:sz="6" w:space="0" w:color="auto"/>
              <w:right w:val="nil"/>
            </w:tcBorders>
          </w:tcPr>
          <w:p w:rsidR="00A2686B" w:rsidRDefault="00A2686B">
            <w:pPr>
              <w:adjustRightInd w:val="0"/>
              <w:snapToGrid w:val="0"/>
              <w:spacing w:line="16" w:lineRule="atLeas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median (IQR)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p</w:t>
            </w:r>
            <w:r>
              <w:rPr>
                <w:rFonts w:ascii="Arial" w:hAnsi="Arial" w:cs="Arial"/>
                <w:b/>
                <w:bCs/>
              </w:rPr>
              <w:t xml:space="preserve"> value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median (IQR)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6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p</w:t>
            </w:r>
            <w:r>
              <w:rPr>
                <w:rFonts w:ascii="Arial" w:hAnsi="Arial" w:cs="Arial"/>
                <w:b/>
                <w:bCs/>
              </w:rPr>
              <w:t xml:space="preserve"> value</w:t>
            </w:r>
          </w:p>
        </w:tc>
      </w:tr>
      <w:tr w:rsidR="00A2686B">
        <w:trPr>
          <w:trHeight w:val="416"/>
        </w:trPr>
        <w:tc>
          <w:tcPr>
            <w:tcW w:w="8080" w:type="dxa"/>
            <w:gridSpan w:val="5"/>
            <w:tcBorders>
              <w:top w:val="single" w:sz="6" w:space="0" w:color="auto"/>
            </w:tcBorders>
            <w:vAlign w:val="center"/>
          </w:tcPr>
          <w:p w:rsidR="00A2686B" w:rsidRDefault="00FD386C">
            <w:pPr>
              <w:pStyle w:val="NormalWeb"/>
              <w:widowControl/>
              <w:adjustRightInd w:val="0"/>
              <w:snapToGrid w:val="0"/>
              <w:spacing w:line="16" w:lineRule="atLeast"/>
              <w:rPr>
                <w:rFonts w:ascii="Arial" w:hAnsi="Arial" w:cs="Arial"/>
                <w:kern w:val="2"/>
                <w:sz w:val="20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Left ventricular </w:t>
            </w:r>
            <w:r>
              <w:rPr>
                <w:rFonts w:ascii="Arial" w:hAnsi="Arial" w:cs="Arial"/>
                <w:b/>
                <w:bCs/>
                <w:sz w:val="22"/>
              </w:rPr>
              <w:t>end diastolic dimension (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</w:rPr>
              <w:t>LVDd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</w:rPr>
              <w:t>)</w:t>
            </w:r>
          </w:p>
        </w:tc>
      </w:tr>
      <w:tr w:rsidR="00A2686B">
        <w:trPr>
          <w:trHeight w:val="90"/>
        </w:trPr>
        <w:tc>
          <w:tcPr>
            <w:tcW w:w="1701" w:type="dxa"/>
            <w:vAlign w:val="center"/>
          </w:tcPr>
          <w:p w:rsidR="00A2686B" w:rsidRDefault="00FD386C" w:rsidP="009870DF">
            <w:pPr>
              <w:adjustRightInd w:val="0"/>
              <w:snapToGrid w:val="0"/>
              <w:spacing w:line="16" w:lineRule="atLeast"/>
              <w:ind w:firstLineChars="109" w:firstLine="22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Baseline</w:t>
            </w:r>
          </w:p>
        </w:tc>
        <w:tc>
          <w:tcPr>
            <w:tcW w:w="2127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 w:hint="eastAsia"/>
              </w:rPr>
              <w:t>3.3</w:t>
            </w:r>
            <w:r>
              <w:rPr>
                <w:rFonts w:ascii="Arial" w:hAnsi="Arial" w:cs="Arial"/>
              </w:rPr>
              <w:t xml:space="preserve"> (2</w:t>
            </w:r>
            <w:r>
              <w:rPr>
                <w:rFonts w:ascii="Arial" w:hAnsi="Arial" w:cs="Arial" w:hint="eastAsia"/>
              </w:rPr>
              <w:t>9.3</w:t>
            </w:r>
            <w:r>
              <w:rPr>
                <w:rFonts w:ascii="Arial" w:hAnsi="Arial" w:cs="Arial"/>
              </w:rPr>
              <w:t>-3</w:t>
            </w:r>
            <w:r>
              <w:rPr>
                <w:rFonts w:ascii="Arial" w:hAnsi="Arial" w:cs="Arial" w:hint="eastAsia"/>
              </w:rPr>
              <w:t>6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3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34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6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 w:hint="eastAsia"/>
              </w:rPr>
              <w:t>2.8</w:t>
            </w:r>
            <w:r>
              <w:rPr>
                <w:rFonts w:ascii="Arial" w:hAnsi="Arial" w:cs="Arial"/>
              </w:rPr>
              <w:t xml:space="preserve"> (2</w:t>
            </w:r>
            <w:r>
              <w:rPr>
                <w:rFonts w:ascii="Arial" w:hAnsi="Arial" w:cs="Arial" w:hint="eastAsia"/>
              </w:rPr>
              <w:t>9.9</w:t>
            </w:r>
            <w:r>
              <w:rPr>
                <w:rFonts w:ascii="Arial" w:hAnsi="Arial" w:cs="Arial"/>
              </w:rPr>
              <w:t>-3</w:t>
            </w:r>
            <w:r>
              <w:rPr>
                <w:rFonts w:ascii="Arial" w:hAnsi="Arial" w:cs="Arial" w:hint="eastAsia"/>
              </w:rPr>
              <w:t>6.1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992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ind w:right="60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A2686B">
        <w:trPr>
          <w:trHeight w:val="221"/>
        </w:trPr>
        <w:tc>
          <w:tcPr>
            <w:tcW w:w="1701" w:type="dxa"/>
            <w:vAlign w:val="center"/>
          </w:tcPr>
          <w:p w:rsidR="00A2686B" w:rsidRDefault="00FD386C" w:rsidP="009870DF">
            <w:pPr>
              <w:adjustRightInd w:val="0"/>
              <w:snapToGrid w:val="0"/>
              <w:spacing w:line="16" w:lineRule="atLeast"/>
              <w:ind w:firstLineChars="109" w:firstLine="229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month </w:t>
            </w:r>
          </w:p>
        </w:tc>
        <w:tc>
          <w:tcPr>
            <w:tcW w:w="2127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 w:hint="eastAsia"/>
              </w:rPr>
              <w:t>2.9</w:t>
            </w:r>
            <w:r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 w:hint="eastAsia"/>
              </w:rPr>
              <w:t>29.5</w:t>
            </w:r>
            <w:r>
              <w:rPr>
                <w:rFonts w:ascii="Arial" w:hAnsi="Arial" w:cs="Arial"/>
              </w:rPr>
              <w:t>-3</w:t>
            </w:r>
            <w:r>
              <w:rPr>
                <w:rFonts w:ascii="Arial" w:hAnsi="Arial" w:cs="Arial" w:hint="eastAsia"/>
              </w:rPr>
              <w:t>5.8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34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433</w:t>
            </w:r>
          </w:p>
        </w:tc>
        <w:tc>
          <w:tcPr>
            <w:tcW w:w="2126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32.</w:t>
            </w:r>
            <w:r>
              <w:rPr>
                <w:rFonts w:ascii="Arial" w:hAnsi="Arial" w:cs="Arial" w:hint="eastAsia"/>
              </w:rPr>
              <w:t>5</w:t>
            </w:r>
            <w:r>
              <w:rPr>
                <w:rFonts w:ascii="Arial" w:hAnsi="Arial" w:cs="Arial"/>
              </w:rPr>
              <w:t xml:space="preserve"> (30.</w:t>
            </w:r>
            <w:r>
              <w:rPr>
                <w:rFonts w:ascii="Arial" w:hAnsi="Arial" w:cs="Arial" w:hint="eastAsia"/>
              </w:rPr>
              <w:t>0</w:t>
            </w:r>
            <w:r>
              <w:rPr>
                <w:rFonts w:ascii="Arial" w:hAnsi="Arial" w:cs="Arial"/>
              </w:rPr>
              <w:t>-34.</w:t>
            </w:r>
            <w:r>
              <w:rPr>
                <w:rFonts w:ascii="Arial" w:hAnsi="Arial" w:cs="Arial" w:hint="eastAsia"/>
              </w:rPr>
              <w:t>8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992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611</w:t>
            </w:r>
          </w:p>
        </w:tc>
      </w:tr>
      <w:tr w:rsidR="00A2686B">
        <w:trPr>
          <w:trHeight w:val="90"/>
        </w:trPr>
        <w:tc>
          <w:tcPr>
            <w:tcW w:w="1701" w:type="dxa"/>
            <w:tcBorders>
              <w:bottom w:val="nil"/>
            </w:tcBorders>
            <w:vAlign w:val="center"/>
          </w:tcPr>
          <w:p w:rsidR="00A2686B" w:rsidRDefault="00FD386C" w:rsidP="009870DF">
            <w:pPr>
              <w:adjustRightInd w:val="0"/>
              <w:snapToGrid w:val="0"/>
              <w:spacing w:line="16" w:lineRule="atLeast"/>
              <w:ind w:firstLineChars="109" w:firstLine="229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 months </w:t>
            </w:r>
          </w:p>
        </w:tc>
        <w:tc>
          <w:tcPr>
            <w:tcW w:w="2127" w:type="dxa"/>
            <w:tcBorders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 w:hint="eastAsia"/>
              </w:rPr>
              <w:t>3.2</w:t>
            </w:r>
            <w:r>
              <w:rPr>
                <w:rFonts w:ascii="Arial" w:hAnsi="Arial" w:cs="Arial"/>
              </w:rPr>
              <w:t xml:space="preserve"> (30.</w:t>
            </w:r>
            <w:r>
              <w:rPr>
                <w:rFonts w:ascii="Arial" w:hAnsi="Arial" w:cs="Arial" w:hint="eastAsia"/>
              </w:rPr>
              <w:t>0</w:t>
            </w:r>
            <w:r>
              <w:rPr>
                <w:rFonts w:ascii="Arial" w:hAnsi="Arial" w:cs="Arial"/>
              </w:rPr>
              <w:t>-3</w:t>
            </w:r>
            <w:r>
              <w:rPr>
                <w:rFonts w:ascii="Arial" w:hAnsi="Arial" w:cs="Arial" w:hint="eastAsia"/>
              </w:rPr>
              <w:t>5.6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34" w:type="dxa"/>
            <w:tcBorders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518</w:t>
            </w:r>
          </w:p>
        </w:tc>
        <w:tc>
          <w:tcPr>
            <w:tcW w:w="2126" w:type="dxa"/>
            <w:tcBorders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33.1 (3</w:t>
            </w:r>
            <w:r>
              <w:rPr>
                <w:rFonts w:ascii="Arial" w:hAnsi="Arial" w:cs="Arial" w:hint="eastAsia"/>
              </w:rPr>
              <w:t>0.5</w:t>
            </w:r>
            <w:r>
              <w:rPr>
                <w:rFonts w:ascii="Arial" w:hAnsi="Arial" w:cs="Arial"/>
              </w:rPr>
              <w:t>-3</w:t>
            </w:r>
            <w:r>
              <w:rPr>
                <w:rFonts w:ascii="Arial" w:hAnsi="Arial" w:cs="Arial" w:hint="eastAsia"/>
              </w:rPr>
              <w:t>6.0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992" w:type="dxa"/>
            <w:tcBorders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946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 w:rsidP="009870DF">
            <w:pPr>
              <w:adjustRightInd w:val="0"/>
              <w:snapToGrid w:val="0"/>
              <w:spacing w:line="16" w:lineRule="atLeast"/>
              <w:ind w:firstLineChars="109" w:firstLine="229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 months 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 w:hint="eastAsia"/>
              </w:rPr>
              <w:t>2.5</w:t>
            </w:r>
            <w:r>
              <w:rPr>
                <w:rFonts w:ascii="Arial" w:hAnsi="Arial" w:cs="Arial"/>
              </w:rPr>
              <w:t xml:space="preserve"> (30.</w:t>
            </w:r>
            <w:r>
              <w:rPr>
                <w:rFonts w:ascii="Arial" w:hAnsi="Arial" w:cs="Arial" w:hint="eastAsia"/>
              </w:rPr>
              <w:t>3</w:t>
            </w:r>
            <w:r>
              <w:rPr>
                <w:rFonts w:ascii="Arial" w:hAnsi="Arial" w:cs="Arial"/>
              </w:rPr>
              <w:t>-3</w:t>
            </w:r>
            <w:r>
              <w:rPr>
                <w:rFonts w:ascii="Arial" w:hAnsi="Arial" w:cs="Arial" w:hint="eastAsia"/>
              </w:rPr>
              <w:t>5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5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527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33.4 (3</w:t>
            </w:r>
            <w:r>
              <w:rPr>
                <w:rFonts w:ascii="Arial" w:hAnsi="Arial" w:cs="Arial" w:hint="eastAsia"/>
              </w:rPr>
              <w:t>0.3</w:t>
            </w:r>
            <w:r>
              <w:rPr>
                <w:rFonts w:ascii="Arial" w:hAnsi="Arial" w:cs="Arial"/>
              </w:rPr>
              <w:t>-36.0)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602</w:t>
            </w:r>
          </w:p>
        </w:tc>
      </w:tr>
      <w:tr w:rsidR="00A2686B">
        <w:trPr>
          <w:trHeight w:val="416"/>
        </w:trPr>
        <w:tc>
          <w:tcPr>
            <w:tcW w:w="8080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pStyle w:val="NormalWeb"/>
              <w:widowControl/>
              <w:adjustRightInd w:val="0"/>
              <w:snapToGrid w:val="0"/>
              <w:spacing w:line="16" w:lineRule="atLeast"/>
              <w:rPr>
                <w:rFonts w:ascii="Arial" w:hAnsi="Arial" w:cs="Arial"/>
                <w:kern w:val="2"/>
                <w:sz w:val="20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Left </w:t>
            </w:r>
            <w:r>
              <w:rPr>
                <w:rFonts w:ascii="Arial" w:hAnsi="Arial" w:cs="Arial"/>
                <w:b/>
                <w:bCs/>
                <w:sz w:val="22"/>
              </w:rPr>
              <w:t>ventricular end-systolic dimension (LVDs)</w:t>
            </w:r>
          </w:p>
        </w:tc>
      </w:tr>
      <w:tr w:rsidR="00A2686B">
        <w:trPr>
          <w:trHeight w:val="90"/>
        </w:trPr>
        <w:tc>
          <w:tcPr>
            <w:tcW w:w="1701" w:type="dxa"/>
            <w:vAlign w:val="center"/>
          </w:tcPr>
          <w:p w:rsidR="00A2686B" w:rsidRDefault="00FD386C" w:rsidP="009870DF">
            <w:pPr>
              <w:adjustRightInd w:val="0"/>
              <w:snapToGrid w:val="0"/>
              <w:spacing w:line="16" w:lineRule="atLeast"/>
              <w:ind w:firstLineChars="109" w:firstLine="22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Baseline</w:t>
            </w:r>
          </w:p>
        </w:tc>
        <w:tc>
          <w:tcPr>
            <w:tcW w:w="2127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21.1</w:t>
            </w:r>
            <w:r>
              <w:rPr>
                <w:rFonts w:ascii="Arial" w:hAnsi="Arial" w:cs="Arial"/>
              </w:rPr>
              <w:t xml:space="preserve"> (1</w:t>
            </w:r>
            <w:r>
              <w:rPr>
                <w:rFonts w:ascii="Arial" w:hAnsi="Arial" w:cs="Arial" w:hint="eastAsia"/>
              </w:rPr>
              <w:t>8.8</w:t>
            </w:r>
            <w:r>
              <w:rPr>
                <w:rFonts w:ascii="Arial" w:hAnsi="Arial" w:cs="Arial"/>
              </w:rPr>
              <w:t>-2</w:t>
            </w:r>
            <w:r>
              <w:rPr>
                <w:rFonts w:ascii="Arial" w:hAnsi="Arial" w:cs="Arial" w:hint="eastAsia"/>
              </w:rPr>
              <w:t>3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1</w:t>
            </w:r>
            <w:r>
              <w:rPr>
                <w:rFonts w:ascii="Arial" w:hAnsi="Arial" w:cs="Arial"/>
              </w:rPr>
              <w:t xml:space="preserve">) </w:t>
            </w:r>
          </w:p>
        </w:tc>
        <w:tc>
          <w:tcPr>
            <w:tcW w:w="1134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ind w:right="60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6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20.8</w:t>
            </w:r>
            <w:r>
              <w:rPr>
                <w:rFonts w:ascii="Arial" w:hAnsi="Arial" w:cs="Arial"/>
              </w:rPr>
              <w:t xml:space="preserve"> (18.6-2</w:t>
            </w:r>
            <w:r>
              <w:rPr>
                <w:rFonts w:ascii="Arial" w:hAnsi="Arial" w:cs="Arial" w:hint="eastAsia"/>
              </w:rPr>
              <w:t>3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3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992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ind w:right="60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A2686B">
        <w:trPr>
          <w:trHeight w:val="90"/>
        </w:trPr>
        <w:tc>
          <w:tcPr>
            <w:tcW w:w="1701" w:type="dxa"/>
            <w:vAlign w:val="center"/>
          </w:tcPr>
          <w:p w:rsidR="00A2686B" w:rsidRDefault="00FD386C" w:rsidP="009870DF">
            <w:pPr>
              <w:adjustRightInd w:val="0"/>
              <w:snapToGrid w:val="0"/>
              <w:spacing w:line="16" w:lineRule="atLeast"/>
              <w:ind w:firstLineChars="109" w:firstLine="229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month </w:t>
            </w:r>
          </w:p>
        </w:tc>
        <w:tc>
          <w:tcPr>
            <w:tcW w:w="2127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</w:t>
            </w:r>
            <w:r>
              <w:rPr>
                <w:rFonts w:ascii="Arial" w:hAnsi="Arial" w:cs="Arial" w:hint="eastAsia"/>
              </w:rPr>
              <w:t>2</w:t>
            </w:r>
            <w:r>
              <w:rPr>
                <w:rFonts w:ascii="Arial" w:hAnsi="Arial" w:cs="Arial"/>
              </w:rPr>
              <w:t xml:space="preserve"> (1</w:t>
            </w:r>
            <w:r>
              <w:rPr>
                <w:rFonts w:ascii="Arial" w:hAnsi="Arial" w:cs="Arial" w:hint="eastAsia"/>
              </w:rPr>
              <w:t>8.9</w:t>
            </w:r>
            <w:r>
              <w:rPr>
                <w:rFonts w:ascii="Arial" w:hAnsi="Arial" w:cs="Arial"/>
              </w:rPr>
              <w:t>-22.</w:t>
            </w:r>
            <w:r>
              <w:rPr>
                <w:rFonts w:ascii="Arial" w:hAnsi="Arial" w:cs="Arial" w:hint="eastAsia"/>
              </w:rPr>
              <w:t>8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34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903</w:t>
            </w:r>
          </w:p>
        </w:tc>
        <w:tc>
          <w:tcPr>
            <w:tcW w:w="2126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 w:hint="eastAsia"/>
              </w:rPr>
              <w:t>1.0</w:t>
            </w:r>
            <w:r>
              <w:rPr>
                <w:rFonts w:ascii="Arial" w:hAnsi="Arial" w:cs="Arial"/>
              </w:rPr>
              <w:t xml:space="preserve"> (18.</w:t>
            </w:r>
            <w:r>
              <w:rPr>
                <w:rFonts w:ascii="Arial" w:hAnsi="Arial" w:cs="Arial" w:hint="eastAsia"/>
              </w:rPr>
              <w:t>7</w:t>
            </w:r>
            <w:r>
              <w:rPr>
                <w:rFonts w:ascii="Arial" w:hAnsi="Arial" w:cs="Arial"/>
              </w:rPr>
              <w:t>-2</w:t>
            </w:r>
            <w:r>
              <w:rPr>
                <w:rFonts w:ascii="Arial" w:hAnsi="Arial" w:cs="Arial" w:hint="eastAsia"/>
              </w:rPr>
              <w:t>3</w:t>
            </w:r>
            <w:r>
              <w:rPr>
                <w:rFonts w:ascii="Arial" w:hAnsi="Arial" w:cs="Arial"/>
              </w:rPr>
              <w:t>.2)</w:t>
            </w:r>
          </w:p>
        </w:tc>
        <w:tc>
          <w:tcPr>
            <w:tcW w:w="992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994</w:t>
            </w:r>
          </w:p>
        </w:tc>
      </w:tr>
      <w:tr w:rsidR="00A2686B">
        <w:trPr>
          <w:trHeight w:val="90"/>
        </w:trPr>
        <w:tc>
          <w:tcPr>
            <w:tcW w:w="1701" w:type="dxa"/>
            <w:tcBorders>
              <w:bottom w:val="nil"/>
            </w:tcBorders>
            <w:vAlign w:val="center"/>
          </w:tcPr>
          <w:p w:rsidR="00A2686B" w:rsidRDefault="00FD386C" w:rsidP="009870DF">
            <w:pPr>
              <w:adjustRightInd w:val="0"/>
              <w:snapToGrid w:val="0"/>
              <w:spacing w:line="16" w:lineRule="atLeast"/>
              <w:ind w:firstLineChars="109" w:firstLine="229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 months </w:t>
            </w:r>
          </w:p>
        </w:tc>
        <w:tc>
          <w:tcPr>
            <w:tcW w:w="2127" w:type="dxa"/>
            <w:tcBorders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 w:hint="eastAsia"/>
              </w:rPr>
              <w:t>1.7</w:t>
            </w:r>
            <w:r>
              <w:rPr>
                <w:rFonts w:ascii="Arial" w:hAnsi="Arial" w:cs="Arial"/>
              </w:rPr>
              <w:t xml:space="preserve"> (18.</w:t>
            </w:r>
            <w:r>
              <w:rPr>
                <w:rFonts w:ascii="Arial" w:hAnsi="Arial" w:cs="Arial" w:hint="eastAsia"/>
              </w:rPr>
              <w:t>4</w:t>
            </w:r>
            <w:r>
              <w:rPr>
                <w:rFonts w:ascii="Arial" w:hAnsi="Arial" w:cs="Arial"/>
              </w:rPr>
              <w:t>-23.2)</w:t>
            </w:r>
          </w:p>
        </w:tc>
        <w:tc>
          <w:tcPr>
            <w:tcW w:w="1134" w:type="dxa"/>
            <w:tcBorders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950</w:t>
            </w:r>
          </w:p>
        </w:tc>
        <w:tc>
          <w:tcPr>
            <w:tcW w:w="2126" w:type="dxa"/>
            <w:tcBorders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</w:t>
            </w:r>
            <w:r>
              <w:rPr>
                <w:rFonts w:ascii="Arial" w:hAnsi="Arial" w:cs="Arial" w:hint="eastAsia"/>
              </w:rPr>
              <w:t>6</w:t>
            </w:r>
            <w:r>
              <w:rPr>
                <w:rFonts w:ascii="Arial" w:hAnsi="Arial" w:cs="Arial"/>
              </w:rPr>
              <w:t xml:space="preserve"> (18.8-2</w:t>
            </w:r>
            <w:r>
              <w:rPr>
                <w:rFonts w:ascii="Arial" w:hAnsi="Arial" w:cs="Arial" w:hint="eastAsia"/>
              </w:rPr>
              <w:t>3.3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992" w:type="dxa"/>
            <w:tcBorders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907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 w:rsidP="009870DF">
            <w:pPr>
              <w:adjustRightInd w:val="0"/>
              <w:snapToGrid w:val="0"/>
              <w:spacing w:line="16" w:lineRule="atLeast"/>
              <w:ind w:firstLineChars="109" w:firstLine="229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 months 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 w:hint="eastAsia"/>
              </w:rPr>
              <w:t>0.8</w:t>
            </w:r>
            <w:r>
              <w:rPr>
                <w:rFonts w:ascii="Arial" w:hAnsi="Arial" w:cs="Arial"/>
              </w:rPr>
              <w:t xml:space="preserve"> (19.</w:t>
            </w:r>
            <w:r>
              <w:rPr>
                <w:rFonts w:ascii="Arial" w:hAnsi="Arial" w:cs="Arial" w:hint="eastAsia"/>
              </w:rPr>
              <w:t>1</w:t>
            </w:r>
            <w:r>
              <w:rPr>
                <w:rFonts w:ascii="Arial" w:hAnsi="Arial" w:cs="Arial"/>
              </w:rPr>
              <w:t>-2</w:t>
            </w:r>
            <w:r>
              <w:rPr>
                <w:rFonts w:ascii="Arial" w:hAnsi="Arial" w:cs="Arial" w:hint="eastAsia"/>
              </w:rPr>
              <w:t>3.2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840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</w:t>
            </w:r>
            <w:r>
              <w:rPr>
                <w:rFonts w:ascii="Arial" w:hAnsi="Arial" w:cs="Arial" w:hint="eastAsia"/>
              </w:rPr>
              <w:t>3</w:t>
            </w:r>
            <w:r>
              <w:rPr>
                <w:rFonts w:ascii="Arial" w:hAnsi="Arial" w:cs="Arial"/>
              </w:rPr>
              <w:t xml:space="preserve"> (19.</w:t>
            </w:r>
            <w:r>
              <w:rPr>
                <w:rFonts w:ascii="Arial" w:hAnsi="Arial" w:cs="Arial" w:hint="eastAsia"/>
              </w:rPr>
              <w:t>2</w:t>
            </w:r>
            <w:r>
              <w:rPr>
                <w:rFonts w:ascii="Arial" w:hAnsi="Arial" w:cs="Arial"/>
              </w:rPr>
              <w:t>-2</w:t>
            </w:r>
            <w:r>
              <w:rPr>
                <w:rFonts w:ascii="Arial" w:hAnsi="Arial" w:cs="Arial" w:hint="eastAsia"/>
              </w:rPr>
              <w:t>3.5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555</w:t>
            </w:r>
          </w:p>
        </w:tc>
      </w:tr>
      <w:tr w:rsidR="00A2686B">
        <w:trPr>
          <w:trHeight w:val="416"/>
        </w:trPr>
        <w:tc>
          <w:tcPr>
            <w:tcW w:w="8080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pStyle w:val="NormalWeb"/>
              <w:widowControl/>
              <w:adjustRightInd w:val="0"/>
              <w:snapToGrid w:val="0"/>
              <w:spacing w:line="16" w:lineRule="atLeast"/>
              <w:rPr>
                <w:rFonts w:ascii="Arial" w:hAnsi="Arial" w:cs="Arial"/>
                <w:kern w:val="2"/>
                <w:sz w:val="20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Left ventricular posterior wall depth (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</w:rPr>
              <w:t>LVPWDd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</w:rPr>
              <w:t>)</w:t>
            </w:r>
          </w:p>
        </w:tc>
      </w:tr>
      <w:tr w:rsidR="00A2686B">
        <w:trPr>
          <w:trHeight w:val="90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 w:rsidP="009870DF">
            <w:pPr>
              <w:adjustRightInd w:val="0"/>
              <w:snapToGrid w:val="0"/>
              <w:spacing w:line="16" w:lineRule="atLeast"/>
              <w:ind w:firstLineChars="109" w:firstLine="22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Baseline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  <w:r>
              <w:rPr>
                <w:rFonts w:ascii="Arial" w:hAnsi="Arial" w:cs="Arial" w:hint="eastAsia"/>
              </w:rPr>
              <w:t>6</w:t>
            </w:r>
            <w:r>
              <w:rPr>
                <w:rFonts w:ascii="Arial" w:hAnsi="Arial" w:cs="Arial"/>
              </w:rPr>
              <w:t xml:space="preserve"> (4.</w:t>
            </w:r>
            <w:r>
              <w:rPr>
                <w:rFonts w:ascii="Arial" w:hAnsi="Arial" w:cs="Arial" w:hint="eastAsia"/>
              </w:rPr>
              <w:t>0</w:t>
            </w:r>
            <w:r>
              <w:rPr>
                <w:rFonts w:ascii="Arial" w:hAnsi="Arial" w:cs="Arial"/>
              </w:rPr>
              <w:t>-5.</w:t>
            </w:r>
            <w:r>
              <w:rPr>
                <w:rFonts w:ascii="Arial" w:hAnsi="Arial" w:cs="Arial" w:hint="eastAsia"/>
              </w:rPr>
              <w:t>1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  <w:r>
              <w:rPr>
                <w:rFonts w:ascii="Arial" w:hAnsi="Arial" w:cs="Arial" w:hint="eastAsia"/>
              </w:rPr>
              <w:t>4</w:t>
            </w:r>
            <w:r>
              <w:rPr>
                <w:rFonts w:ascii="Arial" w:hAnsi="Arial" w:cs="Arial"/>
              </w:rPr>
              <w:t xml:space="preserve"> (3.</w:t>
            </w:r>
            <w:r>
              <w:rPr>
                <w:rFonts w:ascii="Arial" w:hAnsi="Arial" w:cs="Arial" w:hint="eastAsia"/>
              </w:rPr>
              <w:t>8</w:t>
            </w:r>
            <w:r>
              <w:rPr>
                <w:rFonts w:ascii="Arial" w:hAnsi="Arial" w:cs="Arial"/>
              </w:rPr>
              <w:t>-</w:t>
            </w:r>
            <w:r>
              <w:rPr>
                <w:rFonts w:ascii="Arial" w:hAnsi="Arial" w:cs="Arial" w:hint="eastAsia"/>
              </w:rPr>
              <w:t>5.0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A2686B">
        <w:trPr>
          <w:trHeight w:val="90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 w:rsidP="009870DF">
            <w:pPr>
              <w:adjustRightInd w:val="0"/>
              <w:snapToGrid w:val="0"/>
              <w:spacing w:line="16" w:lineRule="atLeast"/>
              <w:ind w:firstLineChars="109" w:firstLine="229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month 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  <w:r>
              <w:rPr>
                <w:rFonts w:ascii="Arial" w:hAnsi="Arial" w:cs="Arial" w:hint="eastAsia"/>
              </w:rPr>
              <w:t>6</w:t>
            </w:r>
            <w:r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 w:hint="eastAsia"/>
              </w:rPr>
              <w:t>3.8</w:t>
            </w:r>
            <w:r>
              <w:rPr>
                <w:rFonts w:ascii="Arial" w:hAnsi="Arial" w:cs="Arial"/>
              </w:rPr>
              <w:t>-5.2)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961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  <w:r>
              <w:rPr>
                <w:rFonts w:ascii="Arial" w:hAnsi="Arial" w:cs="Arial" w:hint="eastAsia"/>
              </w:rPr>
              <w:t>6</w:t>
            </w:r>
            <w:r>
              <w:rPr>
                <w:rFonts w:ascii="Arial" w:hAnsi="Arial" w:cs="Arial"/>
              </w:rPr>
              <w:t xml:space="preserve"> (3.</w:t>
            </w:r>
            <w:r>
              <w:rPr>
                <w:rFonts w:ascii="Arial" w:hAnsi="Arial" w:cs="Arial" w:hint="eastAsia"/>
              </w:rPr>
              <w:t>7</w:t>
            </w:r>
            <w:r>
              <w:rPr>
                <w:rFonts w:ascii="Arial" w:hAnsi="Arial" w:cs="Arial"/>
              </w:rPr>
              <w:t>-</w:t>
            </w:r>
            <w:r>
              <w:rPr>
                <w:rFonts w:ascii="Arial" w:hAnsi="Arial" w:cs="Arial" w:hint="eastAsia"/>
              </w:rPr>
              <w:t>5.1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916</w:t>
            </w:r>
          </w:p>
        </w:tc>
      </w:tr>
      <w:tr w:rsidR="00A2686B">
        <w:trPr>
          <w:trHeight w:val="90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 w:rsidP="009870DF">
            <w:pPr>
              <w:adjustRightInd w:val="0"/>
              <w:snapToGrid w:val="0"/>
              <w:spacing w:line="16" w:lineRule="atLeast"/>
              <w:ind w:firstLineChars="109" w:firstLine="229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 months 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  <w:r>
              <w:rPr>
                <w:rFonts w:ascii="Arial" w:hAnsi="Arial" w:cs="Arial" w:hint="eastAsia"/>
              </w:rPr>
              <w:t>4</w:t>
            </w:r>
            <w:r>
              <w:rPr>
                <w:rFonts w:ascii="Arial" w:hAnsi="Arial" w:cs="Arial"/>
              </w:rPr>
              <w:t xml:space="preserve"> (3.</w:t>
            </w:r>
            <w:r>
              <w:rPr>
                <w:rFonts w:ascii="Arial" w:hAnsi="Arial" w:cs="Arial" w:hint="eastAsia"/>
              </w:rPr>
              <w:t>8</w:t>
            </w:r>
            <w:r>
              <w:rPr>
                <w:rFonts w:ascii="Arial" w:hAnsi="Arial" w:cs="Arial"/>
              </w:rPr>
              <w:t>-5.</w:t>
            </w:r>
            <w:r>
              <w:rPr>
                <w:rFonts w:ascii="Arial" w:hAnsi="Arial" w:cs="Arial" w:hint="eastAsia"/>
              </w:rPr>
              <w:t>0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181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  <w:r>
              <w:rPr>
                <w:rFonts w:ascii="Arial" w:hAnsi="Arial" w:cs="Arial" w:hint="eastAsia"/>
              </w:rPr>
              <w:t>5</w:t>
            </w:r>
            <w:r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 w:hint="eastAsia"/>
              </w:rPr>
              <w:t>3.8</w:t>
            </w:r>
            <w:r>
              <w:rPr>
                <w:rFonts w:ascii="Arial" w:hAnsi="Arial" w:cs="Arial"/>
              </w:rPr>
              <w:t>-5.1)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587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 w:rsidP="009870DF">
            <w:pPr>
              <w:adjustRightInd w:val="0"/>
              <w:snapToGrid w:val="0"/>
              <w:spacing w:line="16" w:lineRule="atLeast"/>
              <w:ind w:firstLineChars="109" w:firstLine="229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 months 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4.5</w:t>
            </w:r>
            <w:r>
              <w:rPr>
                <w:rFonts w:ascii="Arial" w:hAnsi="Arial" w:cs="Arial"/>
              </w:rPr>
              <w:t xml:space="preserve"> (3.7-5.</w:t>
            </w:r>
            <w:r>
              <w:rPr>
                <w:rFonts w:ascii="Arial" w:hAnsi="Arial" w:cs="Arial" w:hint="eastAsia"/>
              </w:rPr>
              <w:t>2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434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  <w:r>
              <w:rPr>
                <w:rFonts w:ascii="Arial" w:hAnsi="Arial" w:cs="Arial" w:hint="eastAsia"/>
              </w:rPr>
              <w:t>5</w:t>
            </w:r>
            <w:r>
              <w:rPr>
                <w:rFonts w:ascii="Arial" w:hAnsi="Arial" w:cs="Arial"/>
              </w:rPr>
              <w:t xml:space="preserve"> (3.</w:t>
            </w:r>
            <w:r>
              <w:rPr>
                <w:rFonts w:ascii="Arial" w:hAnsi="Arial" w:cs="Arial" w:hint="eastAsia"/>
              </w:rPr>
              <w:t>8</w:t>
            </w:r>
            <w:r>
              <w:rPr>
                <w:rFonts w:ascii="Arial" w:hAnsi="Arial" w:cs="Arial"/>
              </w:rPr>
              <w:t>-</w:t>
            </w:r>
            <w:r>
              <w:rPr>
                <w:rFonts w:ascii="Arial" w:hAnsi="Arial" w:cs="Arial" w:hint="eastAsia"/>
              </w:rPr>
              <w:t>5.1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628</w:t>
            </w:r>
          </w:p>
        </w:tc>
      </w:tr>
      <w:tr w:rsidR="00A2686B">
        <w:trPr>
          <w:trHeight w:val="469"/>
        </w:trPr>
        <w:tc>
          <w:tcPr>
            <w:tcW w:w="8080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Left ventricular </w:t>
            </w:r>
            <w:r>
              <w:rPr>
                <w:rFonts w:ascii="Arial" w:hAnsi="Arial" w:cs="Arial"/>
                <w:b/>
                <w:bCs/>
              </w:rPr>
              <w:t>posterior wall thickness at end-systole (LVPWs)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 w:rsidP="009870DF">
            <w:pPr>
              <w:adjustRightInd w:val="0"/>
              <w:snapToGrid w:val="0"/>
              <w:spacing w:line="16" w:lineRule="atLeast"/>
              <w:ind w:firstLineChars="109" w:firstLine="22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Baseline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  <w:r>
              <w:rPr>
                <w:rFonts w:ascii="Arial" w:hAnsi="Arial" w:cs="Arial" w:hint="eastAsia"/>
              </w:rPr>
              <w:t>6</w:t>
            </w:r>
            <w:r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 w:hint="eastAsia"/>
              </w:rPr>
              <w:t>7.0</w:t>
            </w:r>
            <w:r>
              <w:rPr>
                <w:rFonts w:ascii="Arial" w:hAnsi="Arial" w:cs="Arial"/>
              </w:rPr>
              <w:t>-</w:t>
            </w:r>
            <w:r>
              <w:rPr>
                <w:rFonts w:ascii="Arial" w:hAnsi="Arial" w:cs="Arial" w:hint="eastAsia"/>
              </w:rPr>
              <w:t>9.0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  <w:r>
              <w:rPr>
                <w:rFonts w:ascii="Arial" w:hAnsi="Arial" w:cs="Arial" w:hint="eastAsia"/>
              </w:rPr>
              <w:t>3</w:t>
            </w:r>
            <w:r>
              <w:rPr>
                <w:rFonts w:ascii="Arial" w:hAnsi="Arial" w:cs="Arial"/>
              </w:rPr>
              <w:t xml:space="preserve"> (6.</w:t>
            </w:r>
            <w:r>
              <w:rPr>
                <w:rFonts w:ascii="Arial" w:hAnsi="Arial" w:cs="Arial" w:hint="eastAsia"/>
              </w:rPr>
              <w:t>5</w:t>
            </w:r>
            <w:r>
              <w:rPr>
                <w:rFonts w:ascii="Arial" w:hAnsi="Arial" w:cs="Arial"/>
              </w:rPr>
              <w:t>-8.</w:t>
            </w:r>
            <w:r>
              <w:rPr>
                <w:rFonts w:ascii="Arial" w:hAnsi="Arial" w:cs="Arial" w:hint="eastAsia"/>
              </w:rPr>
              <w:t>5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 w:rsidP="009870DF">
            <w:pPr>
              <w:adjustRightInd w:val="0"/>
              <w:snapToGrid w:val="0"/>
              <w:spacing w:line="16" w:lineRule="atLeast"/>
              <w:ind w:firstLineChars="109" w:firstLine="22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month 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  <w:r>
              <w:rPr>
                <w:rFonts w:ascii="Arial" w:hAnsi="Arial" w:cs="Arial" w:hint="eastAsia"/>
              </w:rPr>
              <w:t>6</w:t>
            </w:r>
            <w:r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 w:hint="eastAsia"/>
              </w:rPr>
              <w:t>6.7</w:t>
            </w:r>
            <w:r>
              <w:rPr>
                <w:rFonts w:ascii="Arial" w:hAnsi="Arial" w:cs="Arial"/>
              </w:rPr>
              <w:t>-8.</w:t>
            </w:r>
            <w:r>
              <w:rPr>
                <w:rFonts w:ascii="Arial" w:hAnsi="Arial" w:cs="Arial" w:hint="eastAsia"/>
              </w:rPr>
              <w:t>4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323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7.1</w:t>
            </w:r>
            <w:r>
              <w:rPr>
                <w:rFonts w:ascii="Arial" w:hAnsi="Arial" w:cs="Arial"/>
              </w:rPr>
              <w:t xml:space="preserve"> (6.5-</w:t>
            </w:r>
            <w:r>
              <w:rPr>
                <w:rFonts w:ascii="Arial" w:hAnsi="Arial" w:cs="Arial" w:hint="eastAsia"/>
              </w:rPr>
              <w:t>8.2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438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 w:rsidP="009870DF">
            <w:pPr>
              <w:adjustRightInd w:val="0"/>
              <w:snapToGrid w:val="0"/>
              <w:spacing w:line="16" w:lineRule="atLeast"/>
              <w:ind w:firstLineChars="109" w:firstLine="22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 months 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7.3 (6.</w:t>
            </w:r>
            <w:r>
              <w:rPr>
                <w:rFonts w:ascii="Arial" w:hAnsi="Arial" w:cs="Arial" w:hint="eastAsia"/>
              </w:rPr>
              <w:t>5</w:t>
            </w:r>
            <w:r>
              <w:rPr>
                <w:rFonts w:ascii="Arial" w:hAnsi="Arial" w:cs="Arial"/>
              </w:rPr>
              <w:t>-8.</w:t>
            </w:r>
            <w:r>
              <w:rPr>
                <w:rFonts w:ascii="Arial" w:hAnsi="Arial" w:cs="Arial" w:hint="eastAsia"/>
              </w:rPr>
              <w:t>0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 w:hint="eastAsia"/>
              </w:rPr>
              <w:t>46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 xml:space="preserve">7.3 </w:t>
            </w:r>
            <w:r>
              <w:rPr>
                <w:rFonts w:ascii="Arial" w:hAnsi="Arial" w:cs="Arial"/>
              </w:rPr>
              <w:t>(6.3-</w:t>
            </w:r>
            <w:r>
              <w:rPr>
                <w:rFonts w:ascii="Arial" w:hAnsi="Arial" w:cs="Arial" w:hint="eastAsia"/>
              </w:rPr>
              <w:t>8.2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584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 w:rsidP="009870DF">
            <w:pPr>
              <w:adjustRightInd w:val="0"/>
              <w:snapToGrid w:val="0"/>
              <w:spacing w:line="16" w:lineRule="atLeast"/>
              <w:ind w:firstLineChars="109" w:firstLine="22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 months 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  <w:r>
              <w:rPr>
                <w:rFonts w:ascii="Arial" w:hAnsi="Arial" w:cs="Arial" w:hint="eastAsia"/>
              </w:rPr>
              <w:t>3</w:t>
            </w:r>
            <w:r>
              <w:rPr>
                <w:rFonts w:ascii="Arial" w:hAnsi="Arial" w:cs="Arial"/>
              </w:rPr>
              <w:t xml:space="preserve"> (6.</w:t>
            </w:r>
            <w:r>
              <w:rPr>
                <w:rFonts w:ascii="Arial" w:hAnsi="Arial" w:cs="Arial" w:hint="eastAsia"/>
              </w:rPr>
              <w:t>4</w:t>
            </w:r>
            <w:r>
              <w:rPr>
                <w:rFonts w:ascii="Arial" w:hAnsi="Arial" w:cs="Arial"/>
              </w:rPr>
              <w:t>-</w:t>
            </w:r>
            <w:r>
              <w:rPr>
                <w:rFonts w:ascii="Arial" w:hAnsi="Arial" w:cs="Arial" w:hint="eastAsia"/>
              </w:rPr>
              <w:t>8.3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097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  <w:r>
              <w:rPr>
                <w:rFonts w:ascii="Arial" w:hAnsi="Arial" w:cs="Arial" w:hint="eastAsia"/>
              </w:rPr>
              <w:t>2</w:t>
            </w:r>
            <w:r>
              <w:rPr>
                <w:rFonts w:ascii="Arial" w:hAnsi="Arial" w:cs="Arial"/>
              </w:rPr>
              <w:t xml:space="preserve"> (6.</w:t>
            </w:r>
            <w:r>
              <w:rPr>
                <w:rFonts w:ascii="Arial" w:hAnsi="Arial" w:cs="Arial" w:hint="eastAsia"/>
              </w:rPr>
              <w:t>4</w:t>
            </w:r>
            <w:r>
              <w:rPr>
                <w:rFonts w:ascii="Arial" w:hAnsi="Arial" w:cs="Arial"/>
              </w:rPr>
              <w:t>-</w:t>
            </w:r>
            <w:r>
              <w:rPr>
                <w:rFonts w:ascii="Arial" w:hAnsi="Arial" w:cs="Arial" w:hint="eastAsia"/>
              </w:rPr>
              <w:t>8.4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834</w:t>
            </w:r>
          </w:p>
        </w:tc>
      </w:tr>
      <w:tr w:rsidR="00A2686B">
        <w:trPr>
          <w:trHeight w:val="489"/>
        </w:trPr>
        <w:tc>
          <w:tcPr>
            <w:tcW w:w="8080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Left ventricular </w:t>
            </w:r>
            <w:r>
              <w:rPr>
                <w:rFonts w:ascii="Arial" w:hAnsi="Arial" w:cs="Arial"/>
                <w:b/>
                <w:bCs/>
              </w:rPr>
              <w:t>ejection fraction (LVEF)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 w:rsidP="009870DF">
            <w:pPr>
              <w:adjustRightInd w:val="0"/>
              <w:snapToGrid w:val="0"/>
              <w:spacing w:line="16" w:lineRule="atLeast"/>
              <w:ind w:firstLineChars="109" w:firstLine="22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Baseline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>
              <w:rPr>
                <w:rFonts w:ascii="Arial" w:hAnsi="Arial" w:cs="Arial" w:hint="eastAsia"/>
              </w:rPr>
              <w:t>9</w:t>
            </w:r>
            <w:r>
              <w:rPr>
                <w:rFonts w:ascii="Arial" w:hAnsi="Arial" w:cs="Arial"/>
              </w:rPr>
              <w:t>.0 (6</w:t>
            </w:r>
            <w:r>
              <w:rPr>
                <w:rFonts w:ascii="Arial" w:hAnsi="Arial" w:cs="Arial" w:hint="eastAsia"/>
              </w:rPr>
              <w:t>5</w:t>
            </w:r>
            <w:r>
              <w:rPr>
                <w:rFonts w:ascii="Arial" w:hAnsi="Arial" w:cs="Arial"/>
              </w:rPr>
              <w:t>.0-7</w:t>
            </w:r>
            <w:r>
              <w:rPr>
                <w:rFonts w:ascii="Arial" w:hAnsi="Arial" w:cs="Arial" w:hint="eastAsia"/>
              </w:rPr>
              <w:t>1</w:t>
            </w:r>
            <w:r>
              <w:rPr>
                <w:rFonts w:ascii="Arial" w:hAnsi="Arial" w:cs="Arial"/>
              </w:rPr>
              <w:t>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>
              <w:rPr>
                <w:rFonts w:ascii="Arial" w:hAnsi="Arial" w:cs="Arial" w:hint="eastAsia"/>
              </w:rPr>
              <w:t>6</w:t>
            </w:r>
            <w:r>
              <w:rPr>
                <w:rFonts w:ascii="Arial" w:hAnsi="Arial" w:cs="Arial"/>
              </w:rPr>
              <w:t>.0 (64.0-7</w:t>
            </w:r>
            <w:r>
              <w:rPr>
                <w:rFonts w:ascii="Arial" w:hAnsi="Arial" w:cs="Arial" w:hint="eastAsia"/>
              </w:rPr>
              <w:t>0</w:t>
            </w:r>
            <w:r>
              <w:rPr>
                <w:rFonts w:ascii="Arial" w:hAnsi="Arial" w:cs="Arial"/>
              </w:rPr>
              <w:t>.0)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 w:rsidP="009870DF">
            <w:pPr>
              <w:adjustRightInd w:val="0"/>
              <w:snapToGrid w:val="0"/>
              <w:spacing w:line="16" w:lineRule="atLeast"/>
              <w:ind w:firstLineChars="109" w:firstLine="22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month 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>
              <w:rPr>
                <w:rFonts w:ascii="Arial" w:hAnsi="Arial" w:cs="Arial" w:hint="eastAsia"/>
              </w:rPr>
              <w:t>6</w:t>
            </w:r>
            <w:r>
              <w:rPr>
                <w:rFonts w:ascii="Arial" w:hAnsi="Arial" w:cs="Arial"/>
              </w:rPr>
              <w:t>.0 (6</w:t>
            </w:r>
            <w:r>
              <w:rPr>
                <w:rFonts w:ascii="Arial" w:hAnsi="Arial" w:cs="Arial" w:hint="eastAsia"/>
              </w:rPr>
              <w:t>2</w:t>
            </w:r>
            <w:r>
              <w:rPr>
                <w:rFonts w:ascii="Arial" w:hAnsi="Arial" w:cs="Arial"/>
              </w:rPr>
              <w:t>.0-7</w:t>
            </w:r>
            <w:r>
              <w:rPr>
                <w:rFonts w:ascii="Arial" w:hAnsi="Arial" w:cs="Arial" w:hint="eastAsia"/>
              </w:rPr>
              <w:t>0</w:t>
            </w:r>
            <w:r>
              <w:rPr>
                <w:rFonts w:ascii="Arial" w:hAnsi="Arial" w:cs="Arial"/>
              </w:rPr>
              <w:t>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008*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66.0</w:t>
            </w:r>
            <w:r>
              <w:rPr>
                <w:rFonts w:ascii="Arial" w:hAnsi="Arial" w:cs="Arial"/>
              </w:rPr>
              <w:t xml:space="preserve"> (6</w:t>
            </w:r>
            <w:r>
              <w:rPr>
                <w:rFonts w:ascii="Arial" w:hAnsi="Arial" w:cs="Arial" w:hint="eastAsia"/>
              </w:rPr>
              <w:t>1</w:t>
            </w:r>
            <w:r>
              <w:rPr>
                <w:rFonts w:ascii="Arial" w:hAnsi="Arial" w:cs="Arial"/>
              </w:rPr>
              <w:t>.0-7</w:t>
            </w:r>
            <w:r>
              <w:rPr>
                <w:rFonts w:ascii="Arial" w:hAnsi="Arial" w:cs="Arial" w:hint="eastAsia"/>
              </w:rPr>
              <w:t>0</w:t>
            </w:r>
            <w:r>
              <w:rPr>
                <w:rFonts w:ascii="Arial" w:hAnsi="Arial" w:cs="Arial"/>
              </w:rPr>
              <w:t>.0)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185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 w:rsidP="009870DF">
            <w:pPr>
              <w:adjustRightInd w:val="0"/>
              <w:snapToGrid w:val="0"/>
              <w:spacing w:line="16" w:lineRule="atLeast"/>
              <w:ind w:firstLineChars="109" w:firstLine="22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 months 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67.0 (63.0-7</w:t>
            </w:r>
            <w:r>
              <w:rPr>
                <w:rFonts w:ascii="Arial" w:hAnsi="Arial" w:cs="Arial" w:hint="eastAsia"/>
              </w:rPr>
              <w:t>1</w:t>
            </w:r>
            <w:r>
              <w:rPr>
                <w:rFonts w:ascii="Arial" w:hAnsi="Arial" w:cs="Arial"/>
              </w:rPr>
              <w:t>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205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66</w:t>
            </w:r>
            <w:r>
              <w:rPr>
                <w:rFonts w:ascii="Arial" w:hAnsi="Arial" w:cs="Arial"/>
              </w:rPr>
              <w:t>.0 (6</w:t>
            </w:r>
            <w:r>
              <w:rPr>
                <w:rFonts w:ascii="Arial" w:hAnsi="Arial" w:cs="Arial" w:hint="eastAsia"/>
              </w:rPr>
              <w:t>2</w:t>
            </w:r>
            <w:r>
              <w:rPr>
                <w:rFonts w:ascii="Arial" w:hAnsi="Arial" w:cs="Arial"/>
              </w:rPr>
              <w:t>.0-7</w:t>
            </w:r>
            <w:r>
              <w:rPr>
                <w:rFonts w:ascii="Arial" w:hAnsi="Arial" w:cs="Arial" w:hint="eastAsia"/>
              </w:rPr>
              <w:t>0</w:t>
            </w:r>
            <w:r>
              <w:rPr>
                <w:rFonts w:ascii="Arial" w:hAnsi="Arial" w:cs="Arial"/>
              </w:rPr>
              <w:t>.0)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482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 w:rsidP="009870DF">
            <w:pPr>
              <w:adjustRightInd w:val="0"/>
              <w:snapToGrid w:val="0"/>
              <w:spacing w:line="16" w:lineRule="atLeast"/>
              <w:ind w:firstLineChars="109" w:firstLine="22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 months 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>
              <w:rPr>
                <w:rFonts w:ascii="Arial" w:hAnsi="Arial" w:cs="Arial" w:hint="eastAsia"/>
              </w:rPr>
              <w:t>7</w:t>
            </w:r>
            <w:r>
              <w:rPr>
                <w:rFonts w:ascii="Arial" w:hAnsi="Arial" w:cs="Arial"/>
              </w:rPr>
              <w:t>.0 (6</w:t>
            </w:r>
            <w:r>
              <w:rPr>
                <w:rFonts w:ascii="Arial" w:hAnsi="Arial" w:cs="Arial" w:hint="eastAsia"/>
              </w:rPr>
              <w:t>2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5</w:t>
            </w:r>
            <w:r>
              <w:rPr>
                <w:rFonts w:ascii="Arial" w:hAnsi="Arial" w:cs="Arial"/>
              </w:rPr>
              <w:t>-7</w:t>
            </w:r>
            <w:r>
              <w:rPr>
                <w:rFonts w:ascii="Arial" w:hAnsi="Arial" w:cs="Arial" w:hint="eastAsia"/>
              </w:rPr>
              <w:t>0</w:t>
            </w:r>
            <w:r>
              <w:rPr>
                <w:rFonts w:ascii="Arial" w:hAnsi="Arial" w:cs="Arial"/>
              </w:rPr>
              <w:t>.0)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080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67.0 (6</w:t>
            </w:r>
            <w:r>
              <w:rPr>
                <w:rFonts w:ascii="Arial" w:hAnsi="Arial" w:cs="Arial" w:hint="eastAsia"/>
              </w:rPr>
              <w:t>3</w:t>
            </w:r>
            <w:r>
              <w:rPr>
                <w:rFonts w:ascii="Arial" w:hAnsi="Arial" w:cs="Arial"/>
              </w:rPr>
              <w:t>.0-70.0)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771</w:t>
            </w:r>
          </w:p>
        </w:tc>
      </w:tr>
      <w:tr w:rsidR="00A2686B">
        <w:trPr>
          <w:trHeight w:val="495"/>
        </w:trPr>
        <w:tc>
          <w:tcPr>
            <w:tcW w:w="8080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Main pulmonary </w:t>
            </w:r>
            <w:r>
              <w:rPr>
                <w:rFonts w:ascii="Arial" w:hAnsi="Arial" w:cs="Arial"/>
                <w:b/>
                <w:bCs/>
              </w:rPr>
              <w:t>artery diameter (MPA)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 w:rsidP="009870DF">
            <w:pPr>
              <w:adjustRightInd w:val="0"/>
              <w:snapToGrid w:val="0"/>
              <w:spacing w:line="16" w:lineRule="atLeast"/>
              <w:ind w:firstLineChars="109" w:firstLine="22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Baseline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 (1.</w:t>
            </w:r>
            <w:r>
              <w:rPr>
                <w:rFonts w:ascii="Arial" w:hAnsi="Arial" w:cs="Arial" w:hint="eastAsia"/>
              </w:rPr>
              <w:t>0</w:t>
            </w:r>
            <w:r>
              <w:rPr>
                <w:rFonts w:ascii="Arial" w:hAnsi="Arial" w:cs="Arial"/>
              </w:rPr>
              <w:t>-1.</w:t>
            </w:r>
            <w:r>
              <w:rPr>
                <w:rFonts w:ascii="Arial" w:hAnsi="Arial" w:cs="Arial" w:hint="eastAsia"/>
              </w:rPr>
              <w:t>4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1.2(1.0-1.</w:t>
            </w:r>
            <w:r>
              <w:rPr>
                <w:rFonts w:ascii="Arial" w:hAnsi="Arial" w:cs="Arial" w:hint="eastAsia"/>
              </w:rPr>
              <w:t>4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 w:rsidP="009870DF">
            <w:pPr>
              <w:adjustRightInd w:val="0"/>
              <w:snapToGrid w:val="0"/>
              <w:spacing w:line="16" w:lineRule="atLeast"/>
              <w:ind w:firstLineChars="109" w:firstLine="22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month 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 (</w:t>
            </w:r>
            <w:r>
              <w:rPr>
                <w:rFonts w:ascii="Arial" w:hAnsi="Arial" w:cs="Arial" w:hint="eastAsia"/>
              </w:rPr>
              <w:t>1.0</w:t>
            </w:r>
            <w:r>
              <w:rPr>
                <w:rFonts w:ascii="Arial" w:hAnsi="Arial" w:cs="Arial"/>
              </w:rPr>
              <w:t>-1.2)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 w:hint="eastAsia"/>
              </w:rPr>
              <w:t>02*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>
              <w:rPr>
                <w:rFonts w:ascii="Arial" w:hAnsi="Arial" w:cs="Arial" w:hint="eastAsia"/>
              </w:rPr>
              <w:t>0</w:t>
            </w:r>
            <w:r>
              <w:rPr>
                <w:rFonts w:ascii="Arial" w:hAnsi="Arial" w:cs="Arial"/>
              </w:rPr>
              <w:t xml:space="preserve"> (1.0-1.</w:t>
            </w:r>
            <w:r>
              <w:rPr>
                <w:rFonts w:ascii="Arial" w:hAnsi="Arial" w:cs="Arial" w:hint="eastAsia"/>
              </w:rPr>
              <w:t>2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064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 w:rsidP="009870DF">
            <w:pPr>
              <w:adjustRightInd w:val="0"/>
              <w:snapToGrid w:val="0"/>
              <w:spacing w:line="16" w:lineRule="atLeast"/>
              <w:ind w:firstLineChars="109" w:firstLine="22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 months 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 (1.0-1.2)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 w:hint="eastAsia"/>
              </w:rPr>
              <w:t>20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 (1.0-1.</w:t>
            </w:r>
            <w:r>
              <w:rPr>
                <w:rFonts w:ascii="Arial" w:hAnsi="Arial" w:cs="Arial" w:hint="eastAsia"/>
              </w:rPr>
              <w:t>3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118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 w:rsidP="009870DF">
            <w:pPr>
              <w:adjustRightInd w:val="0"/>
              <w:snapToGrid w:val="0"/>
              <w:spacing w:line="16" w:lineRule="atLeast"/>
              <w:ind w:firstLineChars="109" w:firstLine="22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 months 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 (1.0-1.2)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 w:hint="eastAsia"/>
              </w:rPr>
              <w:t>00*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 (1.0-1.</w:t>
            </w:r>
            <w:r>
              <w:rPr>
                <w:rFonts w:ascii="Arial" w:hAnsi="Arial" w:cs="Arial" w:hint="eastAsia"/>
              </w:rPr>
              <w:t>3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236</w:t>
            </w:r>
          </w:p>
        </w:tc>
      </w:tr>
      <w:tr w:rsidR="00A2686B">
        <w:trPr>
          <w:trHeight w:val="487"/>
        </w:trPr>
        <w:tc>
          <w:tcPr>
            <w:tcW w:w="8080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Mitral blood flow velocity (MV)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 w:rsidP="009870DF">
            <w:pPr>
              <w:adjustRightInd w:val="0"/>
              <w:snapToGrid w:val="0"/>
              <w:spacing w:line="16" w:lineRule="atLeast"/>
              <w:ind w:firstLineChars="109" w:firstLine="22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Baseline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 (1.0-1.2)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 (1.0-1.2)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 w:rsidP="009870DF">
            <w:pPr>
              <w:adjustRightInd w:val="0"/>
              <w:snapToGrid w:val="0"/>
              <w:spacing w:line="16" w:lineRule="atLeast"/>
              <w:ind w:firstLineChars="109" w:firstLine="22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month 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 (1.0-1.</w:t>
            </w:r>
            <w:r>
              <w:rPr>
                <w:rFonts w:ascii="Arial" w:hAnsi="Arial" w:cs="Arial" w:hint="eastAsia"/>
              </w:rPr>
              <w:t>1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023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 (1.0-1.2)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191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 w:rsidP="009870DF">
            <w:pPr>
              <w:adjustRightInd w:val="0"/>
              <w:snapToGrid w:val="0"/>
              <w:spacing w:line="16" w:lineRule="atLeast"/>
              <w:ind w:firstLineChars="109" w:firstLine="22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 months 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 (1.0-1.</w:t>
            </w:r>
            <w:r>
              <w:rPr>
                <w:rFonts w:ascii="Arial" w:hAnsi="Arial" w:cs="Arial" w:hint="eastAsia"/>
              </w:rPr>
              <w:t>0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021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 (1.0-1.</w:t>
            </w:r>
            <w:r>
              <w:rPr>
                <w:rFonts w:ascii="Arial" w:hAnsi="Arial" w:cs="Arial" w:hint="eastAsia"/>
              </w:rPr>
              <w:t>1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139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 w:rsidP="009870DF">
            <w:pPr>
              <w:adjustRightInd w:val="0"/>
              <w:snapToGrid w:val="0"/>
              <w:spacing w:line="16" w:lineRule="atLeast"/>
              <w:ind w:firstLineChars="109" w:firstLine="22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 months 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 (1.0-1.0)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028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 (1.0-1.</w:t>
            </w:r>
            <w:r>
              <w:rPr>
                <w:rFonts w:ascii="Arial" w:hAnsi="Arial" w:cs="Arial" w:hint="eastAsia"/>
              </w:rPr>
              <w:t>0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014*</w:t>
            </w:r>
          </w:p>
        </w:tc>
      </w:tr>
      <w:tr w:rsidR="00A2686B">
        <w:trPr>
          <w:trHeight w:val="337"/>
        </w:trPr>
        <w:tc>
          <w:tcPr>
            <w:tcW w:w="8080" w:type="dxa"/>
            <w:gridSpan w:val="5"/>
            <w:tcBorders>
              <w:top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Tricuspid blood flow velocity (TV)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 w:rsidP="009870DF">
            <w:pPr>
              <w:adjustRightInd w:val="0"/>
              <w:snapToGrid w:val="0"/>
              <w:spacing w:line="16" w:lineRule="atLeast"/>
              <w:ind w:firstLineChars="109" w:firstLine="22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Baseline</w:t>
            </w:r>
          </w:p>
        </w:tc>
        <w:tc>
          <w:tcPr>
            <w:tcW w:w="2127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 (0.8-1.0)</w:t>
            </w:r>
          </w:p>
        </w:tc>
        <w:tc>
          <w:tcPr>
            <w:tcW w:w="1134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6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 (0.8-</w:t>
            </w:r>
            <w:r>
              <w:rPr>
                <w:rFonts w:ascii="Arial" w:hAnsi="Arial" w:cs="Arial" w:hint="eastAsia"/>
              </w:rPr>
              <w:t>0.8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992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 w:rsidP="009870DF">
            <w:pPr>
              <w:adjustRightInd w:val="0"/>
              <w:snapToGrid w:val="0"/>
              <w:spacing w:line="16" w:lineRule="atLeast"/>
              <w:ind w:firstLineChars="109" w:firstLine="22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month </w:t>
            </w:r>
          </w:p>
        </w:tc>
        <w:tc>
          <w:tcPr>
            <w:tcW w:w="2127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 (0.8-0.8)</w:t>
            </w:r>
          </w:p>
        </w:tc>
        <w:tc>
          <w:tcPr>
            <w:tcW w:w="1134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 w:hint="eastAsia"/>
              </w:rPr>
              <w:t>85</w:t>
            </w:r>
          </w:p>
        </w:tc>
        <w:tc>
          <w:tcPr>
            <w:tcW w:w="2126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 (0.8-</w:t>
            </w:r>
            <w:r>
              <w:rPr>
                <w:rFonts w:ascii="Arial" w:hAnsi="Arial" w:cs="Arial" w:hint="eastAsia"/>
              </w:rPr>
              <w:t>0.8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992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947</w:t>
            </w:r>
          </w:p>
        </w:tc>
      </w:tr>
      <w:tr w:rsidR="00A2686B">
        <w:tc>
          <w:tcPr>
            <w:tcW w:w="1701" w:type="dxa"/>
            <w:tcBorders>
              <w:bottom w:val="nil"/>
            </w:tcBorders>
            <w:vAlign w:val="center"/>
          </w:tcPr>
          <w:p w:rsidR="00A2686B" w:rsidRDefault="00FD386C" w:rsidP="009870DF">
            <w:pPr>
              <w:adjustRightInd w:val="0"/>
              <w:snapToGrid w:val="0"/>
              <w:spacing w:line="16" w:lineRule="atLeast"/>
              <w:ind w:firstLineChars="109" w:firstLine="22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 months </w:t>
            </w:r>
          </w:p>
        </w:tc>
        <w:tc>
          <w:tcPr>
            <w:tcW w:w="2127" w:type="dxa"/>
            <w:tcBorders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 (0.8-0.8)</w:t>
            </w:r>
          </w:p>
        </w:tc>
        <w:tc>
          <w:tcPr>
            <w:tcW w:w="1134" w:type="dxa"/>
            <w:tcBorders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 w:hint="eastAsia"/>
              </w:rPr>
              <w:t>08*</w:t>
            </w:r>
          </w:p>
        </w:tc>
        <w:tc>
          <w:tcPr>
            <w:tcW w:w="2126" w:type="dxa"/>
            <w:tcBorders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 (0.8-0.8)</w:t>
            </w:r>
          </w:p>
        </w:tc>
        <w:tc>
          <w:tcPr>
            <w:tcW w:w="992" w:type="dxa"/>
            <w:tcBorders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707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 w:rsidP="009870DF">
            <w:pPr>
              <w:adjustRightInd w:val="0"/>
              <w:snapToGrid w:val="0"/>
              <w:spacing w:line="16" w:lineRule="atLeast"/>
              <w:ind w:firstLineChars="109" w:firstLine="22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 months 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 (0.8-0.8)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268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 (0.8-0.8)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 w:hint="eastAsia"/>
              </w:rPr>
              <w:t>845</w:t>
            </w:r>
          </w:p>
        </w:tc>
      </w:tr>
    </w:tbl>
    <w:p w:rsidR="00A2686B" w:rsidRDefault="00FD386C">
      <w:pPr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IQR: the interquartile range</w:t>
      </w:r>
    </w:p>
    <w:p w:rsidR="00A2686B" w:rsidRDefault="00FD386C">
      <w:pPr>
        <w:widowControl/>
        <w:ind w:right="210"/>
        <w:jc w:val="left"/>
        <w:rPr>
          <w:rFonts w:ascii="Arial" w:hAnsi="Arial" w:cs="Arial"/>
          <w:kern w:val="0"/>
          <w:sz w:val="22"/>
        </w:rPr>
      </w:pPr>
      <w:r>
        <w:rPr>
          <w:rFonts w:ascii="Arial" w:hAnsi="Arial" w:cs="Arial" w:hint="eastAsia"/>
          <w:sz w:val="20"/>
        </w:rPr>
        <w:t xml:space="preserve">* means significant </w:t>
      </w:r>
      <w:proofErr w:type="gramStart"/>
      <w:r>
        <w:rPr>
          <w:rFonts w:ascii="Arial" w:hAnsi="Arial" w:cs="Arial" w:hint="eastAsia"/>
          <w:sz w:val="20"/>
        </w:rPr>
        <w:t>difference(</w:t>
      </w:r>
      <w:proofErr w:type="gramEnd"/>
      <w:r>
        <w:rPr>
          <w:rFonts w:ascii="Arial" w:hAnsi="Arial" w:cs="Arial" w:hint="eastAsia"/>
          <w:sz w:val="20"/>
        </w:rPr>
        <w:t>P&lt;0.017).</w:t>
      </w:r>
    </w:p>
    <w:p w:rsidR="00A2686B" w:rsidRDefault="00FD386C">
      <w:pPr>
        <w:pStyle w:val="Heading2"/>
        <w:spacing w:before="0" w:after="0" w:line="240" w:lineRule="auto"/>
        <w:jc w:val="left"/>
        <w:rPr>
          <w:rFonts w:cs="Arial"/>
        </w:rPr>
      </w:pPr>
      <w:bookmarkStart w:id="23" w:name="_Toc15891"/>
      <w:bookmarkStart w:id="24" w:name="_Toc150241539"/>
      <w:bookmarkStart w:id="25" w:name="_Toc6716"/>
      <w:r>
        <w:rPr>
          <w:rFonts w:cs="Arial" w:hint="eastAsia"/>
        </w:rPr>
        <w:lastRenderedPageBreak/>
        <w:t>Table S</w:t>
      </w:r>
      <w:r>
        <w:rPr>
          <w:rFonts w:cs="Arial"/>
        </w:rPr>
        <w:t xml:space="preserve">3. The Wilcoxon rank sum test </w:t>
      </w:r>
      <w:r>
        <w:rPr>
          <w:rFonts w:cs="Arial"/>
        </w:rPr>
        <w:t>of secondary outcomes (</w:t>
      </w:r>
      <w:r>
        <w:rPr>
          <w:rFonts w:cs="Arial"/>
          <w:lang w:val="en-GB"/>
        </w:rPr>
        <w:t>echocardiography</w:t>
      </w:r>
      <w:r>
        <w:rPr>
          <w:rFonts w:cs="Arial"/>
        </w:rPr>
        <w:t>) against preoperative assessment in CHD subtypes</w:t>
      </w:r>
      <w:bookmarkEnd w:id="23"/>
      <w:bookmarkEnd w:id="24"/>
      <w:bookmarkEnd w:id="25"/>
    </w:p>
    <w:p w:rsidR="00A2686B" w:rsidRDefault="00FD386C">
      <w:pPr>
        <w:ind w:right="210"/>
        <w:jc w:val="left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</w:rPr>
        <w:t>In stratified analysis of different CHD subtypes, we observed significantly different echocardiographic profiles between the two groups. Specifically, for ASD patients</w:t>
      </w:r>
      <w:r>
        <w:rPr>
          <w:rFonts w:ascii="Arial" w:hAnsi="Arial" w:cs="Arial"/>
          <w:sz w:val="22"/>
        </w:rPr>
        <w:t>, comparing with the preoperative assessment, the intervention group showed significant changes in left ventricular end diastolic dimension (</w:t>
      </w:r>
      <w:proofErr w:type="spellStart"/>
      <w:r>
        <w:rPr>
          <w:rFonts w:ascii="Arial" w:hAnsi="Arial" w:cs="Arial"/>
          <w:sz w:val="22"/>
        </w:rPr>
        <w:t>LVDd</w:t>
      </w:r>
      <w:proofErr w:type="spellEnd"/>
      <w:r>
        <w:rPr>
          <w:rFonts w:ascii="Arial" w:hAnsi="Arial" w:cs="Arial"/>
          <w:sz w:val="22"/>
        </w:rPr>
        <w:t>), left ventricular end-systolic dimension (LVDs), and tricuspid blood flow velocity (TV) since the first posto</w:t>
      </w:r>
      <w:r>
        <w:rPr>
          <w:rFonts w:ascii="Arial" w:hAnsi="Arial" w:cs="Arial"/>
          <w:sz w:val="22"/>
        </w:rPr>
        <w:t>perative follow-up, but had no changes in left ventricular posterior wall depth (</w:t>
      </w:r>
      <w:proofErr w:type="spellStart"/>
      <w:r>
        <w:rPr>
          <w:rFonts w:ascii="Arial" w:hAnsi="Arial" w:cs="Arial"/>
          <w:sz w:val="22"/>
        </w:rPr>
        <w:t>LVPWd</w:t>
      </w:r>
      <w:proofErr w:type="spellEnd"/>
      <w:r>
        <w:rPr>
          <w:rFonts w:ascii="Arial" w:hAnsi="Arial" w:cs="Arial"/>
          <w:sz w:val="22"/>
        </w:rPr>
        <w:t>), left ventricular posterior wall thickness at end-systole (LVPWs), left ventricular ejection fraction (LVEF), main pulmonary artery diameter (MPA), and mitral blood flo</w:t>
      </w:r>
      <w:r>
        <w:rPr>
          <w:rFonts w:ascii="Arial" w:hAnsi="Arial" w:cs="Arial"/>
          <w:sz w:val="22"/>
        </w:rPr>
        <w:t>w velocity (MV) (</w:t>
      </w:r>
      <w:r>
        <w:rPr>
          <w:rFonts w:ascii="Arial" w:hAnsi="Arial" w:cs="Arial" w:hint="eastAsia"/>
          <w:sz w:val="22"/>
        </w:rPr>
        <w:t>Table S</w:t>
      </w:r>
      <w:r>
        <w:rPr>
          <w:rFonts w:ascii="Arial" w:hAnsi="Arial" w:cs="Arial"/>
          <w:sz w:val="22"/>
        </w:rPr>
        <w:t xml:space="preserve">3a). The control group only had similar changes in </w:t>
      </w:r>
      <w:proofErr w:type="spellStart"/>
      <w:r>
        <w:rPr>
          <w:rFonts w:ascii="Arial" w:hAnsi="Arial" w:cs="Arial"/>
          <w:sz w:val="22"/>
        </w:rPr>
        <w:t>LVDd</w:t>
      </w:r>
      <w:proofErr w:type="spellEnd"/>
      <w:r>
        <w:rPr>
          <w:rFonts w:ascii="Arial" w:hAnsi="Arial" w:cs="Arial"/>
          <w:sz w:val="22"/>
        </w:rPr>
        <w:t xml:space="preserve"> and LVDs. For VSD patients, we observed significant decreases in </w:t>
      </w:r>
      <w:proofErr w:type="spellStart"/>
      <w:r>
        <w:rPr>
          <w:rFonts w:ascii="Arial" w:hAnsi="Arial" w:cs="Arial"/>
          <w:sz w:val="22"/>
        </w:rPr>
        <w:t>LVDd</w:t>
      </w:r>
      <w:proofErr w:type="spellEnd"/>
      <w:r>
        <w:rPr>
          <w:rFonts w:ascii="Arial" w:hAnsi="Arial" w:cs="Arial"/>
          <w:sz w:val="22"/>
        </w:rPr>
        <w:t xml:space="preserve">, LVPWs, MPA, LVEF, and TV in the intervention group, but had no changes in LVDs, </w:t>
      </w:r>
      <w:proofErr w:type="spellStart"/>
      <w:r>
        <w:rPr>
          <w:rFonts w:ascii="Arial" w:hAnsi="Arial" w:cs="Arial"/>
          <w:sz w:val="22"/>
        </w:rPr>
        <w:t>LVPWd</w:t>
      </w:r>
      <w:proofErr w:type="spellEnd"/>
      <w:r>
        <w:rPr>
          <w:rFonts w:ascii="Arial" w:hAnsi="Arial" w:cs="Arial"/>
          <w:sz w:val="22"/>
        </w:rPr>
        <w:t xml:space="preserve"> and MV. In the cont</w:t>
      </w:r>
      <w:r>
        <w:rPr>
          <w:rFonts w:ascii="Arial" w:hAnsi="Arial" w:cs="Arial"/>
          <w:sz w:val="22"/>
        </w:rPr>
        <w:t>rol group, we only observed similar decreasing trends in MV (</w:t>
      </w:r>
      <w:r>
        <w:rPr>
          <w:rFonts w:ascii="Arial" w:hAnsi="Arial" w:cs="Arial" w:hint="eastAsia"/>
          <w:sz w:val="22"/>
        </w:rPr>
        <w:t>Table S</w:t>
      </w:r>
      <w:r>
        <w:rPr>
          <w:rFonts w:ascii="Arial" w:hAnsi="Arial" w:cs="Arial"/>
          <w:sz w:val="22"/>
        </w:rPr>
        <w:t xml:space="preserve">3b). For PDA patients, the exercise program significantly decreased </w:t>
      </w:r>
      <w:proofErr w:type="spellStart"/>
      <w:r>
        <w:rPr>
          <w:rFonts w:ascii="Arial" w:hAnsi="Arial" w:cs="Arial"/>
          <w:sz w:val="22"/>
        </w:rPr>
        <w:t>LVDd</w:t>
      </w:r>
      <w:proofErr w:type="spellEnd"/>
      <w:r>
        <w:rPr>
          <w:rFonts w:ascii="Arial" w:hAnsi="Arial" w:cs="Arial"/>
          <w:sz w:val="22"/>
        </w:rPr>
        <w:t xml:space="preserve">, LVDs, LVPWs, MPA, and MV in the intervention group. In the control group, only the 1 month assessment of LVDs and </w:t>
      </w:r>
      <w:r>
        <w:rPr>
          <w:rFonts w:ascii="Arial" w:hAnsi="Arial" w:cs="Arial"/>
          <w:sz w:val="22"/>
        </w:rPr>
        <w:t xml:space="preserve">the </w:t>
      </w:r>
      <w:proofErr w:type="gramStart"/>
      <w:r>
        <w:rPr>
          <w:rFonts w:ascii="Arial" w:hAnsi="Arial" w:cs="Arial"/>
          <w:sz w:val="22"/>
        </w:rPr>
        <w:t>1</w:t>
      </w:r>
      <w:proofErr w:type="gramEnd"/>
      <w:r>
        <w:rPr>
          <w:rFonts w:ascii="Arial" w:hAnsi="Arial" w:cs="Arial"/>
          <w:sz w:val="22"/>
        </w:rPr>
        <w:t>, 3 month assessments of MPA showed significant decreases while others had no changes (</w:t>
      </w:r>
      <w:r>
        <w:rPr>
          <w:rFonts w:ascii="Arial" w:hAnsi="Arial" w:cs="Arial" w:hint="eastAsia"/>
          <w:sz w:val="22"/>
        </w:rPr>
        <w:t>Table S</w:t>
      </w:r>
      <w:r>
        <w:rPr>
          <w:rFonts w:ascii="Arial" w:hAnsi="Arial" w:cs="Arial"/>
          <w:sz w:val="22"/>
        </w:rPr>
        <w:t xml:space="preserve">3c). For PS patients, the intervention group only showed significant changes in MPA and </w:t>
      </w:r>
      <w:proofErr w:type="spellStart"/>
      <w:r>
        <w:rPr>
          <w:rFonts w:ascii="Arial" w:hAnsi="Arial" w:cs="Arial"/>
          <w:sz w:val="22"/>
        </w:rPr>
        <w:t>LVPWd</w:t>
      </w:r>
      <w:proofErr w:type="spellEnd"/>
      <w:r>
        <w:rPr>
          <w:rFonts w:ascii="Arial" w:hAnsi="Arial" w:cs="Arial"/>
          <w:sz w:val="22"/>
        </w:rPr>
        <w:t xml:space="preserve">, but the control group had significant decreases in </w:t>
      </w:r>
      <w:proofErr w:type="spellStart"/>
      <w:r>
        <w:rPr>
          <w:rFonts w:ascii="Arial" w:hAnsi="Arial" w:cs="Arial"/>
          <w:sz w:val="22"/>
        </w:rPr>
        <w:t>LVDd</w:t>
      </w:r>
      <w:proofErr w:type="spellEnd"/>
      <w:r>
        <w:rPr>
          <w:rFonts w:ascii="Arial" w:hAnsi="Arial" w:cs="Arial"/>
          <w:sz w:val="22"/>
        </w:rPr>
        <w:t>, LVDs,</w:t>
      </w:r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LVPWDd</w:t>
      </w:r>
      <w:proofErr w:type="spellEnd"/>
      <w:r>
        <w:rPr>
          <w:rFonts w:ascii="Arial" w:hAnsi="Arial" w:cs="Arial"/>
          <w:sz w:val="22"/>
        </w:rPr>
        <w:t>, LVPWs, and MPA (</w:t>
      </w:r>
      <w:r>
        <w:rPr>
          <w:rFonts w:ascii="Arial" w:hAnsi="Arial" w:cs="Arial" w:hint="eastAsia"/>
          <w:sz w:val="22"/>
        </w:rPr>
        <w:t>Table S</w:t>
      </w:r>
      <w:r>
        <w:rPr>
          <w:rFonts w:ascii="Arial" w:hAnsi="Arial" w:cs="Arial"/>
          <w:sz w:val="22"/>
        </w:rPr>
        <w:t>3d).</w:t>
      </w:r>
    </w:p>
    <w:p w:rsidR="00A2686B" w:rsidRDefault="00A2686B">
      <w:pPr>
        <w:ind w:right="210"/>
        <w:rPr>
          <w:rFonts w:ascii="Arial" w:hAnsi="Arial" w:cs="Arial"/>
          <w:sz w:val="22"/>
          <w:szCs w:val="24"/>
        </w:rPr>
      </w:pPr>
    </w:p>
    <w:p w:rsidR="00A2686B" w:rsidRDefault="00FD386C">
      <w:pPr>
        <w:pStyle w:val="EndNoteBibliography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br w:type="page"/>
      </w:r>
    </w:p>
    <w:p w:rsidR="00A2686B" w:rsidRDefault="00FD386C">
      <w:pPr>
        <w:pStyle w:val="Heading3"/>
      </w:pPr>
      <w:bookmarkStart w:id="26" w:name="_Toc150241540"/>
      <w:bookmarkStart w:id="27" w:name="_Toc3422"/>
      <w:bookmarkStart w:id="28" w:name="_Toc4312"/>
      <w:proofErr w:type="gramStart"/>
      <w:r>
        <w:rPr>
          <w:rFonts w:hint="eastAsia"/>
        </w:rPr>
        <w:lastRenderedPageBreak/>
        <w:t>Table S</w:t>
      </w:r>
      <w:r>
        <w:t>3</w:t>
      </w:r>
      <w:r>
        <w:rPr>
          <w:rFonts w:hint="eastAsia"/>
        </w:rPr>
        <w:t>a</w:t>
      </w:r>
      <w:r>
        <w:t>.</w:t>
      </w:r>
      <w:proofErr w:type="gramEnd"/>
      <w:r>
        <w:t xml:space="preserve"> The Wilcoxon rank sum test of</w:t>
      </w:r>
      <w:r>
        <w:rPr>
          <w:rFonts w:hint="eastAsia"/>
        </w:rPr>
        <w:t xml:space="preserve"> </w:t>
      </w:r>
      <w:r>
        <w:rPr>
          <w:rFonts w:hint="eastAsia"/>
          <w:szCs w:val="22"/>
        </w:rPr>
        <w:t>secondary</w:t>
      </w:r>
      <w:r>
        <w:rPr>
          <w:szCs w:val="22"/>
        </w:rPr>
        <w:t xml:space="preserve"> outcomes (</w:t>
      </w:r>
      <w:r>
        <w:rPr>
          <w:rFonts w:hint="eastAsia"/>
          <w:szCs w:val="22"/>
          <w:lang w:val="en-GB"/>
        </w:rPr>
        <w:t>echocardiography</w:t>
      </w:r>
      <w:r>
        <w:rPr>
          <w:szCs w:val="22"/>
        </w:rPr>
        <w:t>)</w:t>
      </w:r>
      <w:r>
        <w:t xml:space="preserve"> for atrial septal defect (ASD) against preoperative assessment</w:t>
      </w:r>
      <w:bookmarkEnd w:id="26"/>
      <w:bookmarkEnd w:id="27"/>
      <w:bookmarkEnd w:id="28"/>
    </w:p>
    <w:tbl>
      <w:tblPr>
        <w:tblStyle w:val="TableGrid"/>
        <w:tblpPr w:leftFromText="180" w:rightFromText="180" w:vertAnchor="text" w:horzAnchor="margin" w:tblpY="458"/>
        <w:tblOverlap w:val="never"/>
        <w:tblW w:w="808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127"/>
        <w:gridCol w:w="1134"/>
        <w:gridCol w:w="2126"/>
        <w:gridCol w:w="992"/>
      </w:tblGrid>
      <w:tr w:rsidR="00A2686B">
        <w:trPr>
          <w:trHeight w:val="430"/>
        </w:trPr>
        <w:tc>
          <w:tcPr>
            <w:tcW w:w="1701" w:type="dxa"/>
            <w:vMerge w:val="restart"/>
            <w:tcBorders>
              <w:top w:val="single" w:sz="6" w:space="0" w:color="auto"/>
              <w:bottom w:val="nil"/>
              <w:right w:val="nil"/>
            </w:tcBorders>
          </w:tcPr>
          <w:p w:rsidR="00A2686B" w:rsidRDefault="00A2686B">
            <w:pPr>
              <w:adjustRightInd w:val="0"/>
              <w:snapToGrid w:val="0"/>
              <w:spacing w:line="16" w:lineRule="atLeas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Intervention group(n=19)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Control group(n=19)</w:t>
            </w:r>
          </w:p>
        </w:tc>
      </w:tr>
      <w:tr w:rsidR="00A2686B">
        <w:trPr>
          <w:trHeight w:val="194"/>
        </w:trPr>
        <w:tc>
          <w:tcPr>
            <w:tcW w:w="1701" w:type="dxa"/>
            <w:vMerge/>
            <w:tcBorders>
              <w:top w:val="nil"/>
              <w:bottom w:val="single" w:sz="6" w:space="0" w:color="auto"/>
              <w:right w:val="nil"/>
            </w:tcBorders>
          </w:tcPr>
          <w:p w:rsidR="00A2686B" w:rsidRDefault="00A2686B">
            <w:pPr>
              <w:adjustRightInd w:val="0"/>
              <w:snapToGrid w:val="0"/>
              <w:spacing w:line="16" w:lineRule="atLeas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median (IQR)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value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  median (IQR)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6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value</w:t>
            </w:r>
          </w:p>
        </w:tc>
      </w:tr>
      <w:tr w:rsidR="00A2686B">
        <w:trPr>
          <w:trHeight w:val="416"/>
        </w:trPr>
        <w:tc>
          <w:tcPr>
            <w:tcW w:w="8080" w:type="dxa"/>
            <w:gridSpan w:val="5"/>
            <w:tcBorders>
              <w:top w:val="single" w:sz="6" w:space="0" w:color="auto"/>
            </w:tcBorders>
            <w:vAlign w:val="center"/>
          </w:tcPr>
          <w:p w:rsidR="00A2686B" w:rsidRDefault="00FD386C">
            <w:pPr>
              <w:pStyle w:val="NormalWeb"/>
              <w:widowControl/>
              <w:adjustRightInd w:val="0"/>
              <w:snapToGrid w:val="0"/>
              <w:spacing w:line="16" w:lineRule="atLeast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0"/>
              </w:rPr>
              <w:t>Left ventricular end diastolic dimension (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0"/>
              </w:rPr>
              <w:t>LVDd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0"/>
              </w:rPr>
              <w:t>)</w:t>
            </w:r>
          </w:p>
        </w:tc>
      </w:tr>
      <w:tr w:rsidR="00A2686B">
        <w:trPr>
          <w:trHeight w:val="90"/>
        </w:trPr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27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30.0 (27.8-33.0)</w:t>
            </w:r>
          </w:p>
        </w:tc>
        <w:tc>
          <w:tcPr>
            <w:tcW w:w="1134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30.9 (28.0-32.3)</w:t>
            </w:r>
          </w:p>
        </w:tc>
        <w:tc>
          <w:tcPr>
            <w:tcW w:w="992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ind w:right="60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rPr>
          <w:trHeight w:val="90"/>
        </w:trPr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27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33.6 (31.5-36.9)</w:t>
            </w:r>
          </w:p>
        </w:tc>
        <w:tc>
          <w:tcPr>
            <w:tcW w:w="1134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32.8 (30.3-34.1)</w:t>
            </w:r>
          </w:p>
        </w:tc>
        <w:tc>
          <w:tcPr>
            <w:tcW w:w="992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.003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rPr>
          <w:trHeight w:val="90"/>
        </w:trPr>
        <w:tc>
          <w:tcPr>
            <w:tcW w:w="1701" w:type="dxa"/>
            <w:tcBorders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27" w:type="dxa"/>
            <w:tcBorders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34.6 (30.1-36.1)</w:t>
            </w:r>
          </w:p>
        </w:tc>
        <w:tc>
          <w:tcPr>
            <w:tcW w:w="1134" w:type="dxa"/>
            <w:tcBorders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126" w:type="dxa"/>
            <w:tcBorders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33.1 (31.3-35.5)</w:t>
            </w:r>
          </w:p>
        </w:tc>
        <w:tc>
          <w:tcPr>
            <w:tcW w:w="992" w:type="dxa"/>
            <w:tcBorders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34.9 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(30.1-36.3)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33.4 (31.5-36.0)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rPr>
          <w:trHeight w:val="416"/>
        </w:trPr>
        <w:tc>
          <w:tcPr>
            <w:tcW w:w="8080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pStyle w:val="NormalWeb"/>
              <w:widowControl/>
              <w:adjustRightInd w:val="0"/>
              <w:snapToGrid w:val="0"/>
              <w:spacing w:line="16" w:lineRule="atLeast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0"/>
              </w:rPr>
              <w:t>Left ventricular end-systolic dimension (LVDs)</w:t>
            </w:r>
          </w:p>
        </w:tc>
      </w:tr>
      <w:tr w:rsidR="00A2686B">
        <w:trPr>
          <w:trHeight w:val="90"/>
        </w:trPr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27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18.7 (17.5-21.0) </w:t>
            </w:r>
          </w:p>
        </w:tc>
        <w:tc>
          <w:tcPr>
            <w:tcW w:w="1134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ind w:right="60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19.6 (18.6-20.7)</w:t>
            </w:r>
          </w:p>
        </w:tc>
        <w:tc>
          <w:tcPr>
            <w:tcW w:w="992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ind w:right="60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rPr>
          <w:trHeight w:val="90"/>
        </w:trPr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27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21.5 (19.3-22.4)</w:t>
            </w:r>
          </w:p>
        </w:tc>
        <w:tc>
          <w:tcPr>
            <w:tcW w:w="1134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.004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20.1 (18.3-22.2)</w:t>
            </w:r>
          </w:p>
        </w:tc>
        <w:tc>
          <w:tcPr>
            <w:tcW w:w="992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.042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rPr>
          <w:trHeight w:val="90"/>
        </w:trPr>
        <w:tc>
          <w:tcPr>
            <w:tcW w:w="1701" w:type="dxa"/>
            <w:tcBorders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27" w:type="dxa"/>
            <w:tcBorders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22.2 (18.0-23.2)</w:t>
            </w:r>
          </w:p>
        </w:tc>
        <w:tc>
          <w:tcPr>
            <w:tcW w:w="1134" w:type="dxa"/>
            <w:tcBorders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126" w:type="dxa"/>
            <w:tcBorders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20.3 (18.8-22.2)</w:t>
            </w:r>
          </w:p>
        </w:tc>
        <w:tc>
          <w:tcPr>
            <w:tcW w:w="992" w:type="dxa"/>
            <w:tcBorders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.035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21.7 (19.3.-22.8)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.003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21.7 (19.3-22.3)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.002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rPr>
          <w:trHeight w:val="416"/>
        </w:trPr>
        <w:tc>
          <w:tcPr>
            <w:tcW w:w="8080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pStyle w:val="NormalWeb"/>
              <w:widowControl/>
              <w:adjustRightInd w:val="0"/>
              <w:snapToGrid w:val="0"/>
              <w:spacing w:line="16" w:lineRule="atLeast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0"/>
              </w:rPr>
              <w:t>Left ventricular posterior wall depth (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0"/>
              </w:rPr>
              <w:t>LVPWDd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0"/>
              </w:rPr>
              <w:t>)</w:t>
            </w:r>
          </w:p>
        </w:tc>
      </w:tr>
      <w:tr w:rsidR="00A2686B">
        <w:trPr>
          <w:trHeight w:val="90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4.4 (4.1-5.0)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4.1 (3.7-4.8)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rPr>
          <w:trHeight w:val="90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4.8 (4.0-5.2)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.075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4.5 (3.8-4.8)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.405</w:t>
            </w:r>
          </w:p>
        </w:tc>
      </w:tr>
      <w:tr w:rsidR="00A2686B">
        <w:trPr>
          <w:trHeight w:val="90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4.8 (3.9-5.6)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.317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4.6 (4.1-5.1)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.176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5.3 (3.7-5.6)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.136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4.0 (3.7-4.6)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.380</w:t>
            </w:r>
          </w:p>
        </w:tc>
      </w:tr>
      <w:tr w:rsidR="00A2686B">
        <w:trPr>
          <w:trHeight w:val="469"/>
        </w:trPr>
        <w:tc>
          <w:tcPr>
            <w:tcW w:w="8080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Left ventricular posterior wall thickness at end-systole (LVPWs)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7.3 (6.5-7.9)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7.8 (6.3-8.6)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7.8 (7.4-8.2)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.076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6.9 (6.5-7.5)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.586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7.3 (6.7-8.7)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.085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6.6 (6.3-7.7)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.492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7.9 (6.7-9.1)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.305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7.1 (6.3-7.6)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.542</w:t>
            </w:r>
          </w:p>
        </w:tc>
      </w:tr>
      <w:tr w:rsidR="00A2686B">
        <w:trPr>
          <w:trHeight w:val="489"/>
        </w:trPr>
        <w:tc>
          <w:tcPr>
            <w:tcW w:w="8080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Left ventricular ejection fraction (LVEF)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68.0 (64.0-70.0)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67.0 (64.0-71.0)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67.0 (65.0-72.0)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.551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70.0 (67.0-72.0)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.551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67.0 (63.0-70.0)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.789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70.0 (66.0-71.0)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.341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68.0 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(64.0-71.0)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.872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67.0 (64.0-70.0)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.630</w:t>
            </w:r>
          </w:p>
        </w:tc>
      </w:tr>
      <w:tr w:rsidR="00A2686B">
        <w:trPr>
          <w:trHeight w:val="495"/>
        </w:trPr>
        <w:tc>
          <w:tcPr>
            <w:tcW w:w="8080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Main pulmonary artery diameter (MPA)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1.2 (1.2-1.5)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1.2(1.0-1.9)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(0.9-1.2)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.013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1.2 (1.0-1.8)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.340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(1.0-1.2)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.008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.029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(1.0-1.2)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.071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1.0 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(1.0-1.2)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.146</w:t>
            </w:r>
          </w:p>
        </w:tc>
      </w:tr>
      <w:tr w:rsidR="00A2686B">
        <w:trPr>
          <w:trHeight w:val="487"/>
        </w:trPr>
        <w:tc>
          <w:tcPr>
            <w:tcW w:w="8080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Mitral blood flow velocity (MV)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(1.0-1.2)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(1.0-1.2)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.974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.705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(1.0-1.1)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.674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.457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(1.0-1.0)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.914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(1.0-1.2)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.380</w:t>
            </w:r>
          </w:p>
        </w:tc>
      </w:tr>
      <w:tr w:rsidR="00A2686B">
        <w:trPr>
          <w:trHeight w:val="337"/>
        </w:trPr>
        <w:tc>
          <w:tcPr>
            <w:tcW w:w="8080" w:type="dxa"/>
            <w:gridSpan w:val="5"/>
            <w:tcBorders>
              <w:top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Tricuspid blood 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flow velocity (TV)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27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0.9 (0.8-1.0)</w:t>
            </w:r>
          </w:p>
        </w:tc>
        <w:tc>
          <w:tcPr>
            <w:tcW w:w="1134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0.8 (0.8-1.0)</w:t>
            </w:r>
          </w:p>
        </w:tc>
        <w:tc>
          <w:tcPr>
            <w:tcW w:w="992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27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0.8 (0.8-0.8)</w:t>
            </w:r>
          </w:p>
        </w:tc>
        <w:tc>
          <w:tcPr>
            <w:tcW w:w="1134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.020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0.8 (0.8-1.0)</w:t>
            </w:r>
          </w:p>
        </w:tc>
        <w:tc>
          <w:tcPr>
            <w:tcW w:w="992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.380</w:t>
            </w:r>
          </w:p>
        </w:tc>
      </w:tr>
      <w:tr w:rsidR="00A2686B">
        <w:tc>
          <w:tcPr>
            <w:tcW w:w="1701" w:type="dxa"/>
            <w:tcBorders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27" w:type="dxa"/>
            <w:tcBorders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0.8 (0.8-0.8)</w:t>
            </w:r>
          </w:p>
        </w:tc>
        <w:tc>
          <w:tcPr>
            <w:tcW w:w="1134" w:type="dxa"/>
            <w:tcBorders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.023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126" w:type="dxa"/>
            <w:tcBorders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0.8 (0.8-0.8)</w:t>
            </w:r>
          </w:p>
        </w:tc>
        <w:tc>
          <w:tcPr>
            <w:tcW w:w="992" w:type="dxa"/>
            <w:tcBorders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.142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0.8 (0.8-0.8)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.020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0.8 (0.8-0.8)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.234</w:t>
            </w:r>
          </w:p>
        </w:tc>
      </w:tr>
      <w:tr w:rsidR="00A2686B">
        <w:tc>
          <w:tcPr>
            <w:tcW w:w="8080" w:type="dxa"/>
            <w:gridSpan w:val="5"/>
            <w:tcBorders>
              <w:top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bookmarkStart w:id="29" w:name="_Hlk36673241"/>
            <w:r>
              <w:rPr>
                <w:rFonts w:ascii="Arial" w:hAnsi="Arial" w:cs="Arial" w:hint="eastAsia"/>
                <w:b/>
                <w:bCs/>
                <w:kern w:val="0"/>
                <w:sz w:val="20"/>
                <w:szCs w:val="20"/>
              </w:rPr>
              <w:t>Z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score of </w:t>
            </w:r>
            <w:proofErr w:type="spellStart"/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LVDd</w:t>
            </w:r>
            <w:proofErr w:type="spellEnd"/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-1.0 (-1.8- -0.4)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-0.7 (-0.9- -0.3)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-0.1 (-0.7-0.4)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0.0 (-0.6-0.2)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.044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c>
          <w:tcPr>
            <w:tcW w:w="1701" w:type="dxa"/>
            <w:tcBorders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lastRenderedPageBreak/>
              <w:t>3 months </w:t>
            </w:r>
          </w:p>
        </w:tc>
        <w:tc>
          <w:tcPr>
            <w:tcW w:w="2127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-0.2 (-1.1-0.4)</w:t>
            </w:r>
          </w:p>
        </w:tc>
        <w:tc>
          <w:tcPr>
            <w:tcW w:w="1134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126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-0.2 (-0.5-0.4)</w:t>
            </w:r>
          </w:p>
        </w:tc>
        <w:tc>
          <w:tcPr>
            <w:tcW w:w="992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.040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-0.3 (-0.8-0.6)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.004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-0.1 (-0.6-0.5)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.013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c>
          <w:tcPr>
            <w:tcW w:w="8080" w:type="dxa"/>
            <w:gridSpan w:val="5"/>
            <w:tcBorders>
              <w:top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20"/>
                <w:szCs w:val="20"/>
              </w:rPr>
              <w:t>Z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score of LVDs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-0.5 (-1.1- -0.3)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-0.3 (-0.9-0.2)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-0.1 (-0.7-0.8)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.008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0.1 (-0.3-0.3)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.117</w:t>
            </w:r>
          </w:p>
        </w:tc>
      </w:tr>
      <w:tr w:rsidR="00A2686B">
        <w:tc>
          <w:tcPr>
            <w:tcW w:w="1701" w:type="dxa"/>
            <w:tcBorders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27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0.1 (-0.7-0.7)</w:t>
            </w:r>
          </w:p>
        </w:tc>
        <w:tc>
          <w:tcPr>
            <w:tcW w:w="1134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.012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126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-0.1 (-0.5-0.2)</w:t>
            </w:r>
          </w:p>
        </w:tc>
        <w:tc>
          <w:tcPr>
            <w:tcW w:w="992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.227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0.0(-0.8-0.5)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.059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0.2 (-0.2-0.4)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.022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c>
          <w:tcPr>
            <w:tcW w:w="8080" w:type="dxa"/>
            <w:gridSpan w:val="5"/>
            <w:tcBorders>
              <w:top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20"/>
                <w:szCs w:val="20"/>
              </w:rPr>
              <w:t>Z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score of </w:t>
            </w:r>
            <w:proofErr w:type="spellStart"/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LVPWd</w:t>
            </w:r>
            <w:proofErr w:type="spellEnd"/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-0.1 (-0.6-0.3)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-0.3 (-0.5-0.5)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0.2 (-0.3-0.9)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.121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0.2 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(-0.6-0.9)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.687</w:t>
            </w:r>
          </w:p>
        </w:tc>
      </w:tr>
      <w:tr w:rsidR="00A2686B">
        <w:tc>
          <w:tcPr>
            <w:tcW w:w="1701" w:type="dxa"/>
            <w:tcBorders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27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0.1 (-0.7-0.9)</w:t>
            </w:r>
          </w:p>
        </w:tc>
        <w:tc>
          <w:tcPr>
            <w:tcW w:w="1134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.809</w:t>
            </w:r>
          </w:p>
        </w:tc>
        <w:tc>
          <w:tcPr>
            <w:tcW w:w="2126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0.3 (-0.4-0.8)</w:t>
            </w:r>
          </w:p>
        </w:tc>
        <w:tc>
          <w:tcPr>
            <w:tcW w:w="992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.615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0.4 (-0.9-1.0)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.507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-0.3 (-1.1-0.1)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.028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c>
          <w:tcPr>
            <w:tcW w:w="8080" w:type="dxa"/>
            <w:gridSpan w:val="5"/>
            <w:tcBorders>
              <w:top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20"/>
                <w:szCs w:val="20"/>
              </w:rPr>
              <w:t>Z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score of LVPWs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-1.3 (-1.9- -0.5)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-0.6 (-1.8-0.1)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-0.6 (-0.8- -0.4)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.098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-1.5 (-1.9- -0.2)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.559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-0.9 (-1.3- -0.4)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.459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-1.7 (-2.4- -0.2)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.268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-0.9 (-1.5-0.2)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.528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-1.3 (-2.4- -0.4)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.227</w:t>
            </w:r>
          </w:p>
        </w:tc>
      </w:tr>
      <w:tr w:rsidR="00A2686B">
        <w:tc>
          <w:tcPr>
            <w:tcW w:w="8080" w:type="dxa"/>
            <w:gridSpan w:val="5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20"/>
                <w:szCs w:val="20"/>
              </w:rPr>
              <w:t>Z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score of </w:t>
            </w:r>
            <w:proofErr w:type="spellStart"/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Ao</w:t>
            </w:r>
            <w:proofErr w:type="spellEnd"/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3.2 (2.3-4.2)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3.2 (2.7-3.6)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2.9 (2.1-3.6)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.227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3.4 (2.3-4.4)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.968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3.4 (2.4-4.0)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.702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3.3 (2.9-4.0)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.872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3.7 (3.0-4.2)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.658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3.2 (2.4-4.1)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.841</w:t>
            </w:r>
          </w:p>
        </w:tc>
      </w:tr>
      <w:bookmarkEnd w:id="29"/>
    </w:tbl>
    <w:p w:rsidR="00A2686B" w:rsidRDefault="00A2686B"/>
    <w:p w:rsidR="00A2686B" w:rsidRDefault="00FD386C">
      <w:pPr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IQR: the interquartile range</w:t>
      </w:r>
    </w:p>
    <w:p w:rsidR="00A2686B" w:rsidRDefault="00FD386C">
      <w:pPr>
        <w:ind w:right="210"/>
        <w:rPr>
          <w:rFonts w:ascii="Arial" w:hAnsi="Arial" w:cs="Arial"/>
          <w:sz w:val="22"/>
          <w:szCs w:val="24"/>
        </w:rPr>
      </w:pPr>
      <w:r>
        <w:rPr>
          <w:rFonts w:ascii="Arial" w:hAnsi="Arial" w:cs="Arial" w:hint="eastAsia"/>
          <w:sz w:val="20"/>
        </w:rPr>
        <w:t xml:space="preserve">* means significant </w:t>
      </w:r>
      <w:proofErr w:type="gramStart"/>
      <w:r>
        <w:rPr>
          <w:rFonts w:ascii="Arial" w:hAnsi="Arial" w:cs="Arial" w:hint="eastAsia"/>
          <w:sz w:val="20"/>
        </w:rPr>
        <w:t>difference(</w:t>
      </w:r>
      <w:proofErr w:type="gramEnd"/>
      <w:r>
        <w:rPr>
          <w:rFonts w:ascii="Arial" w:hAnsi="Arial" w:cs="Arial" w:hint="eastAsia"/>
          <w:sz w:val="20"/>
        </w:rPr>
        <w:t>P&lt;&lt;0.017).</w:t>
      </w:r>
    </w:p>
    <w:p w:rsidR="00A2686B" w:rsidRDefault="00FD386C">
      <w:pPr>
        <w:rPr>
          <w:rFonts w:ascii="Arial" w:hAnsi="Arial" w:cs="Arial"/>
          <w:b/>
          <w:bCs/>
        </w:rPr>
        <w:sectPr w:rsidR="00A2686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Arial" w:hAnsi="Arial" w:cs="Arial" w:hint="eastAsia"/>
        </w:rPr>
        <w:t>F</w:t>
      </w:r>
      <w:r>
        <w:rPr>
          <w:rFonts w:ascii="Arial" w:hAnsi="Arial" w:cs="Arial"/>
          <w:sz w:val="22"/>
        </w:rPr>
        <w:t xml:space="preserve">or ASD patients, comparing with the preoperative assessment, the intervention group showed significant changes in </w:t>
      </w:r>
      <w:r>
        <w:rPr>
          <w:rFonts w:ascii="Arial" w:hAnsi="Arial" w:cs="Arial"/>
          <w:sz w:val="22"/>
        </w:rPr>
        <w:t>left ventricular end diastolic dimension (</w:t>
      </w:r>
      <w:proofErr w:type="spellStart"/>
      <w:r>
        <w:rPr>
          <w:rFonts w:ascii="Arial" w:hAnsi="Arial" w:cs="Arial"/>
          <w:sz w:val="22"/>
        </w:rPr>
        <w:t>LVDd</w:t>
      </w:r>
      <w:proofErr w:type="spellEnd"/>
      <w:r>
        <w:rPr>
          <w:rFonts w:ascii="Arial" w:hAnsi="Arial" w:cs="Arial"/>
          <w:sz w:val="22"/>
        </w:rPr>
        <w:t>), left ventricular end-systolic dimension (LVDs), and tricuspid blood flow velocity (TV) since the first postoperative follow-up, but had no changes in left ventricular posterior wall depth (</w:t>
      </w:r>
      <w:proofErr w:type="spellStart"/>
      <w:r>
        <w:rPr>
          <w:rFonts w:ascii="Arial" w:hAnsi="Arial" w:cs="Arial"/>
          <w:sz w:val="22"/>
        </w:rPr>
        <w:t>LVPWd</w:t>
      </w:r>
      <w:proofErr w:type="spellEnd"/>
      <w:r>
        <w:rPr>
          <w:rFonts w:ascii="Arial" w:hAnsi="Arial" w:cs="Arial"/>
          <w:sz w:val="22"/>
        </w:rPr>
        <w:t>), left ventr</w:t>
      </w:r>
      <w:r>
        <w:rPr>
          <w:rFonts w:ascii="Arial" w:hAnsi="Arial" w:cs="Arial"/>
          <w:sz w:val="22"/>
        </w:rPr>
        <w:t>icular posterior wall thickness at end-systole (LVPWs), left ventricular ejection fraction (LVEF), main pulmonary artery diameter (MPA), and mitral blood flow velocity (MV)</w:t>
      </w:r>
      <w:r>
        <w:rPr>
          <w:rFonts w:ascii="Arial" w:hAnsi="Arial" w:cs="Arial" w:hint="eastAsia"/>
          <w:sz w:val="22"/>
        </w:rPr>
        <w:t>.</w:t>
      </w:r>
      <w:r>
        <w:rPr>
          <w:rFonts w:ascii="Arial" w:hAnsi="Arial" w:cs="Arial"/>
          <w:sz w:val="22"/>
        </w:rPr>
        <w:t xml:space="preserve">The control group only had similar changes in </w:t>
      </w:r>
      <w:proofErr w:type="spellStart"/>
      <w:r>
        <w:rPr>
          <w:rFonts w:ascii="Arial" w:hAnsi="Arial" w:cs="Arial"/>
          <w:sz w:val="22"/>
        </w:rPr>
        <w:t>LVDd</w:t>
      </w:r>
      <w:proofErr w:type="spellEnd"/>
      <w:r>
        <w:rPr>
          <w:rFonts w:ascii="Arial" w:hAnsi="Arial" w:cs="Arial"/>
          <w:sz w:val="22"/>
        </w:rPr>
        <w:t xml:space="preserve"> and LVDs. </w:t>
      </w:r>
    </w:p>
    <w:p w:rsidR="00A2686B" w:rsidRDefault="00FD386C">
      <w:pPr>
        <w:pStyle w:val="Heading3"/>
      </w:pPr>
      <w:bookmarkStart w:id="30" w:name="_Toc2627"/>
      <w:bookmarkStart w:id="31" w:name="_Toc150241541"/>
      <w:bookmarkStart w:id="32" w:name="_Toc12716"/>
      <w:proofErr w:type="gramStart"/>
      <w:r>
        <w:rPr>
          <w:rFonts w:hint="eastAsia"/>
        </w:rPr>
        <w:lastRenderedPageBreak/>
        <w:t>Table S</w:t>
      </w:r>
      <w:r>
        <w:t>3</w:t>
      </w:r>
      <w:r>
        <w:t>b.</w:t>
      </w:r>
      <w:proofErr w:type="gramEnd"/>
      <w:r>
        <w:t xml:space="preserve"> The Wilcoxon rank sum test of </w:t>
      </w:r>
      <w:r>
        <w:rPr>
          <w:rFonts w:hint="eastAsia"/>
          <w:szCs w:val="22"/>
        </w:rPr>
        <w:t>secondary</w:t>
      </w:r>
      <w:r>
        <w:rPr>
          <w:szCs w:val="22"/>
        </w:rPr>
        <w:t xml:space="preserve"> outcomes (</w:t>
      </w:r>
      <w:r>
        <w:rPr>
          <w:rFonts w:hint="eastAsia"/>
          <w:szCs w:val="22"/>
          <w:lang w:val="en-GB"/>
        </w:rPr>
        <w:t>echocardiography</w:t>
      </w:r>
      <w:r>
        <w:rPr>
          <w:szCs w:val="22"/>
        </w:rPr>
        <w:t>)</w:t>
      </w:r>
      <w:r>
        <w:t xml:space="preserve"> for ventricular septal defect (VSD) against preoperative assessment</w:t>
      </w:r>
      <w:bookmarkEnd w:id="30"/>
      <w:bookmarkEnd w:id="31"/>
      <w:bookmarkEnd w:id="32"/>
      <w:r>
        <w:t xml:space="preserve"> </w:t>
      </w:r>
    </w:p>
    <w:tbl>
      <w:tblPr>
        <w:tblStyle w:val="TableGrid"/>
        <w:tblpPr w:leftFromText="180" w:rightFromText="180" w:vertAnchor="text" w:horzAnchor="margin" w:tblpY="244"/>
        <w:tblOverlap w:val="never"/>
        <w:tblW w:w="839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131"/>
        <w:gridCol w:w="1019"/>
        <w:gridCol w:w="2126"/>
        <w:gridCol w:w="1135"/>
      </w:tblGrid>
      <w:tr w:rsidR="00A2686B">
        <w:trPr>
          <w:trHeight w:val="430"/>
        </w:trPr>
        <w:tc>
          <w:tcPr>
            <w:tcW w:w="1980" w:type="dxa"/>
            <w:vMerge w:val="restart"/>
            <w:tcBorders>
              <w:top w:val="single" w:sz="6" w:space="0" w:color="auto"/>
              <w:bottom w:val="nil"/>
              <w:right w:val="nil"/>
            </w:tcBorders>
          </w:tcPr>
          <w:p w:rsidR="00A2686B" w:rsidRDefault="00A2686B">
            <w:pPr>
              <w:adjustRightInd w:val="0"/>
              <w:snapToGrid w:val="0"/>
              <w:spacing w:line="16" w:lineRule="atLeas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150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Intervention group(n=33)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Control group(n=32)</w:t>
            </w:r>
          </w:p>
        </w:tc>
      </w:tr>
      <w:tr w:rsidR="00A2686B">
        <w:trPr>
          <w:trHeight w:val="194"/>
        </w:trPr>
        <w:tc>
          <w:tcPr>
            <w:tcW w:w="1980" w:type="dxa"/>
            <w:vMerge/>
            <w:tcBorders>
              <w:top w:val="nil"/>
              <w:bottom w:val="single" w:sz="6" w:space="0" w:color="auto"/>
              <w:right w:val="nil"/>
            </w:tcBorders>
          </w:tcPr>
          <w:p w:rsidR="00A2686B" w:rsidRDefault="00A2686B">
            <w:pPr>
              <w:adjustRightInd w:val="0"/>
              <w:snapToGrid w:val="0"/>
              <w:spacing w:line="16" w:lineRule="atLeas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 median (IQR)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value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median (IQR)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value</w:t>
            </w:r>
          </w:p>
        </w:tc>
      </w:tr>
      <w:tr w:rsidR="00A2686B">
        <w:trPr>
          <w:trHeight w:val="416"/>
        </w:trPr>
        <w:tc>
          <w:tcPr>
            <w:tcW w:w="8391" w:type="dxa"/>
            <w:gridSpan w:val="5"/>
            <w:tcBorders>
              <w:top w:val="single" w:sz="6" w:space="0" w:color="auto"/>
            </w:tcBorders>
            <w:vAlign w:val="center"/>
          </w:tcPr>
          <w:p w:rsidR="00A2686B" w:rsidRDefault="00FD386C">
            <w:pPr>
              <w:pStyle w:val="NormalWeb"/>
              <w:widowControl/>
              <w:adjustRightInd w:val="0"/>
              <w:snapToGrid w:val="0"/>
              <w:spacing w:line="16" w:lineRule="atLeast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0"/>
              </w:rPr>
              <w:t xml:space="preserve">Left ventricular end </w:t>
            </w:r>
            <w:r>
              <w:rPr>
                <w:rFonts w:ascii="Arial" w:hAnsi="Arial" w:cs="Arial"/>
                <w:b/>
                <w:bCs/>
                <w:sz w:val="22"/>
                <w:szCs w:val="20"/>
              </w:rPr>
              <w:t>diastolic dimension (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0"/>
              </w:rPr>
              <w:t>LVDd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0"/>
              </w:rPr>
              <w:t>)</w:t>
            </w:r>
          </w:p>
        </w:tc>
      </w:tr>
      <w:tr w:rsidR="00A2686B">
        <w:trPr>
          <w:trHeight w:val="90"/>
        </w:trPr>
        <w:tc>
          <w:tcPr>
            <w:tcW w:w="198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31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36.1 (33.9-40.0) </w:t>
            </w:r>
          </w:p>
        </w:tc>
        <w:tc>
          <w:tcPr>
            <w:tcW w:w="1019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35.0 (33.4-38.2)</w:t>
            </w:r>
          </w:p>
        </w:tc>
        <w:tc>
          <w:tcPr>
            <w:tcW w:w="1134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ind w:right="60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rPr>
          <w:trHeight w:val="90"/>
        </w:trPr>
        <w:tc>
          <w:tcPr>
            <w:tcW w:w="198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31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34.8 (32.4-36.5)</w:t>
            </w:r>
          </w:p>
        </w:tc>
        <w:tc>
          <w:tcPr>
            <w:tcW w:w="1019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</w:p>
        </w:tc>
        <w:tc>
          <w:tcPr>
            <w:tcW w:w="2126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34.4 (32.4-37.1)</w:t>
            </w:r>
          </w:p>
        </w:tc>
        <w:tc>
          <w:tcPr>
            <w:tcW w:w="1134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.093</w:t>
            </w:r>
          </w:p>
        </w:tc>
      </w:tr>
      <w:tr w:rsidR="00A2686B">
        <w:trPr>
          <w:trHeight w:val="90"/>
        </w:trPr>
        <w:tc>
          <w:tcPr>
            <w:tcW w:w="1980" w:type="dxa"/>
            <w:tcBorders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31" w:type="dxa"/>
            <w:tcBorders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35.0 (33.2-36.5)</w:t>
            </w:r>
          </w:p>
        </w:tc>
        <w:tc>
          <w:tcPr>
            <w:tcW w:w="1019" w:type="dxa"/>
            <w:tcBorders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.010</w:t>
            </w:r>
          </w:p>
        </w:tc>
        <w:tc>
          <w:tcPr>
            <w:tcW w:w="2126" w:type="dxa"/>
            <w:tcBorders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35.5 (32.7-36.8)</w:t>
            </w:r>
          </w:p>
        </w:tc>
        <w:tc>
          <w:tcPr>
            <w:tcW w:w="1134" w:type="dxa"/>
            <w:tcBorders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.044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c>
          <w:tcPr>
            <w:tcW w:w="1980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31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35.0 (32.4-36.4)</w:t>
            </w:r>
          </w:p>
        </w:tc>
        <w:tc>
          <w:tcPr>
            <w:tcW w:w="1019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.004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35.1 (33.5-38.1)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.732</w:t>
            </w:r>
          </w:p>
        </w:tc>
      </w:tr>
      <w:tr w:rsidR="00A2686B">
        <w:trPr>
          <w:trHeight w:val="416"/>
        </w:trPr>
        <w:tc>
          <w:tcPr>
            <w:tcW w:w="8391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pStyle w:val="NormalWeb"/>
              <w:widowControl/>
              <w:adjustRightInd w:val="0"/>
              <w:snapToGrid w:val="0"/>
              <w:spacing w:line="16" w:lineRule="atLeast"/>
              <w:rPr>
                <w:rFonts w:ascii="Arial" w:hAnsi="Arial" w:cs="Arial"/>
                <w:b/>
                <w:bCs/>
                <w:sz w:val="22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0"/>
              </w:rPr>
              <w:t xml:space="preserve">Left </w:t>
            </w:r>
            <w:r>
              <w:rPr>
                <w:rFonts w:ascii="Arial" w:hAnsi="Arial" w:cs="Arial"/>
                <w:b/>
                <w:bCs/>
                <w:sz w:val="22"/>
                <w:szCs w:val="20"/>
              </w:rPr>
              <w:t>ventricular end-systolic dimension (LVDs)</w:t>
            </w:r>
          </w:p>
        </w:tc>
      </w:tr>
      <w:tr w:rsidR="00A2686B">
        <w:trPr>
          <w:trHeight w:val="90"/>
        </w:trPr>
        <w:tc>
          <w:tcPr>
            <w:tcW w:w="198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31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22.7 (21.4-24.8)</w:t>
            </w:r>
          </w:p>
        </w:tc>
        <w:tc>
          <w:tcPr>
            <w:tcW w:w="1019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ind w:right="60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23.0 (20.4-24.5)</w:t>
            </w:r>
          </w:p>
        </w:tc>
        <w:tc>
          <w:tcPr>
            <w:tcW w:w="1134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ind w:right="60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rPr>
          <w:trHeight w:val="90"/>
        </w:trPr>
        <w:tc>
          <w:tcPr>
            <w:tcW w:w="198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31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22.4 (20.6-24.5)</w:t>
            </w:r>
          </w:p>
        </w:tc>
        <w:tc>
          <w:tcPr>
            <w:tcW w:w="1019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.165</w:t>
            </w:r>
          </w:p>
        </w:tc>
        <w:tc>
          <w:tcPr>
            <w:tcW w:w="2126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22.8 (21.5-24.5)</w:t>
            </w:r>
          </w:p>
        </w:tc>
        <w:tc>
          <w:tcPr>
            <w:tcW w:w="1134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.500</w:t>
            </w:r>
          </w:p>
        </w:tc>
      </w:tr>
      <w:tr w:rsidR="00A2686B">
        <w:trPr>
          <w:trHeight w:val="90"/>
        </w:trPr>
        <w:tc>
          <w:tcPr>
            <w:tcW w:w="1980" w:type="dxa"/>
            <w:tcBorders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31" w:type="dxa"/>
            <w:tcBorders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22.8 (20.4-24.5)</w:t>
            </w:r>
          </w:p>
        </w:tc>
        <w:tc>
          <w:tcPr>
            <w:tcW w:w="1019" w:type="dxa"/>
            <w:tcBorders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.332</w:t>
            </w:r>
          </w:p>
        </w:tc>
        <w:tc>
          <w:tcPr>
            <w:tcW w:w="2126" w:type="dxa"/>
            <w:tcBorders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22.7 (20.5-24.7)</w:t>
            </w:r>
          </w:p>
        </w:tc>
        <w:tc>
          <w:tcPr>
            <w:tcW w:w="1134" w:type="dxa"/>
            <w:tcBorders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.807</w:t>
            </w:r>
          </w:p>
        </w:tc>
      </w:tr>
      <w:tr w:rsidR="00A2686B">
        <w:tc>
          <w:tcPr>
            <w:tcW w:w="1980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31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23.0 (20.5-23.9)</w:t>
            </w:r>
          </w:p>
        </w:tc>
        <w:tc>
          <w:tcPr>
            <w:tcW w:w="1019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.288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23.1 (21.2-24.6)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.366</w:t>
            </w:r>
          </w:p>
        </w:tc>
      </w:tr>
      <w:tr w:rsidR="00A2686B">
        <w:trPr>
          <w:trHeight w:val="416"/>
        </w:trPr>
        <w:tc>
          <w:tcPr>
            <w:tcW w:w="8391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pStyle w:val="NormalWeb"/>
              <w:widowControl/>
              <w:adjustRightInd w:val="0"/>
              <w:snapToGrid w:val="0"/>
              <w:spacing w:line="16" w:lineRule="atLeast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0"/>
              </w:rPr>
              <w:t>Left ventricular posterior wall depth (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0"/>
              </w:rPr>
              <w:t>LVPWDd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0"/>
              </w:rPr>
              <w:t>)</w:t>
            </w:r>
          </w:p>
        </w:tc>
      </w:tr>
      <w:tr w:rsidR="00A2686B">
        <w:trPr>
          <w:trHeight w:val="90"/>
        </w:trPr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5.0 (4.4-5.6)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4.8 (4.4-5.1)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rPr>
          <w:trHeight w:val="90"/>
        </w:trPr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4.6 (3.5-5.3)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.052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4.7 (3.9-5.5)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.984</w:t>
            </w:r>
          </w:p>
        </w:tc>
      </w:tr>
      <w:tr w:rsidR="00A2686B">
        <w:trPr>
          <w:trHeight w:val="90"/>
        </w:trPr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4.5 (3.8-5.2)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.058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4.7 (4.3-5.3)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.765</w:t>
            </w:r>
          </w:p>
        </w:tc>
      </w:tr>
      <w:tr w:rsidR="00A2686B">
        <w:tc>
          <w:tcPr>
            <w:tcW w:w="1980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31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4.6 (4.1-5.2)</w:t>
            </w:r>
          </w:p>
        </w:tc>
        <w:tc>
          <w:tcPr>
            <w:tcW w:w="1019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.184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4.9 (3.8-5.7)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.520</w:t>
            </w:r>
          </w:p>
        </w:tc>
      </w:tr>
      <w:tr w:rsidR="00A2686B">
        <w:trPr>
          <w:trHeight w:val="469"/>
        </w:trPr>
        <w:tc>
          <w:tcPr>
            <w:tcW w:w="8391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Left ventricular 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posterior wall thickness at end-systole (LVPWs)</w:t>
            </w:r>
          </w:p>
        </w:tc>
      </w:tr>
      <w:tr w:rsidR="00A2686B"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8.8 (7.6-9.8)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8.3 (7.3-8.8)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7.6 (6.6-9.0)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7.4 (6.8-8.7)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.117</w:t>
            </w:r>
          </w:p>
        </w:tc>
      </w:tr>
      <w:tr w:rsidR="00A2686B"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7.5 (6.5-9.0)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8.2 (7.3-9.1)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.931</w:t>
            </w:r>
          </w:p>
        </w:tc>
      </w:tr>
      <w:tr w:rsidR="00A2686B">
        <w:tc>
          <w:tcPr>
            <w:tcW w:w="1980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31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7.9 (6.6-9.0)</w:t>
            </w:r>
          </w:p>
        </w:tc>
        <w:tc>
          <w:tcPr>
            <w:tcW w:w="1019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.003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8.1 (7.1-8.8)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.634</w:t>
            </w:r>
          </w:p>
        </w:tc>
      </w:tr>
      <w:tr w:rsidR="00A2686B">
        <w:trPr>
          <w:trHeight w:val="489"/>
        </w:trPr>
        <w:tc>
          <w:tcPr>
            <w:tcW w:w="8391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Left ventricular 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ejection fraction (LVEF)</w:t>
            </w:r>
          </w:p>
        </w:tc>
      </w:tr>
      <w:tr w:rsidR="00A2686B"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69.0 (66.0-71.0)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66.5 (62.8-72.3)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65.0 (61.0-68.9)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63.5 (61.0-66.8)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.009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66.0 (62.5-71.0)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.002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64.5 (61.3-67.8)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.072</w:t>
            </w:r>
          </w:p>
        </w:tc>
      </w:tr>
      <w:tr w:rsidR="00A2686B">
        <w:tc>
          <w:tcPr>
            <w:tcW w:w="1980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31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65.0 (61.5-69.0)</w:t>
            </w:r>
          </w:p>
        </w:tc>
        <w:tc>
          <w:tcPr>
            <w:tcW w:w="1019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.003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66.5 (64.0-68.8)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.222</w:t>
            </w:r>
          </w:p>
        </w:tc>
      </w:tr>
      <w:tr w:rsidR="00A2686B">
        <w:trPr>
          <w:trHeight w:val="495"/>
        </w:trPr>
        <w:tc>
          <w:tcPr>
            <w:tcW w:w="8391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Main pulmonary 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artery diameter (MPA)</w:t>
            </w:r>
          </w:p>
        </w:tc>
      </w:tr>
      <w:tr w:rsidR="00A2686B"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(1.0-1.2)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(1.0-1.2)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(1.0-1.0)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.013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(0.9-1.2)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.099</w:t>
            </w:r>
          </w:p>
        </w:tc>
      </w:tr>
      <w:tr w:rsidR="00A2686B"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(1.0-1.2)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.046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(1.0-1.2)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.573</w:t>
            </w:r>
          </w:p>
        </w:tc>
      </w:tr>
      <w:tr w:rsidR="00A2686B">
        <w:tc>
          <w:tcPr>
            <w:tcW w:w="1980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31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(0.9-1.0)</w:t>
            </w:r>
          </w:p>
        </w:tc>
        <w:tc>
          <w:tcPr>
            <w:tcW w:w="1019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.006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(1.0-1.2)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.355</w:t>
            </w:r>
          </w:p>
        </w:tc>
      </w:tr>
      <w:tr w:rsidR="00A2686B">
        <w:trPr>
          <w:trHeight w:val="487"/>
        </w:trPr>
        <w:tc>
          <w:tcPr>
            <w:tcW w:w="8391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Mitral blood flow velocity (MV)</w:t>
            </w:r>
          </w:p>
        </w:tc>
      </w:tr>
      <w:tr w:rsidR="00A2686B"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(1.0-1.2)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1.2 (1.0-1.2)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(1.0-1.2)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.026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(1.0-1.2)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.018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(1.0-1.0)</w:t>
            </w:r>
          </w:p>
        </w:tc>
        <w:tc>
          <w:tcPr>
            <w:tcW w:w="1019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.090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(1.0-1.2)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.121</w:t>
            </w:r>
          </w:p>
        </w:tc>
      </w:tr>
      <w:tr w:rsidR="00A2686B">
        <w:tc>
          <w:tcPr>
            <w:tcW w:w="1980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31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(1.0-1.0)</w:t>
            </w:r>
          </w:p>
        </w:tc>
        <w:tc>
          <w:tcPr>
            <w:tcW w:w="1019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.389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(1.0-1.2)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.002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rPr>
          <w:trHeight w:val="337"/>
        </w:trPr>
        <w:tc>
          <w:tcPr>
            <w:tcW w:w="8391" w:type="dxa"/>
            <w:gridSpan w:val="5"/>
            <w:tcBorders>
              <w:top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Tricuspid blood flow velocity (TV)</w:t>
            </w:r>
          </w:p>
        </w:tc>
      </w:tr>
      <w:tr w:rsidR="00A2686B">
        <w:tc>
          <w:tcPr>
            <w:tcW w:w="198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31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0.8 (0.8-0.8)</w:t>
            </w:r>
          </w:p>
        </w:tc>
        <w:tc>
          <w:tcPr>
            <w:tcW w:w="1019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0.8 (0.8-0.9)</w:t>
            </w:r>
          </w:p>
        </w:tc>
        <w:tc>
          <w:tcPr>
            <w:tcW w:w="1134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98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31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0.8 (0.8-0.8)</w:t>
            </w:r>
          </w:p>
        </w:tc>
        <w:tc>
          <w:tcPr>
            <w:tcW w:w="1019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.935</w:t>
            </w:r>
          </w:p>
        </w:tc>
        <w:tc>
          <w:tcPr>
            <w:tcW w:w="2126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0.8 (0.8-0.8)</w:t>
            </w:r>
          </w:p>
        </w:tc>
        <w:tc>
          <w:tcPr>
            <w:tcW w:w="1134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.863</w:t>
            </w:r>
          </w:p>
        </w:tc>
      </w:tr>
      <w:tr w:rsidR="00A2686B">
        <w:tc>
          <w:tcPr>
            <w:tcW w:w="198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31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0.8 (0.8-0.8)</w:t>
            </w:r>
          </w:p>
        </w:tc>
        <w:tc>
          <w:tcPr>
            <w:tcW w:w="1019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.874</w:t>
            </w:r>
          </w:p>
        </w:tc>
        <w:tc>
          <w:tcPr>
            <w:tcW w:w="2126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0.8 (0.8-0.8)</w:t>
            </w:r>
          </w:p>
        </w:tc>
        <w:tc>
          <w:tcPr>
            <w:tcW w:w="1134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.700</w:t>
            </w:r>
          </w:p>
        </w:tc>
      </w:tr>
      <w:tr w:rsidR="00A2686B">
        <w:tc>
          <w:tcPr>
            <w:tcW w:w="198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31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0.8 (0.8-1.0)</w:t>
            </w:r>
          </w:p>
        </w:tc>
        <w:tc>
          <w:tcPr>
            <w:tcW w:w="1019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.034</w:t>
            </w:r>
          </w:p>
        </w:tc>
        <w:tc>
          <w:tcPr>
            <w:tcW w:w="2126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0.8 (0.8-0.8)</w:t>
            </w:r>
          </w:p>
        </w:tc>
        <w:tc>
          <w:tcPr>
            <w:tcW w:w="1134" w:type="dxa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.655</w:t>
            </w:r>
          </w:p>
        </w:tc>
      </w:tr>
      <w:tr w:rsidR="00A2686B">
        <w:trPr>
          <w:trHeight w:val="337"/>
        </w:trPr>
        <w:tc>
          <w:tcPr>
            <w:tcW w:w="8391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20"/>
                <w:szCs w:val="20"/>
              </w:rPr>
              <w:t>Z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score of </w:t>
            </w:r>
            <w:proofErr w:type="spellStart"/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LVDd</w:t>
            </w:r>
            <w:proofErr w:type="spellEnd"/>
          </w:p>
        </w:tc>
      </w:tr>
      <w:tr w:rsidR="00A2686B">
        <w:tc>
          <w:tcPr>
            <w:tcW w:w="1980" w:type="dxa"/>
            <w:shd w:val="clear" w:color="auto" w:fill="auto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31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0.5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(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0.0-1.6)</w:t>
            </w:r>
          </w:p>
        </w:tc>
        <w:tc>
          <w:tcPr>
            <w:tcW w:w="1019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0.6 (0.0-1.1)</w:t>
            </w:r>
          </w:p>
        </w:tc>
        <w:tc>
          <w:tcPr>
            <w:tcW w:w="1134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980" w:type="dxa"/>
            <w:shd w:val="clear" w:color="auto" w:fill="auto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31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0.1 (-0.5-0.4)</w:t>
            </w:r>
          </w:p>
        </w:tc>
        <w:tc>
          <w:tcPr>
            <w:tcW w:w="1019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</w:p>
        </w:tc>
        <w:tc>
          <w:tcPr>
            <w:tcW w:w="2126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0.4 (-0.6-0.8)</w:t>
            </w:r>
          </w:p>
        </w:tc>
        <w:tc>
          <w:tcPr>
            <w:tcW w:w="1134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.008</w:t>
            </w:r>
          </w:p>
        </w:tc>
      </w:tr>
      <w:tr w:rsidR="00A2686B">
        <w:tc>
          <w:tcPr>
            <w:tcW w:w="1980" w:type="dxa"/>
            <w:shd w:val="clear" w:color="auto" w:fill="auto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31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0.0 (-0.4-0.7)</w:t>
            </w:r>
          </w:p>
        </w:tc>
        <w:tc>
          <w:tcPr>
            <w:tcW w:w="1019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.002</w:t>
            </w:r>
          </w:p>
        </w:tc>
        <w:tc>
          <w:tcPr>
            <w:tcW w:w="2126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0.1 (-0.2-0.5)</w:t>
            </w:r>
          </w:p>
        </w:tc>
        <w:tc>
          <w:tcPr>
            <w:tcW w:w="1134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.012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c>
          <w:tcPr>
            <w:tcW w:w="1980" w:type="dxa"/>
            <w:shd w:val="clear" w:color="auto" w:fill="auto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lastRenderedPageBreak/>
              <w:t>6 months </w:t>
            </w:r>
          </w:p>
        </w:tc>
        <w:tc>
          <w:tcPr>
            <w:tcW w:w="2131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-0.1 (-0.6-0.3)</w:t>
            </w:r>
          </w:p>
        </w:tc>
        <w:tc>
          <w:tcPr>
            <w:tcW w:w="1019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</w:p>
        </w:tc>
        <w:tc>
          <w:tcPr>
            <w:tcW w:w="2126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0.1 (-0.3-0.7)</w:t>
            </w:r>
          </w:p>
        </w:tc>
        <w:tc>
          <w:tcPr>
            <w:tcW w:w="1134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.041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rPr>
          <w:trHeight w:val="337"/>
        </w:trPr>
        <w:tc>
          <w:tcPr>
            <w:tcW w:w="8391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20"/>
                <w:szCs w:val="20"/>
              </w:rPr>
              <w:t>Z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score of LVDs</w:t>
            </w:r>
          </w:p>
        </w:tc>
      </w:tr>
      <w:tr w:rsidR="00A2686B">
        <w:tc>
          <w:tcPr>
            <w:tcW w:w="1980" w:type="dxa"/>
            <w:shd w:val="clear" w:color="auto" w:fill="auto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31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0.6 (0.0-1.4)</w:t>
            </w:r>
          </w:p>
        </w:tc>
        <w:tc>
          <w:tcPr>
            <w:tcW w:w="1019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0.6 (-0.2-1.2)</w:t>
            </w:r>
          </w:p>
        </w:tc>
        <w:tc>
          <w:tcPr>
            <w:tcW w:w="1134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980" w:type="dxa"/>
            <w:shd w:val="clear" w:color="auto" w:fill="auto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31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0.2 (-0.2-1.2)</w:t>
            </w:r>
          </w:p>
        </w:tc>
        <w:tc>
          <w:tcPr>
            <w:tcW w:w="1019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.169</w:t>
            </w:r>
          </w:p>
        </w:tc>
        <w:tc>
          <w:tcPr>
            <w:tcW w:w="2126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0.7 (0.1-1.1)</w:t>
            </w:r>
          </w:p>
        </w:tc>
        <w:tc>
          <w:tcPr>
            <w:tcW w:w="1134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.911</w:t>
            </w:r>
          </w:p>
        </w:tc>
      </w:tr>
      <w:tr w:rsidR="00A2686B">
        <w:tc>
          <w:tcPr>
            <w:tcW w:w="1980" w:type="dxa"/>
            <w:shd w:val="clear" w:color="auto" w:fill="auto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31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0.4 (0.0-1.0)</w:t>
            </w:r>
          </w:p>
        </w:tc>
        <w:tc>
          <w:tcPr>
            <w:tcW w:w="1019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.231</w:t>
            </w:r>
          </w:p>
        </w:tc>
        <w:tc>
          <w:tcPr>
            <w:tcW w:w="2126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0.4 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(-0.1-1.0)</w:t>
            </w:r>
          </w:p>
        </w:tc>
        <w:tc>
          <w:tcPr>
            <w:tcW w:w="1134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.531</w:t>
            </w:r>
          </w:p>
        </w:tc>
      </w:tr>
      <w:tr w:rsidR="00A2686B">
        <w:tc>
          <w:tcPr>
            <w:tcW w:w="1980" w:type="dxa"/>
            <w:shd w:val="clear" w:color="auto" w:fill="auto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31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0.3 (-0.1-0.7)</w:t>
            </w:r>
          </w:p>
        </w:tc>
        <w:tc>
          <w:tcPr>
            <w:tcW w:w="1019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.028</w:t>
            </w:r>
          </w:p>
        </w:tc>
        <w:tc>
          <w:tcPr>
            <w:tcW w:w="2126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0.5 (-0.1-0.7)</w:t>
            </w:r>
          </w:p>
        </w:tc>
        <w:tc>
          <w:tcPr>
            <w:tcW w:w="1134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.531</w:t>
            </w:r>
          </w:p>
        </w:tc>
      </w:tr>
      <w:tr w:rsidR="00A2686B">
        <w:trPr>
          <w:trHeight w:val="337"/>
        </w:trPr>
        <w:tc>
          <w:tcPr>
            <w:tcW w:w="8391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20"/>
                <w:szCs w:val="20"/>
              </w:rPr>
              <w:t>Z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score of </w:t>
            </w:r>
            <w:proofErr w:type="spellStart"/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LVPWd</w:t>
            </w:r>
            <w:proofErr w:type="spellEnd"/>
          </w:p>
        </w:tc>
      </w:tr>
      <w:tr w:rsidR="00A2686B">
        <w:tc>
          <w:tcPr>
            <w:tcW w:w="1980" w:type="dxa"/>
            <w:shd w:val="clear" w:color="auto" w:fill="auto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31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0.5 (0.1-1.0)</w:t>
            </w:r>
          </w:p>
        </w:tc>
        <w:tc>
          <w:tcPr>
            <w:tcW w:w="1019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0.3 (-0.2-0.7)</w:t>
            </w:r>
          </w:p>
        </w:tc>
        <w:tc>
          <w:tcPr>
            <w:tcW w:w="1134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980" w:type="dxa"/>
            <w:shd w:val="clear" w:color="auto" w:fill="auto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31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0.1 (-1.2-0.9)</w:t>
            </w:r>
          </w:p>
        </w:tc>
        <w:tc>
          <w:tcPr>
            <w:tcW w:w="1019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.046</w:t>
            </w:r>
          </w:p>
        </w:tc>
        <w:tc>
          <w:tcPr>
            <w:tcW w:w="2126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0.2 (-0.7-1.0)</w:t>
            </w:r>
          </w:p>
        </w:tc>
        <w:tc>
          <w:tcPr>
            <w:tcW w:w="1134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.874</w:t>
            </w:r>
          </w:p>
        </w:tc>
      </w:tr>
      <w:tr w:rsidR="00A2686B">
        <w:tc>
          <w:tcPr>
            <w:tcW w:w="1980" w:type="dxa"/>
            <w:shd w:val="clear" w:color="auto" w:fill="auto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31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0.0 (-0.7-0.6)</w:t>
            </w:r>
          </w:p>
        </w:tc>
        <w:tc>
          <w:tcPr>
            <w:tcW w:w="1019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.043</w:t>
            </w:r>
          </w:p>
        </w:tc>
        <w:tc>
          <w:tcPr>
            <w:tcW w:w="2126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0.3 (-0.3-0.7)</w:t>
            </w:r>
          </w:p>
        </w:tc>
        <w:tc>
          <w:tcPr>
            <w:tcW w:w="1134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.695</w:t>
            </w:r>
          </w:p>
        </w:tc>
      </w:tr>
      <w:tr w:rsidR="00A2686B">
        <w:tc>
          <w:tcPr>
            <w:tcW w:w="1980" w:type="dxa"/>
            <w:shd w:val="clear" w:color="auto" w:fill="auto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31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0.1 (-0.7-0.4)</w:t>
            </w:r>
          </w:p>
        </w:tc>
        <w:tc>
          <w:tcPr>
            <w:tcW w:w="1019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.029</w:t>
            </w:r>
          </w:p>
        </w:tc>
        <w:tc>
          <w:tcPr>
            <w:tcW w:w="2126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0.4 (-0.6-0.8)</w:t>
            </w:r>
          </w:p>
        </w:tc>
        <w:tc>
          <w:tcPr>
            <w:tcW w:w="1134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.993</w:t>
            </w:r>
          </w:p>
        </w:tc>
      </w:tr>
      <w:tr w:rsidR="00A2686B">
        <w:trPr>
          <w:trHeight w:val="337"/>
        </w:trPr>
        <w:tc>
          <w:tcPr>
            <w:tcW w:w="8391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20"/>
                <w:szCs w:val="20"/>
              </w:rPr>
              <w:t>Z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score of LVPWs</w:t>
            </w:r>
          </w:p>
        </w:tc>
      </w:tr>
      <w:tr w:rsidR="00A2686B">
        <w:tc>
          <w:tcPr>
            <w:tcW w:w="1980" w:type="dxa"/>
            <w:shd w:val="clear" w:color="auto" w:fill="auto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31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0.2 (-0.6-0.7)</w:t>
            </w:r>
          </w:p>
        </w:tc>
        <w:tc>
          <w:tcPr>
            <w:tcW w:w="1019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-0.6 (-1.1-0.4)</w:t>
            </w:r>
          </w:p>
        </w:tc>
        <w:tc>
          <w:tcPr>
            <w:tcW w:w="1134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980" w:type="dxa"/>
            <w:shd w:val="clear" w:color="auto" w:fill="auto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31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-1.0 (-1.9- -0.1)</w:t>
            </w:r>
          </w:p>
        </w:tc>
        <w:tc>
          <w:tcPr>
            <w:tcW w:w="1019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</w:p>
        </w:tc>
        <w:tc>
          <w:tcPr>
            <w:tcW w:w="2126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-0.9 (-1.7- -0.4)</w:t>
            </w:r>
          </w:p>
        </w:tc>
        <w:tc>
          <w:tcPr>
            <w:tcW w:w="1134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.046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c>
          <w:tcPr>
            <w:tcW w:w="1980" w:type="dxa"/>
            <w:shd w:val="clear" w:color="auto" w:fill="auto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31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-0.9 (-1.6- -0.2)</w:t>
            </w:r>
          </w:p>
        </w:tc>
        <w:tc>
          <w:tcPr>
            <w:tcW w:w="1019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</w:p>
        </w:tc>
        <w:tc>
          <w:tcPr>
            <w:tcW w:w="2126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-0.4 (-1.4-0.2)</w:t>
            </w:r>
          </w:p>
        </w:tc>
        <w:tc>
          <w:tcPr>
            <w:tcW w:w="1134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.593</w:t>
            </w:r>
          </w:p>
        </w:tc>
      </w:tr>
      <w:tr w:rsidR="00A2686B">
        <w:tc>
          <w:tcPr>
            <w:tcW w:w="1980" w:type="dxa"/>
            <w:shd w:val="clear" w:color="auto" w:fill="auto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31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-0.9 (-1.9- -0.2)</w:t>
            </w:r>
          </w:p>
        </w:tc>
        <w:tc>
          <w:tcPr>
            <w:tcW w:w="1019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</w:p>
        </w:tc>
        <w:tc>
          <w:tcPr>
            <w:tcW w:w="2126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-0.5 (-1.5- -0.1)</w:t>
            </w:r>
          </w:p>
        </w:tc>
        <w:tc>
          <w:tcPr>
            <w:tcW w:w="1134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.210</w:t>
            </w:r>
          </w:p>
        </w:tc>
      </w:tr>
      <w:tr w:rsidR="00A2686B">
        <w:trPr>
          <w:trHeight w:val="337"/>
        </w:trPr>
        <w:tc>
          <w:tcPr>
            <w:tcW w:w="8391" w:type="dxa"/>
            <w:gridSpan w:val="5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20"/>
                <w:szCs w:val="20"/>
              </w:rPr>
              <w:t>Z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score of </w:t>
            </w:r>
            <w:proofErr w:type="spellStart"/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Ao</w:t>
            </w:r>
            <w:proofErr w:type="spellEnd"/>
          </w:p>
        </w:tc>
      </w:tr>
      <w:tr w:rsidR="00A2686B">
        <w:tc>
          <w:tcPr>
            <w:tcW w:w="198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31" w:type="dxa"/>
            <w:tcBorders>
              <w:top w:val="nil"/>
              <w:bottom w:val="nil"/>
            </w:tcBorders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3.5 (2.5-4.0)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3.1 (2.4-4.0)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31" w:type="dxa"/>
            <w:tcBorders>
              <w:top w:val="nil"/>
            </w:tcBorders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3.7 (2.5-4.2)</w:t>
            </w:r>
          </w:p>
        </w:tc>
        <w:tc>
          <w:tcPr>
            <w:tcW w:w="1019" w:type="dxa"/>
            <w:tcBorders>
              <w:top w:val="nil"/>
            </w:tcBorders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.866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3.5 (2.9-4.2)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.295</w:t>
            </w:r>
          </w:p>
        </w:tc>
      </w:tr>
      <w:tr w:rsidR="00A2686B">
        <w:tc>
          <w:tcPr>
            <w:tcW w:w="1980" w:type="dxa"/>
            <w:shd w:val="clear" w:color="auto" w:fill="auto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31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3.5 (2.8-4.7)</w:t>
            </w:r>
          </w:p>
        </w:tc>
        <w:tc>
          <w:tcPr>
            <w:tcW w:w="1019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.077</w:t>
            </w:r>
          </w:p>
        </w:tc>
        <w:tc>
          <w:tcPr>
            <w:tcW w:w="2126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2.6 (3.3-4.1)</w:t>
            </w:r>
          </w:p>
        </w:tc>
        <w:tc>
          <w:tcPr>
            <w:tcW w:w="1134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.701</w:t>
            </w:r>
          </w:p>
        </w:tc>
      </w:tr>
      <w:tr w:rsidR="00A2686B">
        <w:tc>
          <w:tcPr>
            <w:tcW w:w="1980" w:type="dxa"/>
            <w:shd w:val="clear" w:color="auto" w:fill="auto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31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3.2 (2.5-4.2)</w:t>
            </w:r>
          </w:p>
        </w:tc>
        <w:tc>
          <w:tcPr>
            <w:tcW w:w="1019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.851</w:t>
            </w:r>
          </w:p>
        </w:tc>
        <w:tc>
          <w:tcPr>
            <w:tcW w:w="2126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3.4 (2.7-4.0)</w:t>
            </w:r>
          </w:p>
        </w:tc>
        <w:tc>
          <w:tcPr>
            <w:tcW w:w="1134" w:type="dxa"/>
            <w:shd w:val="clear" w:color="auto" w:fill="auto"/>
          </w:tcPr>
          <w:p w:rsidR="00A2686B" w:rsidRDefault="00FD386C">
            <w:pPr>
              <w:widowControl/>
              <w:adjustRightInd w:val="0"/>
              <w:snapToGrid w:val="0"/>
              <w:spacing w:line="16" w:lineRule="atLeast"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.454</w:t>
            </w:r>
          </w:p>
        </w:tc>
      </w:tr>
    </w:tbl>
    <w:p w:rsidR="00A2686B" w:rsidRDefault="00A2686B">
      <w:pPr>
        <w:rPr>
          <w:rFonts w:ascii="Times New Roman" w:hAnsi="Times New Roman" w:cs="Times New Roman"/>
          <w:sz w:val="20"/>
          <w:szCs w:val="20"/>
        </w:rPr>
      </w:pPr>
    </w:p>
    <w:p w:rsidR="00A2686B" w:rsidRDefault="00FD386C">
      <w:pPr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IQR: the interquartile range</w:t>
      </w:r>
    </w:p>
    <w:p w:rsidR="00A2686B" w:rsidRDefault="00FD386C">
      <w:pPr>
        <w:ind w:right="210"/>
        <w:rPr>
          <w:rFonts w:ascii="Arial" w:hAnsi="Arial" w:cs="Arial"/>
          <w:sz w:val="22"/>
          <w:szCs w:val="24"/>
        </w:rPr>
      </w:pPr>
      <w:r>
        <w:rPr>
          <w:rFonts w:ascii="Arial" w:hAnsi="Arial" w:cs="Arial" w:hint="eastAsia"/>
          <w:sz w:val="20"/>
        </w:rPr>
        <w:t xml:space="preserve">* means significant </w:t>
      </w:r>
      <w:proofErr w:type="gramStart"/>
      <w:r>
        <w:rPr>
          <w:rFonts w:ascii="Arial" w:hAnsi="Arial" w:cs="Arial" w:hint="eastAsia"/>
          <w:sz w:val="20"/>
        </w:rPr>
        <w:t>difference(</w:t>
      </w:r>
      <w:proofErr w:type="gramEnd"/>
      <w:r>
        <w:rPr>
          <w:rFonts w:ascii="Arial" w:hAnsi="Arial" w:cs="Arial" w:hint="eastAsia"/>
          <w:sz w:val="20"/>
        </w:rPr>
        <w:t>P&lt;0.017).</w:t>
      </w:r>
    </w:p>
    <w:p w:rsidR="00A2686B" w:rsidRDefault="00FD386C">
      <w:pPr>
        <w:rPr>
          <w:rFonts w:ascii="Arial" w:hAnsi="Arial" w:cs="Arial"/>
          <w:b/>
          <w:bCs/>
        </w:rPr>
        <w:sectPr w:rsidR="00A2686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Arial" w:hAnsi="Arial" w:cs="Arial"/>
          <w:sz w:val="22"/>
        </w:rPr>
        <w:t>For VSD patients, we observed significant decreases in left ventricular end diastolic dimension (</w:t>
      </w:r>
      <w:proofErr w:type="spellStart"/>
      <w:r>
        <w:rPr>
          <w:rFonts w:ascii="Arial" w:hAnsi="Arial" w:cs="Arial"/>
          <w:sz w:val="22"/>
        </w:rPr>
        <w:t>LVDd</w:t>
      </w:r>
      <w:proofErr w:type="spellEnd"/>
      <w:r>
        <w:rPr>
          <w:rFonts w:ascii="Arial" w:hAnsi="Arial" w:cs="Arial"/>
          <w:sz w:val="22"/>
        </w:rPr>
        <w:t>), left ventricular posterior wall thickness at end-systole (LVPWs) main pulmonary artery diameter (MPA), left vent</w:t>
      </w:r>
      <w:r>
        <w:rPr>
          <w:rFonts w:ascii="Arial" w:hAnsi="Arial" w:cs="Arial"/>
          <w:sz w:val="22"/>
        </w:rPr>
        <w:t>ricular ejection fraction (LVEF), and tricuspid blood flow velocity (TV) in the intervention group, but had no changes in left ventricular end-systolic dimension (LVDs), left ventricular posterior wall depth (</w:t>
      </w:r>
      <w:proofErr w:type="spellStart"/>
      <w:r>
        <w:rPr>
          <w:rFonts w:ascii="Arial" w:hAnsi="Arial" w:cs="Arial"/>
          <w:sz w:val="22"/>
        </w:rPr>
        <w:t>LVPWd</w:t>
      </w:r>
      <w:proofErr w:type="spellEnd"/>
      <w:r>
        <w:rPr>
          <w:rFonts w:ascii="Arial" w:hAnsi="Arial" w:cs="Arial"/>
          <w:sz w:val="22"/>
        </w:rPr>
        <w:t xml:space="preserve">) and mitral blood flow velocity (MV). In </w:t>
      </w:r>
      <w:r>
        <w:rPr>
          <w:rFonts w:ascii="Arial" w:hAnsi="Arial" w:cs="Arial"/>
          <w:sz w:val="22"/>
        </w:rPr>
        <w:t>the control group, we only observed similar decreasing trends in MV.</w:t>
      </w:r>
    </w:p>
    <w:p w:rsidR="00A2686B" w:rsidRDefault="00FD386C">
      <w:pPr>
        <w:pStyle w:val="Heading3"/>
      </w:pPr>
      <w:bookmarkStart w:id="33" w:name="_Toc5367"/>
      <w:bookmarkStart w:id="34" w:name="_Toc150241542"/>
      <w:bookmarkStart w:id="35" w:name="_Toc23587"/>
      <w:proofErr w:type="gramStart"/>
      <w:r>
        <w:rPr>
          <w:rFonts w:hint="eastAsia"/>
        </w:rPr>
        <w:lastRenderedPageBreak/>
        <w:t>Table S</w:t>
      </w:r>
      <w:r>
        <w:t>3c.</w:t>
      </w:r>
      <w:proofErr w:type="gramEnd"/>
      <w:r>
        <w:t xml:space="preserve"> The Wilcoxon rank sum test of </w:t>
      </w:r>
      <w:r>
        <w:rPr>
          <w:rFonts w:hint="eastAsia"/>
          <w:szCs w:val="22"/>
        </w:rPr>
        <w:t>secondary</w:t>
      </w:r>
      <w:r>
        <w:rPr>
          <w:szCs w:val="22"/>
        </w:rPr>
        <w:t xml:space="preserve"> outcomes (</w:t>
      </w:r>
      <w:r>
        <w:rPr>
          <w:rFonts w:hint="eastAsia"/>
          <w:szCs w:val="22"/>
          <w:lang w:val="en-GB"/>
        </w:rPr>
        <w:t>echocardiography</w:t>
      </w:r>
      <w:r>
        <w:rPr>
          <w:szCs w:val="22"/>
        </w:rPr>
        <w:t>)</w:t>
      </w:r>
      <w:r>
        <w:t xml:space="preserve"> for patent ductus </w:t>
      </w:r>
      <w:proofErr w:type="spellStart"/>
      <w:r>
        <w:t>arteriosis</w:t>
      </w:r>
      <w:proofErr w:type="spellEnd"/>
      <w:r>
        <w:t xml:space="preserve"> (PDA) against preoperative assessment</w:t>
      </w:r>
      <w:bookmarkEnd w:id="33"/>
      <w:bookmarkEnd w:id="34"/>
      <w:bookmarkEnd w:id="35"/>
      <w:r>
        <w:t xml:space="preserve"> </w:t>
      </w:r>
    </w:p>
    <w:tbl>
      <w:tblPr>
        <w:tblStyle w:val="TableGrid"/>
        <w:tblpPr w:leftFromText="180" w:rightFromText="180" w:vertAnchor="text" w:horzAnchor="margin" w:tblpY="244"/>
        <w:tblOverlap w:val="never"/>
        <w:tblW w:w="82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268"/>
        <w:gridCol w:w="1134"/>
        <w:gridCol w:w="2268"/>
        <w:gridCol w:w="992"/>
      </w:tblGrid>
      <w:tr w:rsidR="00A2686B">
        <w:trPr>
          <w:trHeight w:val="430"/>
        </w:trPr>
        <w:tc>
          <w:tcPr>
            <w:tcW w:w="1560" w:type="dxa"/>
            <w:vMerge w:val="restart"/>
            <w:tcBorders>
              <w:top w:val="single" w:sz="6" w:space="0" w:color="auto"/>
              <w:bottom w:val="nil"/>
              <w:right w:val="nil"/>
            </w:tcBorders>
          </w:tcPr>
          <w:p w:rsidR="00A2686B" w:rsidRDefault="00A2686B">
            <w:pPr>
              <w:adjustRightInd w:val="0"/>
              <w:snapToGrid w:val="0"/>
              <w:spacing w:line="16" w:lineRule="atLeas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Intervention group(n=31)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Control 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group(n=32)</w:t>
            </w:r>
          </w:p>
        </w:tc>
      </w:tr>
      <w:tr w:rsidR="00A2686B">
        <w:trPr>
          <w:trHeight w:val="194"/>
        </w:trPr>
        <w:tc>
          <w:tcPr>
            <w:tcW w:w="1560" w:type="dxa"/>
            <w:vMerge/>
            <w:tcBorders>
              <w:top w:val="nil"/>
              <w:bottom w:val="single" w:sz="6" w:space="0" w:color="auto"/>
              <w:right w:val="nil"/>
            </w:tcBorders>
          </w:tcPr>
          <w:p w:rsidR="00A2686B" w:rsidRDefault="00A2686B">
            <w:pPr>
              <w:adjustRightInd w:val="0"/>
              <w:snapToGrid w:val="0"/>
              <w:spacing w:line="16" w:lineRule="atLeas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  median (IQR)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value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  median (IQR)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6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value</w:t>
            </w:r>
          </w:p>
        </w:tc>
      </w:tr>
      <w:tr w:rsidR="00A2686B">
        <w:trPr>
          <w:trHeight w:val="416"/>
        </w:trPr>
        <w:tc>
          <w:tcPr>
            <w:tcW w:w="8222" w:type="dxa"/>
            <w:gridSpan w:val="5"/>
            <w:tcBorders>
              <w:top w:val="single" w:sz="6" w:space="0" w:color="auto"/>
            </w:tcBorders>
            <w:vAlign w:val="center"/>
          </w:tcPr>
          <w:p w:rsidR="00A2686B" w:rsidRDefault="00FD386C">
            <w:pPr>
              <w:pStyle w:val="NormalWeb"/>
              <w:widowControl/>
              <w:adjustRightInd w:val="0"/>
              <w:snapToGrid w:val="0"/>
              <w:spacing w:line="16" w:lineRule="atLeast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0"/>
              </w:rPr>
              <w:t>Left ventricular end diastolic dimension (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0"/>
              </w:rPr>
              <w:t>LVDd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0"/>
              </w:rPr>
              <w:t>)</w:t>
            </w:r>
          </w:p>
        </w:tc>
      </w:tr>
      <w:tr w:rsidR="00A2686B">
        <w:trPr>
          <w:trHeight w:val="90"/>
        </w:trPr>
        <w:tc>
          <w:tcPr>
            <w:tcW w:w="156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33.5 (31.6-36.3)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32.0 (30.5-40.6)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right="60"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rPr>
          <w:trHeight w:val="90"/>
        </w:trPr>
        <w:tc>
          <w:tcPr>
            <w:tcW w:w="156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31.8 (29.0-33.8)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.021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31.4 (29.6-34.7)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.018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rPr>
          <w:trHeight w:val="90"/>
        </w:trPr>
        <w:tc>
          <w:tcPr>
            <w:tcW w:w="1560" w:type="dxa"/>
            <w:tcBorders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268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32.0 (29.0-33.4)</w:t>
            </w:r>
          </w:p>
        </w:tc>
        <w:tc>
          <w:tcPr>
            <w:tcW w:w="1134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.008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268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31.8 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(29.4-34.3)</w:t>
            </w:r>
          </w:p>
        </w:tc>
        <w:tc>
          <w:tcPr>
            <w:tcW w:w="992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.078</w:t>
            </w:r>
          </w:p>
        </w:tc>
      </w:tr>
      <w:tr w:rsidR="00A2686B"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31.8 (29.6-33.6)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.012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31.4 (29.1-34.1)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.111</w:t>
            </w:r>
          </w:p>
        </w:tc>
      </w:tr>
      <w:tr w:rsidR="00A2686B">
        <w:trPr>
          <w:trHeight w:val="416"/>
        </w:trPr>
        <w:tc>
          <w:tcPr>
            <w:tcW w:w="8222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pStyle w:val="NormalWeb"/>
              <w:widowControl/>
              <w:adjustRightInd w:val="0"/>
              <w:snapToGrid w:val="0"/>
              <w:spacing w:line="16" w:lineRule="atLeast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0"/>
              </w:rPr>
              <w:t>Left ventricular end-systolic dimension (LVDs)</w:t>
            </w:r>
          </w:p>
        </w:tc>
      </w:tr>
      <w:tr w:rsidR="00A2686B">
        <w:trPr>
          <w:trHeight w:val="90"/>
        </w:trPr>
        <w:tc>
          <w:tcPr>
            <w:tcW w:w="156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21.2 (20.1-23.9)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right="60"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21.8 (18.9-26.3)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right="60"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rPr>
          <w:trHeight w:val="90"/>
        </w:trPr>
        <w:tc>
          <w:tcPr>
            <w:tcW w:w="156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20.3 (19.0-22.4)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.022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20.4 (18.3-23.7)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.016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rPr>
          <w:trHeight w:val="90"/>
        </w:trPr>
        <w:tc>
          <w:tcPr>
            <w:tcW w:w="1560" w:type="dxa"/>
            <w:tcBorders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268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20.3 (18.1-22.4)</w:t>
            </w:r>
          </w:p>
        </w:tc>
        <w:tc>
          <w:tcPr>
            <w:tcW w:w="1134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.006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268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20.3 (18.2-28.3)</w:t>
            </w:r>
          </w:p>
        </w:tc>
        <w:tc>
          <w:tcPr>
            <w:tcW w:w="992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.178</w:t>
            </w:r>
          </w:p>
        </w:tc>
      </w:tr>
      <w:tr w:rsidR="00A2686B"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20.1 (18.7-21.9)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.032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20.4 (17.8-22.9)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.058</w:t>
            </w:r>
          </w:p>
        </w:tc>
      </w:tr>
      <w:tr w:rsidR="00A2686B">
        <w:trPr>
          <w:trHeight w:val="416"/>
        </w:trPr>
        <w:tc>
          <w:tcPr>
            <w:tcW w:w="8222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pStyle w:val="NormalWeb"/>
              <w:widowControl/>
              <w:adjustRightInd w:val="0"/>
              <w:snapToGrid w:val="0"/>
              <w:spacing w:line="16" w:lineRule="atLeast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0"/>
              </w:rPr>
              <w:t>Left ventricular posterior wall depth (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0"/>
              </w:rPr>
              <w:t>LVPWDd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0"/>
              </w:rPr>
              <w:t>)</w:t>
            </w:r>
          </w:p>
        </w:tc>
      </w:tr>
      <w:tr w:rsidR="00A2686B">
        <w:trPr>
          <w:trHeight w:val="90"/>
        </w:trPr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4.5 (4.0-5.1)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4.4 (3.9-5.1)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rPr>
          <w:trHeight w:val="90"/>
        </w:trPr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4.6 (4.1-5.6)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.590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4.6 (3.6-5.1)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.158</w:t>
            </w:r>
          </w:p>
        </w:tc>
      </w:tr>
      <w:tr w:rsidR="00A2686B">
        <w:trPr>
          <w:trHeight w:val="90"/>
        </w:trPr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4.3 (3.9-4.8)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.204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4.2 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(3.6-5.1)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.141</w:t>
            </w:r>
          </w:p>
        </w:tc>
      </w:tr>
      <w:tr w:rsidR="00A2686B"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4.1 (3.6-4.8)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.083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4.6 (3.8-5.4)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.761</w:t>
            </w:r>
          </w:p>
        </w:tc>
      </w:tr>
      <w:tr w:rsidR="00A2686B">
        <w:trPr>
          <w:trHeight w:val="469"/>
        </w:trPr>
        <w:tc>
          <w:tcPr>
            <w:tcW w:w="8222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Left ventricular posterior wall thickness at end-systole (LVPWs)</w:t>
            </w:r>
          </w:p>
        </w:tc>
      </w:tr>
      <w:tr w:rsidR="00A2686B"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7.6 (7.0-8.7)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7.1 (6.5-8.0)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7.6 (6.7-8.7)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.786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7.0 (6.0-8.1)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.671</w:t>
            </w:r>
          </w:p>
        </w:tc>
      </w:tr>
      <w:tr w:rsidR="00A2686B"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7.2 (6.5-7.6)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.113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7.2 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(5.8-7.9)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.437</w:t>
            </w:r>
          </w:p>
        </w:tc>
      </w:tr>
      <w:tr w:rsidR="00A2686B"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6.9 (6.4-7.8)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.004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7.0 (6.5-8.3)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.981</w:t>
            </w:r>
          </w:p>
        </w:tc>
      </w:tr>
      <w:tr w:rsidR="00A2686B">
        <w:trPr>
          <w:trHeight w:val="489"/>
        </w:trPr>
        <w:tc>
          <w:tcPr>
            <w:tcW w:w="8222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Left ventricular ejection fraction (LVEF)</w:t>
            </w:r>
          </w:p>
        </w:tc>
      </w:tr>
      <w:tr w:rsidR="00A2686B"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67.0 (63.0-71.0)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65.5 (63.0-67.0)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65.0 (61.0-70.0)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.602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64.0 (61.3-71.8)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.898</w:t>
            </w:r>
          </w:p>
        </w:tc>
      </w:tr>
      <w:tr w:rsidR="00A2686B"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67.0 (63.0-70.0)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.588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64.5 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(61.3-71.8)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.933</w:t>
            </w:r>
          </w:p>
        </w:tc>
      </w:tr>
      <w:tr w:rsidR="00A2686B"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67.0 (61.0-71.0)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.797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67.0 (63.3-71.5)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.434</w:t>
            </w:r>
          </w:p>
        </w:tc>
      </w:tr>
      <w:tr w:rsidR="00A2686B">
        <w:trPr>
          <w:trHeight w:val="495"/>
        </w:trPr>
        <w:tc>
          <w:tcPr>
            <w:tcW w:w="8222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Main pulmonary artery diameter (MPA)</w:t>
            </w:r>
          </w:p>
        </w:tc>
      </w:tr>
      <w:tr w:rsidR="00A2686B"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(1.0-1.2)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1.2 (1.0-1.2)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(1.0-1.2)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.295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(0.9-1.2)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.006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(1.0-1.2)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.378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.037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(1.0-1.0)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.002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(1.0-1.2)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.176</w:t>
            </w:r>
          </w:p>
        </w:tc>
      </w:tr>
      <w:tr w:rsidR="00A2686B">
        <w:trPr>
          <w:trHeight w:val="487"/>
        </w:trPr>
        <w:tc>
          <w:tcPr>
            <w:tcW w:w="8222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Mitral blood flow velocity (MV)</w:t>
            </w:r>
          </w:p>
        </w:tc>
      </w:tr>
      <w:tr w:rsidR="00A2686B"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(1.0-1.2)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(1.0-1.1)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(1.0-1.2)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.310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(1.0-1.1)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.623</w:t>
            </w:r>
          </w:p>
        </w:tc>
      </w:tr>
      <w:tr w:rsidR="00A2686B"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.055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(1.0-1.0)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.731</w:t>
            </w:r>
          </w:p>
        </w:tc>
      </w:tr>
      <w:tr w:rsidR="00A2686B"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(1.0-1.0)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.042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1.0 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(1.0-1.2)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.417</w:t>
            </w:r>
          </w:p>
        </w:tc>
      </w:tr>
      <w:tr w:rsidR="00A2686B">
        <w:trPr>
          <w:trHeight w:val="337"/>
        </w:trPr>
        <w:tc>
          <w:tcPr>
            <w:tcW w:w="8222" w:type="dxa"/>
            <w:gridSpan w:val="5"/>
            <w:tcBorders>
              <w:top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Tricuspid blood flow velocity (TV)</w:t>
            </w:r>
          </w:p>
        </w:tc>
      </w:tr>
      <w:tr w:rsidR="00A2686B">
        <w:tc>
          <w:tcPr>
            <w:tcW w:w="156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0.8 (0.8-1.0)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0.8 (0.8-0.8)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56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0.8 (0.8-0.8)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.528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0.8 (0.8-0.8)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.593</w:t>
            </w:r>
          </w:p>
        </w:tc>
      </w:tr>
      <w:tr w:rsidR="00A2686B">
        <w:tc>
          <w:tcPr>
            <w:tcW w:w="156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0.8 (0.8-0.8)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.210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0.8 (0.8-0.8)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.705</w:t>
            </w:r>
          </w:p>
        </w:tc>
      </w:tr>
      <w:tr w:rsidR="00A2686B">
        <w:tc>
          <w:tcPr>
            <w:tcW w:w="156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0.8 (0.8-0.8)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.060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0.8 (0.8-1.0)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.248</w:t>
            </w:r>
          </w:p>
        </w:tc>
      </w:tr>
      <w:tr w:rsidR="00A2686B">
        <w:trPr>
          <w:trHeight w:val="337"/>
        </w:trPr>
        <w:tc>
          <w:tcPr>
            <w:tcW w:w="8222" w:type="dxa"/>
            <w:gridSpan w:val="5"/>
            <w:tcBorders>
              <w:top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20"/>
                <w:szCs w:val="20"/>
              </w:rPr>
              <w:t>Z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score of </w:t>
            </w:r>
            <w:proofErr w:type="spellStart"/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LVDd</w:t>
            </w:r>
            <w:proofErr w:type="spellEnd"/>
          </w:p>
        </w:tc>
      </w:tr>
      <w:tr w:rsidR="00A2686B">
        <w:tc>
          <w:tcPr>
            <w:tcW w:w="156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0.9 (0.0-2.9)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1.5 (-0.3-2.5)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56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0.2 (-0.4-1.9)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0.7 (0.0-1.1)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.004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c>
          <w:tcPr>
            <w:tcW w:w="156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0.4 (-0.3-1.5)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0.4 (0.1-1.0)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.003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c>
          <w:tcPr>
            <w:tcW w:w="156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lastRenderedPageBreak/>
              <w:t>6 months 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0.2 (-0.3-0.7)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0.4 (-0.3-0.9)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rPr>
          <w:trHeight w:val="337"/>
        </w:trPr>
        <w:tc>
          <w:tcPr>
            <w:tcW w:w="8222" w:type="dxa"/>
            <w:gridSpan w:val="5"/>
            <w:tcBorders>
              <w:top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20"/>
                <w:szCs w:val="20"/>
              </w:rPr>
              <w:t>Z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score of LVDs</w:t>
            </w:r>
          </w:p>
        </w:tc>
      </w:tr>
      <w:tr w:rsidR="00A2686B">
        <w:tc>
          <w:tcPr>
            <w:tcW w:w="156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0.9 (0.4-2.6)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1.7 (0.2-2.6)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56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0.7 (-0.2-2.4)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.003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1.1 (0.2-1.7)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.004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c>
          <w:tcPr>
            <w:tcW w:w="156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0.5 (-0.1-1.4)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0.7 (0.3-1.2)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.007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c>
          <w:tcPr>
            <w:tcW w:w="156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0.5 (-0.5-1.1)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0.4 (-0.1-1.5)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.001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rPr>
          <w:trHeight w:val="337"/>
        </w:trPr>
        <w:tc>
          <w:tcPr>
            <w:tcW w:w="8222" w:type="dxa"/>
            <w:gridSpan w:val="5"/>
            <w:tcBorders>
              <w:top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20"/>
                <w:szCs w:val="20"/>
              </w:rPr>
              <w:t>Z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score of </w:t>
            </w:r>
            <w:proofErr w:type="spellStart"/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LVPWd</w:t>
            </w:r>
            <w:proofErr w:type="spellEnd"/>
          </w:p>
        </w:tc>
      </w:tr>
      <w:tr w:rsidR="00A2686B">
        <w:tc>
          <w:tcPr>
            <w:tcW w:w="156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0.6 (-0.2-1.7)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0.4 (0.0-1.2)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56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0.7 (-0.2-1.5)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.658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0.2 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(-0.4-1.3)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.130</w:t>
            </w:r>
          </w:p>
        </w:tc>
      </w:tr>
      <w:tr w:rsidR="00A2686B">
        <w:tc>
          <w:tcPr>
            <w:tcW w:w="156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0.4 (-0.3-0.8)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.159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-0.1 (-0.8-1.2)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.017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c>
          <w:tcPr>
            <w:tcW w:w="156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0.1 (-0.9-0.6)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.010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0.4 (-0.2-1.1)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.114</w:t>
            </w:r>
          </w:p>
        </w:tc>
      </w:tr>
      <w:tr w:rsidR="00A2686B">
        <w:trPr>
          <w:trHeight w:val="337"/>
        </w:trPr>
        <w:tc>
          <w:tcPr>
            <w:tcW w:w="8222" w:type="dxa"/>
            <w:gridSpan w:val="5"/>
            <w:tcBorders>
              <w:top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20"/>
                <w:szCs w:val="20"/>
              </w:rPr>
              <w:t>Z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score of LVPWs</w:t>
            </w:r>
          </w:p>
        </w:tc>
      </w:tr>
      <w:tr w:rsidR="00A2686B">
        <w:tc>
          <w:tcPr>
            <w:tcW w:w="156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-0.2 (-0.7-0.9)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-0.5 (-1.7-0.2)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56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-0.4 (-1.5-0.6)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.254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-0.5 (-1.5-0.2)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.701</w:t>
            </w:r>
          </w:p>
        </w:tc>
      </w:tr>
      <w:tr w:rsidR="00A2686B">
        <w:tc>
          <w:tcPr>
            <w:tcW w:w="1560" w:type="dxa"/>
            <w:tcBorders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268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-0.7 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(-1.3-0.0)</w:t>
            </w:r>
          </w:p>
        </w:tc>
        <w:tc>
          <w:tcPr>
            <w:tcW w:w="1134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.009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268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-0.7 (-1.7-0.1)</w:t>
            </w:r>
          </w:p>
        </w:tc>
        <w:tc>
          <w:tcPr>
            <w:tcW w:w="992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.119</w:t>
            </w:r>
          </w:p>
        </w:tc>
      </w:tr>
      <w:tr w:rsidR="00A2686B"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-0.7 (-1.4- -0.3)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.000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-1.3 (-0.7-0.1)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.197</w:t>
            </w:r>
          </w:p>
        </w:tc>
      </w:tr>
      <w:tr w:rsidR="00A2686B">
        <w:trPr>
          <w:trHeight w:val="337"/>
        </w:trPr>
        <w:tc>
          <w:tcPr>
            <w:tcW w:w="8222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20"/>
                <w:szCs w:val="20"/>
              </w:rPr>
              <w:t>Z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score of </w:t>
            </w:r>
            <w:proofErr w:type="spellStart"/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Ao</w:t>
            </w:r>
            <w:proofErr w:type="spellEnd"/>
          </w:p>
        </w:tc>
      </w:tr>
      <w:tr w:rsidR="00A2686B">
        <w:tc>
          <w:tcPr>
            <w:tcW w:w="1560" w:type="dxa"/>
            <w:tcBorders>
              <w:top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268" w:type="dxa"/>
            <w:tcBorders>
              <w:top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3.7 (2.7-5.5)</w:t>
            </w:r>
          </w:p>
        </w:tc>
        <w:tc>
          <w:tcPr>
            <w:tcW w:w="1134" w:type="dxa"/>
            <w:tcBorders>
              <w:top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4.1 (3.3-5.0)</w:t>
            </w:r>
          </w:p>
        </w:tc>
        <w:tc>
          <w:tcPr>
            <w:tcW w:w="992" w:type="dxa"/>
            <w:tcBorders>
              <w:top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56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3.9 (2.4-4.8)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.267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4.2 (3.3-5.2)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.519</w:t>
            </w:r>
          </w:p>
        </w:tc>
      </w:tr>
      <w:tr w:rsidR="00A2686B">
        <w:tc>
          <w:tcPr>
            <w:tcW w:w="156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3.8 (2.8-5.0)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.943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3.9 (2.7-5.2)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.938</w:t>
            </w:r>
          </w:p>
        </w:tc>
      </w:tr>
      <w:tr w:rsidR="00A2686B">
        <w:tc>
          <w:tcPr>
            <w:tcW w:w="1560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4.2 (2.9-5.0)</w:t>
            </w:r>
          </w:p>
        </w:tc>
        <w:tc>
          <w:tcPr>
            <w:tcW w:w="1134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.551</w:t>
            </w:r>
          </w:p>
        </w:tc>
        <w:tc>
          <w:tcPr>
            <w:tcW w:w="2268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3.9 (3.4-4.9)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.837</w:t>
            </w:r>
          </w:p>
        </w:tc>
      </w:tr>
    </w:tbl>
    <w:p w:rsidR="00A2686B" w:rsidRDefault="00A2686B">
      <w:pPr>
        <w:rPr>
          <w:rFonts w:ascii="Times New Roman" w:hAnsi="Times New Roman" w:cs="Times New Roman"/>
          <w:sz w:val="20"/>
          <w:szCs w:val="20"/>
        </w:rPr>
      </w:pPr>
    </w:p>
    <w:p w:rsidR="00A2686B" w:rsidRDefault="00FD386C">
      <w:pPr>
        <w:rPr>
          <w:rFonts w:ascii="Arial" w:hAnsi="Arial" w:cs="Arial"/>
          <w:b/>
          <w:bCs/>
        </w:rPr>
      </w:pPr>
      <w:r>
        <w:rPr>
          <w:rFonts w:ascii="Arial" w:hAnsi="Arial" w:cs="Arial"/>
          <w:shd w:val="clear" w:color="auto" w:fill="FFFFFF"/>
        </w:rPr>
        <w:t>IQR: the interquartile range</w:t>
      </w:r>
    </w:p>
    <w:p w:rsidR="00A2686B" w:rsidRDefault="00FD386C">
      <w:pPr>
        <w:ind w:right="210"/>
        <w:rPr>
          <w:rFonts w:ascii="Arial" w:hAnsi="Arial" w:cs="Arial"/>
          <w:sz w:val="22"/>
          <w:szCs w:val="24"/>
        </w:rPr>
      </w:pPr>
      <w:r>
        <w:rPr>
          <w:rFonts w:ascii="Arial" w:hAnsi="Arial" w:cs="Arial" w:hint="eastAsia"/>
          <w:sz w:val="20"/>
        </w:rPr>
        <w:t xml:space="preserve">* means significant </w:t>
      </w:r>
      <w:proofErr w:type="gramStart"/>
      <w:r>
        <w:rPr>
          <w:rFonts w:ascii="Arial" w:hAnsi="Arial" w:cs="Arial" w:hint="eastAsia"/>
          <w:sz w:val="20"/>
        </w:rPr>
        <w:t>difference(</w:t>
      </w:r>
      <w:proofErr w:type="gramEnd"/>
      <w:r>
        <w:rPr>
          <w:rFonts w:ascii="Arial" w:hAnsi="Arial" w:cs="Arial" w:hint="eastAsia"/>
          <w:sz w:val="20"/>
        </w:rPr>
        <w:t>P&lt;0.017).</w:t>
      </w:r>
    </w:p>
    <w:p w:rsidR="00A2686B" w:rsidRDefault="00A2686B">
      <w:pPr>
        <w:rPr>
          <w:rFonts w:ascii="Arial" w:hAnsi="Arial" w:cs="Arial"/>
          <w:b/>
          <w:bCs/>
        </w:rPr>
      </w:pPr>
    </w:p>
    <w:p w:rsidR="00A2686B" w:rsidRDefault="00A2686B">
      <w:pPr>
        <w:rPr>
          <w:rFonts w:ascii="Arial" w:hAnsi="Arial" w:cs="Arial"/>
          <w:b/>
          <w:bCs/>
        </w:rPr>
        <w:sectPr w:rsidR="00A2686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A2686B" w:rsidRDefault="00FD386C">
      <w:pPr>
        <w:pStyle w:val="Heading3"/>
        <w:rPr>
          <w:b w:val="0"/>
          <w:bCs w:val="0"/>
        </w:rPr>
      </w:pPr>
      <w:bookmarkStart w:id="36" w:name="_Toc150241543"/>
      <w:bookmarkStart w:id="37" w:name="_Toc27556"/>
      <w:bookmarkStart w:id="38" w:name="_Toc9495"/>
      <w:proofErr w:type="gramStart"/>
      <w:r>
        <w:rPr>
          <w:rFonts w:hint="eastAsia"/>
        </w:rPr>
        <w:lastRenderedPageBreak/>
        <w:t>Table S</w:t>
      </w:r>
      <w:r>
        <w:t>3d.</w:t>
      </w:r>
      <w:proofErr w:type="gramEnd"/>
      <w:r>
        <w:t xml:space="preserve"> The Wilcoxon rank sum test of </w:t>
      </w:r>
      <w:r>
        <w:rPr>
          <w:rFonts w:hint="eastAsia"/>
          <w:szCs w:val="22"/>
        </w:rPr>
        <w:t>secondary</w:t>
      </w:r>
      <w:r>
        <w:rPr>
          <w:szCs w:val="22"/>
        </w:rPr>
        <w:t xml:space="preserve"> outcomes (</w:t>
      </w:r>
      <w:r>
        <w:rPr>
          <w:rFonts w:hint="eastAsia"/>
          <w:szCs w:val="22"/>
          <w:lang w:val="en-GB"/>
        </w:rPr>
        <w:t>echocardiography</w:t>
      </w:r>
      <w:proofErr w:type="gramStart"/>
      <w:r>
        <w:rPr>
          <w:szCs w:val="22"/>
        </w:rPr>
        <w:t>)</w:t>
      </w:r>
      <w:r>
        <w:t>y</w:t>
      </w:r>
      <w:proofErr w:type="gramEnd"/>
      <w:r>
        <w:t xml:space="preserve"> for pulmonary stenosis (PS) against</w:t>
      </w:r>
      <w:r>
        <w:t xml:space="preserve"> preoperative assessment</w:t>
      </w:r>
      <w:bookmarkEnd w:id="36"/>
      <w:bookmarkEnd w:id="37"/>
      <w:bookmarkEnd w:id="38"/>
      <w:r>
        <w:t xml:space="preserve"> </w:t>
      </w:r>
    </w:p>
    <w:tbl>
      <w:tblPr>
        <w:tblStyle w:val="TableGrid"/>
        <w:tblpPr w:leftFromText="180" w:rightFromText="180" w:vertAnchor="text" w:horzAnchor="margin" w:tblpY="244"/>
        <w:tblOverlap w:val="never"/>
        <w:tblW w:w="82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127"/>
        <w:gridCol w:w="992"/>
        <w:gridCol w:w="2126"/>
        <w:gridCol w:w="1276"/>
      </w:tblGrid>
      <w:tr w:rsidR="00A2686B">
        <w:trPr>
          <w:trHeight w:val="430"/>
        </w:trPr>
        <w:tc>
          <w:tcPr>
            <w:tcW w:w="1701" w:type="dxa"/>
            <w:vMerge w:val="restart"/>
            <w:tcBorders>
              <w:top w:val="single" w:sz="6" w:space="0" w:color="auto"/>
              <w:bottom w:val="nil"/>
              <w:right w:val="nil"/>
            </w:tcBorders>
          </w:tcPr>
          <w:p w:rsidR="00A2686B" w:rsidRDefault="00A2686B">
            <w:pPr>
              <w:adjustRightInd w:val="0"/>
              <w:snapToGrid w:val="0"/>
              <w:spacing w:line="16" w:lineRule="atLeas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Intervention group(n=12)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Control group(n=14)</w:t>
            </w:r>
          </w:p>
        </w:tc>
      </w:tr>
      <w:tr w:rsidR="00A2686B">
        <w:trPr>
          <w:trHeight w:val="194"/>
        </w:trPr>
        <w:tc>
          <w:tcPr>
            <w:tcW w:w="1701" w:type="dxa"/>
            <w:vMerge/>
            <w:tcBorders>
              <w:top w:val="nil"/>
              <w:bottom w:val="single" w:sz="6" w:space="0" w:color="auto"/>
              <w:right w:val="nil"/>
            </w:tcBorders>
          </w:tcPr>
          <w:p w:rsidR="00A2686B" w:rsidRDefault="00A2686B">
            <w:pPr>
              <w:adjustRightInd w:val="0"/>
              <w:snapToGrid w:val="0"/>
              <w:spacing w:line="16" w:lineRule="atLeas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 median (IQR)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value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  median (IQR)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value</w:t>
            </w:r>
          </w:p>
        </w:tc>
      </w:tr>
      <w:tr w:rsidR="00A2686B">
        <w:trPr>
          <w:trHeight w:val="416"/>
        </w:trPr>
        <w:tc>
          <w:tcPr>
            <w:tcW w:w="8222" w:type="dxa"/>
            <w:gridSpan w:val="5"/>
            <w:tcBorders>
              <w:top w:val="single" w:sz="6" w:space="0" w:color="auto"/>
            </w:tcBorders>
            <w:vAlign w:val="center"/>
          </w:tcPr>
          <w:p w:rsidR="00A2686B" w:rsidRDefault="00FD386C">
            <w:pPr>
              <w:pStyle w:val="NormalWeb"/>
              <w:widowControl/>
              <w:adjustRightInd w:val="0"/>
              <w:snapToGrid w:val="0"/>
              <w:spacing w:line="16" w:lineRule="atLeast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Left ventricular end diastolic dimension (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</w:rPr>
              <w:t>LVDd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</w:rPr>
              <w:t>)</w:t>
            </w:r>
          </w:p>
        </w:tc>
      </w:tr>
      <w:tr w:rsidR="00A2686B">
        <w:trPr>
          <w:trHeight w:val="90"/>
        </w:trPr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24.9 (22.5-29.4)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24.8 (21.5-32.2)</w:t>
            </w:r>
          </w:p>
        </w:tc>
        <w:tc>
          <w:tcPr>
            <w:tcW w:w="127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right="60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rPr>
          <w:trHeight w:val="90"/>
        </w:trPr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24.2 (23.2-29.6)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.066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26.2 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(24.4-31.1)</w:t>
            </w:r>
          </w:p>
        </w:tc>
        <w:tc>
          <w:tcPr>
            <w:tcW w:w="127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.402</w:t>
            </w:r>
          </w:p>
        </w:tc>
      </w:tr>
      <w:tr w:rsidR="00A2686B">
        <w:trPr>
          <w:trHeight w:val="90"/>
        </w:trPr>
        <w:tc>
          <w:tcPr>
            <w:tcW w:w="1701" w:type="dxa"/>
            <w:tcBorders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27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26.9 (24.8-31.8)</w:t>
            </w:r>
          </w:p>
        </w:tc>
        <w:tc>
          <w:tcPr>
            <w:tcW w:w="992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.004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126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28.4 (24.8-31.8)</w:t>
            </w:r>
          </w:p>
        </w:tc>
        <w:tc>
          <w:tcPr>
            <w:tcW w:w="1276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.005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26.9 (24.7-30.3)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.150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28.6 (26.3-32.2)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.002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rPr>
          <w:trHeight w:val="416"/>
        </w:trPr>
        <w:tc>
          <w:tcPr>
            <w:tcW w:w="8222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pStyle w:val="NormalWeb"/>
              <w:widowControl/>
              <w:adjustRightInd w:val="0"/>
              <w:snapToGrid w:val="0"/>
              <w:spacing w:line="16" w:lineRule="atLeast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Left ventricular end-systolic dimension (LVDs)</w:t>
            </w:r>
          </w:p>
        </w:tc>
      </w:tr>
      <w:tr w:rsidR="00A2686B">
        <w:trPr>
          <w:trHeight w:val="90"/>
        </w:trPr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16.2 (14.4-18.9)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right="60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16.2 (13.5-19.4)</w:t>
            </w:r>
          </w:p>
        </w:tc>
        <w:tc>
          <w:tcPr>
            <w:tcW w:w="127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ind w:right="60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rPr>
          <w:trHeight w:val="90"/>
        </w:trPr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15.6 (14.5-18.8)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.807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17.0 (14.7-18.8)</w:t>
            </w:r>
          </w:p>
        </w:tc>
        <w:tc>
          <w:tcPr>
            <w:tcW w:w="127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.638</w:t>
            </w:r>
          </w:p>
        </w:tc>
      </w:tr>
      <w:tr w:rsidR="00A2686B">
        <w:trPr>
          <w:trHeight w:val="90"/>
        </w:trPr>
        <w:tc>
          <w:tcPr>
            <w:tcW w:w="1701" w:type="dxa"/>
            <w:tcBorders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27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15.9 (15.1-20.1)</w:t>
            </w:r>
          </w:p>
        </w:tc>
        <w:tc>
          <w:tcPr>
            <w:tcW w:w="992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.248</w:t>
            </w:r>
          </w:p>
        </w:tc>
        <w:tc>
          <w:tcPr>
            <w:tcW w:w="2126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18.2 (15.5-20.6)</w:t>
            </w:r>
          </w:p>
        </w:tc>
        <w:tc>
          <w:tcPr>
            <w:tcW w:w="1276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.002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16.9 (15.0-20.7)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.532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18.7 (14.8-19.3)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.003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rPr>
          <w:trHeight w:val="416"/>
        </w:trPr>
        <w:tc>
          <w:tcPr>
            <w:tcW w:w="8222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pStyle w:val="NormalWeb"/>
              <w:widowControl/>
              <w:adjustRightInd w:val="0"/>
              <w:snapToGrid w:val="0"/>
              <w:spacing w:line="16" w:lineRule="atLeast"/>
              <w:rPr>
                <w:rFonts w:ascii="Arial" w:hAnsi="Arial" w:cs="Arial"/>
                <w:kern w:val="2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Left ventricular posterior wall depth (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</w:rPr>
              <w:t>LVPWDd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</w:rPr>
              <w:t>)</w:t>
            </w:r>
          </w:p>
        </w:tc>
      </w:tr>
      <w:tr w:rsidR="00A2686B">
        <w:trPr>
          <w:trHeight w:val="90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4.0 (2.4-4.9)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3.1 (2.6-3.9)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rPr>
          <w:trHeight w:val="90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4.2 (3.5-5.1)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.118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3.8 (3.1-4.7)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.031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rPr>
          <w:trHeight w:val="90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3.6 (3.1-4.6)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.585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3.8 (3.6-4.9)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.010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4.6 (3.5-5.1)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.025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4.0 (3.8-4.5)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.038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rPr>
          <w:trHeight w:val="469"/>
        </w:trPr>
        <w:tc>
          <w:tcPr>
            <w:tcW w:w="8222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Left ventricular posterior wall thickness at end-systole (LVPWs)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6.3 (5.1-8.1)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5.5 (4.6-6.9)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6.9 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(5.5-8.2)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.956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6.7 (5.3-7.5)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.068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6.3 (5.6-7.5)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.823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6.2 (5.9-7.4)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.002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6.7 (6.4-7.5)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.532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6.3 (5.8-7.9)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.044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rPr>
          <w:trHeight w:val="489"/>
        </w:trPr>
        <w:tc>
          <w:tcPr>
            <w:tcW w:w="8222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Left ventricular ejection fraction (LVEF)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70.0 (68.0-72.8)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69.5 (65.8-70.3)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68.5 (63.3-71.0)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.397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68.5 (64.5-71.5)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.877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71.0 (65.0-74.5)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.918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66.0 (61.8-73.3)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.487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69.0 (64.8-75.8)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.747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67.5 (61.0-73.8)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.746</w:t>
            </w:r>
          </w:p>
        </w:tc>
      </w:tr>
      <w:tr w:rsidR="00A2686B">
        <w:trPr>
          <w:trHeight w:val="495"/>
        </w:trPr>
        <w:tc>
          <w:tcPr>
            <w:tcW w:w="8222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Main pulmonary artery diameter (MPA)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3.5 (2.7-4.1)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3.9 (2.9-4.7)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3.5 (2.7-4.1)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.025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2.5 (1.8-3.1)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.013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2.7 (2.3-3.4)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.004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2.3 (1.9-2.9)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.013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2.7 (2.1-3.1)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.004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3.1 (1.7-2.4)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.005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rPr>
          <w:trHeight w:val="487"/>
        </w:trPr>
        <w:tc>
          <w:tcPr>
            <w:tcW w:w="8222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Mitral blood flow velocity (MV)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(1.0-1.1)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(0.9-1.1)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.518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1.1 (1.0-1.2)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.083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(0.9-1.2)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.785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(1.0-1.0)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.705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(1.0-1.0)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.666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(1.0-1.0)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.564</w:t>
            </w:r>
          </w:p>
        </w:tc>
      </w:tr>
      <w:tr w:rsidR="00A2686B">
        <w:trPr>
          <w:trHeight w:val="337"/>
        </w:trPr>
        <w:tc>
          <w:tcPr>
            <w:tcW w:w="8222" w:type="dxa"/>
            <w:gridSpan w:val="5"/>
            <w:tcBorders>
              <w:top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Tricuspid blood flow velocity (TV)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0.8 (0.8-1.0)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0.8 (0.8-1.0)</w:t>
            </w:r>
          </w:p>
        </w:tc>
        <w:tc>
          <w:tcPr>
            <w:tcW w:w="127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0.8 (0.8-1.0)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.705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0.8 (0.8-1.0)</w:t>
            </w:r>
          </w:p>
        </w:tc>
        <w:tc>
          <w:tcPr>
            <w:tcW w:w="127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.527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0.8 (0.8-0.8)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.131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0.8 (0.8-1.0)</w:t>
            </w:r>
          </w:p>
        </w:tc>
        <w:tc>
          <w:tcPr>
            <w:tcW w:w="127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.888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0.8 (0.8-1.0)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.705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0.8 (0.8-1.0)</w:t>
            </w:r>
          </w:p>
        </w:tc>
        <w:tc>
          <w:tcPr>
            <w:tcW w:w="127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.705</w:t>
            </w:r>
          </w:p>
        </w:tc>
      </w:tr>
      <w:tr w:rsidR="00A2686B">
        <w:trPr>
          <w:trHeight w:val="337"/>
        </w:trPr>
        <w:tc>
          <w:tcPr>
            <w:tcW w:w="8222" w:type="dxa"/>
            <w:gridSpan w:val="5"/>
            <w:tcBorders>
              <w:top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20"/>
                <w:szCs w:val="20"/>
              </w:rPr>
              <w:t>Z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score of </w:t>
            </w:r>
            <w:proofErr w:type="spellStart"/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LVDd</w:t>
            </w:r>
            <w:proofErr w:type="spellEnd"/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-0.9 (-0.5-0.2)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0.0 (-0.6-1.0)</w:t>
            </w:r>
          </w:p>
        </w:tc>
        <w:tc>
          <w:tcPr>
            <w:tcW w:w="127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-0.4 (-0.8-0.2)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.844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-0.1 (-0.8-1.0)</w:t>
            </w:r>
          </w:p>
        </w:tc>
        <w:tc>
          <w:tcPr>
            <w:tcW w:w="127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.778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lastRenderedPageBreak/>
              <w:t>3 months 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0.0 (-0.7-0.3)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.530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0.2 (-0.4-0.8)</w:t>
            </w:r>
          </w:p>
        </w:tc>
        <w:tc>
          <w:tcPr>
            <w:tcW w:w="127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.875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-0.7 (-1.4- -0.1)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.388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0.1 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(-0.4-0.5)</w:t>
            </w:r>
          </w:p>
        </w:tc>
        <w:tc>
          <w:tcPr>
            <w:tcW w:w="127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.826</w:t>
            </w:r>
          </w:p>
        </w:tc>
      </w:tr>
      <w:tr w:rsidR="00A2686B">
        <w:trPr>
          <w:trHeight w:val="337"/>
        </w:trPr>
        <w:tc>
          <w:tcPr>
            <w:tcW w:w="8222" w:type="dxa"/>
            <w:gridSpan w:val="5"/>
            <w:tcBorders>
              <w:top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20"/>
                <w:szCs w:val="20"/>
              </w:rPr>
              <w:t>Z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score of LVDs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0.0 (-0.8-1.1)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0.1 (-0.5-1.0)</w:t>
            </w:r>
          </w:p>
        </w:tc>
        <w:tc>
          <w:tcPr>
            <w:tcW w:w="127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0.1 (-1.1-0.7)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.754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0.1 (-1.1-1.6)</w:t>
            </w:r>
          </w:p>
        </w:tc>
        <w:tc>
          <w:tcPr>
            <w:tcW w:w="127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.826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0.0 (-0.9-0.4)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.814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0.5 (-0.1-1.1)</w:t>
            </w:r>
          </w:p>
        </w:tc>
        <w:tc>
          <w:tcPr>
            <w:tcW w:w="127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.331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-0.5 (-1.5-0.3)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.209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0.3 (-0.5-0.9)</w:t>
            </w:r>
          </w:p>
        </w:tc>
        <w:tc>
          <w:tcPr>
            <w:tcW w:w="127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.851</w:t>
            </w:r>
          </w:p>
        </w:tc>
      </w:tr>
      <w:tr w:rsidR="00A2686B">
        <w:trPr>
          <w:trHeight w:val="337"/>
        </w:trPr>
        <w:tc>
          <w:tcPr>
            <w:tcW w:w="8222" w:type="dxa"/>
            <w:gridSpan w:val="5"/>
            <w:tcBorders>
              <w:top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20"/>
                <w:szCs w:val="20"/>
              </w:rPr>
              <w:t>Z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score of </w:t>
            </w:r>
            <w:proofErr w:type="spellStart"/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LVPWd</w:t>
            </w:r>
            <w:proofErr w:type="spellEnd"/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0.2 (-1.7-1.0)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-0.6 (-1.2-0.1)</w:t>
            </w:r>
          </w:p>
        </w:tc>
        <w:tc>
          <w:tcPr>
            <w:tcW w:w="127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0.5 (-0.1-0.9)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.308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-0.1 (-0.6-0.8)</w:t>
            </w:r>
          </w:p>
        </w:tc>
        <w:tc>
          <w:tcPr>
            <w:tcW w:w="127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.028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-0.4 (-0.9-0.9)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1.000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0.2 (-0.2-0.6)</w:t>
            </w:r>
          </w:p>
        </w:tc>
        <w:tc>
          <w:tcPr>
            <w:tcW w:w="127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.026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0.2 (-0.5-1.2)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.084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0.2 (-0.1-0.5)</w:t>
            </w:r>
          </w:p>
        </w:tc>
        <w:tc>
          <w:tcPr>
            <w:tcW w:w="127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.221</w:t>
            </w:r>
          </w:p>
        </w:tc>
      </w:tr>
      <w:tr w:rsidR="00A2686B">
        <w:trPr>
          <w:trHeight w:val="337"/>
        </w:trPr>
        <w:tc>
          <w:tcPr>
            <w:tcW w:w="8222" w:type="dxa"/>
            <w:gridSpan w:val="5"/>
            <w:tcBorders>
              <w:top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20"/>
                <w:szCs w:val="20"/>
              </w:rPr>
              <w:t>Z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score of LVPWs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-0.8 (-1.6- -0.1)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-1.2 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(-2.3- -0.6)</w:t>
            </w:r>
          </w:p>
        </w:tc>
        <w:tc>
          <w:tcPr>
            <w:tcW w:w="127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-0.8 (-1.3-0.2)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.583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0.0 (-1.4-0.4)</w:t>
            </w:r>
          </w:p>
        </w:tc>
        <w:tc>
          <w:tcPr>
            <w:tcW w:w="127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.109</w:t>
            </w:r>
          </w:p>
        </w:tc>
      </w:tr>
      <w:tr w:rsidR="00A2686B">
        <w:tc>
          <w:tcPr>
            <w:tcW w:w="1701" w:type="dxa"/>
            <w:tcBorders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27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-0.9 (-2.2-0.0)</w:t>
            </w:r>
          </w:p>
        </w:tc>
        <w:tc>
          <w:tcPr>
            <w:tcW w:w="992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.875</w:t>
            </w:r>
          </w:p>
        </w:tc>
        <w:tc>
          <w:tcPr>
            <w:tcW w:w="2126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-0.9 (-1.2-0.1)</w:t>
            </w:r>
          </w:p>
        </w:tc>
        <w:tc>
          <w:tcPr>
            <w:tcW w:w="1276" w:type="dxa"/>
            <w:tcBorders>
              <w:bottom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.019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-0.7 (-1.1-0.2)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.638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-1.3 (-2.0-0.3)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.778</w:t>
            </w:r>
          </w:p>
        </w:tc>
      </w:tr>
      <w:tr w:rsidR="00A2686B">
        <w:trPr>
          <w:trHeight w:val="337"/>
        </w:trPr>
        <w:tc>
          <w:tcPr>
            <w:tcW w:w="8222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20"/>
                <w:szCs w:val="20"/>
              </w:rPr>
              <w:t>Z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score of </w:t>
            </w:r>
            <w:proofErr w:type="spellStart"/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Ao</w:t>
            </w:r>
            <w:proofErr w:type="spellEnd"/>
          </w:p>
        </w:tc>
      </w:tr>
      <w:tr w:rsidR="00A2686B">
        <w:tc>
          <w:tcPr>
            <w:tcW w:w="1701" w:type="dxa"/>
            <w:tcBorders>
              <w:top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2127" w:type="dxa"/>
            <w:tcBorders>
              <w:top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3.4 (2.7-3.9)</w:t>
            </w:r>
          </w:p>
        </w:tc>
        <w:tc>
          <w:tcPr>
            <w:tcW w:w="992" w:type="dxa"/>
            <w:tcBorders>
              <w:top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3.0 (2.2-4.4)</w:t>
            </w:r>
          </w:p>
        </w:tc>
        <w:tc>
          <w:tcPr>
            <w:tcW w:w="1276" w:type="dxa"/>
            <w:tcBorders>
              <w:top w:val="nil"/>
            </w:tcBorders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2.8 (1.7-3.3)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.209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3.1 (2.0-3.9)</w:t>
            </w:r>
          </w:p>
        </w:tc>
        <w:tc>
          <w:tcPr>
            <w:tcW w:w="127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.778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3.1 (2.4-3.7)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.209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2.5 (3.8-4.9)</w:t>
            </w:r>
          </w:p>
        </w:tc>
        <w:tc>
          <w:tcPr>
            <w:tcW w:w="127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.158</w:t>
            </w:r>
          </w:p>
        </w:tc>
      </w:tr>
      <w:tr w:rsidR="00A2686B">
        <w:tc>
          <w:tcPr>
            <w:tcW w:w="1701" w:type="dxa"/>
            <w:vAlign w:val="center"/>
          </w:tcPr>
          <w:p w:rsidR="00A2686B" w:rsidRDefault="00FD386C">
            <w:pPr>
              <w:adjustRightInd w:val="0"/>
              <w:snapToGrid w:val="0"/>
              <w:spacing w:line="16" w:lineRule="atLeast"/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2127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3.1 (2.6-3.6)</w:t>
            </w:r>
          </w:p>
        </w:tc>
        <w:tc>
          <w:tcPr>
            <w:tcW w:w="992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.583</w:t>
            </w:r>
          </w:p>
        </w:tc>
        <w:tc>
          <w:tcPr>
            <w:tcW w:w="212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3.6 (3.0-4.5)</w:t>
            </w:r>
          </w:p>
        </w:tc>
        <w:tc>
          <w:tcPr>
            <w:tcW w:w="1276" w:type="dxa"/>
          </w:tcPr>
          <w:p w:rsidR="00A2686B" w:rsidRDefault="00FD386C">
            <w:pPr>
              <w:adjustRightInd w:val="0"/>
              <w:snapToGrid w:val="0"/>
              <w:spacing w:line="16" w:lineRule="atLeas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.140</w:t>
            </w:r>
          </w:p>
        </w:tc>
      </w:tr>
    </w:tbl>
    <w:p w:rsidR="00A2686B" w:rsidRDefault="00A2686B">
      <w:pPr>
        <w:rPr>
          <w:rFonts w:ascii="Times New Roman" w:hAnsi="Times New Roman" w:cs="Times New Roman"/>
          <w:sz w:val="20"/>
          <w:szCs w:val="20"/>
        </w:rPr>
      </w:pPr>
    </w:p>
    <w:p w:rsidR="00A2686B" w:rsidRDefault="00FD386C">
      <w:pPr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IQR: the interquartile rang</w:t>
      </w:r>
      <w:r>
        <w:rPr>
          <w:rFonts w:ascii="Arial" w:hAnsi="Arial" w:cs="Arial" w:hint="eastAsia"/>
          <w:shd w:val="clear" w:color="auto" w:fill="FFFFFF"/>
        </w:rPr>
        <w:t>e</w:t>
      </w:r>
    </w:p>
    <w:p w:rsidR="00A2686B" w:rsidRDefault="00FD386C">
      <w:pPr>
        <w:ind w:right="210"/>
        <w:rPr>
          <w:rFonts w:ascii="Arial" w:hAnsi="Arial" w:cs="Arial"/>
          <w:sz w:val="22"/>
          <w:szCs w:val="24"/>
        </w:rPr>
      </w:pPr>
      <w:r>
        <w:rPr>
          <w:rFonts w:ascii="Arial" w:hAnsi="Arial" w:cs="Arial" w:hint="eastAsia"/>
          <w:sz w:val="20"/>
        </w:rPr>
        <w:t xml:space="preserve">* means significant </w:t>
      </w:r>
      <w:proofErr w:type="gramStart"/>
      <w:r>
        <w:rPr>
          <w:rFonts w:ascii="Arial" w:hAnsi="Arial" w:cs="Arial" w:hint="eastAsia"/>
          <w:sz w:val="20"/>
        </w:rPr>
        <w:t>difference(</w:t>
      </w:r>
      <w:proofErr w:type="gramEnd"/>
      <w:r>
        <w:rPr>
          <w:rFonts w:ascii="Arial" w:hAnsi="Arial" w:cs="Arial" w:hint="eastAsia"/>
          <w:sz w:val="20"/>
        </w:rPr>
        <w:t>P&lt;0.017).</w:t>
      </w:r>
    </w:p>
    <w:p w:rsidR="00A2686B" w:rsidRDefault="00A2686B">
      <w:pPr>
        <w:widowControl/>
        <w:jc w:val="left"/>
        <w:rPr>
          <w:rFonts w:ascii="Arial" w:hAnsi="Arial" w:cs="Arial"/>
          <w:sz w:val="22"/>
          <w:szCs w:val="24"/>
        </w:rPr>
      </w:pPr>
    </w:p>
    <w:p w:rsidR="00A2686B" w:rsidRDefault="00A2686B">
      <w:pPr>
        <w:ind w:right="210"/>
        <w:rPr>
          <w:rFonts w:ascii="Arial" w:hAnsi="Arial" w:cs="Arial"/>
          <w:sz w:val="22"/>
          <w:szCs w:val="24"/>
        </w:rPr>
      </w:pPr>
    </w:p>
    <w:p w:rsidR="00A2686B" w:rsidRDefault="00FD386C">
      <w:pPr>
        <w:widowControl/>
        <w:jc w:val="left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br w:type="page"/>
      </w:r>
    </w:p>
    <w:p w:rsidR="00A2686B" w:rsidRDefault="00FD386C">
      <w:pPr>
        <w:pStyle w:val="Heading2"/>
        <w:spacing w:before="0" w:after="0" w:line="240" w:lineRule="auto"/>
        <w:rPr>
          <w:rFonts w:cs="Arial"/>
          <w:szCs w:val="22"/>
        </w:rPr>
      </w:pPr>
      <w:bookmarkStart w:id="39" w:name="_Toc150241545"/>
      <w:bookmarkStart w:id="40" w:name="_Toc21102"/>
      <w:bookmarkStart w:id="41" w:name="_Toc25501"/>
      <w:r>
        <w:rPr>
          <w:rFonts w:cs="Arial" w:hint="eastAsia"/>
          <w:szCs w:val="22"/>
        </w:rPr>
        <w:lastRenderedPageBreak/>
        <w:t>Table S</w:t>
      </w:r>
      <w:r>
        <w:rPr>
          <w:rFonts w:cs="Arial"/>
          <w:szCs w:val="22"/>
        </w:rPr>
        <w:t>4. The Wilcoxon rank sum test of secondary outcomes</w:t>
      </w:r>
      <w:r>
        <w:rPr>
          <w:rFonts w:cs="Arial"/>
          <w:szCs w:val="22"/>
        </w:rPr>
        <w:t xml:space="preserve"> (modified Ross score) against preoperative assessment</w:t>
      </w:r>
      <w:bookmarkEnd w:id="39"/>
      <w:bookmarkEnd w:id="40"/>
      <w:bookmarkEnd w:id="41"/>
    </w:p>
    <w:p w:rsidR="00A2686B" w:rsidRDefault="00FD386C">
      <w:r>
        <w:rPr>
          <w:rFonts w:ascii="Arial" w:hAnsi="Arial" w:cs="Arial"/>
          <w:sz w:val="22"/>
          <w:szCs w:val="24"/>
        </w:rPr>
        <w:t xml:space="preserve">In this table, </w:t>
      </w:r>
      <w:r>
        <w:rPr>
          <w:rFonts w:ascii="Arial" w:hAnsi="Arial" w:cs="Arial"/>
          <w:sz w:val="22"/>
        </w:rPr>
        <w:t>we compared postoperative assessments against the preoperative assessment separately in the intervention group and in the control group.</w:t>
      </w:r>
    </w:p>
    <w:tbl>
      <w:tblPr>
        <w:tblStyle w:val="TableGrid"/>
        <w:tblpPr w:leftFromText="180" w:rightFromText="180" w:vertAnchor="text" w:horzAnchor="margin" w:tblpY="244"/>
        <w:tblOverlap w:val="never"/>
        <w:tblW w:w="808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848"/>
        <w:gridCol w:w="1134"/>
        <w:gridCol w:w="1842"/>
        <w:gridCol w:w="1276"/>
      </w:tblGrid>
      <w:tr w:rsidR="00A2686B">
        <w:trPr>
          <w:trHeight w:val="430"/>
        </w:trPr>
        <w:tc>
          <w:tcPr>
            <w:tcW w:w="1980" w:type="dxa"/>
            <w:vMerge w:val="restart"/>
            <w:tcBorders>
              <w:top w:val="single" w:sz="6" w:space="0" w:color="auto"/>
              <w:bottom w:val="nil"/>
              <w:right w:val="nil"/>
            </w:tcBorders>
          </w:tcPr>
          <w:p w:rsidR="00A2686B" w:rsidRDefault="00A2686B">
            <w:pP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98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2686B" w:rsidRDefault="00FD386C">
            <w:pPr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Intervention group (n=95)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nil"/>
              <w:bottom w:val="single" w:sz="4" w:space="0" w:color="auto"/>
            </w:tcBorders>
            <w:vAlign w:val="center"/>
          </w:tcPr>
          <w:p w:rsidR="00A2686B" w:rsidRDefault="00FD386C">
            <w:pPr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Control group (n=97)</w:t>
            </w:r>
          </w:p>
        </w:tc>
      </w:tr>
      <w:tr w:rsidR="00A2686B">
        <w:trPr>
          <w:trHeight w:val="194"/>
        </w:trPr>
        <w:tc>
          <w:tcPr>
            <w:tcW w:w="1980" w:type="dxa"/>
            <w:vMerge/>
            <w:tcBorders>
              <w:top w:val="nil"/>
              <w:bottom w:val="single" w:sz="6" w:space="0" w:color="auto"/>
              <w:right w:val="nil"/>
            </w:tcBorders>
          </w:tcPr>
          <w:p w:rsidR="00A2686B" w:rsidRDefault="00A2686B">
            <w:pP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A2686B" w:rsidRDefault="00FD386C">
            <w:pPr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median (IQR)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A2686B" w:rsidRDefault="00FD386C">
            <w:pPr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value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A2686B" w:rsidRDefault="00FD386C">
            <w:pPr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 median (IQR)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auto"/>
            </w:tcBorders>
            <w:vAlign w:val="center"/>
          </w:tcPr>
          <w:p w:rsidR="00A2686B" w:rsidRDefault="00FD386C">
            <w:pPr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 value</w:t>
            </w:r>
          </w:p>
        </w:tc>
      </w:tr>
      <w:tr w:rsidR="00A2686B">
        <w:trPr>
          <w:trHeight w:val="90"/>
        </w:trPr>
        <w:tc>
          <w:tcPr>
            <w:tcW w:w="1980" w:type="dxa"/>
            <w:vAlign w:val="center"/>
          </w:tcPr>
          <w:p w:rsidR="00A2686B" w:rsidRDefault="00FD386C">
            <w:pPr>
              <w:ind w:firstLineChars="109" w:firstLine="218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Baseline</w:t>
            </w:r>
          </w:p>
        </w:tc>
        <w:tc>
          <w:tcPr>
            <w:tcW w:w="1848" w:type="dxa"/>
          </w:tcPr>
          <w:p w:rsidR="00A2686B" w:rsidRDefault="00FD386C">
            <w:pPr>
              <w:widowControl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(0.0-1.0)</w:t>
            </w:r>
          </w:p>
        </w:tc>
        <w:tc>
          <w:tcPr>
            <w:tcW w:w="1134" w:type="dxa"/>
          </w:tcPr>
          <w:p w:rsidR="00A2686B" w:rsidRDefault="00FD386C">
            <w:pPr>
              <w:widowControl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  <w:tc>
          <w:tcPr>
            <w:tcW w:w="1842" w:type="dxa"/>
          </w:tcPr>
          <w:p w:rsidR="00A2686B" w:rsidRDefault="00FD386C">
            <w:pPr>
              <w:widowControl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(0.0-1.0)</w:t>
            </w:r>
          </w:p>
        </w:tc>
        <w:tc>
          <w:tcPr>
            <w:tcW w:w="1276" w:type="dxa"/>
          </w:tcPr>
          <w:p w:rsidR="00A2686B" w:rsidRDefault="00FD386C">
            <w:pPr>
              <w:widowControl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-</w:t>
            </w:r>
          </w:p>
        </w:tc>
      </w:tr>
      <w:tr w:rsidR="00A2686B">
        <w:trPr>
          <w:trHeight w:val="90"/>
        </w:trPr>
        <w:tc>
          <w:tcPr>
            <w:tcW w:w="1980" w:type="dxa"/>
            <w:vAlign w:val="center"/>
          </w:tcPr>
          <w:p w:rsidR="00A2686B" w:rsidRDefault="00FD386C">
            <w:pPr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 month </w:t>
            </w:r>
          </w:p>
        </w:tc>
        <w:tc>
          <w:tcPr>
            <w:tcW w:w="1848" w:type="dxa"/>
          </w:tcPr>
          <w:p w:rsidR="00A2686B" w:rsidRDefault="00FD386C">
            <w:pPr>
              <w:widowControl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1.0 (0.0-1.0)</w:t>
            </w:r>
          </w:p>
        </w:tc>
        <w:tc>
          <w:tcPr>
            <w:tcW w:w="1134" w:type="dxa"/>
          </w:tcPr>
          <w:p w:rsidR="00A2686B" w:rsidRDefault="00FD386C">
            <w:pPr>
              <w:widowControl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.791</w:t>
            </w:r>
          </w:p>
        </w:tc>
        <w:tc>
          <w:tcPr>
            <w:tcW w:w="1842" w:type="dxa"/>
          </w:tcPr>
          <w:p w:rsidR="00A2686B" w:rsidRDefault="00FD386C">
            <w:pPr>
              <w:widowControl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1.0 (0.0-1.0) </w:t>
            </w:r>
          </w:p>
        </w:tc>
        <w:tc>
          <w:tcPr>
            <w:tcW w:w="1276" w:type="dxa"/>
          </w:tcPr>
          <w:p w:rsidR="00A2686B" w:rsidRDefault="00FD386C">
            <w:pPr>
              <w:widowControl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.123</w:t>
            </w:r>
          </w:p>
        </w:tc>
      </w:tr>
      <w:tr w:rsidR="00A2686B">
        <w:trPr>
          <w:trHeight w:val="90"/>
        </w:trPr>
        <w:tc>
          <w:tcPr>
            <w:tcW w:w="1980" w:type="dxa"/>
            <w:tcBorders>
              <w:bottom w:val="nil"/>
            </w:tcBorders>
            <w:vAlign w:val="center"/>
          </w:tcPr>
          <w:p w:rsidR="00A2686B" w:rsidRDefault="00FD386C">
            <w:pPr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 months </w:t>
            </w:r>
          </w:p>
        </w:tc>
        <w:tc>
          <w:tcPr>
            <w:tcW w:w="1848" w:type="dxa"/>
            <w:tcBorders>
              <w:bottom w:val="nil"/>
            </w:tcBorders>
          </w:tcPr>
          <w:p w:rsidR="00A2686B" w:rsidRDefault="00FD386C">
            <w:pPr>
              <w:widowControl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1.0 (0.0-1.0) </w:t>
            </w:r>
          </w:p>
        </w:tc>
        <w:tc>
          <w:tcPr>
            <w:tcW w:w="1134" w:type="dxa"/>
            <w:tcBorders>
              <w:bottom w:val="nil"/>
            </w:tcBorders>
          </w:tcPr>
          <w:p w:rsidR="00A2686B" w:rsidRDefault="00FD386C">
            <w:pPr>
              <w:widowControl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.975</w:t>
            </w:r>
          </w:p>
        </w:tc>
        <w:tc>
          <w:tcPr>
            <w:tcW w:w="1842" w:type="dxa"/>
            <w:tcBorders>
              <w:bottom w:val="nil"/>
            </w:tcBorders>
          </w:tcPr>
          <w:p w:rsidR="00A2686B" w:rsidRDefault="00FD386C">
            <w:pPr>
              <w:widowControl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1.0 (0.0-1.0) </w:t>
            </w:r>
          </w:p>
        </w:tc>
        <w:tc>
          <w:tcPr>
            <w:tcW w:w="1276" w:type="dxa"/>
            <w:tcBorders>
              <w:bottom w:val="nil"/>
            </w:tcBorders>
          </w:tcPr>
          <w:p w:rsidR="00A2686B" w:rsidRDefault="00FD386C">
            <w:pPr>
              <w:widowControl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.456</w:t>
            </w:r>
          </w:p>
        </w:tc>
      </w:tr>
      <w:tr w:rsidR="00A2686B">
        <w:tc>
          <w:tcPr>
            <w:tcW w:w="1980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ind w:firstLineChars="109" w:firstLine="218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 months </w:t>
            </w:r>
          </w:p>
        </w:tc>
        <w:tc>
          <w:tcPr>
            <w:tcW w:w="1848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1.0 (0.0-1.0) 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.717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jc w:val="righ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1.0 (0.0-1.0) 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widowControl/>
              <w:jc w:val="center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.938</w:t>
            </w:r>
          </w:p>
        </w:tc>
      </w:tr>
    </w:tbl>
    <w:p w:rsidR="00A2686B" w:rsidRDefault="00A2686B"/>
    <w:p w:rsidR="00A2686B" w:rsidRDefault="00FD386C">
      <w:pPr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IQR: the </w:t>
      </w:r>
      <w:r>
        <w:rPr>
          <w:rFonts w:ascii="Arial" w:hAnsi="Arial" w:cs="Arial"/>
          <w:shd w:val="clear" w:color="auto" w:fill="FFFFFF"/>
        </w:rPr>
        <w:t>interquartile rang</w:t>
      </w:r>
      <w:r>
        <w:rPr>
          <w:rFonts w:ascii="Arial" w:hAnsi="Arial" w:cs="Arial" w:hint="eastAsia"/>
          <w:shd w:val="clear" w:color="auto" w:fill="FFFFFF"/>
        </w:rPr>
        <w:t>e</w:t>
      </w:r>
    </w:p>
    <w:p w:rsidR="00A2686B" w:rsidRDefault="00A2686B">
      <w:pPr>
        <w:ind w:right="210"/>
        <w:rPr>
          <w:rFonts w:ascii="Arial" w:hAnsi="Arial" w:cs="Arial"/>
          <w:sz w:val="22"/>
          <w:szCs w:val="24"/>
        </w:rPr>
      </w:pPr>
    </w:p>
    <w:p w:rsidR="00A2686B" w:rsidRDefault="00FD386C">
      <w:pPr>
        <w:spacing w:line="360" w:lineRule="auto"/>
        <w:outlineLvl w:val="0"/>
        <w:rPr>
          <w:rFonts w:ascii="Times New Roman" w:hAnsi="Times New Roman" w:cs="Times New Roman"/>
          <w:b/>
          <w:bCs/>
        </w:rPr>
      </w:pPr>
      <w:r>
        <w:rPr>
          <w:rFonts w:ascii="Arial" w:hAnsi="Arial" w:cs="Arial"/>
          <w:sz w:val="22"/>
          <w:szCs w:val="24"/>
        </w:rPr>
        <w:br w:type="page"/>
      </w:r>
      <w:bookmarkStart w:id="42" w:name="_Toc12300"/>
      <w:bookmarkStart w:id="43" w:name="_Toc17557"/>
      <w:r>
        <w:rPr>
          <w:rStyle w:val="Heading2Char"/>
          <w:rFonts w:hint="eastAsia"/>
        </w:rPr>
        <w:lastRenderedPageBreak/>
        <w:t>Table S</w:t>
      </w:r>
      <w:r>
        <w:rPr>
          <w:rStyle w:val="Heading2Char"/>
        </w:rPr>
        <w:t>5. The Wilcoxon rank sum test of secondary outcomes (parents’ anxiety, burden and quality of life) against preoperative assessment</w:t>
      </w:r>
      <w:bookmarkEnd w:id="42"/>
      <w:bookmarkEnd w:id="43"/>
      <w:r>
        <w:rPr>
          <w:rStyle w:val="Heading2Char"/>
        </w:rPr>
        <w:t xml:space="preserve"> </w:t>
      </w:r>
    </w:p>
    <w:tbl>
      <w:tblPr>
        <w:tblStyle w:val="TableGrid"/>
        <w:tblW w:w="847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376"/>
        <w:gridCol w:w="1137"/>
        <w:gridCol w:w="2268"/>
        <w:gridCol w:w="992"/>
      </w:tblGrid>
      <w:tr w:rsidR="00A2686B">
        <w:trPr>
          <w:trHeight w:val="430"/>
        </w:trPr>
        <w:tc>
          <w:tcPr>
            <w:tcW w:w="1701" w:type="dxa"/>
            <w:vMerge w:val="restart"/>
            <w:tcBorders>
              <w:top w:val="single" w:sz="6" w:space="0" w:color="auto"/>
              <w:bottom w:val="nil"/>
              <w:right w:val="nil"/>
            </w:tcBorders>
          </w:tcPr>
          <w:p w:rsidR="00A2686B" w:rsidRDefault="00A2686B">
            <w:pPr>
              <w:spacing w:line="360" w:lineRule="auto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351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Intervention group</w:t>
            </w:r>
          </w:p>
          <w:p w:rsidR="00A2686B" w:rsidRDefault="00FD386C">
            <w:pPr>
              <w:spacing w:line="360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(n=93)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nil"/>
              <w:bottom w:val="single" w:sz="4" w:space="0" w:color="auto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Control group</w:t>
            </w:r>
          </w:p>
          <w:p w:rsidR="00A2686B" w:rsidRDefault="00FD386C">
            <w:pPr>
              <w:spacing w:line="360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(n=95)</w:t>
            </w:r>
          </w:p>
        </w:tc>
      </w:tr>
      <w:tr w:rsidR="00A2686B">
        <w:trPr>
          <w:trHeight w:val="194"/>
        </w:trPr>
        <w:tc>
          <w:tcPr>
            <w:tcW w:w="1701" w:type="dxa"/>
            <w:vMerge/>
            <w:tcBorders>
              <w:top w:val="nil"/>
              <w:bottom w:val="single" w:sz="6" w:space="0" w:color="auto"/>
              <w:right w:val="nil"/>
            </w:tcBorders>
          </w:tcPr>
          <w:p w:rsidR="00A2686B" w:rsidRDefault="00A2686B">
            <w:pPr>
              <w:spacing w:line="360" w:lineRule="auto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median (IQR)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</w:rPr>
              <w:t>p</w:t>
            </w:r>
            <w:r>
              <w:rPr>
                <w:rFonts w:ascii="Arial" w:hAnsi="Arial" w:cs="Arial"/>
                <w:b/>
                <w:bCs/>
                <w:sz w:val="22"/>
              </w:rPr>
              <w:t xml:space="preserve"> value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median (IQR)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6" w:space="0" w:color="auto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</w:rPr>
              <w:t>p</w:t>
            </w:r>
            <w:r>
              <w:rPr>
                <w:rFonts w:ascii="Arial" w:hAnsi="Arial" w:cs="Arial"/>
                <w:b/>
                <w:bCs/>
                <w:sz w:val="22"/>
              </w:rPr>
              <w:t xml:space="preserve"> value</w:t>
            </w:r>
          </w:p>
        </w:tc>
      </w:tr>
      <w:tr w:rsidR="00A2686B">
        <w:trPr>
          <w:trHeight w:val="416"/>
        </w:trPr>
        <w:tc>
          <w:tcPr>
            <w:tcW w:w="8474" w:type="dxa"/>
            <w:gridSpan w:val="5"/>
            <w:tcBorders>
              <w:top w:val="single" w:sz="6" w:space="0" w:color="auto"/>
            </w:tcBorders>
            <w:vAlign w:val="center"/>
          </w:tcPr>
          <w:p w:rsidR="00A2686B" w:rsidRDefault="00FD386C">
            <w:pPr>
              <w:pStyle w:val="NormalWeb"/>
              <w:widowControl/>
              <w:spacing w:beforeAutospacing="0" w:afterAutospacing="0" w:line="360" w:lineRule="auto"/>
              <w:rPr>
                <w:rFonts w:ascii="Arial" w:hAnsi="Arial" w:cs="Arial"/>
                <w:kern w:val="2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SAS of rude score</w:t>
            </w:r>
          </w:p>
        </w:tc>
      </w:tr>
      <w:tr w:rsidR="00A2686B">
        <w:trPr>
          <w:trHeight w:val="90"/>
        </w:trPr>
        <w:tc>
          <w:tcPr>
            <w:tcW w:w="1701" w:type="dxa"/>
            <w:vAlign w:val="center"/>
          </w:tcPr>
          <w:p w:rsidR="00A2686B" w:rsidRDefault="00FD386C" w:rsidP="009870DF">
            <w:pPr>
              <w:spacing w:line="360" w:lineRule="auto"/>
              <w:ind w:firstLineChars="109" w:firstLine="2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Baseline</w:t>
            </w:r>
          </w:p>
        </w:tc>
        <w:tc>
          <w:tcPr>
            <w:tcW w:w="2376" w:type="dxa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30.0 (26.5-37.0)</w:t>
            </w:r>
          </w:p>
        </w:tc>
        <w:tc>
          <w:tcPr>
            <w:tcW w:w="1134" w:type="dxa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-</w:t>
            </w:r>
          </w:p>
        </w:tc>
        <w:tc>
          <w:tcPr>
            <w:tcW w:w="2268" w:type="dxa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33.0 (27.0-39.0)</w:t>
            </w:r>
          </w:p>
        </w:tc>
        <w:tc>
          <w:tcPr>
            <w:tcW w:w="992" w:type="dxa"/>
          </w:tcPr>
          <w:p w:rsidR="00A2686B" w:rsidRDefault="00FD386C">
            <w:pPr>
              <w:spacing w:line="360" w:lineRule="auto"/>
              <w:ind w:right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-</w:t>
            </w:r>
          </w:p>
        </w:tc>
      </w:tr>
      <w:tr w:rsidR="00A2686B">
        <w:trPr>
          <w:trHeight w:val="90"/>
        </w:trPr>
        <w:tc>
          <w:tcPr>
            <w:tcW w:w="1701" w:type="dxa"/>
            <w:vAlign w:val="center"/>
          </w:tcPr>
          <w:p w:rsidR="00A2686B" w:rsidRDefault="00FD386C" w:rsidP="009870DF">
            <w:pPr>
              <w:spacing w:line="360" w:lineRule="auto"/>
              <w:ind w:firstLineChars="109" w:firstLine="2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 month </w:t>
            </w:r>
          </w:p>
        </w:tc>
        <w:tc>
          <w:tcPr>
            <w:tcW w:w="2376" w:type="dxa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32.0 (27.0-36.0)</w:t>
            </w:r>
          </w:p>
        </w:tc>
        <w:tc>
          <w:tcPr>
            <w:tcW w:w="1134" w:type="dxa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0.590</w:t>
            </w:r>
          </w:p>
        </w:tc>
        <w:tc>
          <w:tcPr>
            <w:tcW w:w="2268" w:type="dxa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33.0 (27.0-36.0)</w:t>
            </w:r>
          </w:p>
        </w:tc>
        <w:tc>
          <w:tcPr>
            <w:tcW w:w="992" w:type="dxa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0.477</w:t>
            </w:r>
          </w:p>
        </w:tc>
      </w:tr>
      <w:tr w:rsidR="00A2686B">
        <w:trPr>
          <w:trHeight w:val="90"/>
        </w:trPr>
        <w:tc>
          <w:tcPr>
            <w:tcW w:w="1701" w:type="dxa"/>
            <w:tcBorders>
              <w:bottom w:val="nil"/>
            </w:tcBorders>
            <w:vAlign w:val="center"/>
          </w:tcPr>
          <w:p w:rsidR="00A2686B" w:rsidRDefault="00FD386C" w:rsidP="009870DF">
            <w:pPr>
              <w:spacing w:line="360" w:lineRule="auto"/>
              <w:ind w:firstLineChars="109" w:firstLine="2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 months </w:t>
            </w:r>
          </w:p>
        </w:tc>
        <w:tc>
          <w:tcPr>
            <w:tcW w:w="2376" w:type="dxa"/>
            <w:tcBorders>
              <w:bottom w:val="nil"/>
            </w:tcBorders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32.0 (25.5-36.0)</w:t>
            </w:r>
          </w:p>
        </w:tc>
        <w:tc>
          <w:tcPr>
            <w:tcW w:w="1134" w:type="dxa"/>
            <w:tcBorders>
              <w:bottom w:val="nil"/>
            </w:tcBorders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0.607</w:t>
            </w:r>
          </w:p>
        </w:tc>
        <w:tc>
          <w:tcPr>
            <w:tcW w:w="2268" w:type="dxa"/>
            <w:tcBorders>
              <w:bottom w:val="nil"/>
            </w:tcBorders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32.0 (26.0-37.0)</w:t>
            </w:r>
          </w:p>
        </w:tc>
        <w:tc>
          <w:tcPr>
            <w:tcW w:w="992" w:type="dxa"/>
            <w:tcBorders>
              <w:bottom w:val="nil"/>
            </w:tcBorders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0.119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 w:rsidP="009870DF">
            <w:pPr>
              <w:spacing w:line="360" w:lineRule="auto"/>
              <w:ind w:firstLineChars="109" w:firstLine="2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6 months </w:t>
            </w:r>
          </w:p>
        </w:tc>
        <w:tc>
          <w:tcPr>
            <w:tcW w:w="237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33.0 (28.0-38.0)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0.028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34.0 (29.0-38.0)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0.201</w:t>
            </w:r>
          </w:p>
        </w:tc>
      </w:tr>
      <w:tr w:rsidR="00A2686B">
        <w:trPr>
          <w:trHeight w:val="416"/>
        </w:trPr>
        <w:tc>
          <w:tcPr>
            <w:tcW w:w="8474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pStyle w:val="NormalWeb"/>
              <w:widowControl/>
              <w:spacing w:beforeAutospacing="0" w:afterAutospacing="0" w:line="360" w:lineRule="auto"/>
              <w:rPr>
                <w:rFonts w:ascii="Arial" w:hAnsi="Arial" w:cs="Arial"/>
                <w:kern w:val="2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SAS of standard </w:t>
            </w:r>
            <w:r>
              <w:rPr>
                <w:rFonts w:ascii="Arial" w:hAnsi="Arial" w:cs="Arial"/>
                <w:b/>
                <w:bCs/>
                <w:sz w:val="22"/>
              </w:rPr>
              <w:t>score</w:t>
            </w:r>
          </w:p>
        </w:tc>
      </w:tr>
      <w:tr w:rsidR="00A2686B">
        <w:trPr>
          <w:trHeight w:val="90"/>
        </w:trPr>
        <w:tc>
          <w:tcPr>
            <w:tcW w:w="1701" w:type="dxa"/>
            <w:vAlign w:val="center"/>
          </w:tcPr>
          <w:p w:rsidR="00A2686B" w:rsidRDefault="00FD386C" w:rsidP="009870DF">
            <w:pPr>
              <w:spacing w:line="360" w:lineRule="auto"/>
              <w:ind w:firstLineChars="109" w:firstLine="2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Baseline</w:t>
            </w:r>
          </w:p>
        </w:tc>
        <w:tc>
          <w:tcPr>
            <w:tcW w:w="2376" w:type="dxa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37.5 (33.1-46.3)</w:t>
            </w:r>
          </w:p>
        </w:tc>
        <w:tc>
          <w:tcPr>
            <w:tcW w:w="1134" w:type="dxa"/>
          </w:tcPr>
          <w:p w:rsidR="00A2686B" w:rsidRDefault="00FD386C">
            <w:pPr>
              <w:spacing w:line="360" w:lineRule="auto"/>
              <w:ind w:right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-</w:t>
            </w:r>
          </w:p>
        </w:tc>
        <w:tc>
          <w:tcPr>
            <w:tcW w:w="2268" w:type="dxa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41.3 (33.8-48.8)</w:t>
            </w:r>
          </w:p>
        </w:tc>
        <w:tc>
          <w:tcPr>
            <w:tcW w:w="992" w:type="dxa"/>
          </w:tcPr>
          <w:p w:rsidR="00A2686B" w:rsidRDefault="00FD386C">
            <w:pPr>
              <w:spacing w:line="360" w:lineRule="auto"/>
              <w:ind w:right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-</w:t>
            </w:r>
          </w:p>
        </w:tc>
      </w:tr>
      <w:tr w:rsidR="00A2686B">
        <w:trPr>
          <w:trHeight w:val="90"/>
        </w:trPr>
        <w:tc>
          <w:tcPr>
            <w:tcW w:w="1701" w:type="dxa"/>
            <w:vAlign w:val="center"/>
          </w:tcPr>
          <w:p w:rsidR="00A2686B" w:rsidRDefault="00FD386C" w:rsidP="009870DF">
            <w:pPr>
              <w:spacing w:line="360" w:lineRule="auto"/>
              <w:ind w:firstLineChars="109" w:firstLine="2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 month </w:t>
            </w:r>
          </w:p>
        </w:tc>
        <w:tc>
          <w:tcPr>
            <w:tcW w:w="2376" w:type="dxa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40.0 (33.8-45.0)</w:t>
            </w:r>
          </w:p>
        </w:tc>
        <w:tc>
          <w:tcPr>
            <w:tcW w:w="1134" w:type="dxa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0.590</w:t>
            </w:r>
          </w:p>
        </w:tc>
        <w:tc>
          <w:tcPr>
            <w:tcW w:w="2268" w:type="dxa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41.3 (33.8-45.0)</w:t>
            </w:r>
          </w:p>
        </w:tc>
        <w:tc>
          <w:tcPr>
            <w:tcW w:w="992" w:type="dxa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0.477</w:t>
            </w:r>
          </w:p>
        </w:tc>
      </w:tr>
      <w:tr w:rsidR="00A2686B">
        <w:trPr>
          <w:trHeight w:val="90"/>
        </w:trPr>
        <w:tc>
          <w:tcPr>
            <w:tcW w:w="1701" w:type="dxa"/>
            <w:tcBorders>
              <w:bottom w:val="nil"/>
            </w:tcBorders>
            <w:vAlign w:val="center"/>
          </w:tcPr>
          <w:p w:rsidR="00A2686B" w:rsidRDefault="00FD386C" w:rsidP="009870DF">
            <w:pPr>
              <w:spacing w:line="360" w:lineRule="auto"/>
              <w:ind w:firstLineChars="109" w:firstLine="2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 months </w:t>
            </w:r>
          </w:p>
        </w:tc>
        <w:tc>
          <w:tcPr>
            <w:tcW w:w="2376" w:type="dxa"/>
            <w:tcBorders>
              <w:bottom w:val="nil"/>
            </w:tcBorders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40.0 (31.8-45.0)</w:t>
            </w:r>
          </w:p>
        </w:tc>
        <w:tc>
          <w:tcPr>
            <w:tcW w:w="1134" w:type="dxa"/>
            <w:tcBorders>
              <w:bottom w:val="nil"/>
            </w:tcBorders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0.607</w:t>
            </w:r>
          </w:p>
        </w:tc>
        <w:tc>
          <w:tcPr>
            <w:tcW w:w="2268" w:type="dxa"/>
            <w:tcBorders>
              <w:bottom w:val="nil"/>
            </w:tcBorders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40.0 (32.5-46.3)</w:t>
            </w:r>
          </w:p>
        </w:tc>
        <w:tc>
          <w:tcPr>
            <w:tcW w:w="992" w:type="dxa"/>
            <w:tcBorders>
              <w:bottom w:val="nil"/>
            </w:tcBorders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0.119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 w:rsidP="009870DF">
            <w:pPr>
              <w:spacing w:line="360" w:lineRule="auto"/>
              <w:ind w:firstLineChars="109" w:firstLine="2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6 months </w:t>
            </w:r>
          </w:p>
        </w:tc>
        <w:tc>
          <w:tcPr>
            <w:tcW w:w="2376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41.3 (35.0-47.5)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0.028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42.5 (36.3-47.5)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0.201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pStyle w:val="NormalWeb"/>
              <w:widowControl/>
              <w:spacing w:beforeAutospacing="0" w:afterAutospacing="0" w:line="360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ZCBS score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2686B" w:rsidRDefault="00A2686B">
            <w:pPr>
              <w:spacing w:line="360" w:lineRule="auto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A2686B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686B" w:rsidRDefault="00A2686B">
            <w:pPr>
              <w:spacing w:line="360" w:lineRule="auto"/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A2686B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 w:rsidP="009870DF">
            <w:pPr>
              <w:spacing w:line="360" w:lineRule="auto"/>
              <w:ind w:firstLineChars="109" w:firstLine="2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Baseline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22.0 </w:t>
            </w:r>
            <w:r>
              <w:rPr>
                <w:rFonts w:ascii="Arial" w:hAnsi="Arial" w:cs="Arial"/>
                <w:sz w:val="22"/>
              </w:rPr>
              <w:t>(14.0-30.0)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-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22.5 (14.3-30.0)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-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 w:rsidP="009870DF">
            <w:pPr>
              <w:spacing w:line="360" w:lineRule="auto"/>
              <w:ind w:firstLineChars="109" w:firstLine="2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 month </w:t>
            </w:r>
          </w:p>
        </w:tc>
        <w:tc>
          <w:tcPr>
            <w:tcW w:w="2376" w:type="dxa"/>
            <w:tcBorders>
              <w:top w:val="nil"/>
              <w:bottom w:val="nil"/>
            </w:tcBorders>
            <w:vAlign w:val="bottom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23.0 (13.0-33.3)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0.367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23.5 (16.0-34.0)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0.188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 w:rsidP="009870DF">
            <w:pPr>
              <w:spacing w:line="360" w:lineRule="auto"/>
              <w:ind w:firstLineChars="109" w:firstLine="2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 months </w:t>
            </w:r>
          </w:p>
        </w:tc>
        <w:tc>
          <w:tcPr>
            <w:tcW w:w="2376" w:type="dxa"/>
            <w:tcBorders>
              <w:top w:val="nil"/>
              <w:bottom w:val="nil"/>
            </w:tcBorders>
            <w:vAlign w:val="bottom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23.0 (15.0-33.0)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0.227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bottom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22.0 (13.0-32.0)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0.632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 w:rsidP="009870DF">
            <w:pPr>
              <w:spacing w:line="360" w:lineRule="auto"/>
              <w:ind w:firstLineChars="109" w:firstLine="2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6 months </w:t>
            </w:r>
          </w:p>
        </w:tc>
        <w:tc>
          <w:tcPr>
            <w:tcW w:w="2376" w:type="dxa"/>
            <w:tcBorders>
              <w:top w:val="nil"/>
              <w:bottom w:val="single" w:sz="4" w:space="0" w:color="auto"/>
            </w:tcBorders>
            <w:vAlign w:val="bottom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18.5 (11.0-31.0)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bottom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0.103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vAlign w:val="bottom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23.5 (17.0-34.0)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0.206</w:t>
            </w:r>
          </w:p>
        </w:tc>
      </w:tr>
      <w:tr w:rsidR="00A2686B">
        <w:trPr>
          <w:trHeight w:val="469"/>
        </w:trPr>
        <w:tc>
          <w:tcPr>
            <w:tcW w:w="8474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SF-36 of total score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 w:rsidP="009870DF">
            <w:pPr>
              <w:spacing w:line="360" w:lineRule="auto"/>
              <w:ind w:firstLineChars="109" w:firstLine="2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Baseline</w:t>
            </w:r>
          </w:p>
        </w:tc>
        <w:tc>
          <w:tcPr>
            <w:tcW w:w="2376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640.0 (552.5-706.5)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-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629.0 (532.5-686.0)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-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 w:rsidP="009870DF">
            <w:pPr>
              <w:spacing w:line="360" w:lineRule="auto"/>
              <w:ind w:firstLineChars="109" w:firstLine="2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 month </w:t>
            </w:r>
          </w:p>
        </w:tc>
        <w:tc>
          <w:tcPr>
            <w:tcW w:w="2376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641.0 (536.0-707.5)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0.843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623.0 (502.5-677.0)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0.538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 w:rsidP="009870DF">
            <w:pPr>
              <w:spacing w:line="360" w:lineRule="auto"/>
              <w:ind w:firstLineChars="109" w:firstLine="2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 months </w:t>
            </w:r>
          </w:p>
        </w:tc>
        <w:tc>
          <w:tcPr>
            <w:tcW w:w="2376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666.0 (561.5-708.5)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0.364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627.0 (515.5-688.5)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0.827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 w:rsidP="009870DF">
            <w:pPr>
              <w:spacing w:line="360" w:lineRule="auto"/>
              <w:ind w:firstLineChars="109" w:firstLine="2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6 months </w:t>
            </w:r>
          </w:p>
        </w:tc>
        <w:tc>
          <w:tcPr>
            <w:tcW w:w="2376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678.0 (611.5-733.5)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bottom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0.001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629.0 (519.5-683.5)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0.888</w:t>
            </w:r>
          </w:p>
        </w:tc>
      </w:tr>
      <w:tr w:rsidR="00A2686B">
        <w:trPr>
          <w:trHeight w:val="489"/>
        </w:trPr>
        <w:tc>
          <w:tcPr>
            <w:tcW w:w="8474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SF-36 of physical component score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 w:rsidP="009870DF">
            <w:pPr>
              <w:spacing w:line="360" w:lineRule="auto"/>
              <w:ind w:firstLineChars="109" w:firstLine="2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Baseline</w:t>
            </w:r>
          </w:p>
        </w:tc>
        <w:tc>
          <w:tcPr>
            <w:tcW w:w="2376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339.0 (304.0-369.0)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-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348.0 (288.0-370.0)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-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 w:rsidP="009870DF">
            <w:pPr>
              <w:spacing w:line="360" w:lineRule="auto"/>
              <w:ind w:firstLineChars="109" w:firstLine="2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 month </w:t>
            </w:r>
          </w:p>
        </w:tc>
        <w:tc>
          <w:tcPr>
            <w:tcW w:w="2376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344.0 (293.0-374.0)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0.948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329.0 (277.5-362.0)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0.185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 w:rsidP="009870DF">
            <w:pPr>
              <w:spacing w:line="360" w:lineRule="auto"/>
              <w:ind w:firstLineChars="109" w:firstLine="2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 months </w:t>
            </w:r>
          </w:p>
        </w:tc>
        <w:tc>
          <w:tcPr>
            <w:tcW w:w="2376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347.0 (306.0-379.0)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0.498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329.0 (282.0-361.5)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0.257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 w:rsidP="009870DF">
            <w:pPr>
              <w:spacing w:line="360" w:lineRule="auto"/>
              <w:ind w:firstLineChars="109" w:firstLine="2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lastRenderedPageBreak/>
              <w:t>6 months </w:t>
            </w:r>
          </w:p>
        </w:tc>
        <w:tc>
          <w:tcPr>
            <w:tcW w:w="2376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359.0 (328.0-383.0)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0.002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338.0 (292.5-360.0)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0.896</w:t>
            </w:r>
          </w:p>
        </w:tc>
      </w:tr>
      <w:tr w:rsidR="00A2686B">
        <w:trPr>
          <w:trHeight w:val="495"/>
        </w:trPr>
        <w:tc>
          <w:tcPr>
            <w:tcW w:w="8474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SF-36 of mental </w:t>
            </w:r>
            <w:r>
              <w:rPr>
                <w:rFonts w:ascii="Arial" w:hAnsi="Arial" w:cs="Arial"/>
                <w:b/>
                <w:bCs/>
                <w:sz w:val="22"/>
              </w:rPr>
              <w:t>component score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 w:rsidP="009870DF">
            <w:pPr>
              <w:spacing w:line="360" w:lineRule="auto"/>
              <w:ind w:firstLineChars="109" w:firstLine="2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Baseline</w:t>
            </w:r>
          </w:p>
        </w:tc>
        <w:tc>
          <w:tcPr>
            <w:tcW w:w="2376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308.0 (242.5-308.0)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-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277.0 (237.5-327.0)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-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 w:rsidP="009870DF">
            <w:pPr>
              <w:spacing w:line="360" w:lineRule="auto"/>
              <w:ind w:firstLineChars="109" w:firstLine="2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 month </w:t>
            </w:r>
          </w:p>
        </w:tc>
        <w:tc>
          <w:tcPr>
            <w:tcW w:w="2376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302.0 (241.5-335.0)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0.720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291.0 (233.0-328.0)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0.860</w:t>
            </w:r>
          </w:p>
        </w:tc>
      </w:tr>
      <w:tr w:rsidR="00A2686B"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2686B" w:rsidRDefault="00FD386C" w:rsidP="009870DF">
            <w:pPr>
              <w:spacing w:line="360" w:lineRule="auto"/>
              <w:ind w:firstLineChars="109" w:firstLine="2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 months </w:t>
            </w:r>
          </w:p>
        </w:tc>
        <w:tc>
          <w:tcPr>
            <w:tcW w:w="2376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310.0 (255.5-337.0)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0.303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294.0 (243.0-328.5)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0.629</w:t>
            </w:r>
          </w:p>
        </w:tc>
      </w:tr>
      <w:tr w:rsidR="00A2686B"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 w:rsidP="009870DF">
            <w:pPr>
              <w:spacing w:line="360" w:lineRule="auto"/>
              <w:ind w:firstLineChars="109" w:firstLine="2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6 months </w:t>
            </w:r>
          </w:p>
        </w:tc>
        <w:tc>
          <w:tcPr>
            <w:tcW w:w="2376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326.0 (287.5-349.5)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0.002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291.0 (224.5-325.0)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0.890</w:t>
            </w:r>
          </w:p>
        </w:tc>
      </w:tr>
    </w:tbl>
    <w:p w:rsidR="00A2686B" w:rsidRDefault="00FD386C">
      <w:pPr>
        <w:spacing w:line="360" w:lineRule="auto"/>
        <w:rPr>
          <w:rFonts w:ascii="Arial" w:hAnsi="Arial" w:cs="Arial"/>
          <w:sz w:val="22"/>
        </w:rPr>
      </w:pPr>
      <w:bookmarkStart w:id="44" w:name="_Hlk31119686"/>
      <w:r>
        <w:rPr>
          <w:rFonts w:ascii="Arial" w:hAnsi="Arial" w:cs="Arial"/>
          <w:sz w:val="22"/>
        </w:rPr>
        <w:t xml:space="preserve">Abbreviations: IQR, the interquartile range; SAS, Self-Rating Anxiety Scale; SF-36, 36-item short-form health survey; ZCBS, </w:t>
      </w:r>
      <w:proofErr w:type="spellStart"/>
      <w:r>
        <w:rPr>
          <w:rFonts w:ascii="Arial" w:hAnsi="Arial" w:cs="Arial"/>
          <w:sz w:val="22"/>
        </w:rPr>
        <w:t>Zarit</w:t>
      </w:r>
      <w:proofErr w:type="spellEnd"/>
      <w:r>
        <w:rPr>
          <w:rFonts w:ascii="Arial" w:hAnsi="Arial" w:cs="Arial"/>
          <w:sz w:val="22"/>
        </w:rPr>
        <w:t xml:space="preserve"> Caregiver Burden Scale</w:t>
      </w:r>
      <w:bookmarkEnd w:id="44"/>
      <w:r>
        <w:rPr>
          <w:rFonts w:ascii="Arial" w:hAnsi="Arial" w:cs="Arial"/>
          <w:sz w:val="22"/>
        </w:rPr>
        <w:t>.</w:t>
      </w:r>
    </w:p>
    <w:p w:rsidR="00A2686B" w:rsidRDefault="00FD386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A2686B" w:rsidRDefault="00A2686B">
      <w:pPr>
        <w:ind w:right="210"/>
        <w:rPr>
          <w:rFonts w:ascii="Arial" w:hAnsi="Arial" w:cs="Arial"/>
          <w:sz w:val="22"/>
          <w:szCs w:val="24"/>
        </w:rPr>
      </w:pPr>
    </w:p>
    <w:p w:rsidR="00A2686B" w:rsidRDefault="00FD386C">
      <w:pPr>
        <w:widowControl/>
        <w:jc w:val="left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br w:type="page"/>
      </w:r>
    </w:p>
    <w:p w:rsidR="00A2686B" w:rsidRDefault="00FD386C">
      <w:pPr>
        <w:pStyle w:val="Heading2"/>
        <w:spacing w:before="0" w:after="0" w:line="240" w:lineRule="auto"/>
        <w:rPr>
          <w:rFonts w:cs="Arial"/>
          <w:szCs w:val="22"/>
        </w:rPr>
      </w:pPr>
      <w:bookmarkStart w:id="45" w:name="_Toc10739"/>
      <w:bookmarkStart w:id="46" w:name="_Toc150241548"/>
      <w:bookmarkStart w:id="47" w:name="_Toc20996"/>
      <w:r>
        <w:rPr>
          <w:rFonts w:cs="Arial" w:hint="eastAsia"/>
          <w:szCs w:val="22"/>
        </w:rPr>
        <w:lastRenderedPageBreak/>
        <w:t>Table S</w:t>
      </w:r>
      <w:r>
        <w:rPr>
          <w:rFonts w:cs="Arial" w:hint="eastAsia"/>
          <w:szCs w:val="22"/>
        </w:rPr>
        <w:t>6</w:t>
      </w:r>
      <w:r>
        <w:rPr>
          <w:rFonts w:cs="Arial"/>
          <w:szCs w:val="22"/>
        </w:rPr>
        <w:t>. Characteristics of the enrolled CHD children</w:t>
      </w:r>
      <w:r>
        <w:rPr>
          <w:rFonts w:cs="Arial"/>
        </w:rPr>
        <w:t xml:space="preserve"> with various residencies</w:t>
      </w:r>
      <w:r>
        <w:rPr>
          <w:rFonts w:cs="Arial"/>
          <w:szCs w:val="22"/>
        </w:rPr>
        <w:t xml:space="preserve"> at baseline </w:t>
      </w:r>
      <w:r>
        <w:rPr>
          <w:rFonts w:cs="Arial" w:hint="eastAsia"/>
          <w:szCs w:val="22"/>
        </w:rPr>
        <w:t>(</w:t>
      </w:r>
      <w:r>
        <w:rPr>
          <w:rFonts w:cs="Arial"/>
          <w:szCs w:val="22"/>
        </w:rPr>
        <w:t>n=192)</w:t>
      </w:r>
      <w:bookmarkEnd w:id="45"/>
      <w:bookmarkEnd w:id="46"/>
      <w:bookmarkEnd w:id="47"/>
    </w:p>
    <w:tbl>
      <w:tblPr>
        <w:tblStyle w:val="TableGrid"/>
        <w:tblpPr w:leftFromText="180" w:rightFromText="180" w:vertAnchor="text" w:horzAnchor="page" w:tblpX="762" w:tblpY="301"/>
        <w:tblOverlap w:val="never"/>
        <w:tblW w:w="1073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0"/>
        <w:gridCol w:w="1080"/>
        <w:gridCol w:w="2570"/>
        <w:gridCol w:w="1190"/>
        <w:gridCol w:w="2510"/>
      </w:tblGrid>
      <w:tr w:rsidR="00A2686B">
        <w:trPr>
          <w:trHeight w:val="421"/>
        </w:trPr>
        <w:tc>
          <w:tcPr>
            <w:tcW w:w="3380" w:type="dxa"/>
            <w:vMerge w:val="restart"/>
            <w:tcBorders>
              <w:top w:val="single" w:sz="4" w:space="0" w:color="auto"/>
            </w:tcBorders>
          </w:tcPr>
          <w:p w:rsidR="00A2686B" w:rsidRDefault="00A2686B">
            <w:pPr>
              <w:adjustRightInd w:val="0"/>
              <w:snapToGrid w:val="0"/>
              <w:rPr>
                <w:rFonts w:ascii="Arial" w:eastAsia="SimSun" w:hAnsi="Arial" w:cs="Arial"/>
                <w:b/>
                <w:bCs/>
                <w:kern w:val="0"/>
                <w:sz w:val="22"/>
              </w:rPr>
            </w:pPr>
          </w:p>
        </w:tc>
        <w:tc>
          <w:tcPr>
            <w:tcW w:w="3650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22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22"/>
              </w:rPr>
              <w:t>Shanghai</w:t>
            </w:r>
            <w:r>
              <w:rPr>
                <w:rFonts w:ascii="Arial" w:hAnsi="Arial" w:cs="Arial"/>
                <w:b/>
                <w:bCs/>
                <w:kern w:val="0"/>
                <w:sz w:val="22"/>
              </w:rPr>
              <w:t xml:space="preserve"> group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Non-Shanghai group</w:t>
            </w:r>
          </w:p>
        </w:tc>
      </w:tr>
      <w:tr w:rsidR="00A2686B">
        <w:trPr>
          <w:trHeight w:val="274"/>
        </w:trPr>
        <w:tc>
          <w:tcPr>
            <w:tcW w:w="3380" w:type="dxa"/>
            <w:vMerge/>
            <w:tcBorders>
              <w:bottom w:val="single" w:sz="4" w:space="0" w:color="auto"/>
            </w:tcBorders>
          </w:tcPr>
          <w:p w:rsidR="00A2686B" w:rsidRDefault="00A2686B">
            <w:pPr>
              <w:adjustRightInd w:val="0"/>
              <w:snapToGrid w:val="0"/>
              <w:rPr>
                <w:rFonts w:ascii="Arial" w:eastAsia="SimSun" w:hAnsi="Arial" w:cs="Arial"/>
                <w:b/>
                <w:bCs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No. of Patients</w:t>
            </w:r>
          </w:p>
        </w:tc>
        <w:tc>
          <w:tcPr>
            <w:tcW w:w="2570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Value</w:t>
            </w:r>
          </w:p>
        </w:tc>
        <w:tc>
          <w:tcPr>
            <w:tcW w:w="1190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No. of Patients</w:t>
            </w:r>
          </w:p>
        </w:tc>
        <w:tc>
          <w:tcPr>
            <w:tcW w:w="2510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Value</w:t>
            </w:r>
          </w:p>
        </w:tc>
      </w:tr>
      <w:tr w:rsidR="00A2686B">
        <w:tc>
          <w:tcPr>
            <w:tcW w:w="3380" w:type="dxa"/>
          </w:tcPr>
          <w:p w:rsidR="00A2686B" w:rsidRDefault="00FD386C">
            <w:pPr>
              <w:adjustRightInd w:val="0"/>
              <w:snapToGrid w:val="0"/>
              <w:jc w:val="left"/>
              <w:rPr>
                <w:rFonts w:ascii="Arial" w:hAnsi="Arial" w:cs="Arial"/>
                <w:b/>
                <w:bCs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Age, month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57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35.0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11.0-47.0)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135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32.0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18.0-44.0)</w:t>
            </w:r>
          </w:p>
        </w:tc>
      </w:tr>
      <w:tr w:rsidR="00A2686B">
        <w:tc>
          <w:tcPr>
            <w:tcW w:w="10730" w:type="dxa"/>
            <w:gridSpan w:val="5"/>
          </w:tcPr>
          <w:p w:rsidR="00A2686B" w:rsidRDefault="00FD386C">
            <w:pPr>
              <w:adjustRightInd w:val="0"/>
              <w:snapToGrid w:val="0"/>
              <w:jc w:val="left"/>
              <w:rPr>
                <w:rFonts w:ascii="Arial" w:hAnsi="Arial" w:cs="Arial"/>
                <w:b/>
                <w:bCs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Sex</w:t>
            </w:r>
          </w:p>
        </w:tc>
      </w:tr>
      <w:tr w:rsidR="00A2686B">
        <w:tc>
          <w:tcPr>
            <w:tcW w:w="33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Male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24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24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42.1%)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61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61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45.2%)</w:t>
            </w:r>
          </w:p>
        </w:tc>
      </w:tr>
      <w:tr w:rsidR="00A2686B">
        <w:tc>
          <w:tcPr>
            <w:tcW w:w="33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Female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33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33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57.9%)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74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74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54.8%)</w:t>
            </w:r>
          </w:p>
        </w:tc>
      </w:tr>
      <w:tr w:rsidR="00A2686B">
        <w:trPr>
          <w:trHeight w:val="416"/>
        </w:trPr>
        <w:tc>
          <w:tcPr>
            <w:tcW w:w="10730" w:type="dxa"/>
            <w:gridSpan w:val="5"/>
            <w:vAlign w:val="center"/>
          </w:tcPr>
          <w:p w:rsidR="00A2686B" w:rsidRDefault="00FD386C">
            <w:pPr>
              <w:pStyle w:val="NormalWeb"/>
              <w:widowControl/>
              <w:adjustRightInd w:val="0"/>
              <w:snapToGrid w:val="0"/>
              <w:spacing w:beforeAutospacing="0" w:afterAutospacing="0"/>
              <w:rPr>
                <w:rFonts w:ascii="Arial" w:hAnsi="Arial" w:cs="Arial"/>
                <w:kern w:val="2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Type of CHD</w:t>
            </w:r>
          </w:p>
        </w:tc>
      </w:tr>
      <w:tr w:rsidR="00A2686B">
        <w:tc>
          <w:tcPr>
            <w:tcW w:w="33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PDA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21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21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36.8%)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42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42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31.1%)</w:t>
            </w:r>
          </w:p>
        </w:tc>
      </w:tr>
      <w:tr w:rsidR="00A2686B">
        <w:trPr>
          <w:trHeight w:val="90"/>
        </w:trPr>
        <w:tc>
          <w:tcPr>
            <w:tcW w:w="33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PS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9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9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15.8%)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17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17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12.6%)</w:t>
            </w:r>
          </w:p>
        </w:tc>
      </w:tr>
      <w:tr w:rsidR="00A2686B">
        <w:trPr>
          <w:trHeight w:val="90"/>
        </w:trPr>
        <w:tc>
          <w:tcPr>
            <w:tcW w:w="33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VSD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16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16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28.1%)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49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49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36.3%)</w:t>
            </w:r>
          </w:p>
        </w:tc>
      </w:tr>
      <w:tr w:rsidR="00A2686B">
        <w:tc>
          <w:tcPr>
            <w:tcW w:w="33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ASD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11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11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19.3%)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27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27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20.0%)</w:t>
            </w:r>
          </w:p>
        </w:tc>
      </w:tr>
      <w:tr w:rsidR="00A2686B">
        <w:tc>
          <w:tcPr>
            <w:tcW w:w="10730" w:type="dxa"/>
            <w:gridSpan w:val="5"/>
          </w:tcPr>
          <w:p w:rsidR="00A2686B" w:rsidRDefault="00FD386C">
            <w:pPr>
              <w:adjustRightInd w:val="0"/>
              <w:snapToGrid w:val="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Motor developmental quotient</w:t>
            </w:r>
          </w:p>
        </w:tc>
      </w:tr>
      <w:tr w:rsidR="00A2686B">
        <w:trPr>
          <w:trHeight w:val="332"/>
        </w:trPr>
        <w:tc>
          <w:tcPr>
            <w:tcW w:w="33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GMQ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57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91.0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85.0-96.0)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135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91.0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85.0-96.0)</w:t>
            </w:r>
          </w:p>
        </w:tc>
      </w:tr>
      <w:tr w:rsidR="00A2686B">
        <w:trPr>
          <w:trHeight w:val="192"/>
        </w:trPr>
        <w:tc>
          <w:tcPr>
            <w:tcW w:w="33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FMQ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57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94.0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91.0-100.0)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135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94.0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91.0-100.0)</w:t>
            </w:r>
          </w:p>
        </w:tc>
      </w:tr>
      <w:tr w:rsidR="00A2686B">
        <w:trPr>
          <w:trHeight w:val="198"/>
        </w:trPr>
        <w:tc>
          <w:tcPr>
            <w:tcW w:w="33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TMQ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57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93.0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88.0-97.0)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135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92.0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89.0-96.0)</w:t>
            </w:r>
          </w:p>
        </w:tc>
      </w:tr>
      <w:tr w:rsidR="00A2686B">
        <w:trPr>
          <w:trHeight w:val="198"/>
        </w:trPr>
        <w:tc>
          <w:tcPr>
            <w:tcW w:w="10730" w:type="dxa"/>
            <w:gridSpan w:val="5"/>
          </w:tcPr>
          <w:p w:rsidR="00A2686B" w:rsidRDefault="00FD386C">
            <w:pPr>
              <w:adjustRightInd w:val="0"/>
              <w:snapToGrid w:val="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Modified Ross score</w:t>
            </w:r>
          </w:p>
        </w:tc>
      </w:tr>
      <w:tr w:rsidR="00A2686B">
        <w:trPr>
          <w:trHeight w:val="198"/>
        </w:trPr>
        <w:tc>
          <w:tcPr>
            <w:tcW w:w="33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0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24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24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42.1%)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52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52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38.5%)</w:t>
            </w:r>
          </w:p>
        </w:tc>
      </w:tr>
      <w:tr w:rsidR="00A2686B">
        <w:trPr>
          <w:trHeight w:val="198"/>
        </w:trPr>
        <w:tc>
          <w:tcPr>
            <w:tcW w:w="33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24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24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42.1%)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65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65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48.1%)</w:t>
            </w:r>
          </w:p>
        </w:tc>
      </w:tr>
      <w:tr w:rsidR="00A2686B">
        <w:trPr>
          <w:trHeight w:val="198"/>
        </w:trPr>
        <w:tc>
          <w:tcPr>
            <w:tcW w:w="33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2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9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9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15.8%)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18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18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13.3%)</w:t>
            </w:r>
          </w:p>
        </w:tc>
      </w:tr>
      <w:tr w:rsidR="00A2686B">
        <w:tc>
          <w:tcPr>
            <w:tcW w:w="10730" w:type="dxa"/>
            <w:gridSpan w:val="5"/>
          </w:tcPr>
          <w:p w:rsidR="00A2686B" w:rsidRDefault="00FD386C">
            <w:pPr>
              <w:adjustRightInd w:val="0"/>
              <w:snapToGrid w:val="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Cardiac structural indexes</w:t>
            </w:r>
          </w:p>
        </w:tc>
      </w:tr>
      <w:tr w:rsidR="00A2686B">
        <w:trPr>
          <w:trHeight w:val="198"/>
        </w:trPr>
        <w:tc>
          <w:tcPr>
            <w:tcW w:w="33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proofErr w:type="spellStart"/>
            <w:r>
              <w:rPr>
                <w:rFonts w:ascii="Arial" w:hAnsi="Arial" w:cs="Arial"/>
                <w:kern w:val="0"/>
                <w:sz w:val="22"/>
              </w:rPr>
              <w:t>LVDd</w:t>
            </w:r>
            <w:proofErr w:type="spellEnd"/>
            <w:r>
              <w:rPr>
                <w:rFonts w:ascii="Arial" w:hAnsi="Arial" w:cs="Arial"/>
                <w:kern w:val="0"/>
                <w:sz w:val="22"/>
              </w:rPr>
              <w:t>, mm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57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32.6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29.1-37.1)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135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33.0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29.4-36.0)</w:t>
            </w:r>
          </w:p>
        </w:tc>
      </w:tr>
      <w:tr w:rsidR="00A2686B">
        <w:trPr>
          <w:trHeight w:val="198"/>
        </w:trPr>
        <w:tc>
          <w:tcPr>
            <w:tcW w:w="33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LVDs, mm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57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21.2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19.2-23.9)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135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21.0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18.6-23.1)</w:t>
            </w:r>
          </w:p>
        </w:tc>
      </w:tr>
      <w:tr w:rsidR="00A2686B">
        <w:trPr>
          <w:trHeight w:val="198"/>
        </w:trPr>
        <w:tc>
          <w:tcPr>
            <w:tcW w:w="33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proofErr w:type="spellStart"/>
            <w:r>
              <w:rPr>
                <w:rFonts w:ascii="Arial" w:hAnsi="Arial" w:cs="Arial"/>
                <w:kern w:val="0"/>
                <w:sz w:val="22"/>
              </w:rPr>
              <w:t>LVPWd</w:t>
            </w:r>
            <w:proofErr w:type="spellEnd"/>
            <w:r>
              <w:rPr>
                <w:rFonts w:ascii="Arial" w:hAnsi="Arial" w:cs="Arial"/>
                <w:kern w:val="0"/>
                <w:sz w:val="22"/>
              </w:rPr>
              <w:t>, mm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57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4.6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4.0-5.1)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135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4.5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3.8-5.1)</w:t>
            </w:r>
          </w:p>
        </w:tc>
      </w:tr>
      <w:tr w:rsidR="00A2686B">
        <w:trPr>
          <w:trHeight w:val="198"/>
        </w:trPr>
        <w:tc>
          <w:tcPr>
            <w:tcW w:w="33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LVPWs, mm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57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7.7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7.0-9.0)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132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7.5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6.5-8.7)</w:t>
            </w:r>
          </w:p>
        </w:tc>
      </w:tr>
      <w:tr w:rsidR="00A2686B">
        <w:trPr>
          <w:trHeight w:val="198"/>
        </w:trPr>
        <w:tc>
          <w:tcPr>
            <w:tcW w:w="33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LVEF, %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57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69.0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65.0-70.5)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135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67.0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64.0-71.0)</w:t>
            </w:r>
          </w:p>
        </w:tc>
      </w:tr>
      <w:tr w:rsidR="00A2686B">
        <w:trPr>
          <w:trHeight w:val="198"/>
        </w:trPr>
        <w:tc>
          <w:tcPr>
            <w:tcW w:w="33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MPA, %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57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1.2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1.0-1.4)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135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1.2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1.0-1.4)</w:t>
            </w:r>
          </w:p>
        </w:tc>
      </w:tr>
      <w:tr w:rsidR="00A2686B">
        <w:trPr>
          <w:trHeight w:val="198"/>
        </w:trPr>
        <w:tc>
          <w:tcPr>
            <w:tcW w:w="33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MV, m/s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57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1.0-1.2)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135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1.0-1.2)</w:t>
            </w:r>
          </w:p>
        </w:tc>
      </w:tr>
      <w:tr w:rsidR="00A2686B">
        <w:trPr>
          <w:trHeight w:val="198"/>
        </w:trPr>
        <w:tc>
          <w:tcPr>
            <w:tcW w:w="33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TV, m/s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57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0.8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0.8-1.0)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135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0.8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0.8-0.9)</w:t>
            </w:r>
          </w:p>
        </w:tc>
      </w:tr>
      <w:tr w:rsidR="00A2686B">
        <w:trPr>
          <w:trHeight w:val="198"/>
        </w:trPr>
        <w:tc>
          <w:tcPr>
            <w:tcW w:w="10730" w:type="dxa"/>
            <w:gridSpan w:val="5"/>
          </w:tcPr>
          <w:p w:rsidR="00A2686B" w:rsidRDefault="00FD386C">
            <w:pPr>
              <w:adjustRightInd w:val="0"/>
              <w:snapToGrid w:val="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Bone quality</w:t>
            </w:r>
          </w:p>
        </w:tc>
      </w:tr>
      <w:tr w:rsidR="00A2686B">
        <w:trPr>
          <w:trHeight w:val="198"/>
        </w:trPr>
        <w:tc>
          <w:tcPr>
            <w:tcW w:w="33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SOS, m/s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57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3367.0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3103.5-3550.5)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133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3406.0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3264.5-3524.0)</w:t>
            </w:r>
          </w:p>
        </w:tc>
      </w:tr>
      <w:tr w:rsidR="00A2686B">
        <w:trPr>
          <w:trHeight w:val="198"/>
        </w:trPr>
        <w:tc>
          <w:tcPr>
            <w:tcW w:w="33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Bone strength percentile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57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46.0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29.5-73.5)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133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53.0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22.5-81.5)</w:t>
            </w:r>
          </w:p>
        </w:tc>
      </w:tr>
      <w:tr w:rsidR="00A2686B">
        <w:trPr>
          <w:trHeight w:val="198"/>
        </w:trPr>
        <w:tc>
          <w:tcPr>
            <w:tcW w:w="33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Z score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57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-0.1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-0.6-0.6)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133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0.1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-0.8-0.9)</w:t>
            </w:r>
          </w:p>
        </w:tc>
      </w:tr>
      <w:tr w:rsidR="00A2686B">
        <w:trPr>
          <w:trHeight w:val="198"/>
        </w:trPr>
        <w:tc>
          <w:tcPr>
            <w:tcW w:w="10730" w:type="dxa"/>
            <w:gridSpan w:val="5"/>
          </w:tcPr>
          <w:p w:rsidR="00A2686B" w:rsidRDefault="00FD386C">
            <w:pPr>
              <w:adjustRightInd w:val="0"/>
              <w:snapToGrid w:val="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SAS score</w:t>
            </w:r>
          </w:p>
        </w:tc>
      </w:tr>
      <w:tr w:rsidR="00A2686B">
        <w:trPr>
          <w:trHeight w:val="198"/>
        </w:trPr>
        <w:tc>
          <w:tcPr>
            <w:tcW w:w="33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Rude score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55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30.0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25.0-36.0)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133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32.0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27.5-38.0)</w:t>
            </w:r>
          </w:p>
        </w:tc>
      </w:tr>
      <w:tr w:rsidR="00A2686B">
        <w:trPr>
          <w:trHeight w:val="198"/>
        </w:trPr>
        <w:tc>
          <w:tcPr>
            <w:tcW w:w="33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Standard score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55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37.5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31.3-45.0)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133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40.0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34.4-47.5)</w:t>
            </w:r>
          </w:p>
        </w:tc>
      </w:tr>
      <w:tr w:rsidR="00A2686B">
        <w:trPr>
          <w:trHeight w:val="198"/>
        </w:trPr>
        <w:tc>
          <w:tcPr>
            <w:tcW w:w="3380" w:type="dxa"/>
          </w:tcPr>
          <w:p w:rsidR="00A2686B" w:rsidRDefault="00FD386C">
            <w:pPr>
              <w:adjustRightInd w:val="0"/>
              <w:snapToGrid w:val="0"/>
              <w:jc w:val="left"/>
              <w:rPr>
                <w:rFonts w:ascii="Arial" w:hAnsi="Arial" w:cs="Arial"/>
                <w:b/>
                <w:bCs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ZCBS score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57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23.0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15.5-31.0)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133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22.0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14.0-30.0)</w:t>
            </w:r>
          </w:p>
        </w:tc>
      </w:tr>
      <w:tr w:rsidR="00A2686B">
        <w:tc>
          <w:tcPr>
            <w:tcW w:w="10730" w:type="dxa"/>
            <w:gridSpan w:val="5"/>
          </w:tcPr>
          <w:p w:rsidR="00A2686B" w:rsidRDefault="00FD386C">
            <w:pPr>
              <w:adjustRightInd w:val="0"/>
              <w:snapToGrid w:val="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SF-36 score</w:t>
            </w:r>
          </w:p>
        </w:tc>
      </w:tr>
      <w:tr w:rsidR="00A2686B">
        <w:trPr>
          <w:trHeight w:val="198"/>
        </w:trPr>
        <w:tc>
          <w:tcPr>
            <w:tcW w:w="33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PCS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57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340.0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278.5-368.0)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135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340.0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304.0-370.0)</w:t>
            </w:r>
          </w:p>
        </w:tc>
      </w:tr>
      <w:tr w:rsidR="00A2686B">
        <w:trPr>
          <w:trHeight w:val="198"/>
        </w:trPr>
        <w:tc>
          <w:tcPr>
            <w:tcW w:w="33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MCS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57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290.0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246.5-329.5)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135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284.0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227.0-332.0)</w:t>
            </w:r>
          </w:p>
        </w:tc>
      </w:tr>
      <w:tr w:rsidR="00A2686B">
        <w:trPr>
          <w:trHeight w:val="198"/>
        </w:trPr>
        <w:tc>
          <w:tcPr>
            <w:tcW w:w="33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Total score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57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629.0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526.5-695.0)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135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628.0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531.0-705.0)</w:t>
            </w:r>
          </w:p>
        </w:tc>
      </w:tr>
      <w:tr w:rsidR="00A2686B">
        <w:trPr>
          <w:trHeight w:val="340"/>
        </w:trPr>
        <w:tc>
          <w:tcPr>
            <w:tcW w:w="10730" w:type="dxa"/>
            <w:gridSpan w:val="5"/>
          </w:tcPr>
          <w:p w:rsidR="00A2686B" w:rsidRDefault="00FD386C">
            <w:pPr>
              <w:adjustRightInd w:val="0"/>
              <w:snapToGrid w:val="0"/>
              <w:jc w:val="left"/>
              <w:rPr>
                <w:rFonts w:ascii="Arial" w:hAnsi="Arial" w:cs="Arial"/>
                <w:kern w:val="0"/>
                <w:sz w:val="22"/>
              </w:rPr>
            </w:pPr>
            <w:bookmarkStart w:id="48" w:name="_Hlk30502338"/>
            <w:r>
              <w:rPr>
                <w:rFonts w:ascii="Arial" w:hAnsi="Arial" w:cs="Arial"/>
                <w:b/>
                <w:bCs/>
                <w:kern w:val="0"/>
                <w:sz w:val="22"/>
              </w:rPr>
              <w:t>Physical development indicators</w:t>
            </w:r>
            <w:bookmarkEnd w:id="48"/>
          </w:p>
        </w:tc>
      </w:tr>
      <w:tr w:rsidR="00A2686B">
        <w:trPr>
          <w:trHeight w:val="340"/>
        </w:trPr>
        <w:tc>
          <w:tcPr>
            <w:tcW w:w="33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Weight, kg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57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15.0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9.2-17.0)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135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14.0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10.0-16.5)</w:t>
            </w:r>
          </w:p>
        </w:tc>
      </w:tr>
      <w:tr w:rsidR="00A2686B">
        <w:trPr>
          <w:trHeight w:val="340"/>
        </w:trPr>
        <w:tc>
          <w:tcPr>
            <w:tcW w:w="33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Height, cm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57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95.0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72.3-105.0)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135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92.0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80.0-100.7)</w:t>
            </w:r>
          </w:p>
        </w:tc>
      </w:tr>
      <w:tr w:rsidR="00A2686B">
        <w:trPr>
          <w:trHeight w:val="340"/>
        </w:trPr>
        <w:tc>
          <w:tcPr>
            <w:tcW w:w="33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BMI, kg/m</w:t>
            </w:r>
            <w:r>
              <w:rPr>
                <w:rFonts w:ascii="Arial" w:hAnsi="Arial" w:cs="Arial"/>
                <w:kern w:val="0"/>
                <w:sz w:val="22"/>
                <w:vertAlign w:val="superscript"/>
              </w:rPr>
              <w:t>2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57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16.5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15.8-17.3)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135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16.1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15.0-17.6)</w:t>
            </w:r>
          </w:p>
        </w:tc>
      </w:tr>
      <w:tr w:rsidR="00A2686B">
        <w:trPr>
          <w:trHeight w:val="340"/>
        </w:trPr>
        <w:tc>
          <w:tcPr>
            <w:tcW w:w="33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 xml:space="preserve">Upper-arm </w:t>
            </w:r>
            <w:r>
              <w:rPr>
                <w:rFonts w:ascii="Arial" w:hAnsi="Arial" w:cs="Arial" w:hint="eastAsia"/>
                <w:kern w:val="0"/>
                <w:sz w:val="22"/>
              </w:rPr>
              <w:t>c</w:t>
            </w:r>
            <w:r>
              <w:rPr>
                <w:rFonts w:ascii="Arial" w:hAnsi="Arial" w:cs="Arial"/>
                <w:kern w:val="0"/>
                <w:sz w:val="22"/>
              </w:rPr>
              <w:t>irc</w:t>
            </w:r>
            <w:r>
              <w:rPr>
                <w:rFonts w:ascii="Arial" w:hAnsi="Arial" w:cs="Arial" w:hint="eastAsia"/>
                <w:kern w:val="0"/>
                <w:sz w:val="22"/>
              </w:rPr>
              <w:t>umference</w:t>
            </w:r>
            <w:r>
              <w:rPr>
                <w:rFonts w:ascii="Arial" w:hAnsi="Arial" w:cs="Arial"/>
                <w:kern w:val="0"/>
                <w:sz w:val="22"/>
              </w:rPr>
              <w:t>, cm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57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16.0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15.0-17.0)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134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16.0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15.0-17.0)</w:t>
            </w:r>
          </w:p>
        </w:tc>
      </w:tr>
      <w:tr w:rsidR="00A2686B">
        <w:trPr>
          <w:trHeight w:val="340"/>
        </w:trPr>
        <w:tc>
          <w:tcPr>
            <w:tcW w:w="33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 xml:space="preserve">Head </w:t>
            </w:r>
            <w:r>
              <w:rPr>
                <w:rFonts w:ascii="Arial" w:hAnsi="Arial" w:cs="Arial" w:hint="eastAsia"/>
                <w:kern w:val="0"/>
                <w:sz w:val="22"/>
              </w:rPr>
              <w:t>c</w:t>
            </w:r>
            <w:r>
              <w:rPr>
                <w:rFonts w:ascii="Arial" w:hAnsi="Arial" w:cs="Arial"/>
                <w:kern w:val="0"/>
                <w:sz w:val="22"/>
              </w:rPr>
              <w:t>irc</w:t>
            </w:r>
            <w:r>
              <w:rPr>
                <w:rFonts w:ascii="Arial" w:hAnsi="Arial" w:cs="Arial" w:hint="eastAsia"/>
                <w:kern w:val="0"/>
                <w:sz w:val="22"/>
              </w:rPr>
              <w:t>umference</w:t>
            </w:r>
            <w:r>
              <w:rPr>
                <w:rFonts w:ascii="Arial" w:hAnsi="Arial" w:cs="Arial"/>
                <w:kern w:val="0"/>
                <w:sz w:val="22"/>
              </w:rPr>
              <w:t>, cm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57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49.0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45.0-50.0)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134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48.0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45.4-49.8)</w:t>
            </w:r>
          </w:p>
        </w:tc>
      </w:tr>
      <w:tr w:rsidR="00A2686B">
        <w:trPr>
          <w:trHeight w:val="340"/>
        </w:trPr>
        <w:tc>
          <w:tcPr>
            <w:tcW w:w="33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lastRenderedPageBreak/>
              <w:t xml:space="preserve">Chest </w:t>
            </w:r>
            <w:r>
              <w:rPr>
                <w:rFonts w:ascii="Arial" w:hAnsi="Arial" w:cs="Arial" w:hint="eastAsia"/>
                <w:kern w:val="0"/>
                <w:sz w:val="22"/>
              </w:rPr>
              <w:t>c</w:t>
            </w:r>
            <w:r>
              <w:rPr>
                <w:rFonts w:ascii="Arial" w:hAnsi="Arial" w:cs="Arial"/>
                <w:kern w:val="0"/>
                <w:sz w:val="22"/>
              </w:rPr>
              <w:t>irc</w:t>
            </w:r>
            <w:r>
              <w:rPr>
                <w:rFonts w:ascii="Arial" w:hAnsi="Arial" w:cs="Arial" w:hint="eastAsia"/>
                <w:kern w:val="0"/>
                <w:sz w:val="22"/>
              </w:rPr>
              <w:t>umference</w:t>
            </w:r>
            <w:r>
              <w:rPr>
                <w:rFonts w:ascii="Arial" w:hAnsi="Arial" w:cs="Arial"/>
                <w:kern w:val="0"/>
                <w:sz w:val="22"/>
              </w:rPr>
              <w:t>, cm</w:t>
            </w:r>
          </w:p>
        </w:tc>
        <w:tc>
          <w:tcPr>
            <w:tcW w:w="108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57</w:t>
            </w:r>
          </w:p>
        </w:tc>
        <w:tc>
          <w:tcPr>
            <w:tcW w:w="257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50.0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46.3-53.0)</w:t>
            </w:r>
          </w:p>
        </w:tc>
        <w:tc>
          <w:tcPr>
            <w:tcW w:w="119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134</w:t>
            </w:r>
          </w:p>
        </w:tc>
        <w:tc>
          <w:tcPr>
            <w:tcW w:w="2510" w:type="dxa"/>
          </w:tcPr>
          <w:p w:rsidR="00A2686B" w:rsidRDefault="00FD386C">
            <w:pPr>
              <w:adjustRightInd w:val="0"/>
              <w:snapToGrid w:val="0"/>
              <w:ind w:firstLineChars="100" w:firstLine="22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50.0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(</w:t>
            </w:r>
            <w:r>
              <w:rPr>
                <w:rFonts w:ascii="Arial" w:hAnsi="Arial" w:cs="Arial"/>
                <w:kern w:val="0"/>
                <w:sz w:val="22"/>
              </w:rPr>
              <w:t>47.0-54.0)</w:t>
            </w:r>
          </w:p>
        </w:tc>
      </w:tr>
    </w:tbl>
    <w:p w:rsidR="00A2686B" w:rsidRDefault="00A2686B">
      <w:pPr>
        <w:jc w:val="left"/>
        <w:rPr>
          <w:rFonts w:ascii="Arial" w:hAnsi="Arial" w:cs="Arial"/>
          <w:sz w:val="22"/>
        </w:rPr>
      </w:pPr>
    </w:p>
    <w:p w:rsidR="00A2686B" w:rsidRDefault="00FD386C">
      <w:pPr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Data are n</w:t>
      </w:r>
      <w:r>
        <w:rPr>
          <w:rFonts w:ascii="Arial" w:hAnsi="Arial" w:cs="Arial" w:hint="eastAsia"/>
          <w:sz w:val="22"/>
        </w:rPr>
        <w:t xml:space="preserve"> (</w:t>
      </w:r>
      <w:proofErr w:type="gramStart"/>
      <w:r>
        <w:rPr>
          <w:rFonts w:ascii="Arial" w:hAnsi="Arial" w:cs="Arial"/>
          <w:sz w:val="22"/>
        </w:rPr>
        <w:t>%</w:t>
      </w:r>
      <w:proofErr w:type="gramEnd"/>
      <w:r>
        <w:rPr>
          <w:rFonts w:ascii="Arial" w:hAnsi="Arial" w:cs="Arial"/>
          <w:sz w:val="22"/>
        </w:rPr>
        <w:t>), median</w:t>
      </w:r>
      <w:r>
        <w:rPr>
          <w:rFonts w:ascii="Arial" w:hAnsi="Arial" w:cs="Arial" w:hint="eastAsia"/>
          <w:sz w:val="22"/>
        </w:rPr>
        <w:t xml:space="preserve"> (</w:t>
      </w:r>
      <w:r>
        <w:rPr>
          <w:rFonts w:ascii="Arial" w:hAnsi="Arial" w:cs="Arial"/>
          <w:sz w:val="22"/>
        </w:rPr>
        <w:t xml:space="preserve">IQR). </w:t>
      </w:r>
      <w:proofErr w:type="spellStart"/>
      <w:r>
        <w:rPr>
          <w:rFonts w:ascii="Arial" w:hAnsi="Arial" w:cs="Arial"/>
          <w:sz w:val="22"/>
        </w:rPr>
        <w:t>Ao</w:t>
      </w:r>
      <w:proofErr w:type="spellEnd"/>
      <w:r>
        <w:rPr>
          <w:rFonts w:ascii="Arial" w:hAnsi="Arial" w:cs="Arial"/>
          <w:sz w:val="22"/>
        </w:rPr>
        <w:t>=</w:t>
      </w:r>
      <w:proofErr w:type="spellStart"/>
      <w:r>
        <w:rPr>
          <w:rFonts w:ascii="Arial" w:hAnsi="Arial" w:cs="Arial"/>
          <w:sz w:val="22"/>
        </w:rPr>
        <w:t>Aort</w:t>
      </w:r>
      <w:proofErr w:type="spellEnd"/>
      <w:r>
        <w:rPr>
          <w:rFonts w:ascii="Arial" w:hAnsi="Arial" w:cs="Arial"/>
          <w:sz w:val="22"/>
        </w:rPr>
        <w:t xml:space="preserve">. CHD= Congenital heart disease. PDA= Patent ductus </w:t>
      </w:r>
      <w:proofErr w:type="spellStart"/>
      <w:r>
        <w:rPr>
          <w:rFonts w:ascii="Arial" w:hAnsi="Arial" w:cs="Arial"/>
          <w:sz w:val="22"/>
        </w:rPr>
        <w:t>arteriosis</w:t>
      </w:r>
      <w:proofErr w:type="spellEnd"/>
      <w:r>
        <w:rPr>
          <w:rFonts w:ascii="Arial" w:hAnsi="Arial" w:cs="Arial"/>
          <w:sz w:val="22"/>
        </w:rPr>
        <w:t xml:space="preserve">. PS= Pulmonary stenosis. VSD= Ventricular septal defect. ASD= Atrial septal defect. GMQ= gross motor quotient. FMQ= fine motor quotient. TMQ= total motor quotient. </w:t>
      </w:r>
      <w:proofErr w:type="spellStart"/>
      <w:r>
        <w:rPr>
          <w:rFonts w:ascii="Arial" w:hAnsi="Arial" w:cs="Arial"/>
          <w:sz w:val="22"/>
        </w:rPr>
        <w:t>LVDd</w:t>
      </w:r>
      <w:proofErr w:type="spellEnd"/>
      <w:r>
        <w:rPr>
          <w:rFonts w:ascii="Arial" w:hAnsi="Arial" w:cs="Arial"/>
          <w:sz w:val="22"/>
        </w:rPr>
        <w:t>=left ventri</w:t>
      </w:r>
      <w:r>
        <w:rPr>
          <w:rFonts w:ascii="Arial" w:hAnsi="Arial" w:cs="Arial"/>
          <w:sz w:val="22"/>
        </w:rPr>
        <w:t xml:space="preserve">cular end diastolic dimension. LVDs= left ventricular end-systolic dimension. </w:t>
      </w:r>
      <w:proofErr w:type="spellStart"/>
      <w:r>
        <w:rPr>
          <w:rFonts w:ascii="Arial" w:hAnsi="Arial" w:cs="Arial"/>
          <w:sz w:val="22"/>
        </w:rPr>
        <w:t>LVPWd</w:t>
      </w:r>
      <w:proofErr w:type="spellEnd"/>
      <w:r>
        <w:rPr>
          <w:rFonts w:ascii="Arial" w:hAnsi="Arial" w:cs="Arial"/>
          <w:sz w:val="22"/>
        </w:rPr>
        <w:t>=left ventricular posterior wall depth. LVPWs= left ventricular posterior wall thickness at end-systole. LVEF= left ventricular ejection fraction. MPA= main pulmonary artery</w:t>
      </w:r>
      <w:r>
        <w:rPr>
          <w:rFonts w:ascii="Arial" w:hAnsi="Arial" w:cs="Arial"/>
          <w:sz w:val="22"/>
        </w:rPr>
        <w:t xml:space="preserve"> diameter. MV= mitral blood flow velocity. TV= tricuspid blood flow velocity. SOS= speed of sound. SAS= Self-Rating Anxiety Scale. ZCBS= </w:t>
      </w:r>
      <w:proofErr w:type="spellStart"/>
      <w:r>
        <w:rPr>
          <w:rFonts w:ascii="Arial" w:hAnsi="Arial" w:cs="Arial"/>
          <w:sz w:val="22"/>
        </w:rPr>
        <w:t>Zarit</w:t>
      </w:r>
      <w:proofErr w:type="spellEnd"/>
      <w:r>
        <w:rPr>
          <w:rFonts w:ascii="Arial" w:hAnsi="Arial" w:cs="Arial"/>
          <w:sz w:val="22"/>
        </w:rPr>
        <w:t xml:space="preserve"> Caregiver Burden Scale. SF-36= Short Form 36-item Health Survey. PCS= physical component summary. MCS= mental com</w:t>
      </w:r>
      <w:r>
        <w:rPr>
          <w:rFonts w:ascii="Arial" w:hAnsi="Arial" w:cs="Arial"/>
          <w:sz w:val="22"/>
        </w:rPr>
        <w:t xml:space="preserve">ponent summary. BMI= </w:t>
      </w:r>
      <w:r>
        <w:rPr>
          <w:rFonts w:ascii="Arial" w:hAnsi="Arial" w:cs="Arial" w:hint="eastAsia"/>
          <w:sz w:val="22"/>
        </w:rPr>
        <w:t>body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mass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index.</w:t>
      </w:r>
    </w:p>
    <w:p w:rsidR="00A2686B" w:rsidRDefault="00A2686B">
      <w:pPr>
        <w:rPr>
          <w:rFonts w:ascii="Times New Roman" w:hAnsi="Times New Roman" w:cs="Times New Roman"/>
          <w:sz w:val="20"/>
          <w:szCs w:val="20"/>
        </w:rPr>
      </w:pPr>
    </w:p>
    <w:p w:rsidR="00A2686B" w:rsidRDefault="00A2686B">
      <w:pPr>
        <w:ind w:right="210"/>
        <w:rPr>
          <w:rFonts w:ascii="Arial" w:hAnsi="Arial" w:cs="Arial"/>
          <w:sz w:val="22"/>
          <w:szCs w:val="24"/>
        </w:rPr>
      </w:pPr>
    </w:p>
    <w:p w:rsidR="00A2686B" w:rsidRDefault="00FD386C">
      <w:pPr>
        <w:widowControl/>
        <w:jc w:val="left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br w:type="page"/>
      </w:r>
    </w:p>
    <w:p w:rsidR="00A2686B" w:rsidRDefault="00FD386C">
      <w:pPr>
        <w:pStyle w:val="Heading2"/>
        <w:spacing w:before="0" w:after="0" w:line="240" w:lineRule="auto"/>
        <w:jc w:val="left"/>
        <w:rPr>
          <w:rFonts w:cs="Arial"/>
          <w:szCs w:val="22"/>
        </w:rPr>
      </w:pPr>
      <w:bookmarkStart w:id="49" w:name="_Toc150241549"/>
      <w:bookmarkStart w:id="50" w:name="_Toc27115"/>
      <w:bookmarkStart w:id="51" w:name="_Toc18150"/>
      <w:r>
        <w:rPr>
          <w:rFonts w:cs="Arial" w:hint="eastAsia"/>
          <w:szCs w:val="22"/>
        </w:rPr>
        <w:lastRenderedPageBreak/>
        <w:t>Table S</w:t>
      </w:r>
      <w:r>
        <w:rPr>
          <w:rFonts w:cs="Arial" w:hint="eastAsia"/>
          <w:szCs w:val="22"/>
        </w:rPr>
        <w:t>7</w:t>
      </w:r>
      <w:r>
        <w:rPr>
          <w:rFonts w:cs="Arial"/>
          <w:szCs w:val="22"/>
        </w:rPr>
        <w:t>. Outcomes of the CHD children</w:t>
      </w:r>
      <w:r>
        <w:rPr>
          <w:rFonts w:cs="Arial"/>
        </w:rPr>
        <w:t xml:space="preserve"> with various residencies</w:t>
      </w:r>
      <w:r>
        <w:rPr>
          <w:rFonts w:cs="Arial"/>
          <w:szCs w:val="22"/>
        </w:rPr>
        <w:t xml:space="preserve"> in the intervention group and the control group separately</w:t>
      </w:r>
      <w:bookmarkEnd w:id="49"/>
      <w:bookmarkEnd w:id="50"/>
      <w:bookmarkEnd w:id="51"/>
    </w:p>
    <w:p w:rsidR="00A2686B" w:rsidRDefault="00FD386C">
      <w:pPr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Approximately 70% of patients in this study were from other regions outside Shanghai, we tested if there were significant </w:t>
      </w:r>
      <w:r>
        <w:rPr>
          <w:rFonts w:ascii="Arial" w:eastAsia="DengXian" w:hAnsi="Arial" w:cs="Arial"/>
          <w:sz w:val="22"/>
        </w:rPr>
        <w:t>differences</w:t>
      </w:r>
      <w:r>
        <w:rPr>
          <w:rFonts w:ascii="Arial" w:hAnsi="Arial" w:cs="Arial"/>
          <w:sz w:val="22"/>
        </w:rPr>
        <w:t xml:space="preserve"> in the preoperative assessment findings among the CHD patients between the Shanghai residents and non-Shanghai residents i</w:t>
      </w:r>
      <w:r>
        <w:rPr>
          <w:rFonts w:ascii="Arial" w:hAnsi="Arial" w:cs="Arial"/>
          <w:sz w:val="22"/>
        </w:rPr>
        <w:t>n the intervention group or the control group separately. In this study, participating families who did not live locally only traveled to Shanghai for catheterization and postoperative assessments; daily rehabilitating exercises during</w:t>
      </w:r>
      <w:r>
        <w:rPr>
          <w:rFonts w:ascii="Arial" w:eastAsia="DengXian" w:hAnsi="Arial" w:cs="Arial"/>
          <w:sz w:val="22"/>
        </w:rPr>
        <w:t xml:space="preserve"> the</w:t>
      </w:r>
      <w:r>
        <w:rPr>
          <w:rFonts w:ascii="Arial" w:hAnsi="Arial" w:cs="Arial"/>
          <w:sz w:val="22"/>
        </w:rPr>
        <w:t xml:space="preserve"> 6-month study pe</w:t>
      </w:r>
      <w:r>
        <w:rPr>
          <w:rFonts w:ascii="Arial" w:hAnsi="Arial" w:cs="Arial"/>
          <w:sz w:val="22"/>
        </w:rPr>
        <w:t xml:space="preserve">riod were completed under the remote guidance and supervision of the study team in Shanghai via WeChat and phone calls.  </w:t>
      </w:r>
    </w:p>
    <w:p w:rsidR="00A2686B" w:rsidRDefault="00A2686B"/>
    <w:p w:rsidR="00A2686B" w:rsidRDefault="00A2686B"/>
    <w:p w:rsidR="00A2686B" w:rsidRDefault="00FD386C">
      <w:pPr>
        <w:widowControl/>
        <w:jc w:val="left"/>
        <w:rPr>
          <w:rFonts w:ascii="Arial" w:hAnsi="Arial" w:cs="Arial"/>
          <w:b/>
          <w:bCs/>
          <w:kern w:val="0"/>
          <w:sz w:val="22"/>
        </w:rPr>
      </w:pPr>
      <w:r>
        <w:br w:type="page"/>
      </w:r>
    </w:p>
    <w:p w:rsidR="00A2686B" w:rsidRDefault="00FD386C">
      <w:pPr>
        <w:pStyle w:val="Heading3"/>
        <w:ind w:left="0"/>
        <w:rPr>
          <w:szCs w:val="22"/>
        </w:rPr>
      </w:pPr>
      <w:bookmarkStart w:id="52" w:name="_Toc12073"/>
      <w:bookmarkStart w:id="53" w:name="_Toc150241550"/>
      <w:bookmarkStart w:id="54" w:name="_Toc17956"/>
      <w:proofErr w:type="gramStart"/>
      <w:r>
        <w:rPr>
          <w:rFonts w:hint="eastAsia"/>
          <w:szCs w:val="22"/>
        </w:rPr>
        <w:lastRenderedPageBreak/>
        <w:t>Table S</w:t>
      </w:r>
      <w:r>
        <w:rPr>
          <w:rFonts w:hint="eastAsia"/>
          <w:szCs w:val="22"/>
        </w:rPr>
        <w:t>7</w:t>
      </w:r>
      <w:r>
        <w:rPr>
          <w:szCs w:val="22"/>
        </w:rPr>
        <w:t>a.</w:t>
      </w:r>
      <w:proofErr w:type="gramEnd"/>
      <w:r>
        <w:rPr>
          <w:szCs w:val="22"/>
        </w:rPr>
        <w:t xml:space="preserve"> Outcomes of the CHD children</w:t>
      </w:r>
      <w:r>
        <w:t xml:space="preserve"> with various residencies</w:t>
      </w:r>
      <w:r>
        <w:rPr>
          <w:szCs w:val="22"/>
        </w:rPr>
        <w:t xml:space="preserve"> in the control group at 6 months </w:t>
      </w:r>
      <w:r>
        <w:rPr>
          <w:rFonts w:eastAsia="SimSun"/>
        </w:rPr>
        <w:t>after catheterization</w:t>
      </w:r>
      <w:r>
        <w:rPr>
          <w:rFonts w:hint="eastAsia"/>
          <w:szCs w:val="22"/>
        </w:rPr>
        <w:t xml:space="preserve"> (</w:t>
      </w:r>
      <w:r>
        <w:rPr>
          <w:szCs w:val="22"/>
        </w:rPr>
        <w:t>n=97)</w:t>
      </w:r>
      <w:bookmarkEnd w:id="52"/>
      <w:bookmarkEnd w:id="53"/>
      <w:bookmarkEnd w:id="54"/>
    </w:p>
    <w:tbl>
      <w:tblPr>
        <w:tblStyle w:val="TableGrid"/>
        <w:tblpPr w:leftFromText="180" w:rightFromText="180" w:vertAnchor="text" w:horzAnchor="page" w:tblpX="833" w:tblpY="301"/>
        <w:tblOverlap w:val="never"/>
        <w:tblW w:w="1078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"/>
        <w:gridCol w:w="3441"/>
        <w:gridCol w:w="1120"/>
        <w:gridCol w:w="2580"/>
        <w:gridCol w:w="1110"/>
        <w:gridCol w:w="2530"/>
      </w:tblGrid>
      <w:tr w:rsidR="00A2686B">
        <w:trPr>
          <w:trHeight w:val="421"/>
        </w:trPr>
        <w:tc>
          <w:tcPr>
            <w:tcW w:w="3449" w:type="dxa"/>
            <w:gridSpan w:val="2"/>
            <w:vMerge w:val="restart"/>
            <w:tcBorders>
              <w:top w:val="single" w:sz="4" w:space="0" w:color="auto"/>
            </w:tcBorders>
          </w:tcPr>
          <w:p w:rsidR="00A2686B" w:rsidRDefault="00A2686B">
            <w:pPr>
              <w:rPr>
                <w:rFonts w:ascii="Arial" w:eastAsia="SimSun" w:hAnsi="Arial" w:cs="Arial"/>
                <w:b/>
                <w:bCs/>
                <w:kern w:val="0"/>
                <w:sz w:val="22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jc w:val="center"/>
              <w:rPr>
                <w:rFonts w:ascii="Arial" w:eastAsia="SimSun" w:hAnsi="Arial" w:cs="Arial"/>
                <w:b/>
                <w:bCs/>
                <w:kern w:val="0"/>
                <w:sz w:val="22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22"/>
              </w:rPr>
              <w:t>Shanghai</w:t>
            </w:r>
            <w:r>
              <w:rPr>
                <w:rFonts w:ascii="Arial" w:hAnsi="Arial" w:cs="Arial"/>
                <w:b/>
                <w:bCs/>
                <w:kern w:val="0"/>
                <w:sz w:val="22"/>
              </w:rPr>
              <w:t xml:space="preserve"> group</w:t>
            </w:r>
          </w:p>
        </w:tc>
        <w:tc>
          <w:tcPr>
            <w:tcW w:w="3640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jc w:val="center"/>
              <w:rPr>
                <w:rFonts w:ascii="Arial" w:hAnsi="Arial" w:cs="Arial"/>
                <w:b/>
                <w:bCs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Non-Shanghai group</w:t>
            </w:r>
          </w:p>
        </w:tc>
      </w:tr>
      <w:tr w:rsidR="00A2686B">
        <w:trPr>
          <w:trHeight w:val="624"/>
        </w:trPr>
        <w:tc>
          <w:tcPr>
            <w:tcW w:w="3449" w:type="dxa"/>
            <w:gridSpan w:val="2"/>
            <w:vMerge/>
            <w:tcBorders>
              <w:bottom w:val="single" w:sz="4" w:space="0" w:color="auto"/>
            </w:tcBorders>
          </w:tcPr>
          <w:p w:rsidR="00A2686B" w:rsidRDefault="00A2686B">
            <w:pPr>
              <w:rPr>
                <w:rFonts w:ascii="Arial" w:eastAsia="SimSun" w:hAnsi="Arial" w:cs="Arial"/>
                <w:b/>
                <w:bCs/>
                <w:kern w:val="0"/>
                <w:sz w:val="22"/>
              </w:rPr>
            </w:pPr>
          </w:p>
        </w:tc>
        <w:tc>
          <w:tcPr>
            <w:tcW w:w="1120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jc w:val="center"/>
              <w:rPr>
                <w:rFonts w:ascii="Arial" w:eastAsia="SimSun" w:hAnsi="Arial" w:cs="Arial"/>
                <w:b/>
                <w:bCs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No. of Patients</w:t>
            </w:r>
          </w:p>
        </w:tc>
        <w:tc>
          <w:tcPr>
            <w:tcW w:w="2580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jc w:val="center"/>
              <w:rPr>
                <w:rFonts w:ascii="Arial" w:eastAsia="SimSun" w:hAnsi="Arial" w:cs="Arial"/>
                <w:b/>
                <w:bCs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Value</w:t>
            </w:r>
          </w:p>
        </w:tc>
        <w:tc>
          <w:tcPr>
            <w:tcW w:w="1110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jc w:val="center"/>
              <w:rPr>
                <w:rFonts w:ascii="Arial" w:hAnsi="Arial" w:cs="Arial"/>
                <w:b/>
                <w:bCs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No. of Patients</w:t>
            </w:r>
          </w:p>
        </w:tc>
        <w:tc>
          <w:tcPr>
            <w:tcW w:w="2530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jc w:val="center"/>
              <w:rPr>
                <w:rFonts w:ascii="Arial" w:hAnsi="Arial" w:cs="Arial"/>
                <w:b/>
                <w:bCs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Value</w:t>
            </w:r>
          </w:p>
        </w:tc>
      </w:tr>
      <w:tr w:rsidR="00A2686B">
        <w:tc>
          <w:tcPr>
            <w:tcW w:w="10789" w:type="dxa"/>
            <w:gridSpan w:val="6"/>
          </w:tcPr>
          <w:p w:rsidR="00A2686B" w:rsidRDefault="00FD386C">
            <w:pPr>
              <w:adjustRightInd w:val="0"/>
              <w:snapToGrid w:val="0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/>
                <w:b/>
                <w:bCs/>
                <w:kern w:val="0"/>
                <w:sz w:val="22"/>
                <w:szCs w:val="20"/>
                <w:lang w:bidi="th-TH"/>
              </w:rPr>
              <w:t>Motor developmental quotient</w:t>
            </w:r>
          </w:p>
        </w:tc>
      </w:tr>
      <w:tr w:rsidR="00A2686B">
        <w:trPr>
          <w:trHeight w:val="332"/>
        </w:trPr>
        <w:tc>
          <w:tcPr>
            <w:tcW w:w="3449" w:type="dxa"/>
            <w:gridSpan w:val="2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  <w:t>GMQ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  <w:t>27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  <w:t>89.0</w:t>
            </w: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 xml:space="preserve"> (</w:t>
            </w:r>
            <w:r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  <w:t>83.0-98.0)</w:t>
            </w:r>
          </w:p>
        </w:tc>
        <w:tc>
          <w:tcPr>
            <w:tcW w:w="111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  <w:t>70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  <w:t>91.0</w:t>
            </w: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 xml:space="preserve"> (</w:t>
            </w:r>
            <w:r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  <w:t>87.0-96.5)</w:t>
            </w:r>
          </w:p>
        </w:tc>
      </w:tr>
      <w:tr w:rsidR="00A2686B">
        <w:trPr>
          <w:trHeight w:val="192"/>
        </w:trPr>
        <w:tc>
          <w:tcPr>
            <w:tcW w:w="3449" w:type="dxa"/>
            <w:gridSpan w:val="2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  <w:t>FMQ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  <w:t>27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  <w:t>91.0</w:t>
            </w: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 xml:space="preserve"> (</w:t>
            </w:r>
            <w:r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  <w:t>87.0-96.5)</w:t>
            </w:r>
          </w:p>
        </w:tc>
        <w:tc>
          <w:tcPr>
            <w:tcW w:w="111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  <w:t>70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  <w:t>100.0</w:t>
            </w: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 xml:space="preserve"> (</w:t>
            </w:r>
            <w:r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  <w:t>94.0-106.0)</w:t>
            </w:r>
          </w:p>
        </w:tc>
      </w:tr>
      <w:tr w:rsidR="00A2686B">
        <w:trPr>
          <w:trHeight w:val="198"/>
        </w:trPr>
        <w:tc>
          <w:tcPr>
            <w:tcW w:w="3449" w:type="dxa"/>
            <w:gridSpan w:val="2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  <w:t>TMQ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  <w:t>27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  <w:t>94.0</w:t>
            </w: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 xml:space="preserve"> (</w:t>
            </w:r>
            <w:r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  <w:t>89.0-96.0)</w:t>
            </w:r>
          </w:p>
        </w:tc>
        <w:tc>
          <w:tcPr>
            <w:tcW w:w="111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  <w:t>70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  <w:t>94.0</w:t>
            </w: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 xml:space="preserve"> (</w:t>
            </w:r>
            <w:r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  <w:t>92.0-98.0)</w:t>
            </w:r>
          </w:p>
        </w:tc>
      </w:tr>
      <w:tr w:rsidR="00A2686B">
        <w:trPr>
          <w:trHeight w:val="198"/>
        </w:trPr>
        <w:tc>
          <w:tcPr>
            <w:tcW w:w="10789" w:type="dxa"/>
            <w:gridSpan w:val="6"/>
          </w:tcPr>
          <w:p w:rsidR="00A2686B" w:rsidRDefault="00FD386C">
            <w:pPr>
              <w:adjustRightInd w:val="0"/>
              <w:snapToGrid w:val="0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/>
                <w:b/>
                <w:bCs/>
                <w:kern w:val="0"/>
                <w:sz w:val="22"/>
                <w:szCs w:val="20"/>
                <w:lang w:bidi="th-TH"/>
              </w:rPr>
              <w:t>Modified</w:t>
            </w:r>
            <w:r>
              <w:rPr>
                <w:rFonts w:ascii="Arial" w:eastAsia="SimSun" w:hAnsi="Arial" w:cs="Arial"/>
                <w:b/>
                <w:bCs/>
                <w:kern w:val="0"/>
                <w:sz w:val="22"/>
                <w:szCs w:val="20"/>
                <w:lang w:bidi="th-TH"/>
              </w:rPr>
              <w:t xml:space="preserve"> Ross score</w:t>
            </w:r>
          </w:p>
        </w:tc>
      </w:tr>
      <w:tr w:rsidR="00A2686B">
        <w:trPr>
          <w:trHeight w:val="198"/>
        </w:trPr>
        <w:tc>
          <w:tcPr>
            <w:tcW w:w="3449" w:type="dxa"/>
            <w:gridSpan w:val="2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  <w:t>0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14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14 (51.9%)</w:t>
            </w:r>
          </w:p>
        </w:tc>
        <w:tc>
          <w:tcPr>
            <w:tcW w:w="111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26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26 (37.1%)</w:t>
            </w:r>
          </w:p>
        </w:tc>
      </w:tr>
      <w:tr w:rsidR="00A2686B">
        <w:trPr>
          <w:trHeight w:val="198"/>
        </w:trPr>
        <w:tc>
          <w:tcPr>
            <w:tcW w:w="3449" w:type="dxa"/>
            <w:gridSpan w:val="2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  <w:t>1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9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9 (33.3%)</w:t>
            </w:r>
          </w:p>
        </w:tc>
        <w:tc>
          <w:tcPr>
            <w:tcW w:w="111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32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32 (45.7%)</w:t>
            </w:r>
          </w:p>
        </w:tc>
      </w:tr>
      <w:tr w:rsidR="00A2686B">
        <w:trPr>
          <w:trHeight w:val="198"/>
        </w:trPr>
        <w:tc>
          <w:tcPr>
            <w:tcW w:w="3449" w:type="dxa"/>
            <w:gridSpan w:val="2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  <w:t>2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4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4 (14.8%)</w:t>
            </w:r>
          </w:p>
        </w:tc>
        <w:tc>
          <w:tcPr>
            <w:tcW w:w="111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12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12 (17.2%)</w:t>
            </w:r>
          </w:p>
        </w:tc>
      </w:tr>
      <w:tr w:rsidR="00A2686B">
        <w:trPr>
          <w:trHeight w:val="198"/>
        </w:trPr>
        <w:tc>
          <w:tcPr>
            <w:tcW w:w="10789" w:type="dxa"/>
            <w:gridSpan w:val="6"/>
          </w:tcPr>
          <w:p w:rsidR="00A2686B" w:rsidRDefault="00FD386C">
            <w:pPr>
              <w:adjustRightInd w:val="0"/>
              <w:snapToGrid w:val="0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Bone quality</w:t>
            </w:r>
          </w:p>
        </w:tc>
      </w:tr>
      <w:tr w:rsidR="00A2686B">
        <w:trPr>
          <w:trHeight w:val="198"/>
        </w:trPr>
        <w:tc>
          <w:tcPr>
            <w:tcW w:w="3449" w:type="dxa"/>
            <w:gridSpan w:val="2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SOS, m/s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27</w:t>
            </w:r>
          </w:p>
        </w:tc>
        <w:tc>
          <w:tcPr>
            <w:tcW w:w="2580" w:type="dxa"/>
          </w:tcPr>
          <w:p w:rsidR="00A2686B" w:rsidRDefault="00FD386C">
            <w:pPr>
              <w:adjustRightInd w:val="0"/>
              <w:snapToGrid w:val="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3438.0 (3228.0-3543.0)</w:t>
            </w:r>
          </w:p>
        </w:tc>
        <w:tc>
          <w:tcPr>
            <w:tcW w:w="111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70</w:t>
            </w:r>
          </w:p>
        </w:tc>
        <w:tc>
          <w:tcPr>
            <w:tcW w:w="2530" w:type="dxa"/>
          </w:tcPr>
          <w:p w:rsidR="00A2686B" w:rsidRDefault="00FD386C">
            <w:pPr>
              <w:adjustRightInd w:val="0"/>
              <w:snapToGrid w:val="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3421.0 (3299.5-3547.5)</w:t>
            </w:r>
          </w:p>
        </w:tc>
      </w:tr>
      <w:tr w:rsidR="00A2686B">
        <w:trPr>
          <w:trHeight w:val="198"/>
        </w:trPr>
        <w:tc>
          <w:tcPr>
            <w:tcW w:w="3449" w:type="dxa"/>
            <w:gridSpan w:val="2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Bone strength percentile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27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46.0 (33.0-79.0)</w:t>
            </w:r>
          </w:p>
        </w:tc>
        <w:tc>
          <w:tcPr>
            <w:tcW w:w="111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70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49.5 (19.3-85.3)</w:t>
            </w:r>
          </w:p>
        </w:tc>
      </w:tr>
      <w:tr w:rsidR="00A2686B">
        <w:trPr>
          <w:trHeight w:val="198"/>
        </w:trPr>
        <w:tc>
          <w:tcPr>
            <w:tcW w:w="3449" w:type="dxa"/>
            <w:gridSpan w:val="2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Z score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27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-0.1 (-0.5-0.8)</w:t>
            </w:r>
          </w:p>
        </w:tc>
        <w:tc>
          <w:tcPr>
            <w:tcW w:w="111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70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0.0 (-0.9-1.0)</w:t>
            </w:r>
          </w:p>
        </w:tc>
      </w:tr>
      <w:tr w:rsidR="00A2686B">
        <w:trPr>
          <w:trHeight w:val="198"/>
        </w:trPr>
        <w:tc>
          <w:tcPr>
            <w:tcW w:w="10789" w:type="dxa"/>
            <w:gridSpan w:val="6"/>
          </w:tcPr>
          <w:p w:rsidR="00A2686B" w:rsidRDefault="00FD386C">
            <w:pPr>
              <w:adjustRightInd w:val="0"/>
              <w:snapToGrid w:val="0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SAS score</w:t>
            </w:r>
          </w:p>
        </w:tc>
      </w:tr>
      <w:tr w:rsidR="00A2686B">
        <w:trPr>
          <w:trHeight w:val="198"/>
        </w:trPr>
        <w:tc>
          <w:tcPr>
            <w:tcW w:w="3449" w:type="dxa"/>
            <w:gridSpan w:val="2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Rude score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26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33.5 (28.0-37.3)</w:t>
            </w:r>
          </w:p>
        </w:tc>
        <w:tc>
          <w:tcPr>
            <w:tcW w:w="111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69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34.0 (30.0-38.0)</w:t>
            </w:r>
          </w:p>
        </w:tc>
      </w:tr>
      <w:tr w:rsidR="00A2686B">
        <w:trPr>
          <w:trHeight w:val="338"/>
        </w:trPr>
        <w:tc>
          <w:tcPr>
            <w:tcW w:w="3449" w:type="dxa"/>
            <w:gridSpan w:val="2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Standard score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26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41.9 (35.0-46.6)</w:t>
            </w:r>
          </w:p>
        </w:tc>
        <w:tc>
          <w:tcPr>
            <w:tcW w:w="111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69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42.5 (37.5-47.5)</w:t>
            </w:r>
          </w:p>
        </w:tc>
      </w:tr>
      <w:tr w:rsidR="00A2686B">
        <w:trPr>
          <w:gridBefore w:val="1"/>
          <w:wBefore w:w="8" w:type="dxa"/>
        </w:trPr>
        <w:tc>
          <w:tcPr>
            <w:tcW w:w="3441" w:type="dxa"/>
          </w:tcPr>
          <w:p w:rsidR="00A2686B" w:rsidRDefault="00FD386C">
            <w:pPr>
              <w:adjustRightInd w:val="0"/>
              <w:snapToGrid w:val="0"/>
              <w:jc w:val="left"/>
              <w:rPr>
                <w:rFonts w:ascii="Arial" w:hAnsi="Arial" w:cs="Arial"/>
                <w:b/>
                <w:bCs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ZCBS score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28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23.0 (14.0-34.0)</w:t>
            </w:r>
          </w:p>
        </w:tc>
        <w:tc>
          <w:tcPr>
            <w:tcW w:w="111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68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24.0 (17.0-34.8)</w:t>
            </w:r>
          </w:p>
        </w:tc>
      </w:tr>
      <w:tr w:rsidR="00A2686B">
        <w:trPr>
          <w:gridBefore w:val="1"/>
          <w:wBefore w:w="8" w:type="dxa"/>
        </w:trPr>
        <w:tc>
          <w:tcPr>
            <w:tcW w:w="10781" w:type="dxa"/>
            <w:gridSpan w:val="5"/>
          </w:tcPr>
          <w:p w:rsidR="00A2686B" w:rsidRDefault="00FD386C">
            <w:pPr>
              <w:adjustRightInd w:val="0"/>
              <w:snapToGrid w:val="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SF-36 score</w:t>
            </w:r>
          </w:p>
        </w:tc>
      </w:tr>
      <w:tr w:rsidR="00A2686B">
        <w:trPr>
          <w:trHeight w:val="198"/>
        </w:trPr>
        <w:tc>
          <w:tcPr>
            <w:tcW w:w="3449" w:type="dxa"/>
            <w:gridSpan w:val="2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PCS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27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80.8 (66.4-89.0)</w:t>
            </w:r>
          </w:p>
        </w:tc>
        <w:tc>
          <w:tcPr>
            <w:tcW w:w="111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66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 xml:space="preserve">85.3 </w:t>
            </w: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(77.9-90.2)</w:t>
            </w:r>
          </w:p>
        </w:tc>
      </w:tr>
      <w:tr w:rsidR="00A2686B">
        <w:trPr>
          <w:trHeight w:val="198"/>
        </w:trPr>
        <w:tc>
          <w:tcPr>
            <w:tcW w:w="3449" w:type="dxa"/>
            <w:gridSpan w:val="2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MCS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27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72.4 (59.7-81.0)</w:t>
            </w:r>
          </w:p>
        </w:tc>
        <w:tc>
          <w:tcPr>
            <w:tcW w:w="111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66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74.3 (56.3-81.8)</w:t>
            </w:r>
          </w:p>
        </w:tc>
      </w:tr>
      <w:tr w:rsidR="00A2686B">
        <w:trPr>
          <w:trHeight w:val="198"/>
        </w:trPr>
        <w:tc>
          <w:tcPr>
            <w:tcW w:w="3449" w:type="dxa"/>
            <w:gridSpan w:val="2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Total score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27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75.5 (65.0-83.2)</w:t>
            </w:r>
          </w:p>
        </w:tc>
        <w:tc>
          <w:tcPr>
            <w:tcW w:w="111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66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79.3 (66.1-86.0)</w:t>
            </w:r>
          </w:p>
        </w:tc>
      </w:tr>
      <w:tr w:rsidR="00A2686B">
        <w:trPr>
          <w:trHeight w:val="340"/>
        </w:trPr>
        <w:tc>
          <w:tcPr>
            <w:tcW w:w="10789" w:type="dxa"/>
            <w:gridSpan w:val="6"/>
          </w:tcPr>
          <w:p w:rsidR="00A2686B" w:rsidRDefault="00FD386C">
            <w:pPr>
              <w:adjustRightInd w:val="0"/>
              <w:snapToGrid w:val="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Physical development indicators</w:t>
            </w:r>
          </w:p>
        </w:tc>
      </w:tr>
      <w:tr w:rsidR="00A2686B">
        <w:trPr>
          <w:trHeight w:val="340"/>
        </w:trPr>
        <w:tc>
          <w:tcPr>
            <w:tcW w:w="3449" w:type="dxa"/>
            <w:gridSpan w:val="2"/>
          </w:tcPr>
          <w:p w:rsidR="00A2686B" w:rsidRDefault="00FD386C" w:rsidP="009870DF">
            <w:pPr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Weight, kg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27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13.8 (11.1-18.5)</w:t>
            </w:r>
          </w:p>
        </w:tc>
        <w:tc>
          <w:tcPr>
            <w:tcW w:w="111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70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15.0 (11.3-17.6)</w:t>
            </w:r>
          </w:p>
        </w:tc>
      </w:tr>
      <w:tr w:rsidR="00A2686B">
        <w:trPr>
          <w:trHeight w:val="340"/>
        </w:trPr>
        <w:tc>
          <w:tcPr>
            <w:tcW w:w="3449" w:type="dxa"/>
            <w:gridSpan w:val="2"/>
          </w:tcPr>
          <w:p w:rsidR="00A2686B" w:rsidRDefault="00FD386C" w:rsidP="009870DF">
            <w:pPr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Height, cm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27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98.0 (80.5-109.0)</w:t>
            </w:r>
          </w:p>
        </w:tc>
        <w:tc>
          <w:tcPr>
            <w:tcW w:w="111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70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98.5 (85.0-108.2)</w:t>
            </w:r>
          </w:p>
        </w:tc>
      </w:tr>
      <w:tr w:rsidR="00A2686B">
        <w:trPr>
          <w:trHeight w:val="340"/>
        </w:trPr>
        <w:tc>
          <w:tcPr>
            <w:tcW w:w="3449" w:type="dxa"/>
            <w:gridSpan w:val="2"/>
          </w:tcPr>
          <w:p w:rsidR="00A2686B" w:rsidRDefault="00FD386C" w:rsidP="009870DF">
            <w:pPr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 xml:space="preserve">BMI, </w:t>
            </w:r>
            <w:r>
              <w:rPr>
                <w:rFonts w:ascii="Arial" w:hAnsi="Arial" w:cs="Arial"/>
                <w:kern w:val="0"/>
                <w:sz w:val="22"/>
              </w:rPr>
              <w:t>kg/m</w:t>
            </w:r>
            <w:r>
              <w:rPr>
                <w:rFonts w:ascii="Arial" w:hAnsi="Arial" w:cs="Arial"/>
                <w:kern w:val="0"/>
                <w:sz w:val="22"/>
                <w:vertAlign w:val="superscript"/>
              </w:rPr>
              <w:t>2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27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15.9 (14.7-17.4)</w:t>
            </w:r>
          </w:p>
        </w:tc>
        <w:tc>
          <w:tcPr>
            <w:tcW w:w="111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70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15.5 (14.7-17.0)</w:t>
            </w:r>
          </w:p>
        </w:tc>
      </w:tr>
      <w:tr w:rsidR="00A2686B">
        <w:trPr>
          <w:trHeight w:val="340"/>
        </w:trPr>
        <w:tc>
          <w:tcPr>
            <w:tcW w:w="3449" w:type="dxa"/>
            <w:gridSpan w:val="2"/>
          </w:tcPr>
          <w:p w:rsidR="00A2686B" w:rsidRDefault="00FD386C" w:rsidP="009870DF">
            <w:pPr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 xml:space="preserve">Upper-arm </w:t>
            </w:r>
            <w:r>
              <w:rPr>
                <w:rFonts w:ascii="Arial" w:hAnsi="Arial" w:cs="Arial" w:hint="eastAsia"/>
                <w:kern w:val="0"/>
                <w:sz w:val="22"/>
              </w:rPr>
              <w:t>c</w:t>
            </w:r>
            <w:r>
              <w:rPr>
                <w:rFonts w:ascii="Arial" w:hAnsi="Arial" w:cs="Arial"/>
                <w:kern w:val="0"/>
                <w:sz w:val="22"/>
              </w:rPr>
              <w:t>irc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umference, </w:t>
            </w:r>
            <w:r>
              <w:rPr>
                <w:rFonts w:ascii="Arial" w:hAnsi="Arial" w:cs="Arial"/>
                <w:kern w:val="0"/>
                <w:sz w:val="22"/>
              </w:rPr>
              <w:t>cm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27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17.0 (15.0-18.0)</w:t>
            </w:r>
          </w:p>
        </w:tc>
        <w:tc>
          <w:tcPr>
            <w:tcW w:w="111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70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16.0 (15.0-17.3)</w:t>
            </w:r>
          </w:p>
        </w:tc>
      </w:tr>
      <w:tr w:rsidR="00A2686B">
        <w:trPr>
          <w:trHeight w:val="340"/>
        </w:trPr>
        <w:tc>
          <w:tcPr>
            <w:tcW w:w="3449" w:type="dxa"/>
            <w:gridSpan w:val="2"/>
          </w:tcPr>
          <w:p w:rsidR="00A2686B" w:rsidRDefault="00FD386C" w:rsidP="009870DF">
            <w:pPr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 xml:space="preserve">Head </w:t>
            </w:r>
            <w:r>
              <w:rPr>
                <w:rFonts w:ascii="Arial" w:hAnsi="Arial" w:cs="Arial" w:hint="eastAsia"/>
                <w:kern w:val="0"/>
                <w:sz w:val="22"/>
              </w:rPr>
              <w:t>c</w:t>
            </w:r>
            <w:r>
              <w:rPr>
                <w:rFonts w:ascii="Arial" w:hAnsi="Arial" w:cs="Arial"/>
                <w:kern w:val="0"/>
                <w:sz w:val="22"/>
              </w:rPr>
              <w:t>irc</w:t>
            </w:r>
            <w:r>
              <w:rPr>
                <w:rFonts w:ascii="Arial" w:hAnsi="Arial" w:cs="Arial" w:hint="eastAsia"/>
                <w:kern w:val="0"/>
                <w:sz w:val="22"/>
              </w:rPr>
              <w:t>umference</w:t>
            </w:r>
            <w:r>
              <w:rPr>
                <w:rFonts w:ascii="Arial" w:hAnsi="Arial" w:cs="Arial"/>
                <w:kern w:val="0"/>
                <w:sz w:val="22"/>
              </w:rPr>
              <w:t>,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</w:t>
            </w:r>
            <w:r>
              <w:rPr>
                <w:rFonts w:ascii="Arial" w:hAnsi="Arial" w:cs="Arial"/>
                <w:kern w:val="0"/>
                <w:sz w:val="22"/>
              </w:rPr>
              <w:t>cm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27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48.0 (45.0-50.0)</w:t>
            </w:r>
          </w:p>
        </w:tc>
        <w:tc>
          <w:tcPr>
            <w:tcW w:w="111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70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49.0 (47.0-50.0)</w:t>
            </w:r>
          </w:p>
        </w:tc>
      </w:tr>
      <w:tr w:rsidR="00A2686B">
        <w:trPr>
          <w:trHeight w:val="340"/>
        </w:trPr>
        <w:tc>
          <w:tcPr>
            <w:tcW w:w="3449" w:type="dxa"/>
            <w:gridSpan w:val="2"/>
          </w:tcPr>
          <w:p w:rsidR="00A2686B" w:rsidRDefault="00FD386C" w:rsidP="009870DF">
            <w:pPr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 xml:space="preserve">Chest </w:t>
            </w:r>
            <w:r>
              <w:rPr>
                <w:rFonts w:ascii="Arial" w:hAnsi="Arial" w:cs="Arial" w:hint="eastAsia"/>
                <w:kern w:val="0"/>
                <w:sz w:val="22"/>
              </w:rPr>
              <w:t>c</w:t>
            </w:r>
            <w:r>
              <w:rPr>
                <w:rFonts w:ascii="Arial" w:hAnsi="Arial" w:cs="Arial"/>
                <w:kern w:val="0"/>
                <w:sz w:val="22"/>
              </w:rPr>
              <w:t>irc</w:t>
            </w:r>
            <w:r>
              <w:rPr>
                <w:rFonts w:ascii="Arial" w:hAnsi="Arial" w:cs="Arial" w:hint="eastAsia"/>
                <w:kern w:val="0"/>
                <w:sz w:val="22"/>
              </w:rPr>
              <w:t>umference</w:t>
            </w:r>
            <w:r>
              <w:rPr>
                <w:rFonts w:ascii="Arial" w:hAnsi="Arial" w:cs="Arial"/>
                <w:kern w:val="0"/>
                <w:sz w:val="22"/>
              </w:rPr>
              <w:t>,</w:t>
            </w:r>
            <w:r>
              <w:rPr>
                <w:rFonts w:ascii="Arial" w:hAnsi="Arial" w:cs="Arial" w:hint="eastAsia"/>
                <w:kern w:val="0"/>
                <w:sz w:val="22"/>
              </w:rPr>
              <w:t xml:space="preserve"> </w:t>
            </w:r>
            <w:r>
              <w:rPr>
                <w:rFonts w:ascii="Arial" w:hAnsi="Arial" w:cs="Arial"/>
                <w:kern w:val="0"/>
                <w:sz w:val="22"/>
              </w:rPr>
              <w:t>cm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27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52.0 (48.0-54.0)</w:t>
            </w:r>
          </w:p>
        </w:tc>
        <w:tc>
          <w:tcPr>
            <w:tcW w:w="111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70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szCs w:val="20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szCs w:val="20"/>
                <w:lang w:bidi="th-TH"/>
              </w:rPr>
              <w:t>52.0 (49.0-55.0)</w:t>
            </w:r>
          </w:p>
        </w:tc>
      </w:tr>
    </w:tbl>
    <w:p w:rsidR="00A2686B" w:rsidRDefault="00A2686B">
      <w:pPr>
        <w:ind w:rightChars="94" w:right="197"/>
        <w:jc w:val="left"/>
        <w:rPr>
          <w:rFonts w:ascii="Arial" w:hAnsi="Arial" w:cs="Arial"/>
          <w:sz w:val="22"/>
        </w:rPr>
      </w:pPr>
    </w:p>
    <w:p w:rsidR="00A2686B" w:rsidRDefault="00FD386C">
      <w:pPr>
        <w:ind w:rightChars="94" w:right="197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Data are n </w:t>
      </w:r>
      <w:r>
        <w:rPr>
          <w:rFonts w:ascii="Arial" w:hAnsi="Arial" w:cs="Arial" w:hint="eastAsia"/>
          <w:sz w:val="22"/>
        </w:rPr>
        <w:t>(</w:t>
      </w:r>
      <w:proofErr w:type="gramStart"/>
      <w:r>
        <w:rPr>
          <w:rFonts w:ascii="Arial" w:hAnsi="Arial" w:cs="Arial"/>
          <w:sz w:val="22"/>
        </w:rPr>
        <w:t>%</w:t>
      </w:r>
      <w:proofErr w:type="gramEnd"/>
      <w:r>
        <w:rPr>
          <w:rFonts w:ascii="Arial" w:hAnsi="Arial" w:cs="Arial"/>
          <w:sz w:val="22"/>
        </w:rPr>
        <w:t xml:space="preserve">), median </w:t>
      </w:r>
      <w:r>
        <w:rPr>
          <w:rFonts w:ascii="Arial" w:hAnsi="Arial" w:cs="Arial" w:hint="eastAsia"/>
          <w:sz w:val="22"/>
        </w:rPr>
        <w:t>(</w:t>
      </w:r>
      <w:r>
        <w:rPr>
          <w:rFonts w:ascii="Arial" w:hAnsi="Arial" w:cs="Arial"/>
          <w:sz w:val="22"/>
        </w:rPr>
        <w:t xml:space="preserve">IQR). </w:t>
      </w:r>
      <w:proofErr w:type="spellStart"/>
      <w:r>
        <w:rPr>
          <w:rFonts w:ascii="Arial" w:hAnsi="Arial" w:cs="Arial"/>
          <w:sz w:val="22"/>
        </w:rPr>
        <w:t>Ao</w:t>
      </w:r>
      <w:proofErr w:type="spellEnd"/>
      <w:r>
        <w:rPr>
          <w:rFonts w:ascii="Arial" w:hAnsi="Arial" w:cs="Arial"/>
          <w:sz w:val="22"/>
        </w:rPr>
        <w:t>=</w:t>
      </w:r>
      <w:proofErr w:type="spellStart"/>
      <w:r>
        <w:rPr>
          <w:rFonts w:ascii="Arial" w:hAnsi="Arial" w:cs="Arial"/>
          <w:sz w:val="22"/>
        </w:rPr>
        <w:t>Aort</w:t>
      </w:r>
      <w:proofErr w:type="spellEnd"/>
      <w:r>
        <w:rPr>
          <w:rFonts w:ascii="Arial" w:hAnsi="Arial" w:cs="Arial"/>
          <w:sz w:val="22"/>
        </w:rPr>
        <w:t xml:space="preserve">. CHD= Congenital heart disease. PDA= Patent ductus </w:t>
      </w:r>
      <w:proofErr w:type="spellStart"/>
      <w:r>
        <w:rPr>
          <w:rFonts w:ascii="Arial" w:hAnsi="Arial" w:cs="Arial"/>
          <w:sz w:val="22"/>
        </w:rPr>
        <w:t>rteriosis</w:t>
      </w:r>
      <w:proofErr w:type="spellEnd"/>
      <w:r>
        <w:rPr>
          <w:rFonts w:ascii="Arial" w:hAnsi="Arial" w:cs="Arial"/>
          <w:sz w:val="22"/>
        </w:rPr>
        <w:t>. PS= Pulmonary stenosis. VSD= Ventricular septal defect. ASD= Atrial septal defect. GMQ= gross motor quotient. FMQ= fine motor quotient. TMQ= total motor quo</w:t>
      </w:r>
      <w:r>
        <w:rPr>
          <w:rFonts w:ascii="Arial" w:hAnsi="Arial" w:cs="Arial"/>
          <w:sz w:val="22"/>
        </w:rPr>
        <w:t xml:space="preserve">tient. </w:t>
      </w:r>
      <w:proofErr w:type="spellStart"/>
      <w:r>
        <w:rPr>
          <w:rFonts w:ascii="Arial" w:hAnsi="Arial" w:cs="Arial"/>
          <w:sz w:val="22"/>
        </w:rPr>
        <w:t>LVDd</w:t>
      </w:r>
      <w:proofErr w:type="spellEnd"/>
      <w:r>
        <w:rPr>
          <w:rFonts w:ascii="Arial" w:hAnsi="Arial" w:cs="Arial"/>
          <w:sz w:val="22"/>
        </w:rPr>
        <w:t xml:space="preserve">=left ventricular end diastolic dimension. LVDs= left ventricular end-systolic dimension. </w:t>
      </w:r>
      <w:proofErr w:type="spellStart"/>
      <w:r>
        <w:rPr>
          <w:rFonts w:ascii="Arial" w:hAnsi="Arial" w:cs="Arial"/>
          <w:sz w:val="22"/>
        </w:rPr>
        <w:t>LVPWd</w:t>
      </w:r>
      <w:proofErr w:type="spellEnd"/>
      <w:r>
        <w:rPr>
          <w:rFonts w:ascii="Arial" w:hAnsi="Arial" w:cs="Arial"/>
          <w:sz w:val="22"/>
        </w:rPr>
        <w:t>=left ventricular posterior wall depth. LVPWs= left ventricular posterior wall thickness at end-systole. LVEF= left ventricular ejection fraction. LVF</w:t>
      </w:r>
      <w:r>
        <w:rPr>
          <w:rFonts w:ascii="Arial" w:hAnsi="Arial" w:cs="Arial"/>
          <w:sz w:val="22"/>
        </w:rPr>
        <w:t>S=</w:t>
      </w:r>
      <w:r>
        <w:t xml:space="preserve"> </w:t>
      </w:r>
      <w:r>
        <w:rPr>
          <w:rFonts w:ascii="Arial" w:hAnsi="Arial" w:cs="Arial"/>
          <w:sz w:val="22"/>
        </w:rPr>
        <w:t xml:space="preserve">left ventricular fractional shortening. MPA= main pulmonary artery diameter. MV= mitral blood flow velocity. TV= tricuspid blood flow velocity. SOS= speed of sound. SAS= Self-Rating Anxiety Scale. ZCBS= </w:t>
      </w:r>
      <w:proofErr w:type="spellStart"/>
      <w:r>
        <w:rPr>
          <w:rFonts w:ascii="Arial" w:hAnsi="Arial" w:cs="Arial"/>
          <w:sz w:val="22"/>
        </w:rPr>
        <w:t>Zarit</w:t>
      </w:r>
      <w:proofErr w:type="spellEnd"/>
      <w:r>
        <w:rPr>
          <w:rFonts w:ascii="Arial" w:hAnsi="Arial" w:cs="Arial"/>
          <w:sz w:val="22"/>
        </w:rPr>
        <w:t xml:space="preserve"> Caregiver Burden Scale. SF-36= Short Form 36</w:t>
      </w:r>
      <w:r>
        <w:rPr>
          <w:rFonts w:ascii="Arial" w:hAnsi="Arial" w:cs="Arial"/>
          <w:sz w:val="22"/>
        </w:rPr>
        <w:t xml:space="preserve">-item Health Survey. PCS= physical component summary. MCS= mental component summary. BMI= </w:t>
      </w:r>
      <w:r>
        <w:rPr>
          <w:rFonts w:ascii="Arial" w:hAnsi="Arial" w:cs="Arial" w:hint="eastAsia"/>
          <w:sz w:val="22"/>
        </w:rPr>
        <w:t>body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mass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index.</w:t>
      </w:r>
    </w:p>
    <w:p w:rsidR="00A2686B" w:rsidRDefault="00A2686B">
      <w:pPr>
        <w:rPr>
          <w:rFonts w:ascii="Times New Roman" w:hAnsi="Times New Roman" w:cs="Times New Roman"/>
          <w:sz w:val="20"/>
          <w:szCs w:val="20"/>
        </w:rPr>
      </w:pPr>
    </w:p>
    <w:p w:rsidR="00A2686B" w:rsidRDefault="00FD386C">
      <w:pPr>
        <w:pStyle w:val="Heading3"/>
        <w:rPr>
          <w:szCs w:val="22"/>
        </w:rPr>
      </w:pPr>
      <w:bookmarkStart w:id="55" w:name="_Toc25965"/>
      <w:bookmarkStart w:id="56" w:name="_Toc150241551"/>
      <w:bookmarkStart w:id="57" w:name="_Toc20076"/>
      <w:r>
        <w:rPr>
          <w:rFonts w:hint="eastAsia"/>
          <w:szCs w:val="22"/>
        </w:rPr>
        <w:lastRenderedPageBreak/>
        <w:t>Table S</w:t>
      </w:r>
      <w:r>
        <w:rPr>
          <w:rFonts w:hint="eastAsia"/>
          <w:szCs w:val="22"/>
        </w:rPr>
        <w:t>7</w:t>
      </w:r>
      <w:r>
        <w:rPr>
          <w:szCs w:val="22"/>
        </w:rPr>
        <w:t>b. Outcomes of the CHD children</w:t>
      </w:r>
      <w:r>
        <w:t xml:space="preserve"> with various residencies</w:t>
      </w:r>
      <w:r>
        <w:rPr>
          <w:szCs w:val="22"/>
        </w:rPr>
        <w:t xml:space="preserve"> in the intervention group at 6 months </w:t>
      </w:r>
      <w:r>
        <w:rPr>
          <w:rFonts w:eastAsia="SimSun"/>
        </w:rPr>
        <w:t>after catheterization</w:t>
      </w:r>
      <w:r>
        <w:rPr>
          <w:rFonts w:eastAsia="SimSun" w:hint="eastAsia"/>
        </w:rPr>
        <w:t xml:space="preserve"> </w:t>
      </w:r>
      <w:r>
        <w:rPr>
          <w:rFonts w:hint="eastAsia"/>
          <w:szCs w:val="22"/>
        </w:rPr>
        <w:t>(</w:t>
      </w:r>
      <w:r>
        <w:rPr>
          <w:szCs w:val="22"/>
        </w:rPr>
        <w:t>n=95)</w:t>
      </w:r>
      <w:bookmarkEnd w:id="55"/>
      <w:bookmarkEnd w:id="56"/>
      <w:bookmarkEnd w:id="57"/>
    </w:p>
    <w:tbl>
      <w:tblPr>
        <w:tblStyle w:val="TableGrid"/>
        <w:tblpPr w:leftFromText="180" w:rightFromText="180" w:vertAnchor="text" w:horzAnchor="page" w:tblpX="712" w:tblpY="301"/>
        <w:tblOverlap w:val="never"/>
        <w:tblW w:w="1073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10"/>
        <w:gridCol w:w="1120"/>
        <w:gridCol w:w="2580"/>
        <w:gridCol w:w="1090"/>
        <w:gridCol w:w="2530"/>
      </w:tblGrid>
      <w:tr w:rsidR="00A2686B">
        <w:trPr>
          <w:trHeight w:val="421"/>
        </w:trPr>
        <w:tc>
          <w:tcPr>
            <w:tcW w:w="3410" w:type="dxa"/>
            <w:vMerge w:val="restart"/>
            <w:tcBorders>
              <w:top w:val="single" w:sz="4" w:space="0" w:color="auto"/>
            </w:tcBorders>
          </w:tcPr>
          <w:p w:rsidR="00A2686B" w:rsidRDefault="00A2686B">
            <w:pPr>
              <w:rPr>
                <w:rFonts w:ascii="Arial" w:eastAsia="SimSun" w:hAnsi="Arial" w:cs="Arial"/>
                <w:b/>
                <w:bCs/>
                <w:kern w:val="0"/>
                <w:sz w:val="22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jc w:val="center"/>
              <w:rPr>
                <w:rFonts w:ascii="Arial" w:eastAsia="SimSun" w:hAnsi="Arial" w:cs="Arial"/>
                <w:b/>
                <w:bCs/>
                <w:kern w:val="0"/>
                <w:sz w:val="22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22"/>
              </w:rPr>
              <w:t>Shanghai</w:t>
            </w:r>
            <w:r>
              <w:rPr>
                <w:rFonts w:ascii="Arial" w:hAnsi="Arial" w:cs="Arial"/>
                <w:b/>
                <w:bCs/>
                <w:kern w:val="0"/>
                <w:sz w:val="22"/>
              </w:rPr>
              <w:t xml:space="preserve"> group</w:t>
            </w:r>
          </w:p>
        </w:tc>
        <w:tc>
          <w:tcPr>
            <w:tcW w:w="3620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A2686B" w:rsidRDefault="00FD386C">
            <w:pPr>
              <w:jc w:val="center"/>
              <w:rPr>
                <w:rFonts w:ascii="Arial" w:hAnsi="Arial" w:cs="Arial"/>
                <w:b/>
                <w:bCs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Non-Shanghai group</w:t>
            </w:r>
          </w:p>
        </w:tc>
      </w:tr>
      <w:tr w:rsidR="00A2686B">
        <w:trPr>
          <w:trHeight w:val="620"/>
        </w:trPr>
        <w:tc>
          <w:tcPr>
            <w:tcW w:w="3410" w:type="dxa"/>
            <w:vMerge/>
            <w:tcBorders>
              <w:bottom w:val="single" w:sz="4" w:space="0" w:color="auto"/>
            </w:tcBorders>
          </w:tcPr>
          <w:p w:rsidR="00A2686B" w:rsidRDefault="00A2686B">
            <w:pPr>
              <w:rPr>
                <w:rFonts w:ascii="Arial" w:eastAsia="SimSun" w:hAnsi="Arial" w:cs="Arial"/>
                <w:b/>
                <w:bCs/>
                <w:kern w:val="0"/>
                <w:sz w:val="22"/>
              </w:rPr>
            </w:pPr>
          </w:p>
        </w:tc>
        <w:tc>
          <w:tcPr>
            <w:tcW w:w="1120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jc w:val="center"/>
              <w:rPr>
                <w:rFonts w:ascii="Arial" w:eastAsia="SimSun" w:hAnsi="Arial" w:cs="Arial"/>
                <w:b/>
                <w:bCs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No. of Patients</w:t>
            </w:r>
          </w:p>
        </w:tc>
        <w:tc>
          <w:tcPr>
            <w:tcW w:w="2580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jc w:val="center"/>
              <w:rPr>
                <w:rFonts w:ascii="Arial" w:eastAsia="SimSun" w:hAnsi="Arial" w:cs="Arial"/>
                <w:b/>
                <w:bCs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Value</w:t>
            </w:r>
          </w:p>
        </w:tc>
        <w:tc>
          <w:tcPr>
            <w:tcW w:w="1090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jc w:val="center"/>
              <w:rPr>
                <w:rFonts w:ascii="Arial" w:hAnsi="Arial" w:cs="Arial"/>
                <w:b/>
                <w:bCs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No. of Patients</w:t>
            </w:r>
          </w:p>
        </w:tc>
        <w:tc>
          <w:tcPr>
            <w:tcW w:w="2530" w:type="dxa"/>
            <w:tcBorders>
              <w:top w:val="nil"/>
              <w:bottom w:val="single" w:sz="4" w:space="0" w:color="auto"/>
            </w:tcBorders>
            <w:vAlign w:val="center"/>
          </w:tcPr>
          <w:p w:rsidR="00A2686B" w:rsidRDefault="00FD386C">
            <w:pPr>
              <w:jc w:val="center"/>
              <w:rPr>
                <w:rFonts w:ascii="Arial" w:hAnsi="Arial" w:cs="Arial"/>
                <w:b/>
                <w:bCs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Value</w:t>
            </w:r>
          </w:p>
        </w:tc>
      </w:tr>
      <w:tr w:rsidR="00A2686B">
        <w:tc>
          <w:tcPr>
            <w:tcW w:w="10730" w:type="dxa"/>
            <w:gridSpan w:val="5"/>
          </w:tcPr>
          <w:p w:rsidR="00A2686B" w:rsidRDefault="00FD386C">
            <w:pPr>
              <w:adjustRightInd w:val="0"/>
              <w:snapToGrid w:val="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Motor developmental quotient</w:t>
            </w:r>
          </w:p>
        </w:tc>
      </w:tr>
      <w:tr w:rsidR="00A2686B">
        <w:trPr>
          <w:trHeight w:val="243"/>
        </w:trPr>
        <w:tc>
          <w:tcPr>
            <w:tcW w:w="3410" w:type="dxa"/>
          </w:tcPr>
          <w:p w:rsidR="00A2686B" w:rsidRDefault="00FD386C" w:rsidP="009870DF">
            <w:pPr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GMQ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30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98.0 (92.5-100.0)</w:t>
            </w:r>
          </w:p>
        </w:tc>
        <w:tc>
          <w:tcPr>
            <w:tcW w:w="109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65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96.0 (91.0-100.0)</w:t>
            </w:r>
          </w:p>
        </w:tc>
      </w:tr>
      <w:tr w:rsidR="00A2686B">
        <w:trPr>
          <w:trHeight w:val="192"/>
        </w:trPr>
        <w:tc>
          <w:tcPr>
            <w:tcW w:w="3410" w:type="dxa"/>
          </w:tcPr>
          <w:p w:rsidR="00A2686B" w:rsidRDefault="00FD386C" w:rsidP="009870DF">
            <w:pPr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FMQ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30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106.0 (100.0-109.0)</w:t>
            </w:r>
          </w:p>
        </w:tc>
        <w:tc>
          <w:tcPr>
            <w:tcW w:w="109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65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103.0 (97.0-109.0)</w:t>
            </w:r>
          </w:p>
        </w:tc>
      </w:tr>
      <w:tr w:rsidR="00A2686B">
        <w:trPr>
          <w:trHeight w:val="312"/>
        </w:trPr>
        <w:tc>
          <w:tcPr>
            <w:tcW w:w="3410" w:type="dxa"/>
          </w:tcPr>
          <w:p w:rsidR="00A2686B" w:rsidRDefault="00FD386C" w:rsidP="009870DF">
            <w:pPr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TMQ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30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100.0 (94.0-104.0)</w:t>
            </w:r>
          </w:p>
        </w:tc>
        <w:tc>
          <w:tcPr>
            <w:tcW w:w="109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65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97.0 (94.0-103.0)</w:t>
            </w:r>
          </w:p>
        </w:tc>
      </w:tr>
      <w:tr w:rsidR="00A2686B">
        <w:trPr>
          <w:trHeight w:val="198"/>
        </w:trPr>
        <w:tc>
          <w:tcPr>
            <w:tcW w:w="10730" w:type="dxa"/>
            <w:gridSpan w:val="5"/>
          </w:tcPr>
          <w:p w:rsidR="00A2686B" w:rsidRDefault="00FD386C">
            <w:pPr>
              <w:adjustRightInd w:val="0"/>
              <w:snapToGrid w:val="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 xml:space="preserve">Modified Ross </w:t>
            </w:r>
            <w:r>
              <w:rPr>
                <w:rFonts w:ascii="Arial" w:hAnsi="Arial" w:cs="Arial"/>
                <w:b/>
                <w:bCs/>
                <w:kern w:val="0"/>
                <w:sz w:val="22"/>
              </w:rPr>
              <w:t>score</w:t>
            </w:r>
          </w:p>
        </w:tc>
      </w:tr>
      <w:tr w:rsidR="00A2686B">
        <w:trPr>
          <w:trHeight w:val="198"/>
        </w:trPr>
        <w:tc>
          <w:tcPr>
            <w:tcW w:w="3410" w:type="dxa"/>
          </w:tcPr>
          <w:p w:rsidR="00A2686B" w:rsidRDefault="00FD386C" w:rsidP="009870DF">
            <w:pPr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0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13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13 (43.4%)</w:t>
            </w:r>
          </w:p>
        </w:tc>
        <w:tc>
          <w:tcPr>
            <w:tcW w:w="109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24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24 (36.9%)</w:t>
            </w:r>
          </w:p>
        </w:tc>
      </w:tr>
      <w:tr w:rsidR="00A2686B">
        <w:trPr>
          <w:trHeight w:val="198"/>
        </w:trPr>
        <w:tc>
          <w:tcPr>
            <w:tcW w:w="3410" w:type="dxa"/>
          </w:tcPr>
          <w:p w:rsidR="00A2686B" w:rsidRDefault="00FD386C" w:rsidP="009870DF">
            <w:pPr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1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10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10 (33.3%)</w:t>
            </w:r>
          </w:p>
        </w:tc>
        <w:tc>
          <w:tcPr>
            <w:tcW w:w="109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32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32 (49.2%)</w:t>
            </w:r>
          </w:p>
        </w:tc>
      </w:tr>
      <w:tr w:rsidR="00A2686B">
        <w:trPr>
          <w:trHeight w:val="198"/>
        </w:trPr>
        <w:tc>
          <w:tcPr>
            <w:tcW w:w="3410" w:type="dxa"/>
          </w:tcPr>
          <w:p w:rsidR="00A2686B" w:rsidRDefault="00FD386C" w:rsidP="009870DF">
            <w:pPr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2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7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7 (23.3%)</w:t>
            </w:r>
          </w:p>
        </w:tc>
        <w:tc>
          <w:tcPr>
            <w:tcW w:w="109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9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9 (13.9%)</w:t>
            </w:r>
          </w:p>
        </w:tc>
      </w:tr>
      <w:tr w:rsidR="00A2686B">
        <w:trPr>
          <w:trHeight w:val="198"/>
        </w:trPr>
        <w:tc>
          <w:tcPr>
            <w:tcW w:w="10730" w:type="dxa"/>
            <w:gridSpan w:val="5"/>
          </w:tcPr>
          <w:p w:rsidR="00A2686B" w:rsidRDefault="00FD386C">
            <w:pPr>
              <w:adjustRightInd w:val="0"/>
              <w:snapToGrid w:val="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Bone quality</w:t>
            </w:r>
          </w:p>
        </w:tc>
      </w:tr>
      <w:tr w:rsidR="00A2686B">
        <w:trPr>
          <w:trHeight w:val="198"/>
        </w:trPr>
        <w:tc>
          <w:tcPr>
            <w:tcW w:w="3410" w:type="dxa"/>
          </w:tcPr>
          <w:p w:rsidR="00A2686B" w:rsidRDefault="00FD386C" w:rsidP="009870DF">
            <w:pPr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SOS, m/s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30</w:t>
            </w:r>
          </w:p>
        </w:tc>
        <w:tc>
          <w:tcPr>
            <w:tcW w:w="2580" w:type="dxa"/>
          </w:tcPr>
          <w:p w:rsidR="00A2686B" w:rsidRDefault="00FD386C">
            <w:pPr>
              <w:adjustRightInd w:val="0"/>
              <w:snapToGrid w:val="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3468.0 (3203.8-3570.5)</w:t>
            </w:r>
          </w:p>
        </w:tc>
        <w:tc>
          <w:tcPr>
            <w:tcW w:w="109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63</w:t>
            </w:r>
          </w:p>
        </w:tc>
        <w:tc>
          <w:tcPr>
            <w:tcW w:w="2530" w:type="dxa"/>
          </w:tcPr>
          <w:p w:rsidR="00A2686B" w:rsidRDefault="00FD386C">
            <w:pPr>
              <w:adjustRightInd w:val="0"/>
              <w:snapToGrid w:val="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3388.0 (3278.0-3526.0)</w:t>
            </w:r>
          </w:p>
        </w:tc>
      </w:tr>
      <w:tr w:rsidR="00A2686B">
        <w:trPr>
          <w:trHeight w:val="198"/>
        </w:trPr>
        <w:tc>
          <w:tcPr>
            <w:tcW w:w="3410" w:type="dxa"/>
          </w:tcPr>
          <w:p w:rsidR="00A2686B" w:rsidRDefault="00FD386C" w:rsidP="009870DF">
            <w:pPr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 xml:space="preserve">Bone </w:t>
            </w:r>
            <w:r>
              <w:rPr>
                <w:rFonts w:ascii="Arial" w:hAnsi="Arial" w:cs="Arial"/>
                <w:b/>
                <w:bCs/>
                <w:kern w:val="0"/>
                <w:sz w:val="22"/>
              </w:rPr>
              <w:t>s</w:t>
            </w:r>
            <w:r>
              <w:rPr>
                <w:rFonts w:ascii="Arial" w:hAnsi="Arial" w:cs="Arial"/>
                <w:kern w:val="0"/>
                <w:sz w:val="22"/>
              </w:rPr>
              <w:t>trength percentile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30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56.5 (32.0-77.0)</w:t>
            </w:r>
          </w:p>
        </w:tc>
        <w:tc>
          <w:tcPr>
            <w:tcW w:w="109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63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50.0 (25.0-78.0)</w:t>
            </w:r>
          </w:p>
        </w:tc>
      </w:tr>
      <w:tr w:rsidR="00A2686B">
        <w:trPr>
          <w:trHeight w:val="198"/>
        </w:trPr>
        <w:tc>
          <w:tcPr>
            <w:tcW w:w="3410" w:type="dxa"/>
          </w:tcPr>
          <w:p w:rsidR="00A2686B" w:rsidRDefault="00FD386C" w:rsidP="009870DF">
            <w:pPr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Z score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30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 xml:space="preserve">0.2 </w:t>
            </w: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(-0.5-0.7)</w:t>
            </w:r>
          </w:p>
        </w:tc>
        <w:tc>
          <w:tcPr>
            <w:tcW w:w="109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63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0.0 (-0.7-0.8)</w:t>
            </w:r>
          </w:p>
        </w:tc>
      </w:tr>
      <w:tr w:rsidR="00A2686B">
        <w:trPr>
          <w:trHeight w:val="198"/>
        </w:trPr>
        <w:tc>
          <w:tcPr>
            <w:tcW w:w="10730" w:type="dxa"/>
            <w:gridSpan w:val="5"/>
          </w:tcPr>
          <w:p w:rsidR="00A2686B" w:rsidRDefault="00FD386C">
            <w:pPr>
              <w:adjustRightInd w:val="0"/>
              <w:snapToGrid w:val="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SAS score</w:t>
            </w:r>
          </w:p>
        </w:tc>
      </w:tr>
      <w:tr w:rsidR="00A2686B">
        <w:trPr>
          <w:trHeight w:val="198"/>
        </w:trPr>
        <w:tc>
          <w:tcPr>
            <w:tcW w:w="3410" w:type="dxa"/>
          </w:tcPr>
          <w:p w:rsidR="00A2686B" w:rsidRDefault="00FD386C" w:rsidP="009870DF">
            <w:pPr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Rude score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28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33.5 (28.0-37.8)</w:t>
            </w:r>
          </w:p>
        </w:tc>
        <w:tc>
          <w:tcPr>
            <w:tcW w:w="109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65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33.0 (28.5-38.0)</w:t>
            </w:r>
          </w:p>
        </w:tc>
      </w:tr>
      <w:tr w:rsidR="00A2686B">
        <w:trPr>
          <w:trHeight w:val="198"/>
        </w:trPr>
        <w:tc>
          <w:tcPr>
            <w:tcW w:w="3410" w:type="dxa"/>
          </w:tcPr>
          <w:p w:rsidR="00A2686B" w:rsidRDefault="00FD386C" w:rsidP="009870DF">
            <w:pPr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Standard score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28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41.9 (35.0-47.2)</w:t>
            </w:r>
          </w:p>
        </w:tc>
        <w:tc>
          <w:tcPr>
            <w:tcW w:w="109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65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41.3 (35.6-47.5)</w:t>
            </w:r>
          </w:p>
        </w:tc>
      </w:tr>
      <w:tr w:rsidR="00A2686B">
        <w:trPr>
          <w:trHeight w:val="198"/>
        </w:trPr>
        <w:tc>
          <w:tcPr>
            <w:tcW w:w="3410" w:type="dxa"/>
          </w:tcPr>
          <w:p w:rsidR="00A2686B" w:rsidRDefault="00FD386C">
            <w:pPr>
              <w:jc w:val="left"/>
              <w:rPr>
                <w:rFonts w:ascii="Arial" w:hAnsi="Arial" w:cs="Arial"/>
                <w:b/>
                <w:bCs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ZCBS score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30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20.5 (9.5-35.3)</w:t>
            </w:r>
          </w:p>
        </w:tc>
        <w:tc>
          <w:tcPr>
            <w:tcW w:w="109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64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18.0 (13.0-27.8)</w:t>
            </w:r>
          </w:p>
        </w:tc>
      </w:tr>
      <w:tr w:rsidR="00A2686B">
        <w:tc>
          <w:tcPr>
            <w:tcW w:w="10730" w:type="dxa"/>
            <w:gridSpan w:val="5"/>
          </w:tcPr>
          <w:p w:rsidR="00A2686B" w:rsidRDefault="00FD386C">
            <w:pPr>
              <w:adjustRightInd w:val="0"/>
              <w:snapToGrid w:val="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SF-36 score</w:t>
            </w:r>
          </w:p>
        </w:tc>
      </w:tr>
      <w:tr w:rsidR="00A2686B">
        <w:trPr>
          <w:trHeight w:val="198"/>
        </w:trPr>
        <w:tc>
          <w:tcPr>
            <w:tcW w:w="3410" w:type="dxa"/>
          </w:tcPr>
          <w:p w:rsidR="00A2686B" w:rsidRDefault="00FD386C" w:rsidP="009870DF">
            <w:pPr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PCS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29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91.3 (81.1-95.9)</w:t>
            </w:r>
          </w:p>
        </w:tc>
        <w:tc>
          <w:tcPr>
            <w:tcW w:w="109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64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89.8 (82.6-95.6)</w:t>
            </w:r>
          </w:p>
        </w:tc>
      </w:tr>
      <w:tr w:rsidR="00A2686B">
        <w:trPr>
          <w:trHeight w:val="198"/>
        </w:trPr>
        <w:tc>
          <w:tcPr>
            <w:tcW w:w="3410" w:type="dxa"/>
          </w:tcPr>
          <w:p w:rsidR="00A2686B" w:rsidRDefault="00FD386C" w:rsidP="009870DF">
            <w:pPr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MCS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29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81.5 (66.0-88.8)</w:t>
            </w:r>
          </w:p>
        </w:tc>
        <w:tc>
          <w:tcPr>
            <w:tcW w:w="109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64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82.1 (73.0-87.1)</w:t>
            </w:r>
          </w:p>
        </w:tc>
      </w:tr>
      <w:tr w:rsidR="00A2686B">
        <w:trPr>
          <w:trHeight w:val="198"/>
        </w:trPr>
        <w:tc>
          <w:tcPr>
            <w:tcW w:w="3410" w:type="dxa"/>
          </w:tcPr>
          <w:p w:rsidR="00A2686B" w:rsidRDefault="00FD386C" w:rsidP="009870DF">
            <w:pPr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Total score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29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84.9 (73.9-91.8)</w:t>
            </w:r>
          </w:p>
        </w:tc>
        <w:tc>
          <w:tcPr>
            <w:tcW w:w="109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64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84.7 (76.6-91.7)</w:t>
            </w:r>
          </w:p>
        </w:tc>
      </w:tr>
      <w:tr w:rsidR="00A2686B">
        <w:trPr>
          <w:trHeight w:val="340"/>
        </w:trPr>
        <w:tc>
          <w:tcPr>
            <w:tcW w:w="10730" w:type="dxa"/>
            <w:gridSpan w:val="5"/>
          </w:tcPr>
          <w:p w:rsidR="00A2686B" w:rsidRDefault="00FD386C">
            <w:pPr>
              <w:adjustRightInd w:val="0"/>
              <w:snapToGrid w:val="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b/>
                <w:bCs/>
                <w:kern w:val="0"/>
                <w:sz w:val="22"/>
              </w:rPr>
              <w:t>Physical development indicators</w:t>
            </w:r>
          </w:p>
        </w:tc>
      </w:tr>
      <w:tr w:rsidR="00A2686B">
        <w:trPr>
          <w:trHeight w:val="350"/>
        </w:trPr>
        <w:tc>
          <w:tcPr>
            <w:tcW w:w="3410" w:type="dxa"/>
          </w:tcPr>
          <w:p w:rsidR="00A2686B" w:rsidRDefault="00FD386C" w:rsidP="009870DF">
            <w:pPr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Weight, kg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30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15.1 (11.7-19.9)</w:t>
            </w:r>
          </w:p>
        </w:tc>
        <w:tc>
          <w:tcPr>
            <w:tcW w:w="109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65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14.7 (11.4-19.0)</w:t>
            </w:r>
          </w:p>
        </w:tc>
      </w:tr>
      <w:tr w:rsidR="00A2686B">
        <w:trPr>
          <w:trHeight w:val="340"/>
        </w:trPr>
        <w:tc>
          <w:tcPr>
            <w:tcW w:w="3410" w:type="dxa"/>
          </w:tcPr>
          <w:p w:rsidR="00A2686B" w:rsidRDefault="00FD386C" w:rsidP="009870DF">
            <w:pPr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Height, cm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30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101.0 (79.8-110.2)</w:t>
            </w:r>
          </w:p>
        </w:tc>
        <w:tc>
          <w:tcPr>
            <w:tcW w:w="109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65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98.2 (84.0-108.3)</w:t>
            </w:r>
          </w:p>
        </w:tc>
      </w:tr>
      <w:tr w:rsidR="00A2686B">
        <w:trPr>
          <w:trHeight w:val="340"/>
        </w:trPr>
        <w:tc>
          <w:tcPr>
            <w:tcW w:w="3410" w:type="dxa"/>
          </w:tcPr>
          <w:p w:rsidR="00A2686B" w:rsidRDefault="00FD386C" w:rsidP="009870DF">
            <w:pPr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BMI, kg/m</w:t>
            </w:r>
            <w:r>
              <w:rPr>
                <w:rFonts w:ascii="Arial" w:hAnsi="Arial" w:cs="Arial"/>
                <w:kern w:val="0"/>
                <w:sz w:val="22"/>
                <w:vertAlign w:val="superscript"/>
              </w:rPr>
              <w:t>2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30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16.4 (15.5-18.2)</w:t>
            </w:r>
          </w:p>
        </w:tc>
        <w:tc>
          <w:tcPr>
            <w:tcW w:w="109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65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16.3 (15.5-17.1)</w:t>
            </w:r>
          </w:p>
        </w:tc>
      </w:tr>
      <w:tr w:rsidR="00A2686B">
        <w:trPr>
          <w:trHeight w:val="340"/>
        </w:trPr>
        <w:tc>
          <w:tcPr>
            <w:tcW w:w="3410" w:type="dxa"/>
          </w:tcPr>
          <w:p w:rsidR="00A2686B" w:rsidRDefault="00FD386C" w:rsidP="009870DF">
            <w:pPr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 xml:space="preserve">Upper-arm </w:t>
            </w:r>
            <w:r>
              <w:rPr>
                <w:rFonts w:ascii="Arial" w:hAnsi="Arial" w:cs="Arial" w:hint="eastAsia"/>
                <w:kern w:val="0"/>
                <w:sz w:val="22"/>
              </w:rPr>
              <w:t>c</w:t>
            </w:r>
            <w:r>
              <w:rPr>
                <w:rFonts w:ascii="Arial" w:hAnsi="Arial" w:cs="Arial"/>
                <w:kern w:val="0"/>
                <w:sz w:val="22"/>
              </w:rPr>
              <w:t>irc</w:t>
            </w:r>
            <w:r>
              <w:rPr>
                <w:rFonts w:ascii="Arial" w:hAnsi="Arial" w:cs="Arial" w:hint="eastAsia"/>
                <w:kern w:val="0"/>
                <w:sz w:val="22"/>
              </w:rPr>
              <w:t>umference</w:t>
            </w:r>
            <w:r>
              <w:rPr>
                <w:rFonts w:ascii="Arial" w:hAnsi="Arial" w:cs="Arial"/>
                <w:kern w:val="0"/>
                <w:sz w:val="22"/>
              </w:rPr>
              <w:t>, cm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30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17.0 (15.9-18.1)</w:t>
            </w:r>
          </w:p>
        </w:tc>
        <w:tc>
          <w:tcPr>
            <w:tcW w:w="109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65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17.0 (15.0-18.0)</w:t>
            </w:r>
          </w:p>
        </w:tc>
      </w:tr>
      <w:tr w:rsidR="00A2686B">
        <w:trPr>
          <w:trHeight w:val="340"/>
        </w:trPr>
        <w:tc>
          <w:tcPr>
            <w:tcW w:w="3410" w:type="dxa"/>
          </w:tcPr>
          <w:p w:rsidR="00A2686B" w:rsidRDefault="00FD386C" w:rsidP="009870DF">
            <w:pPr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 xml:space="preserve">Head </w:t>
            </w:r>
            <w:r>
              <w:rPr>
                <w:rFonts w:ascii="Arial" w:hAnsi="Arial" w:cs="Arial" w:hint="eastAsia"/>
                <w:kern w:val="0"/>
                <w:sz w:val="22"/>
              </w:rPr>
              <w:t>c</w:t>
            </w:r>
            <w:r>
              <w:rPr>
                <w:rFonts w:ascii="Arial" w:hAnsi="Arial" w:cs="Arial"/>
                <w:kern w:val="0"/>
                <w:sz w:val="22"/>
              </w:rPr>
              <w:t>irc</w:t>
            </w:r>
            <w:r>
              <w:rPr>
                <w:rFonts w:ascii="Arial" w:hAnsi="Arial" w:cs="Arial" w:hint="eastAsia"/>
                <w:kern w:val="0"/>
                <w:sz w:val="22"/>
              </w:rPr>
              <w:t>umference</w:t>
            </w:r>
            <w:r>
              <w:rPr>
                <w:rFonts w:ascii="Arial" w:hAnsi="Arial" w:cs="Arial"/>
                <w:kern w:val="0"/>
                <w:sz w:val="22"/>
              </w:rPr>
              <w:t>, cm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30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49.8 (47.9-51.0)</w:t>
            </w:r>
          </w:p>
        </w:tc>
        <w:tc>
          <w:tcPr>
            <w:tcW w:w="109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65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48.5 (46.5-50.0)</w:t>
            </w:r>
          </w:p>
        </w:tc>
      </w:tr>
      <w:tr w:rsidR="00A2686B">
        <w:trPr>
          <w:trHeight w:val="340"/>
        </w:trPr>
        <w:tc>
          <w:tcPr>
            <w:tcW w:w="3410" w:type="dxa"/>
          </w:tcPr>
          <w:p w:rsidR="00A2686B" w:rsidRDefault="00FD386C" w:rsidP="009870DF">
            <w:pPr>
              <w:ind w:firstLineChars="109" w:firstLine="240"/>
              <w:jc w:val="lef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 xml:space="preserve">Chest </w:t>
            </w:r>
            <w:r>
              <w:rPr>
                <w:rFonts w:ascii="Arial" w:hAnsi="Arial" w:cs="Arial" w:hint="eastAsia"/>
                <w:kern w:val="0"/>
                <w:sz w:val="22"/>
              </w:rPr>
              <w:t>c</w:t>
            </w:r>
            <w:r>
              <w:rPr>
                <w:rFonts w:ascii="Arial" w:hAnsi="Arial" w:cs="Arial"/>
                <w:kern w:val="0"/>
                <w:sz w:val="22"/>
              </w:rPr>
              <w:t>irc</w:t>
            </w:r>
            <w:r>
              <w:rPr>
                <w:rFonts w:ascii="Arial" w:hAnsi="Arial" w:cs="Arial" w:hint="eastAsia"/>
                <w:kern w:val="0"/>
                <w:sz w:val="22"/>
              </w:rPr>
              <w:t>umference</w:t>
            </w:r>
            <w:r>
              <w:rPr>
                <w:rFonts w:ascii="Arial" w:hAnsi="Arial" w:cs="Arial"/>
                <w:kern w:val="0"/>
                <w:sz w:val="22"/>
              </w:rPr>
              <w:t>, cm</w:t>
            </w:r>
          </w:p>
        </w:tc>
        <w:tc>
          <w:tcPr>
            <w:tcW w:w="112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30</w:t>
            </w:r>
          </w:p>
        </w:tc>
        <w:tc>
          <w:tcPr>
            <w:tcW w:w="258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51.0 (48.9-55.0)</w:t>
            </w:r>
          </w:p>
        </w:tc>
        <w:tc>
          <w:tcPr>
            <w:tcW w:w="109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65</w:t>
            </w:r>
          </w:p>
        </w:tc>
        <w:tc>
          <w:tcPr>
            <w:tcW w:w="2530" w:type="dxa"/>
          </w:tcPr>
          <w:p w:rsidR="00A2686B" w:rsidRDefault="00FD386C" w:rsidP="009870DF">
            <w:pPr>
              <w:adjustRightInd w:val="0"/>
              <w:snapToGrid w:val="0"/>
              <w:ind w:firstLineChars="109" w:firstLine="240"/>
              <w:jc w:val="left"/>
              <w:rPr>
                <w:rFonts w:ascii="Arial" w:eastAsia="SimSun" w:hAnsi="Arial" w:cs="Arial"/>
                <w:kern w:val="0"/>
                <w:sz w:val="22"/>
                <w:lang w:bidi="th-TH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  <w:lang w:bidi="th-TH"/>
              </w:rPr>
              <w:t>52.0 (49.0-55.0)</w:t>
            </w:r>
          </w:p>
        </w:tc>
      </w:tr>
    </w:tbl>
    <w:p w:rsidR="00A2686B" w:rsidRDefault="00A2686B">
      <w:pPr>
        <w:widowControl/>
        <w:jc w:val="left"/>
        <w:rPr>
          <w:rFonts w:ascii="Arial" w:hAnsi="Arial" w:cs="Arial"/>
          <w:kern w:val="0"/>
          <w:sz w:val="22"/>
          <w:shd w:val="clear" w:color="auto" w:fill="FFFFFF"/>
        </w:rPr>
      </w:pPr>
    </w:p>
    <w:p w:rsidR="00A2686B" w:rsidRDefault="00FD386C">
      <w:pPr>
        <w:widowControl/>
        <w:jc w:val="left"/>
        <w:rPr>
          <w:rFonts w:ascii="Arial" w:hAnsi="Arial" w:cs="Arial"/>
          <w:kern w:val="0"/>
          <w:sz w:val="22"/>
          <w:shd w:val="clear" w:color="auto" w:fill="FFFFFF"/>
        </w:rPr>
      </w:pPr>
      <w:r>
        <w:rPr>
          <w:rFonts w:ascii="Arial" w:hAnsi="Arial" w:cs="Arial"/>
          <w:kern w:val="0"/>
          <w:sz w:val="22"/>
          <w:shd w:val="clear" w:color="auto" w:fill="FFFFFF"/>
        </w:rPr>
        <w:t xml:space="preserve">Data are n </w:t>
      </w:r>
      <w:r>
        <w:rPr>
          <w:rFonts w:ascii="Arial" w:hAnsi="Arial" w:cs="Arial" w:hint="eastAsia"/>
          <w:kern w:val="0"/>
          <w:sz w:val="22"/>
          <w:shd w:val="clear" w:color="auto" w:fill="FFFFFF"/>
        </w:rPr>
        <w:t>(</w:t>
      </w:r>
      <w:proofErr w:type="gramStart"/>
      <w:r>
        <w:rPr>
          <w:rFonts w:ascii="Arial" w:hAnsi="Arial" w:cs="Arial"/>
          <w:kern w:val="0"/>
          <w:sz w:val="22"/>
          <w:shd w:val="clear" w:color="auto" w:fill="FFFFFF"/>
        </w:rPr>
        <w:t>%</w:t>
      </w:r>
      <w:proofErr w:type="gramEnd"/>
      <w:r>
        <w:rPr>
          <w:rFonts w:ascii="Arial" w:hAnsi="Arial" w:cs="Arial"/>
          <w:kern w:val="0"/>
          <w:sz w:val="22"/>
          <w:shd w:val="clear" w:color="auto" w:fill="FFFFFF"/>
        </w:rPr>
        <w:t xml:space="preserve">), </w:t>
      </w:r>
      <w:r>
        <w:rPr>
          <w:rFonts w:ascii="Arial" w:hAnsi="Arial" w:cs="Arial"/>
          <w:kern w:val="0"/>
          <w:sz w:val="22"/>
          <w:shd w:val="clear" w:color="auto" w:fill="FFFFFF"/>
        </w:rPr>
        <w:t>median</w:t>
      </w:r>
      <w:r>
        <w:rPr>
          <w:rFonts w:ascii="Arial" w:hAnsi="Arial" w:cs="Arial" w:hint="eastAsia"/>
          <w:kern w:val="0"/>
          <w:sz w:val="22"/>
          <w:shd w:val="clear" w:color="auto" w:fill="FFFFFF"/>
        </w:rPr>
        <w:t xml:space="preserve"> (</w:t>
      </w:r>
      <w:r>
        <w:rPr>
          <w:rFonts w:ascii="Arial" w:hAnsi="Arial" w:cs="Arial"/>
          <w:kern w:val="0"/>
          <w:sz w:val="22"/>
          <w:shd w:val="clear" w:color="auto" w:fill="FFFFFF"/>
        </w:rPr>
        <w:t xml:space="preserve">IQR). </w:t>
      </w:r>
      <w:proofErr w:type="spellStart"/>
      <w:r>
        <w:rPr>
          <w:rFonts w:ascii="Arial" w:hAnsi="Arial" w:cs="Arial"/>
          <w:kern w:val="0"/>
          <w:sz w:val="22"/>
          <w:shd w:val="clear" w:color="auto" w:fill="FFFFFF"/>
        </w:rPr>
        <w:t>Ao</w:t>
      </w:r>
      <w:proofErr w:type="spellEnd"/>
      <w:r>
        <w:rPr>
          <w:rFonts w:ascii="Arial" w:hAnsi="Arial" w:cs="Arial"/>
          <w:kern w:val="0"/>
          <w:sz w:val="22"/>
          <w:shd w:val="clear" w:color="auto" w:fill="FFFFFF"/>
        </w:rPr>
        <w:t>=</w:t>
      </w:r>
      <w:proofErr w:type="spellStart"/>
      <w:r>
        <w:rPr>
          <w:rFonts w:ascii="Arial" w:hAnsi="Arial" w:cs="Arial"/>
          <w:kern w:val="0"/>
          <w:sz w:val="22"/>
          <w:shd w:val="clear" w:color="auto" w:fill="FFFFFF"/>
        </w:rPr>
        <w:t>Aort</w:t>
      </w:r>
      <w:proofErr w:type="spellEnd"/>
      <w:r>
        <w:rPr>
          <w:rFonts w:ascii="Arial" w:hAnsi="Arial" w:cs="Arial"/>
          <w:kern w:val="0"/>
          <w:sz w:val="22"/>
          <w:shd w:val="clear" w:color="auto" w:fill="FFFFFF"/>
        </w:rPr>
        <w:t xml:space="preserve">. CHD= Congenital heart disease. PDA= Patent ductus </w:t>
      </w:r>
      <w:proofErr w:type="spellStart"/>
      <w:r>
        <w:rPr>
          <w:rFonts w:ascii="Arial" w:hAnsi="Arial" w:cs="Arial"/>
          <w:kern w:val="0"/>
          <w:sz w:val="22"/>
          <w:shd w:val="clear" w:color="auto" w:fill="FFFFFF"/>
        </w:rPr>
        <w:t>arteriosis</w:t>
      </w:r>
      <w:proofErr w:type="spellEnd"/>
      <w:r>
        <w:rPr>
          <w:rFonts w:ascii="Arial" w:hAnsi="Arial" w:cs="Arial"/>
          <w:kern w:val="0"/>
          <w:sz w:val="22"/>
          <w:shd w:val="clear" w:color="auto" w:fill="FFFFFF"/>
        </w:rPr>
        <w:t xml:space="preserve">. PS= Pulmonary stenosis. VSD= Ventricular septal defect. ASD= Atrial septal defect. GMQ= gross motor quotient. FMQ= fine motor quotient. TMQ= total motor quotient. </w:t>
      </w:r>
      <w:proofErr w:type="spellStart"/>
      <w:r>
        <w:rPr>
          <w:rFonts w:ascii="Arial" w:hAnsi="Arial" w:cs="Arial"/>
          <w:kern w:val="0"/>
          <w:sz w:val="22"/>
          <w:shd w:val="clear" w:color="auto" w:fill="FFFFFF"/>
        </w:rPr>
        <w:t>LVDd</w:t>
      </w:r>
      <w:proofErr w:type="spellEnd"/>
      <w:r>
        <w:rPr>
          <w:rFonts w:ascii="Arial" w:hAnsi="Arial" w:cs="Arial"/>
          <w:kern w:val="0"/>
          <w:sz w:val="22"/>
          <w:shd w:val="clear" w:color="auto" w:fill="FFFFFF"/>
        </w:rPr>
        <w:t>=lef</w:t>
      </w:r>
      <w:r>
        <w:rPr>
          <w:rFonts w:ascii="Arial" w:hAnsi="Arial" w:cs="Arial"/>
          <w:kern w:val="0"/>
          <w:sz w:val="22"/>
          <w:shd w:val="clear" w:color="auto" w:fill="FFFFFF"/>
        </w:rPr>
        <w:t xml:space="preserve">t </w:t>
      </w:r>
      <w:r>
        <w:rPr>
          <w:rFonts w:ascii="Arial" w:eastAsiaTheme="majorEastAsia" w:hAnsi="Arial" w:cs="Arial" w:hint="eastAsia"/>
          <w:b/>
          <w:bCs/>
          <w:sz w:val="22"/>
          <w:szCs w:val="32"/>
        </w:rPr>
        <w:t xml:space="preserve">ventricular </w:t>
      </w:r>
      <w:r>
        <w:rPr>
          <w:rFonts w:ascii="Arial" w:hAnsi="Arial" w:cs="Arial"/>
          <w:kern w:val="0"/>
          <w:sz w:val="22"/>
          <w:shd w:val="clear" w:color="auto" w:fill="FFFFFF"/>
        </w:rPr>
        <w:t xml:space="preserve">end diastolic dimension. LVDs= left ventricular end-systolic dimension. </w:t>
      </w:r>
      <w:proofErr w:type="spellStart"/>
      <w:r>
        <w:rPr>
          <w:rFonts w:ascii="Arial" w:hAnsi="Arial" w:cs="Arial"/>
          <w:kern w:val="0"/>
          <w:sz w:val="22"/>
          <w:shd w:val="clear" w:color="auto" w:fill="FFFFFF"/>
        </w:rPr>
        <w:t>LVPWd</w:t>
      </w:r>
      <w:proofErr w:type="spellEnd"/>
      <w:r>
        <w:rPr>
          <w:rFonts w:ascii="Arial" w:hAnsi="Arial" w:cs="Arial"/>
          <w:kern w:val="0"/>
          <w:sz w:val="22"/>
          <w:shd w:val="clear" w:color="auto" w:fill="FFFFFF"/>
        </w:rPr>
        <w:t>=left ventricular posterior wall depth. LVPWs= left ventricular posterior wall thickness at end-systole. LVEF= left ventricular ejection fraction. LVFS= left ventric</w:t>
      </w:r>
      <w:r>
        <w:rPr>
          <w:rFonts w:ascii="Arial" w:hAnsi="Arial" w:cs="Arial"/>
          <w:kern w:val="0"/>
          <w:sz w:val="22"/>
          <w:shd w:val="clear" w:color="auto" w:fill="FFFFFF"/>
        </w:rPr>
        <w:t xml:space="preserve">ular fractional shortening. MPA= main pulmonary artery diameter. MV= mitral blood flow velocity. TV= tricuspid blood flow velocity. SOS= speed of sound. SAS= Self-Rating Anxiety Scale. ZCBS= </w:t>
      </w:r>
      <w:proofErr w:type="spellStart"/>
      <w:r>
        <w:rPr>
          <w:rFonts w:ascii="Arial" w:hAnsi="Arial" w:cs="Arial"/>
          <w:kern w:val="0"/>
          <w:sz w:val="22"/>
          <w:shd w:val="clear" w:color="auto" w:fill="FFFFFF"/>
        </w:rPr>
        <w:t>Zarit</w:t>
      </w:r>
      <w:proofErr w:type="spellEnd"/>
      <w:r>
        <w:rPr>
          <w:rFonts w:ascii="Arial" w:hAnsi="Arial" w:cs="Arial"/>
          <w:kern w:val="0"/>
          <w:sz w:val="22"/>
          <w:shd w:val="clear" w:color="auto" w:fill="FFFFFF"/>
        </w:rPr>
        <w:t xml:space="preserve"> Caregiver </w:t>
      </w:r>
      <w:r>
        <w:rPr>
          <w:rFonts w:ascii="Arial" w:hAnsi="Arial" w:cs="Arial"/>
          <w:kern w:val="0"/>
          <w:sz w:val="22"/>
          <w:shd w:val="clear" w:color="auto" w:fill="FFFFFF"/>
        </w:rPr>
        <w:lastRenderedPageBreak/>
        <w:t>Burden Scale. SF-36= Short Form 36-item Health Su</w:t>
      </w:r>
      <w:r>
        <w:rPr>
          <w:rFonts w:ascii="Arial" w:hAnsi="Arial" w:cs="Arial"/>
          <w:kern w:val="0"/>
          <w:sz w:val="22"/>
          <w:shd w:val="clear" w:color="auto" w:fill="FFFFFF"/>
        </w:rPr>
        <w:t xml:space="preserve">rvey. PCS= physical component summary. MCS= mental component summary. BMI= </w:t>
      </w:r>
      <w:r>
        <w:rPr>
          <w:rFonts w:ascii="Arial" w:hAnsi="Arial" w:cs="Arial" w:hint="eastAsia"/>
          <w:kern w:val="0"/>
          <w:sz w:val="22"/>
          <w:shd w:val="clear" w:color="auto" w:fill="FFFFFF"/>
        </w:rPr>
        <w:t>body</w:t>
      </w:r>
      <w:r>
        <w:rPr>
          <w:rFonts w:ascii="Arial" w:hAnsi="Arial" w:cs="Arial"/>
          <w:kern w:val="0"/>
          <w:sz w:val="22"/>
          <w:shd w:val="clear" w:color="auto" w:fill="FFFFFF"/>
        </w:rPr>
        <w:t xml:space="preserve"> </w:t>
      </w:r>
      <w:r>
        <w:rPr>
          <w:rFonts w:ascii="Arial" w:hAnsi="Arial" w:cs="Arial" w:hint="eastAsia"/>
          <w:kern w:val="0"/>
          <w:sz w:val="22"/>
          <w:shd w:val="clear" w:color="auto" w:fill="FFFFFF"/>
        </w:rPr>
        <w:t>mass</w:t>
      </w:r>
      <w:r>
        <w:rPr>
          <w:rFonts w:ascii="Arial" w:hAnsi="Arial" w:cs="Arial"/>
          <w:kern w:val="0"/>
          <w:sz w:val="22"/>
          <w:shd w:val="clear" w:color="auto" w:fill="FFFFFF"/>
        </w:rPr>
        <w:t xml:space="preserve"> </w:t>
      </w:r>
      <w:r>
        <w:rPr>
          <w:rFonts w:ascii="Arial" w:hAnsi="Arial" w:cs="Arial" w:hint="eastAsia"/>
          <w:kern w:val="0"/>
          <w:sz w:val="22"/>
          <w:shd w:val="clear" w:color="auto" w:fill="FFFFFF"/>
        </w:rPr>
        <w:t>index.</w:t>
      </w:r>
      <w:bookmarkEnd w:id="0"/>
    </w:p>
    <w:sectPr w:rsidR="00A2686B">
      <w:footerReference w:type="defaul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86C" w:rsidRDefault="00FD386C">
      <w:r>
        <w:separator/>
      </w:r>
    </w:p>
  </w:endnote>
  <w:endnote w:type="continuationSeparator" w:id="0">
    <w:p w:rsidR="00FD386C" w:rsidRDefault="00FD3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haker2Lancet-Bold">
    <w:altName w:val="Cambria"/>
    <w:charset w:val="00"/>
    <w:family w:val="roman"/>
    <w:pitch w:val="default"/>
  </w:font>
  <w:font w:name="ScalaLancetPro-Bold">
    <w:altName w:val="Segoe Print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504004"/>
    </w:sdtPr>
    <w:sdtEndPr/>
    <w:sdtContent>
      <w:sdt>
        <w:sdtPr>
          <w:id w:val="1728636285"/>
        </w:sdtPr>
        <w:sdtEndPr/>
        <w:sdtContent>
          <w:p w:rsidR="00A2686B" w:rsidRDefault="00FD386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870DF">
              <w:rPr>
                <w:b/>
                <w:bCs/>
                <w:noProof/>
              </w:rPr>
              <w:t>28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870DF">
              <w:rPr>
                <w:b/>
                <w:bCs/>
                <w:noProof/>
              </w:rPr>
              <w:t>28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2686B" w:rsidRDefault="00A268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86C" w:rsidRDefault="00FD386C">
      <w:r>
        <w:separator/>
      </w:r>
    </w:p>
  </w:footnote>
  <w:footnote w:type="continuationSeparator" w:id="0">
    <w:p w:rsidR="00FD386C" w:rsidRDefault="00FD38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0325EB"/>
    <w:multiLevelType w:val="multilevel"/>
    <w:tmpl w:val="280325EB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>
    <w:nsid w:val="4ABD04D5"/>
    <w:multiLevelType w:val="multilevel"/>
    <w:tmpl w:val="4ABD04D5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>
    <w:nsid w:val="4C20272A"/>
    <w:multiLevelType w:val="multilevel"/>
    <w:tmpl w:val="4C20272A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–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–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–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–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–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–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–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–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69D73430"/>
    <w:multiLevelType w:val="multilevel"/>
    <w:tmpl w:val="69D73430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hMmQyZDFhOGNlYjI2YmQ1YzUwZDQ2OThlYzQwZmY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ew England J Medicine&lt;/Style&gt;&lt;LeftDelim&gt;{&lt;/LeftDelim&gt;&lt;RightDelim&gt;}&lt;/RightDelim&gt;&lt;FontName&gt;DengXi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apft09fk5x2foevsr45p9di5zxx9559edvp&quot;&gt;Ref HDE&lt;record-ids&gt;&lt;item&gt;30&lt;/item&gt;&lt;/record-ids&gt;&lt;/item&gt;&lt;/Libraries&gt;"/>
  </w:docVars>
  <w:rsids>
    <w:rsidRoot w:val="00432BFB"/>
    <w:rsid w:val="000003BE"/>
    <w:rsid w:val="00003728"/>
    <w:rsid w:val="0000412F"/>
    <w:rsid w:val="00013530"/>
    <w:rsid w:val="000334F0"/>
    <w:rsid w:val="00033793"/>
    <w:rsid w:val="00041569"/>
    <w:rsid w:val="00043A8A"/>
    <w:rsid w:val="00044EDE"/>
    <w:rsid w:val="00047C6C"/>
    <w:rsid w:val="00064748"/>
    <w:rsid w:val="00066FC0"/>
    <w:rsid w:val="000802E8"/>
    <w:rsid w:val="00093AE6"/>
    <w:rsid w:val="00093B8D"/>
    <w:rsid w:val="000979AD"/>
    <w:rsid w:val="00097C27"/>
    <w:rsid w:val="000A2753"/>
    <w:rsid w:val="000A4929"/>
    <w:rsid w:val="000B3392"/>
    <w:rsid w:val="000B4A35"/>
    <w:rsid w:val="000B7F41"/>
    <w:rsid w:val="000C0B74"/>
    <w:rsid w:val="000D3123"/>
    <w:rsid w:val="000E4E71"/>
    <w:rsid w:val="000E500A"/>
    <w:rsid w:val="000E5B82"/>
    <w:rsid w:val="000F3CFE"/>
    <w:rsid w:val="000F7259"/>
    <w:rsid w:val="00116AD1"/>
    <w:rsid w:val="0012340C"/>
    <w:rsid w:val="00134A48"/>
    <w:rsid w:val="00141387"/>
    <w:rsid w:val="001562F0"/>
    <w:rsid w:val="00161C33"/>
    <w:rsid w:val="00162642"/>
    <w:rsid w:val="00164A0F"/>
    <w:rsid w:val="001715E7"/>
    <w:rsid w:val="00172489"/>
    <w:rsid w:val="00175F43"/>
    <w:rsid w:val="00180CF5"/>
    <w:rsid w:val="00180F53"/>
    <w:rsid w:val="001813FA"/>
    <w:rsid w:val="00185757"/>
    <w:rsid w:val="00191C23"/>
    <w:rsid w:val="001A1790"/>
    <w:rsid w:val="001A1ECB"/>
    <w:rsid w:val="001A33E1"/>
    <w:rsid w:val="001B725F"/>
    <w:rsid w:val="001C09F5"/>
    <w:rsid w:val="001C1F34"/>
    <w:rsid w:val="001C2F79"/>
    <w:rsid w:val="001D0050"/>
    <w:rsid w:val="001D2D9D"/>
    <w:rsid w:val="001D5FDD"/>
    <w:rsid w:val="001D6341"/>
    <w:rsid w:val="001E0D18"/>
    <w:rsid w:val="001E20DD"/>
    <w:rsid w:val="001E470D"/>
    <w:rsid w:val="001F35B8"/>
    <w:rsid w:val="001F60C2"/>
    <w:rsid w:val="00203320"/>
    <w:rsid w:val="00210425"/>
    <w:rsid w:val="002224A4"/>
    <w:rsid w:val="00225917"/>
    <w:rsid w:val="00236A78"/>
    <w:rsid w:val="002478EB"/>
    <w:rsid w:val="002504AE"/>
    <w:rsid w:val="00257601"/>
    <w:rsid w:val="0026042F"/>
    <w:rsid w:val="00260ADF"/>
    <w:rsid w:val="00260F88"/>
    <w:rsid w:val="00273B80"/>
    <w:rsid w:val="00274A8C"/>
    <w:rsid w:val="00276B9A"/>
    <w:rsid w:val="00283F46"/>
    <w:rsid w:val="00296387"/>
    <w:rsid w:val="002963FA"/>
    <w:rsid w:val="002A02F1"/>
    <w:rsid w:val="002E1C5C"/>
    <w:rsid w:val="002E1EA8"/>
    <w:rsid w:val="002E5110"/>
    <w:rsid w:val="002E540F"/>
    <w:rsid w:val="002E6877"/>
    <w:rsid w:val="002F15F1"/>
    <w:rsid w:val="002F26A4"/>
    <w:rsid w:val="002F7F4D"/>
    <w:rsid w:val="003110F1"/>
    <w:rsid w:val="00326240"/>
    <w:rsid w:val="00327FC7"/>
    <w:rsid w:val="00330AF0"/>
    <w:rsid w:val="00330DD7"/>
    <w:rsid w:val="003343AA"/>
    <w:rsid w:val="003348B4"/>
    <w:rsid w:val="00335AB7"/>
    <w:rsid w:val="00337B77"/>
    <w:rsid w:val="0034344F"/>
    <w:rsid w:val="003452BC"/>
    <w:rsid w:val="003614A0"/>
    <w:rsid w:val="00385148"/>
    <w:rsid w:val="00392DEE"/>
    <w:rsid w:val="00394CAD"/>
    <w:rsid w:val="003A6340"/>
    <w:rsid w:val="003B042B"/>
    <w:rsid w:val="003B0607"/>
    <w:rsid w:val="003B155A"/>
    <w:rsid w:val="003B5B9C"/>
    <w:rsid w:val="003B73F3"/>
    <w:rsid w:val="003D604D"/>
    <w:rsid w:val="003E68E7"/>
    <w:rsid w:val="003F053F"/>
    <w:rsid w:val="003F1A30"/>
    <w:rsid w:val="00403B3D"/>
    <w:rsid w:val="004175CA"/>
    <w:rsid w:val="00421B00"/>
    <w:rsid w:val="00421D4A"/>
    <w:rsid w:val="004326C6"/>
    <w:rsid w:val="00432BA1"/>
    <w:rsid w:val="00432BFB"/>
    <w:rsid w:val="004400CE"/>
    <w:rsid w:val="004546E6"/>
    <w:rsid w:val="00456CEC"/>
    <w:rsid w:val="004671CC"/>
    <w:rsid w:val="00480D9C"/>
    <w:rsid w:val="004828F7"/>
    <w:rsid w:val="004922DD"/>
    <w:rsid w:val="004A1DF2"/>
    <w:rsid w:val="004A252A"/>
    <w:rsid w:val="004B1583"/>
    <w:rsid w:val="004B5AF3"/>
    <w:rsid w:val="004D320B"/>
    <w:rsid w:val="004D42ED"/>
    <w:rsid w:val="004E3845"/>
    <w:rsid w:val="00507E03"/>
    <w:rsid w:val="00525326"/>
    <w:rsid w:val="00541811"/>
    <w:rsid w:val="005446E0"/>
    <w:rsid w:val="00553604"/>
    <w:rsid w:val="00556798"/>
    <w:rsid w:val="00561669"/>
    <w:rsid w:val="00585143"/>
    <w:rsid w:val="005A0D02"/>
    <w:rsid w:val="005A0FE5"/>
    <w:rsid w:val="005A2F59"/>
    <w:rsid w:val="005B463D"/>
    <w:rsid w:val="005C021E"/>
    <w:rsid w:val="005D26D1"/>
    <w:rsid w:val="005F33D7"/>
    <w:rsid w:val="00607782"/>
    <w:rsid w:val="0061015F"/>
    <w:rsid w:val="00612651"/>
    <w:rsid w:val="00626701"/>
    <w:rsid w:val="006278ED"/>
    <w:rsid w:val="00631A01"/>
    <w:rsid w:val="00652A4C"/>
    <w:rsid w:val="00654B28"/>
    <w:rsid w:val="0065517F"/>
    <w:rsid w:val="006679CA"/>
    <w:rsid w:val="00672319"/>
    <w:rsid w:val="00674DBA"/>
    <w:rsid w:val="00675D82"/>
    <w:rsid w:val="00685603"/>
    <w:rsid w:val="006A6738"/>
    <w:rsid w:val="006C3CEF"/>
    <w:rsid w:val="006D1134"/>
    <w:rsid w:val="006D444A"/>
    <w:rsid w:val="006E4778"/>
    <w:rsid w:val="00714465"/>
    <w:rsid w:val="00730412"/>
    <w:rsid w:val="00731341"/>
    <w:rsid w:val="00736430"/>
    <w:rsid w:val="007416A6"/>
    <w:rsid w:val="00750731"/>
    <w:rsid w:val="0075440A"/>
    <w:rsid w:val="007559A2"/>
    <w:rsid w:val="00762378"/>
    <w:rsid w:val="00765730"/>
    <w:rsid w:val="00776FA7"/>
    <w:rsid w:val="00786389"/>
    <w:rsid w:val="007931BD"/>
    <w:rsid w:val="007A5610"/>
    <w:rsid w:val="007B6C54"/>
    <w:rsid w:val="007C4F81"/>
    <w:rsid w:val="007E4E08"/>
    <w:rsid w:val="007F1E00"/>
    <w:rsid w:val="007F457E"/>
    <w:rsid w:val="00801252"/>
    <w:rsid w:val="00801912"/>
    <w:rsid w:val="008069D2"/>
    <w:rsid w:val="00814488"/>
    <w:rsid w:val="00817F1D"/>
    <w:rsid w:val="00820B7A"/>
    <w:rsid w:val="0083484C"/>
    <w:rsid w:val="00844043"/>
    <w:rsid w:val="00857ADA"/>
    <w:rsid w:val="00857E6F"/>
    <w:rsid w:val="00863608"/>
    <w:rsid w:val="00867148"/>
    <w:rsid w:val="00882CE4"/>
    <w:rsid w:val="00882FE1"/>
    <w:rsid w:val="00897513"/>
    <w:rsid w:val="008A657E"/>
    <w:rsid w:val="008B30B5"/>
    <w:rsid w:val="008C4E06"/>
    <w:rsid w:val="008C67DE"/>
    <w:rsid w:val="008C7408"/>
    <w:rsid w:val="008D3D6B"/>
    <w:rsid w:val="008D73F7"/>
    <w:rsid w:val="008F1758"/>
    <w:rsid w:val="008F4C47"/>
    <w:rsid w:val="009011F5"/>
    <w:rsid w:val="00902C33"/>
    <w:rsid w:val="0090374F"/>
    <w:rsid w:val="00906736"/>
    <w:rsid w:val="0091551A"/>
    <w:rsid w:val="00923650"/>
    <w:rsid w:val="00927A5E"/>
    <w:rsid w:val="0093353C"/>
    <w:rsid w:val="00935703"/>
    <w:rsid w:val="00936ACA"/>
    <w:rsid w:val="00940EAB"/>
    <w:rsid w:val="00943D35"/>
    <w:rsid w:val="00951EB2"/>
    <w:rsid w:val="00951FBD"/>
    <w:rsid w:val="00952604"/>
    <w:rsid w:val="00964A00"/>
    <w:rsid w:val="00966184"/>
    <w:rsid w:val="009703FC"/>
    <w:rsid w:val="00972E29"/>
    <w:rsid w:val="00974EF2"/>
    <w:rsid w:val="009870DF"/>
    <w:rsid w:val="0099331F"/>
    <w:rsid w:val="009A2921"/>
    <w:rsid w:val="009A2EB3"/>
    <w:rsid w:val="009C499D"/>
    <w:rsid w:val="009C5D8B"/>
    <w:rsid w:val="009C5F53"/>
    <w:rsid w:val="009C7D32"/>
    <w:rsid w:val="009D12A0"/>
    <w:rsid w:val="009D1959"/>
    <w:rsid w:val="009D216F"/>
    <w:rsid w:val="009D39D6"/>
    <w:rsid w:val="00A0240B"/>
    <w:rsid w:val="00A1736D"/>
    <w:rsid w:val="00A2080D"/>
    <w:rsid w:val="00A24DD6"/>
    <w:rsid w:val="00A2686B"/>
    <w:rsid w:val="00A35874"/>
    <w:rsid w:val="00A51CE4"/>
    <w:rsid w:val="00A67D48"/>
    <w:rsid w:val="00A72CB4"/>
    <w:rsid w:val="00A72E3E"/>
    <w:rsid w:val="00A76660"/>
    <w:rsid w:val="00A8672D"/>
    <w:rsid w:val="00A9602E"/>
    <w:rsid w:val="00AC3629"/>
    <w:rsid w:val="00AD3931"/>
    <w:rsid w:val="00AD601F"/>
    <w:rsid w:val="00AE3B5C"/>
    <w:rsid w:val="00AF1653"/>
    <w:rsid w:val="00AF331C"/>
    <w:rsid w:val="00AF7A84"/>
    <w:rsid w:val="00B00BC1"/>
    <w:rsid w:val="00B02CFC"/>
    <w:rsid w:val="00B036DA"/>
    <w:rsid w:val="00B04D2B"/>
    <w:rsid w:val="00B247FC"/>
    <w:rsid w:val="00B306FD"/>
    <w:rsid w:val="00B3298D"/>
    <w:rsid w:val="00B337C1"/>
    <w:rsid w:val="00B35463"/>
    <w:rsid w:val="00B55E3F"/>
    <w:rsid w:val="00B645C2"/>
    <w:rsid w:val="00B70AA1"/>
    <w:rsid w:val="00B74395"/>
    <w:rsid w:val="00B74832"/>
    <w:rsid w:val="00B77438"/>
    <w:rsid w:val="00B8574E"/>
    <w:rsid w:val="00B868E0"/>
    <w:rsid w:val="00B9110D"/>
    <w:rsid w:val="00B91738"/>
    <w:rsid w:val="00B91E42"/>
    <w:rsid w:val="00BA3D11"/>
    <w:rsid w:val="00BA6D49"/>
    <w:rsid w:val="00BC200D"/>
    <w:rsid w:val="00BD0A21"/>
    <w:rsid w:val="00BD4ED5"/>
    <w:rsid w:val="00BE0D1A"/>
    <w:rsid w:val="00BE0DE7"/>
    <w:rsid w:val="00BE144A"/>
    <w:rsid w:val="00BF2A5F"/>
    <w:rsid w:val="00C01F85"/>
    <w:rsid w:val="00C0211B"/>
    <w:rsid w:val="00C073BA"/>
    <w:rsid w:val="00C10C7D"/>
    <w:rsid w:val="00C11C8E"/>
    <w:rsid w:val="00C13432"/>
    <w:rsid w:val="00C254C6"/>
    <w:rsid w:val="00C27759"/>
    <w:rsid w:val="00C352D8"/>
    <w:rsid w:val="00C413EB"/>
    <w:rsid w:val="00C51677"/>
    <w:rsid w:val="00C555D9"/>
    <w:rsid w:val="00C55F35"/>
    <w:rsid w:val="00C63CB4"/>
    <w:rsid w:val="00C719B7"/>
    <w:rsid w:val="00C72EC3"/>
    <w:rsid w:val="00C74167"/>
    <w:rsid w:val="00C74299"/>
    <w:rsid w:val="00C76C1C"/>
    <w:rsid w:val="00C82952"/>
    <w:rsid w:val="00C84DF4"/>
    <w:rsid w:val="00C90851"/>
    <w:rsid w:val="00C963B0"/>
    <w:rsid w:val="00C97735"/>
    <w:rsid w:val="00CB1746"/>
    <w:rsid w:val="00CB339F"/>
    <w:rsid w:val="00CC4202"/>
    <w:rsid w:val="00CD51C8"/>
    <w:rsid w:val="00CD6BE3"/>
    <w:rsid w:val="00CD7635"/>
    <w:rsid w:val="00CE12D9"/>
    <w:rsid w:val="00CE63F6"/>
    <w:rsid w:val="00CF5278"/>
    <w:rsid w:val="00D01937"/>
    <w:rsid w:val="00D06575"/>
    <w:rsid w:val="00D1212C"/>
    <w:rsid w:val="00D40370"/>
    <w:rsid w:val="00D506CF"/>
    <w:rsid w:val="00D5424F"/>
    <w:rsid w:val="00D56E3E"/>
    <w:rsid w:val="00D64612"/>
    <w:rsid w:val="00D64C09"/>
    <w:rsid w:val="00D671C2"/>
    <w:rsid w:val="00D739A3"/>
    <w:rsid w:val="00D73B3C"/>
    <w:rsid w:val="00D849F8"/>
    <w:rsid w:val="00D878CB"/>
    <w:rsid w:val="00DA54D8"/>
    <w:rsid w:val="00DB5983"/>
    <w:rsid w:val="00DC0A55"/>
    <w:rsid w:val="00DD3818"/>
    <w:rsid w:val="00DD5107"/>
    <w:rsid w:val="00DF031B"/>
    <w:rsid w:val="00DF03B8"/>
    <w:rsid w:val="00DF6364"/>
    <w:rsid w:val="00DF7FB3"/>
    <w:rsid w:val="00E02C0D"/>
    <w:rsid w:val="00E0352A"/>
    <w:rsid w:val="00E12F39"/>
    <w:rsid w:val="00E1575D"/>
    <w:rsid w:val="00E215DA"/>
    <w:rsid w:val="00E22C92"/>
    <w:rsid w:val="00E2672E"/>
    <w:rsid w:val="00E330CA"/>
    <w:rsid w:val="00E67731"/>
    <w:rsid w:val="00E7411A"/>
    <w:rsid w:val="00E75E9E"/>
    <w:rsid w:val="00E7603B"/>
    <w:rsid w:val="00E923CB"/>
    <w:rsid w:val="00E943C1"/>
    <w:rsid w:val="00EA2C15"/>
    <w:rsid w:val="00EA2E7E"/>
    <w:rsid w:val="00EA43F1"/>
    <w:rsid w:val="00EB0405"/>
    <w:rsid w:val="00EB157C"/>
    <w:rsid w:val="00EB3171"/>
    <w:rsid w:val="00EB5253"/>
    <w:rsid w:val="00EC371B"/>
    <w:rsid w:val="00EE4765"/>
    <w:rsid w:val="00EF3A76"/>
    <w:rsid w:val="00EF53BA"/>
    <w:rsid w:val="00EF7AD7"/>
    <w:rsid w:val="00F226B3"/>
    <w:rsid w:val="00F418A0"/>
    <w:rsid w:val="00F41939"/>
    <w:rsid w:val="00F516FE"/>
    <w:rsid w:val="00F51D56"/>
    <w:rsid w:val="00F527C9"/>
    <w:rsid w:val="00F552F2"/>
    <w:rsid w:val="00F574DD"/>
    <w:rsid w:val="00F7217D"/>
    <w:rsid w:val="00F80EEC"/>
    <w:rsid w:val="00F9257A"/>
    <w:rsid w:val="00F925FB"/>
    <w:rsid w:val="00FA6412"/>
    <w:rsid w:val="00FC284D"/>
    <w:rsid w:val="00FC6B44"/>
    <w:rsid w:val="00FD386C"/>
    <w:rsid w:val="00FD4F3D"/>
    <w:rsid w:val="00FE5F76"/>
    <w:rsid w:val="00FF3326"/>
    <w:rsid w:val="024C4F09"/>
    <w:rsid w:val="07AB23F8"/>
    <w:rsid w:val="08255BF4"/>
    <w:rsid w:val="0D6671EC"/>
    <w:rsid w:val="0E7B1282"/>
    <w:rsid w:val="11633DCB"/>
    <w:rsid w:val="11BE64ED"/>
    <w:rsid w:val="18D85EFF"/>
    <w:rsid w:val="2C593B53"/>
    <w:rsid w:val="33A25C40"/>
    <w:rsid w:val="380F4AB5"/>
    <w:rsid w:val="4B87405A"/>
    <w:rsid w:val="4EEE2FB0"/>
    <w:rsid w:val="4FB65FD9"/>
    <w:rsid w:val="5B0C7269"/>
    <w:rsid w:val="5EE55BC6"/>
    <w:rsid w:val="73682C45"/>
    <w:rsid w:val="79537331"/>
    <w:rsid w:val="7D522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qFormat="1"/>
    <w:lsdException w:name="heading 3" w:semiHidden="0" w:uiPriority="0" w:unhideWhenUsed="0" w:qFormat="1"/>
    <w:lsdException w:name="heading 4" w:semiHidden="0" w:uiPriority="9" w:qFormat="1"/>
    <w:lsdException w:name="heading 5" w:semiHidden="0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qFormat="1"/>
    <w:lsdException w:name="annotation reference" w:qFormat="1"/>
    <w:lsdException w:name="line number" w:qFormat="1"/>
    <w:lsdException w:name="endnote reference" w:qFormat="1"/>
    <w:lsdException w:name="endnote text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="Arial" w:eastAsiaTheme="majorEastAsia" w:hAnsi="Arial" w:cstheme="majorBidi"/>
      <w:b/>
      <w:bCs/>
      <w:sz w:val="22"/>
      <w:szCs w:val="32"/>
    </w:rPr>
  </w:style>
  <w:style w:type="paragraph" w:styleId="Heading3">
    <w:name w:val="heading 3"/>
    <w:basedOn w:val="Normal"/>
    <w:next w:val="Normal"/>
    <w:link w:val="Heading3Char"/>
    <w:qFormat/>
    <w:pPr>
      <w:keepNext/>
      <w:keepLines/>
      <w:ind w:left="210" w:right="210"/>
      <w:jc w:val="left"/>
      <w:outlineLvl w:val="2"/>
    </w:pPr>
    <w:rPr>
      <w:rFonts w:ascii="Arial" w:hAnsi="Arial" w:cs="Arial"/>
      <w:b/>
      <w:bCs/>
      <w:kern w:val="0"/>
      <w:sz w:val="22"/>
      <w:szCs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line="377" w:lineRule="auto"/>
      <w:ind w:firstLine="422"/>
      <w:outlineLvl w:val="3"/>
    </w:pPr>
    <w:rPr>
      <w:rFonts w:cstheme="majorBidi"/>
      <w:b/>
      <w:bCs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120" w:after="120" w:line="377" w:lineRule="auto"/>
      <w:outlineLvl w:val="4"/>
    </w:pPr>
    <w:rPr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jc w:val="left"/>
    </w:pPr>
  </w:style>
  <w:style w:type="paragraph" w:styleId="TOC3">
    <w:name w:val="toc 3"/>
    <w:basedOn w:val="Normal"/>
    <w:next w:val="Normal"/>
    <w:uiPriority w:val="39"/>
    <w:unhideWhenUsed/>
    <w:qFormat/>
    <w:pPr>
      <w:spacing w:after="100"/>
      <w:ind w:left="420"/>
    </w:pPr>
  </w:style>
  <w:style w:type="paragraph" w:styleId="EndnoteText">
    <w:name w:val="endnote text"/>
    <w:basedOn w:val="Normal"/>
    <w:link w:val="EndnoteTextChar"/>
    <w:uiPriority w:val="99"/>
    <w:unhideWhenUsed/>
    <w:qFormat/>
    <w:pPr>
      <w:snapToGrid w:val="0"/>
      <w:jc w:val="left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qFormat/>
    <w:pPr>
      <w:spacing w:after="100"/>
    </w:p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40" w:after="60" w:line="312" w:lineRule="auto"/>
      <w:outlineLvl w:val="1"/>
    </w:pPr>
    <w:rPr>
      <w:bCs/>
      <w:kern w:val="28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napToGrid w:val="0"/>
      <w:jc w:val="left"/>
    </w:pPr>
    <w:rPr>
      <w:sz w:val="18"/>
      <w:szCs w:val="18"/>
    </w:rPr>
  </w:style>
  <w:style w:type="paragraph" w:styleId="TOC2">
    <w:name w:val="toc 2"/>
    <w:basedOn w:val="Normal"/>
    <w:next w:val="Normal"/>
    <w:uiPriority w:val="39"/>
    <w:unhideWhenUsed/>
    <w:qFormat/>
    <w:pPr>
      <w:spacing w:after="100"/>
      <w:ind w:left="210"/>
    </w:pPr>
  </w:style>
  <w:style w:type="paragraph" w:styleId="NormalWeb">
    <w:name w:val="Normal (Web)"/>
    <w:basedOn w:val="Normal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240" w:after="60"/>
      <w:jc w:val="center"/>
      <w:outlineLvl w:val="0"/>
    </w:pPr>
    <w:rPr>
      <w:b/>
      <w:bCs/>
      <w:szCs w:val="2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qFormat/>
    <w:rPr>
      <w:color w:val="2F5496" w:themeColor="accent1" w:themeShade="BF"/>
    </w:rPr>
    <w:tblPr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character" w:styleId="Strong">
    <w:name w:val="Strong"/>
    <w:basedOn w:val="DefaultParagraphFont"/>
    <w:autoRedefine/>
    <w:uiPriority w:val="22"/>
    <w:qFormat/>
    <w:rPr>
      <w:b/>
      <w:bCs/>
    </w:rPr>
  </w:style>
  <w:style w:type="character" w:styleId="EndnoteReference">
    <w:name w:val="endnote reference"/>
    <w:basedOn w:val="DefaultParagraphFont"/>
    <w:uiPriority w:val="99"/>
    <w:semiHidden/>
    <w:unhideWhenUsed/>
    <w:qFormat/>
    <w:rPr>
      <w:vertAlign w:val="superscript"/>
    </w:rPr>
  </w:style>
  <w:style w:type="character" w:styleId="Emphasis">
    <w:name w:val="Emphasis"/>
    <w:basedOn w:val="DefaultParagraphFont"/>
    <w:uiPriority w:val="20"/>
    <w:qFormat/>
    <w:rPr>
      <w:i/>
    </w:rPr>
  </w:style>
  <w:style w:type="character" w:styleId="LineNumber">
    <w:name w:val="line number"/>
    <w:basedOn w:val="DefaultParagraphFont"/>
    <w:uiPriority w:val="99"/>
    <w:semiHidden/>
    <w:unhideWhenUsed/>
    <w:qFormat/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21"/>
      <w:szCs w:val="21"/>
    </w:r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="SimSun" w:eastAsia="SimSun" w:hAnsi="SimSun" w:cs="Times New Roman"/>
      <w:b/>
      <w:bCs/>
      <w:szCs w:val="21"/>
    </w:rPr>
  </w:style>
  <w:style w:type="character" w:customStyle="1" w:styleId="Heading1Char">
    <w:name w:val="Heading 1 Char"/>
    <w:basedOn w:val="DefaultParagraphFont"/>
    <w:link w:val="Heading1"/>
    <w:autoRedefine/>
    <w:qFormat/>
    <w:rPr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autoRedefine/>
    <w:uiPriority w:val="9"/>
    <w:qFormat/>
    <w:rPr>
      <w:rFonts w:ascii="Arial" w:eastAsiaTheme="majorEastAsia" w:hAnsi="Arial" w:cstheme="majorBidi"/>
      <w:b/>
      <w:bCs/>
      <w:sz w:val="22"/>
      <w:szCs w:val="32"/>
    </w:rPr>
  </w:style>
  <w:style w:type="character" w:customStyle="1" w:styleId="SubtitleChar">
    <w:name w:val="Subtitle Char"/>
    <w:basedOn w:val="DefaultParagraphFont"/>
    <w:link w:val="Subtitle"/>
    <w:autoRedefine/>
    <w:uiPriority w:val="11"/>
    <w:qFormat/>
    <w:rPr>
      <w:rFonts w:eastAsia="SimSun"/>
      <w:bCs/>
      <w:kern w:val="28"/>
      <w:szCs w:val="32"/>
    </w:rPr>
  </w:style>
  <w:style w:type="character" w:customStyle="1" w:styleId="Heading3Char">
    <w:name w:val="Heading 3 Char"/>
    <w:basedOn w:val="DefaultParagraphFont"/>
    <w:link w:val="Heading3"/>
    <w:autoRedefine/>
    <w:qFormat/>
    <w:rPr>
      <w:rFonts w:ascii="Arial" w:hAnsi="Arial" w:cs="Arial"/>
      <w:b/>
      <w:bCs/>
      <w:kern w:val="0"/>
      <w:sz w:val="22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qFormat/>
    <w:rPr>
      <w:rFonts w:ascii="Times New Roman" w:eastAsia="SimSun" w:hAnsi="Times New Roman" w:cstheme="majorBidi"/>
      <w:b/>
      <w:bCs/>
      <w:szCs w:val="28"/>
    </w:rPr>
  </w:style>
  <w:style w:type="character" w:customStyle="1" w:styleId="Heading5Char">
    <w:name w:val="Heading 5 Char"/>
    <w:basedOn w:val="DefaultParagraphFont"/>
    <w:link w:val="Heading5"/>
    <w:autoRedefine/>
    <w:uiPriority w:val="9"/>
    <w:qFormat/>
    <w:rPr>
      <w:rFonts w:ascii="Times New Roman" w:eastAsia="SimSun" w:hAnsi="Times New Roman" w:cs="Times New Roman"/>
      <w:b/>
      <w:bCs/>
      <w:szCs w:val="2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</w:style>
  <w:style w:type="character" w:customStyle="1" w:styleId="EndnoteTextChar">
    <w:name w:val="Endnote Text Char"/>
    <w:basedOn w:val="DefaultParagraphFont"/>
    <w:link w:val="EndnoteText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autoRedefine/>
    <w:uiPriority w:val="99"/>
    <w:qFormat/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autoRedefine/>
    <w:uiPriority w:val="99"/>
    <w:semiHidden/>
    <w:qFormat/>
    <w:rPr>
      <w:sz w:val="18"/>
      <w:szCs w:val="18"/>
    </w:rPr>
  </w:style>
  <w:style w:type="paragraph" w:styleId="ListParagraph">
    <w:name w:val="List Paragraph"/>
    <w:basedOn w:val="Normal"/>
    <w:autoRedefine/>
    <w:uiPriority w:val="34"/>
    <w:qFormat/>
    <w:pPr>
      <w:ind w:firstLineChars="200" w:firstLine="420"/>
    </w:pPr>
  </w:style>
  <w:style w:type="table" w:customStyle="1" w:styleId="2-41">
    <w:name w:val="网格表 2 - 着色 41"/>
    <w:basedOn w:val="TableNormal"/>
    <w:autoRedefine/>
    <w:uiPriority w:val="47"/>
    <w:qFormat/>
    <w:tblPr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customStyle="1" w:styleId="1">
    <w:name w:val="不明显强调1"/>
    <w:basedOn w:val="DefaultParagraphFont"/>
    <w:autoRedefine/>
    <w:uiPriority w:val="19"/>
    <w:qFormat/>
    <w:rPr>
      <w:i/>
      <w:iCs/>
    </w:rPr>
  </w:style>
  <w:style w:type="paragraph" w:customStyle="1" w:styleId="DecimalAligned">
    <w:name w:val="Decimal Aligned"/>
    <w:basedOn w:val="Normal"/>
    <w:uiPriority w:val="40"/>
    <w:qFormat/>
    <w:pPr>
      <w:tabs>
        <w:tab w:val="decimal" w:pos="360"/>
      </w:tabs>
      <w:spacing w:after="200" w:line="276" w:lineRule="auto"/>
    </w:pPr>
    <w:rPr>
      <w:rFonts w:cs="Times New Roman"/>
    </w:rPr>
  </w:style>
  <w:style w:type="character" w:customStyle="1" w:styleId="fontstyle01">
    <w:name w:val="fontstyle01"/>
    <w:basedOn w:val="DefaultParagraphFont"/>
    <w:qFormat/>
    <w:rPr>
      <w:rFonts w:ascii="Shaker2Lancet-Bold" w:hAnsi="Shaker2Lancet-Bold" w:hint="default"/>
      <w:b/>
      <w:bCs/>
      <w:color w:val="B30838"/>
      <w:sz w:val="22"/>
      <w:szCs w:val="22"/>
    </w:rPr>
  </w:style>
  <w:style w:type="character" w:customStyle="1" w:styleId="fontstyle21">
    <w:name w:val="fontstyle21"/>
    <w:basedOn w:val="DefaultParagraphFont"/>
    <w:qFormat/>
    <w:rPr>
      <w:rFonts w:ascii="ScalaLancetPro-Bold" w:hAnsi="ScalaLancetPro-Bold" w:hint="default"/>
      <w:b/>
      <w:bCs/>
      <w:color w:val="000000"/>
      <w:sz w:val="18"/>
      <w:szCs w:val="18"/>
    </w:rPr>
  </w:style>
  <w:style w:type="table" w:customStyle="1" w:styleId="2-42">
    <w:name w:val="网格表 2 - 着色 42"/>
    <w:basedOn w:val="TableNormal"/>
    <w:uiPriority w:val="47"/>
    <w:qFormat/>
    <w:tblPr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3-51">
    <w:name w:val="清单表 3 - 着色 51"/>
    <w:basedOn w:val="TableNormal"/>
    <w:uiPriority w:val="48"/>
    <w:qFormat/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sz w:val="18"/>
      <w:szCs w:val="18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</w:rPr>
  </w:style>
  <w:style w:type="paragraph" w:customStyle="1" w:styleId="EndNoteBibliographyTitle">
    <w:name w:val="EndNote Bibliography Title"/>
    <w:basedOn w:val="Normal"/>
    <w:link w:val="EndNoteBibliographyTitle0"/>
    <w:qFormat/>
    <w:pPr>
      <w:jc w:val="center"/>
    </w:pPr>
    <w:rPr>
      <w:rFonts w:ascii="DengXian" w:eastAsia="DengXian" w:hAnsi="DengXian"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qFormat/>
    <w:rPr>
      <w:rFonts w:ascii="DengXian" w:eastAsia="DengXian" w:hAnsi="DengXian"/>
      <w:sz w:val="20"/>
    </w:rPr>
  </w:style>
  <w:style w:type="paragraph" w:customStyle="1" w:styleId="EndNoteBibliography">
    <w:name w:val="EndNote Bibliography"/>
    <w:basedOn w:val="Normal"/>
    <w:link w:val="EndNoteBibliography0"/>
    <w:qFormat/>
    <w:pPr>
      <w:jc w:val="left"/>
    </w:pPr>
    <w:rPr>
      <w:rFonts w:ascii="DengXian" w:eastAsia="DengXian" w:hAnsi="DengXian"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qFormat/>
    <w:rPr>
      <w:rFonts w:ascii="DengXian" w:eastAsia="DengXian" w:hAnsi="DengXian"/>
      <w:sz w:val="20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1">
    <w:name w:val="修订1"/>
    <w:hidden/>
    <w:uiPriority w:val="99"/>
    <w:semiHidden/>
    <w:qFormat/>
    <w:rPr>
      <w:kern w:val="2"/>
      <w:sz w:val="21"/>
      <w:szCs w:val="22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未处理的提及2"/>
    <w:basedOn w:val="DefaultParagraphFont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PlainTable21">
    <w:name w:val="Plain Table 21"/>
    <w:basedOn w:val="TableNormal"/>
    <w:autoRedefine/>
    <w:qFormat/>
    <w:rPr>
      <w:sz w:val="22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1">
    <w:name w:val="无格式表格 21"/>
    <w:basedOn w:val="TableNormal"/>
    <w:uiPriority w:val="42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OC10">
    <w:name w:val="TOC 标题1"/>
    <w:basedOn w:val="Heading1"/>
    <w:next w:val="Normal"/>
    <w:autoRedefine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:lang w:eastAsia="en-US"/>
    </w:rPr>
  </w:style>
  <w:style w:type="paragraph" w:customStyle="1" w:styleId="20">
    <w:name w:val="修订2"/>
    <w:hidden/>
    <w:uiPriority w:val="99"/>
    <w:unhideWhenUsed/>
    <w:qFormat/>
    <w:rPr>
      <w:kern w:val="2"/>
      <w:sz w:val="21"/>
      <w:szCs w:val="2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qFormat="1"/>
    <w:lsdException w:name="heading 3" w:semiHidden="0" w:uiPriority="0" w:unhideWhenUsed="0" w:qFormat="1"/>
    <w:lsdException w:name="heading 4" w:semiHidden="0" w:uiPriority="9" w:qFormat="1"/>
    <w:lsdException w:name="heading 5" w:semiHidden="0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qFormat="1"/>
    <w:lsdException w:name="annotation reference" w:qFormat="1"/>
    <w:lsdException w:name="line number" w:qFormat="1"/>
    <w:lsdException w:name="endnote reference" w:qFormat="1"/>
    <w:lsdException w:name="endnote text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="Arial" w:eastAsiaTheme="majorEastAsia" w:hAnsi="Arial" w:cstheme="majorBidi"/>
      <w:b/>
      <w:bCs/>
      <w:sz w:val="22"/>
      <w:szCs w:val="32"/>
    </w:rPr>
  </w:style>
  <w:style w:type="paragraph" w:styleId="Heading3">
    <w:name w:val="heading 3"/>
    <w:basedOn w:val="Normal"/>
    <w:next w:val="Normal"/>
    <w:link w:val="Heading3Char"/>
    <w:qFormat/>
    <w:pPr>
      <w:keepNext/>
      <w:keepLines/>
      <w:ind w:left="210" w:right="210"/>
      <w:jc w:val="left"/>
      <w:outlineLvl w:val="2"/>
    </w:pPr>
    <w:rPr>
      <w:rFonts w:ascii="Arial" w:hAnsi="Arial" w:cs="Arial"/>
      <w:b/>
      <w:bCs/>
      <w:kern w:val="0"/>
      <w:sz w:val="22"/>
      <w:szCs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line="377" w:lineRule="auto"/>
      <w:ind w:firstLine="422"/>
      <w:outlineLvl w:val="3"/>
    </w:pPr>
    <w:rPr>
      <w:rFonts w:cstheme="majorBidi"/>
      <w:b/>
      <w:bCs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120" w:after="120" w:line="377" w:lineRule="auto"/>
      <w:outlineLvl w:val="4"/>
    </w:pPr>
    <w:rPr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jc w:val="left"/>
    </w:pPr>
  </w:style>
  <w:style w:type="paragraph" w:styleId="TOC3">
    <w:name w:val="toc 3"/>
    <w:basedOn w:val="Normal"/>
    <w:next w:val="Normal"/>
    <w:uiPriority w:val="39"/>
    <w:unhideWhenUsed/>
    <w:qFormat/>
    <w:pPr>
      <w:spacing w:after="100"/>
      <w:ind w:left="420"/>
    </w:pPr>
  </w:style>
  <w:style w:type="paragraph" w:styleId="EndnoteText">
    <w:name w:val="endnote text"/>
    <w:basedOn w:val="Normal"/>
    <w:link w:val="EndnoteTextChar"/>
    <w:uiPriority w:val="99"/>
    <w:unhideWhenUsed/>
    <w:qFormat/>
    <w:pPr>
      <w:snapToGrid w:val="0"/>
      <w:jc w:val="left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qFormat/>
    <w:pPr>
      <w:spacing w:after="100"/>
    </w:p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40" w:after="60" w:line="312" w:lineRule="auto"/>
      <w:outlineLvl w:val="1"/>
    </w:pPr>
    <w:rPr>
      <w:bCs/>
      <w:kern w:val="28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napToGrid w:val="0"/>
      <w:jc w:val="left"/>
    </w:pPr>
    <w:rPr>
      <w:sz w:val="18"/>
      <w:szCs w:val="18"/>
    </w:rPr>
  </w:style>
  <w:style w:type="paragraph" w:styleId="TOC2">
    <w:name w:val="toc 2"/>
    <w:basedOn w:val="Normal"/>
    <w:next w:val="Normal"/>
    <w:uiPriority w:val="39"/>
    <w:unhideWhenUsed/>
    <w:qFormat/>
    <w:pPr>
      <w:spacing w:after="100"/>
      <w:ind w:left="210"/>
    </w:pPr>
  </w:style>
  <w:style w:type="paragraph" w:styleId="NormalWeb">
    <w:name w:val="Normal (Web)"/>
    <w:basedOn w:val="Normal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240" w:after="60"/>
      <w:jc w:val="center"/>
      <w:outlineLvl w:val="0"/>
    </w:pPr>
    <w:rPr>
      <w:b/>
      <w:bCs/>
      <w:szCs w:val="2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qFormat/>
    <w:rPr>
      <w:color w:val="2F5496" w:themeColor="accent1" w:themeShade="BF"/>
    </w:rPr>
    <w:tblPr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character" w:styleId="Strong">
    <w:name w:val="Strong"/>
    <w:basedOn w:val="DefaultParagraphFont"/>
    <w:autoRedefine/>
    <w:uiPriority w:val="22"/>
    <w:qFormat/>
    <w:rPr>
      <w:b/>
      <w:bCs/>
    </w:rPr>
  </w:style>
  <w:style w:type="character" w:styleId="EndnoteReference">
    <w:name w:val="endnote reference"/>
    <w:basedOn w:val="DefaultParagraphFont"/>
    <w:uiPriority w:val="99"/>
    <w:semiHidden/>
    <w:unhideWhenUsed/>
    <w:qFormat/>
    <w:rPr>
      <w:vertAlign w:val="superscript"/>
    </w:rPr>
  </w:style>
  <w:style w:type="character" w:styleId="Emphasis">
    <w:name w:val="Emphasis"/>
    <w:basedOn w:val="DefaultParagraphFont"/>
    <w:uiPriority w:val="20"/>
    <w:qFormat/>
    <w:rPr>
      <w:i/>
    </w:rPr>
  </w:style>
  <w:style w:type="character" w:styleId="LineNumber">
    <w:name w:val="line number"/>
    <w:basedOn w:val="DefaultParagraphFont"/>
    <w:uiPriority w:val="99"/>
    <w:semiHidden/>
    <w:unhideWhenUsed/>
    <w:qFormat/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21"/>
      <w:szCs w:val="21"/>
    </w:r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="SimSun" w:eastAsia="SimSun" w:hAnsi="SimSun" w:cs="Times New Roman"/>
      <w:b/>
      <w:bCs/>
      <w:szCs w:val="21"/>
    </w:rPr>
  </w:style>
  <w:style w:type="character" w:customStyle="1" w:styleId="Heading1Char">
    <w:name w:val="Heading 1 Char"/>
    <w:basedOn w:val="DefaultParagraphFont"/>
    <w:link w:val="Heading1"/>
    <w:autoRedefine/>
    <w:qFormat/>
    <w:rPr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autoRedefine/>
    <w:uiPriority w:val="9"/>
    <w:qFormat/>
    <w:rPr>
      <w:rFonts w:ascii="Arial" w:eastAsiaTheme="majorEastAsia" w:hAnsi="Arial" w:cstheme="majorBidi"/>
      <w:b/>
      <w:bCs/>
      <w:sz w:val="22"/>
      <w:szCs w:val="32"/>
    </w:rPr>
  </w:style>
  <w:style w:type="character" w:customStyle="1" w:styleId="SubtitleChar">
    <w:name w:val="Subtitle Char"/>
    <w:basedOn w:val="DefaultParagraphFont"/>
    <w:link w:val="Subtitle"/>
    <w:autoRedefine/>
    <w:uiPriority w:val="11"/>
    <w:qFormat/>
    <w:rPr>
      <w:rFonts w:eastAsia="SimSun"/>
      <w:bCs/>
      <w:kern w:val="28"/>
      <w:szCs w:val="32"/>
    </w:rPr>
  </w:style>
  <w:style w:type="character" w:customStyle="1" w:styleId="Heading3Char">
    <w:name w:val="Heading 3 Char"/>
    <w:basedOn w:val="DefaultParagraphFont"/>
    <w:link w:val="Heading3"/>
    <w:autoRedefine/>
    <w:qFormat/>
    <w:rPr>
      <w:rFonts w:ascii="Arial" w:hAnsi="Arial" w:cs="Arial"/>
      <w:b/>
      <w:bCs/>
      <w:kern w:val="0"/>
      <w:sz w:val="22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qFormat/>
    <w:rPr>
      <w:rFonts w:ascii="Times New Roman" w:eastAsia="SimSun" w:hAnsi="Times New Roman" w:cstheme="majorBidi"/>
      <w:b/>
      <w:bCs/>
      <w:szCs w:val="28"/>
    </w:rPr>
  </w:style>
  <w:style w:type="character" w:customStyle="1" w:styleId="Heading5Char">
    <w:name w:val="Heading 5 Char"/>
    <w:basedOn w:val="DefaultParagraphFont"/>
    <w:link w:val="Heading5"/>
    <w:autoRedefine/>
    <w:uiPriority w:val="9"/>
    <w:qFormat/>
    <w:rPr>
      <w:rFonts w:ascii="Times New Roman" w:eastAsia="SimSun" w:hAnsi="Times New Roman" w:cs="Times New Roman"/>
      <w:b/>
      <w:bCs/>
      <w:szCs w:val="2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</w:style>
  <w:style w:type="character" w:customStyle="1" w:styleId="EndnoteTextChar">
    <w:name w:val="Endnote Text Char"/>
    <w:basedOn w:val="DefaultParagraphFont"/>
    <w:link w:val="EndnoteText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autoRedefine/>
    <w:uiPriority w:val="99"/>
    <w:qFormat/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autoRedefine/>
    <w:uiPriority w:val="99"/>
    <w:semiHidden/>
    <w:qFormat/>
    <w:rPr>
      <w:sz w:val="18"/>
      <w:szCs w:val="18"/>
    </w:rPr>
  </w:style>
  <w:style w:type="paragraph" w:styleId="ListParagraph">
    <w:name w:val="List Paragraph"/>
    <w:basedOn w:val="Normal"/>
    <w:autoRedefine/>
    <w:uiPriority w:val="34"/>
    <w:qFormat/>
    <w:pPr>
      <w:ind w:firstLineChars="200" w:firstLine="420"/>
    </w:pPr>
  </w:style>
  <w:style w:type="table" w:customStyle="1" w:styleId="2-41">
    <w:name w:val="网格表 2 - 着色 41"/>
    <w:basedOn w:val="TableNormal"/>
    <w:autoRedefine/>
    <w:uiPriority w:val="47"/>
    <w:qFormat/>
    <w:tblPr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customStyle="1" w:styleId="1">
    <w:name w:val="不明显强调1"/>
    <w:basedOn w:val="DefaultParagraphFont"/>
    <w:autoRedefine/>
    <w:uiPriority w:val="19"/>
    <w:qFormat/>
    <w:rPr>
      <w:i/>
      <w:iCs/>
    </w:rPr>
  </w:style>
  <w:style w:type="paragraph" w:customStyle="1" w:styleId="DecimalAligned">
    <w:name w:val="Decimal Aligned"/>
    <w:basedOn w:val="Normal"/>
    <w:uiPriority w:val="40"/>
    <w:qFormat/>
    <w:pPr>
      <w:tabs>
        <w:tab w:val="decimal" w:pos="360"/>
      </w:tabs>
      <w:spacing w:after="200" w:line="276" w:lineRule="auto"/>
    </w:pPr>
    <w:rPr>
      <w:rFonts w:cs="Times New Roman"/>
    </w:rPr>
  </w:style>
  <w:style w:type="character" w:customStyle="1" w:styleId="fontstyle01">
    <w:name w:val="fontstyle01"/>
    <w:basedOn w:val="DefaultParagraphFont"/>
    <w:qFormat/>
    <w:rPr>
      <w:rFonts w:ascii="Shaker2Lancet-Bold" w:hAnsi="Shaker2Lancet-Bold" w:hint="default"/>
      <w:b/>
      <w:bCs/>
      <w:color w:val="B30838"/>
      <w:sz w:val="22"/>
      <w:szCs w:val="22"/>
    </w:rPr>
  </w:style>
  <w:style w:type="character" w:customStyle="1" w:styleId="fontstyle21">
    <w:name w:val="fontstyle21"/>
    <w:basedOn w:val="DefaultParagraphFont"/>
    <w:qFormat/>
    <w:rPr>
      <w:rFonts w:ascii="ScalaLancetPro-Bold" w:hAnsi="ScalaLancetPro-Bold" w:hint="default"/>
      <w:b/>
      <w:bCs/>
      <w:color w:val="000000"/>
      <w:sz w:val="18"/>
      <w:szCs w:val="18"/>
    </w:rPr>
  </w:style>
  <w:style w:type="table" w:customStyle="1" w:styleId="2-42">
    <w:name w:val="网格表 2 - 着色 42"/>
    <w:basedOn w:val="TableNormal"/>
    <w:uiPriority w:val="47"/>
    <w:qFormat/>
    <w:tblPr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3-51">
    <w:name w:val="清单表 3 - 着色 51"/>
    <w:basedOn w:val="TableNormal"/>
    <w:uiPriority w:val="48"/>
    <w:qFormat/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sz w:val="18"/>
      <w:szCs w:val="18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</w:rPr>
  </w:style>
  <w:style w:type="paragraph" w:customStyle="1" w:styleId="EndNoteBibliographyTitle">
    <w:name w:val="EndNote Bibliography Title"/>
    <w:basedOn w:val="Normal"/>
    <w:link w:val="EndNoteBibliographyTitle0"/>
    <w:qFormat/>
    <w:pPr>
      <w:jc w:val="center"/>
    </w:pPr>
    <w:rPr>
      <w:rFonts w:ascii="DengXian" w:eastAsia="DengXian" w:hAnsi="DengXian"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qFormat/>
    <w:rPr>
      <w:rFonts w:ascii="DengXian" w:eastAsia="DengXian" w:hAnsi="DengXian"/>
      <w:sz w:val="20"/>
    </w:rPr>
  </w:style>
  <w:style w:type="paragraph" w:customStyle="1" w:styleId="EndNoteBibliography">
    <w:name w:val="EndNote Bibliography"/>
    <w:basedOn w:val="Normal"/>
    <w:link w:val="EndNoteBibliography0"/>
    <w:qFormat/>
    <w:pPr>
      <w:jc w:val="left"/>
    </w:pPr>
    <w:rPr>
      <w:rFonts w:ascii="DengXian" w:eastAsia="DengXian" w:hAnsi="DengXian"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qFormat/>
    <w:rPr>
      <w:rFonts w:ascii="DengXian" w:eastAsia="DengXian" w:hAnsi="DengXian"/>
      <w:sz w:val="20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1">
    <w:name w:val="修订1"/>
    <w:hidden/>
    <w:uiPriority w:val="99"/>
    <w:semiHidden/>
    <w:qFormat/>
    <w:rPr>
      <w:kern w:val="2"/>
      <w:sz w:val="21"/>
      <w:szCs w:val="22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未处理的提及2"/>
    <w:basedOn w:val="DefaultParagraphFont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PlainTable21">
    <w:name w:val="Plain Table 21"/>
    <w:basedOn w:val="TableNormal"/>
    <w:autoRedefine/>
    <w:qFormat/>
    <w:rPr>
      <w:sz w:val="22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1">
    <w:name w:val="无格式表格 21"/>
    <w:basedOn w:val="TableNormal"/>
    <w:uiPriority w:val="42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OC10">
    <w:name w:val="TOC 标题1"/>
    <w:basedOn w:val="Heading1"/>
    <w:next w:val="Normal"/>
    <w:autoRedefine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:lang w:eastAsia="en-US"/>
    </w:rPr>
  </w:style>
  <w:style w:type="paragraph" w:customStyle="1" w:styleId="20">
    <w:name w:val="修订2"/>
    <w:hidden/>
    <w:uiPriority w:val="99"/>
    <w:unhideWhenUsed/>
    <w:qFormat/>
    <w:rPr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tiff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tif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BF890A1F7AAA448DCE4E33E9EF7D8A" ma:contentTypeVersion="13" ma:contentTypeDescription="Create a new document." ma:contentTypeScope="" ma:versionID="0e5a2e0e8ff82de7930e26bc8e989183">
  <xsd:schema xmlns:xsd="http://www.w3.org/2001/XMLSchema" xmlns:xs="http://www.w3.org/2001/XMLSchema" xmlns:p="http://schemas.microsoft.com/office/2006/metadata/properties" xmlns:ns3="7789c7f5-5b99-4edb-aecb-1150d9cabb17" xmlns:ns4="a8661151-61bc-46d6-9307-c338c0d2f6f7" targetNamespace="http://schemas.microsoft.com/office/2006/metadata/properties" ma:root="true" ma:fieldsID="b595c94effe5fd50643704f97652ae37" ns3:_="" ns4:_="">
    <xsd:import namespace="7789c7f5-5b99-4edb-aecb-1150d9cabb17"/>
    <xsd:import namespace="a8661151-61bc-46d6-9307-c338c0d2f6f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89c7f5-5b99-4edb-aecb-1150d9cabb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661151-61bc-46d6-9307-c338c0d2f6f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BB7B4-5594-435F-BDBC-1774AD7C3C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9630CE-7C72-4F83-B625-8A4EAE0AE4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89c7f5-5b99-4edb-aecb-1150d9cabb17"/>
    <ds:schemaRef ds:uri="a8661151-61bc-46d6-9307-c338c0d2f6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C17ACD-3CFB-4DFD-A7F9-311963B75A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7706DA9-FD17-42F0-AAB9-21EBD6093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28</Pages>
  <Words>5895</Words>
  <Characters>33608</Characters>
  <Application>Microsoft Office Word</Application>
  <DocSecurity>0</DocSecurity>
  <Lines>280</Lines>
  <Paragraphs>78</Paragraphs>
  <ScaleCrop>false</ScaleCrop>
  <Company>HP</Company>
  <LinksUpToDate>false</LinksUpToDate>
  <CharactersWithSpaces>39425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E746166</cp:lastModifiedBy>
  <cp:revision>146</cp:revision>
  <dcterms:created xsi:type="dcterms:W3CDTF">2020-07-24T12:36:00Z</dcterms:created>
  <dcterms:modified xsi:type="dcterms:W3CDTF">2024-01-03T02:32:00Z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0x010100D1BF890A1F7AAA448DCE4E33E9EF7D8A</vt:lpwstr>
  </property>
  <property fmtid="{D5CDD505-2E9C-101B-9397-08002B2CF9AE}" pid="3" name="KSOProductBuildVer">
    <vt:lpwstr>2052-12.1.0.16120</vt:lpwstr>
  </property>
  <property fmtid="{D5CDD505-2E9C-101B-9397-08002B2CF9AE}" pid="4" name="ICV">
    <vt:lpwstr>E6A36020D4134500B254BB4F4D401961</vt:lpwstr>
  </property>
</Properties>
</file>