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E3376" w14:textId="77777777" w:rsidR="00E56933" w:rsidRDefault="00000000">
      <w:pPr>
        <w:pStyle w:val="p2"/>
        <w:widowControl/>
        <w:spacing w:line="48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Additional file 1</w:t>
      </w:r>
    </w:p>
    <w:p w14:paraId="48193459" w14:textId="77777777" w:rsidR="00E56933" w:rsidRDefault="00000000">
      <w:pPr>
        <w:spacing w:line="480" w:lineRule="auto"/>
        <w:rPr>
          <w:rFonts w:ascii="Times New Roman Regular" w:hAnsi="Times New Roman Regular" w:cs="Times New Roman Regular" w:hint="eastAsia"/>
          <w:sz w:val="22"/>
          <w:szCs w:val="22"/>
        </w:rPr>
      </w:pPr>
      <w:r>
        <w:rPr>
          <w:rFonts w:ascii="Times New Roman" w:hAnsi="Times New Roman" w:cs="Times New Roman"/>
          <w:b/>
          <w:bCs/>
          <w:kern w:val="0"/>
          <w:sz w:val="24"/>
          <w:lang w:bidi="ar"/>
        </w:rPr>
        <w:t>Supplementary Tables and Figures Legends</w:t>
      </w:r>
    </w:p>
    <w:p w14:paraId="09FA0530" w14:textId="77777777" w:rsidR="00E56933" w:rsidRDefault="00000000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S1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Multivariate analysis of HBsAb-positive status at baseline.</w:t>
      </w:r>
    </w:p>
    <w:p w14:paraId="57A5C785" w14:textId="77777777" w:rsidR="00E56933" w:rsidRDefault="00000000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Table S2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Crude incidence rate (per 100 PY) of ALT normalization.</w:t>
      </w:r>
    </w:p>
    <w:p w14:paraId="0DE4254B" w14:textId="77777777" w:rsidR="00E56933" w:rsidRDefault="00000000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Figure S1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Kaplan-Meier curves of ALT normalization between HBsAb-positive group and HBsAb-negative group.</w:t>
      </w:r>
    </w:p>
    <w:p w14:paraId="047757E9" w14:textId="77777777" w:rsidR="00E56933" w:rsidRDefault="00000000">
      <w:pP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</w:pPr>
      <w: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  <w:br w:type="page"/>
      </w:r>
    </w:p>
    <w:p w14:paraId="717438D1" w14:textId="77777777" w:rsidR="00E56933" w:rsidRDefault="00000000">
      <w:pPr>
        <w:spacing w:line="360" w:lineRule="auto"/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</w:pPr>
      <w: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  <w:lastRenderedPageBreak/>
        <w:t xml:space="preserve">Table </w:t>
      </w: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t>S</w:t>
      </w:r>
      <w: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  <w:t>1</w:t>
      </w: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t xml:space="preserve"> M</w:t>
      </w:r>
      <w: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  <w:t>ultivariate</w:t>
      </w: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t xml:space="preserve"> analysis of HBsAb-positive status at baseline.</w:t>
      </w:r>
    </w:p>
    <w:tbl>
      <w:tblPr>
        <w:tblStyle w:val="a3"/>
        <w:tblpPr w:leftFromText="180" w:rightFromText="180" w:vertAnchor="page" w:horzAnchor="page" w:tblpX="2292" w:tblpY="2064"/>
        <w:tblOverlap w:val="never"/>
        <w:tblW w:w="0" w:type="auto"/>
        <w:tblLook w:val="04A0" w:firstRow="1" w:lastRow="0" w:firstColumn="1" w:lastColumn="0" w:noHBand="0" w:noVBand="1"/>
      </w:tblPr>
      <w:tblGrid>
        <w:gridCol w:w="1609"/>
        <w:gridCol w:w="2296"/>
        <w:gridCol w:w="1184"/>
      </w:tblGrid>
      <w:tr w:rsidR="00E56933" w14:paraId="609BE04F" w14:textId="77777777"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4AC74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Variables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48A1CD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OR (95% CI)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41023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color w:val="000033"/>
                <w:kern w:val="0"/>
                <w:sz w:val="24"/>
                <w:shd w:val="clear" w:color="auto" w:fill="FFFFFF"/>
              </w:rPr>
              <w:t>P</w:t>
            </w:r>
          </w:p>
        </w:tc>
      </w:tr>
      <w:tr w:rsidR="00E56933" w14:paraId="09D1C20B" w14:textId="77777777">
        <w:tc>
          <w:tcPr>
            <w:tcW w:w="16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F92F7C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Age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9F7A65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0.92(0.85-0.99)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274011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0.028</w:t>
            </w:r>
          </w:p>
        </w:tc>
      </w:tr>
      <w:tr w:rsidR="00E56933" w14:paraId="530F682B" w14:textId="77777777">
        <w:trPr>
          <w:trHeight w:val="460"/>
        </w:trPr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 w14:paraId="4F0DC8D5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Gender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5EDE6CFE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1.17(0.69-1.97)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6082F68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0.559</w:t>
            </w:r>
          </w:p>
        </w:tc>
      </w:tr>
      <w:tr w:rsidR="00E56933" w14:paraId="1522F241" w14:textId="77777777"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 w14:paraId="111C2D17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ALT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00FA7B50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1.00(0.99-1.01)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4596922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0.613</w:t>
            </w:r>
          </w:p>
        </w:tc>
      </w:tr>
      <w:tr w:rsidR="00E56933" w14:paraId="0D73BADA" w14:textId="77777777"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 w14:paraId="78B46FBB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AST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3D2F3F66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1.00(0.99-1.01)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8A001D9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0.526</w:t>
            </w:r>
          </w:p>
        </w:tc>
      </w:tr>
      <w:tr w:rsidR="00E56933" w14:paraId="4EE97923" w14:textId="77777777"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 w14:paraId="2BD3E895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HBsAg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7B8E561F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0.51(0.38-0.69)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E8AD3BB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&lt;0.001</w:t>
            </w:r>
          </w:p>
        </w:tc>
      </w:tr>
      <w:tr w:rsidR="00E56933" w14:paraId="179EC310" w14:textId="77777777"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</w:tcPr>
          <w:p w14:paraId="6DD90323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HBeAg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14:paraId="395A443C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2.50(0.82-7.58)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6F888A3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0.107</w:t>
            </w:r>
          </w:p>
        </w:tc>
      </w:tr>
      <w:tr w:rsidR="00E56933" w14:paraId="63D07AB9" w14:textId="77777777"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ADFB3A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HBV DNA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8BC5AC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1.04(0.86-1.25)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B3D04" w14:textId="77777777" w:rsidR="00E56933" w:rsidRDefault="00000000">
            <w:pPr>
              <w:spacing w:line="360" w:lineRule="auto"/>
              <w:rPr>
                <w:rFonts w:ascii="Times New Roman" w:eastAsia="宋体" w:hAnsi="Times New Roman" w:cs="Times New Roman"/>
                <w:color w:val="000033"/>
                <w:kern w:val="0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33"/>
                <w:kern w:val="0"/>
                <w:sz w:val="24"/>
                <w:shd w:val="clear" w:color="auto" w:fill="FFFFFF"/>
              </w:rPr>
              <w:t>0.712</w:t>
            </w:r>
          </w:p>
        </w:tc>
      </w:tr>
    </w:tbl>
    <w:p w14:paraId="5000F4DB" w14:textId="77777777" w:rsidR="00E56933" w:rsidRDefault="00E56933">
      <w:pPr>
        <w:spacing w:line="360" w:lineRule="auto"/>
        <w:ind w:leftChars="100" w:left="210" w:firstLineChars="100" w:firstLine="190"/>
        <w:rPr>
          <w:rFonts w:ascii="Segoe UI" w:eastAsia="Segoe UI" w:hAnsi="Segoe UI" w:cs="Segoe UI"/>
          <w:color w:val="111111"/>
          <w:sz w:val="19"/>
          <w:szCs w:val="19"/>
        </w:rPr>
      </w:pPr>
    </w:p>
    <w:p w14:paraId="4FBE53BE" w14:textId="77777777" w:rsidR="00E56933" w:rsidRDefault="00E56933">
      <w:pPr>
        <w:spacing w:line="360" w:lineRule="auto"/>
        <w:ind w:leftChars="100" w:left="210" w:firstLineChars="100" w:firstLine="190"/>
        <w:rPr>
          <w:rFonts w:ascii="Segoe UI" w:eastAsia="Segoe UI" w:hAnsi="Segoe UI" w:cs="Segoe UI"/>
          <w:color w:val="111111"/>
          <w:sz w:val="19"/>
          <w:szCs w:val="19"/>
        </w:rPr>
      </w:pPr>
    </w:p>
    <w:p w14:paraId="539F863A" w14:textId="77777777" w:rsidR="00E56933" w:rsidRDefault="00E56933">
      <w:pPr>
        <w:spacing w:line="360" w:lineRule="auto"/>
        <w:ind w:leftChars="100" w:left="210" w:firstLineChars="100" w:firstLine="190"/>
        <w:rPr>
          <w:rFonts w:ascii="Segoe UI" w:eastAsia="Segoe UI" w:hAnsi="Segoe UI" w:cs="Segoe UI"/>
          <w:color w:val="111111"/>
          <w:sz w:val="19"/>
          <w:szCs w:val="19"/>
        </w:rPr>
      </w:pPr>
    </w:p>
    <w:p w14:paraId="29ED2F9F" w14:textId="77777777" w:rsidR="00E56933" w:rsidRDefault="00E56933">
      <w:pPr>
        <w:spacing w:line="360" w:lineRule="auto"/>
        <w:ind w:leftChars="100" w:left="210" w:firstLineChars="100" w:firstLine="190"/>
        <w:rPr>
          <w:rFonts w:ascii="Segoe UI" w:eastAsia="Segoe UI" w:hAnsi="Segoe UI" w:cs="Segoe UI"/>
          <w:color w:val="111111"/>
          <w:sz w:val="19"/>
          <w:szCs w:val="19"/>
        </w:rPr>
      </w:pPr>
    </w:p>
    <w:p w14:paraId="0B48A45B" w14:textId="77777777" w:rsidR="00E56933" w:rsidRDefault="00E56933">
      <w:pPr>
        <w:spacing w:line="360" w:lineRule="auto"/>
        <w:ind w:leftChars="100" w:left="210" w:firstLineChars="100" w:firstLine="190"/>
        <w:rPr>
          <w:rFonts w:ascii="Segoe UI" w:eastAsia="Segoe UI" w:hAnsi="Segoe UI" w:cs="Segoe UI"/>
          <w:color w:val="111111"/>
          <w:sz w:val="19"/>
          <w:szCs w:val="19"/>
        </w:rPr>
      </w:pPr>
    </w:p>
    <w:p w14:paraId="7CD5F65F" w14:textId="77777777" w:rsidR="00E56933" w:rsidRDefault="00E56933">
      <w:pPr>
        <w:spacing w:line="360" w:lineRule="auto"/>
        <w:ind w:leftChars="100" w:left="210" w:firstLineChars="100" w:firstLine="190"/>
        <w:rPr>
          <w:rFonts w:ascii="Segoe UI" w:eastAsia="Segoe UI" w:hAnsi="Segoe UI" w:cs="Segoe UI"/>
          <w:color w:val="111111"/>
          <w:sz w:val="19"/>
          <w:szCs w:val="19"/>
        </w:rPr>
      </w:pPr>
    </w:p>
    <w:p w14:paraId="37598702" w14:textId="77777777" w:rsidR="00E56933" w:rsidRDefault="00E56933">
      <w:pPr>
        <w:spacing w:line="360" w:lineRule="auto"/>
        <w:ind w:leftChars="100" w:left="210" w:firstLineChars="100" w:firstLine="190"/>
        <w:rPr>
          <w:rFonts w:ascii="Segoe UI" w:eastAsia="Segoe UI" w:hAnsi="Segoe UI" w:cs="Segoe UI"/>
          <w:color w:val="111111"/>
          <w:sz w:val="19"/>
          <w:szCs w:val="19"/>
        </w:rPr>
      </w:pPr>
    </w:p>
    <w:p w14:paraId="009D322B" w14:textId="77777777" w:rsidR="00E56933" w:rsidRDefault="00E56933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299A5851" w14:textId="77777777" w:rsidR="00E56933" w:rsidRDefault="00E56933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213AD3DA" w14:textId="77777777" w:rsidR="00E56933" w:rsidRDefault="00000000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Abbreviations: ALT, alanine aminotransferase; AST, aspartate aminotransferase; HBeAg, hepatitis B e antigen; HBsAb, antibody against hepatitis B surface antigen;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HBsAg, hepatitis B surface antigen.</w:t>
      </w:r>
    </w:p>
    <w:p w14:paraId="68DE088E" w14:textId="77777777" w:rsidR="00E56933" w:rsidRDefault="00E56933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28FB142E" w14:textId="77777777" w:rsidR="00E56933" w:rsidRDefault="00000000">
      <w:pP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br w:type="page"/>
      </w:r>
    </w:p>
    <w:p w14:paraId="4341E9C0" w14:textId="77777777" w:rsidR="00E56933" w:rsidRDefault="00000000">
      <w:pPr>
        <w:spacing w:line="360" w:lineRule="auto"/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lastRenderedPageBreak/>
        <w:t>Table S2 Crude incidence rate (per 100 PY) of ALT normalization</w:t>
      </w:r>
      <w: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  <w:t>.</w:t>
      </w:r>
    </w:p>
    <w:tbl>
      <w:tblPr>
        <w:tblStyle w:val="a3"/>
        <w:tblpPr w:leftFromText="180" w:rightFromText="180" w:vertAnchor="text" w:horzAnchor="page" w:tblpXSpec="center" w:tblpY="26"/>
        <w:tblOverlap w:val="never"/>
        <w:tblW w:w="8505" w:type="dxa"/>
        <w:tblLook w:val="04A0" w:firstRow="1" w:lastRow="0" w:firstColumn="1" w:lastColumn="0" w:noHBand="0" w:noVBand="1"/>
      </w:tblPr>
      <w:tblGrid>
        <w:gridCol w:w="1670"/>
        <w:gridCol w:w="1862"/>
        <w:gridCol w:w="1288"/>
        <w:gridCol w:w="1984"/>
        <w:gridCol w:w="1701"/>
      </w:tblGrid>
      <w:tr w:rsidR="00E56933" w14:paraId="590ACEC7" w14:textId="77777777"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B137B3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</w:rPr>
              <w:t>Clinical outcomes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B2BCC5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</w:rPr>
              <w:t>Metrics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00BD3D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楷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/>
                <w:snapToGrid w:val="0"/>
                <w:kern w:val="0"/>
                <w:sz w:val="20"/>
                <w:szCs w:val="20"/>
              </w:rPr>
              <w:t>Total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</w:rPr>
              <w:t>(n=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20"/>
                <w:szCs w:val="20"/>
              </w:rPr>
              <w:t>308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68A7BF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</w:rPr>
              <w:t>HBsAb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 w:val="20"/>
                <w:szCs w:val="20"/>
              </w:rPr>
              <w:t>-negative group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</w:rPr>
              <w:t>(n=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20"/>
                <w:szCs w:val="20"/>
              </w:rPr>
              <w:t>226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F83B62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</w:rPr>
              <w:t>HBsAb</w:t>
            </w:r>
            <w:r>
              <w:rPr>
                <w:rFonts w:ascii="Times New Roman" w:eastAsia="宋体" w:hAnsi="Times New Roman" w:cs="Times New Roman" w:hint="eastAsia"/>
                <w:snapToGrid w:val="0"/>
                <w:kern w:val="0"/>
                <w:sz w:val="20"/>
                <w:szCs w:val="20"/>
              </w:rPr>
              <w:t>-positive group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</w:rPr>
              <w:t>(n=</w:t>
            </w:r>
            <w:r>
              <w:rPr>
                <w:rFonts w:ascii="Times New Roman" w:eastAsia="宋体" w:hAnsi="Times New Roman" w:cs="Times New Roman" w:hint="eastAsia"/>
                <w:bCs/>
                <w:kern w:val="0"/>
                <w:sz w:val="20"/>
                <w:szCs w:val="20"/>
              </w:rPr>
              <w:t>82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</w:rPr>
              <w:t>)</w:t>
            </w:r>
          </w:p>
        </w:tc>
      </w:tr>
      <w:tr w:rsidR="00E56933" w14:paraId="1564C568" w14:textId="77777777">
        <w:tc>
          <w:tcPr>
            <w:tcW w:w="16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ABA0A2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</w:rPr>
              <w:t>ALT normalization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3E0F63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kern w:val="0"/>
                <w:sz w:val="20"/>
                <w:szCs w:val="20"/>
                <w:shd w:val="clear" w:color="auto" w:fill="FFFFFF"/>
              </w:rPr>
              <w:t xml:space="preserve">PYs </w:t>
            </w:r>
            <w:r>
              <w:rPr>
                <w:rFonts w:ascii="Times New Roman" w:eastAsia="Arial" w:hAnsi="Times New Roman" w:cs="Times New Roman"/>
                <w:snapToGrid w:val="0"/>
                <w:kern w:val="0"/>
                <w:sz w:val="20"/>
                <w:szCs w:val="20"/>
                <w:shd w:val="clear" w:color="auto" w:fill="FFFFFF"/>
              </w:rPr>
              <w:t>of follow-up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E12D13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413.88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8AD8CB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304.05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ABA1A3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109.84</w:t>
            </w:r>
          </w:p>
        </w:tc>
      </w:tr>
      <w:tr w:rsidR="00E56933" w14:paraId="4CB3F057" w14:textId="77777777">
        <w:tc>
          <w:tcPr>
            <w:tcW w:w="16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5DC6E" w14:textId="77777777" w:rsidR="00E56933" w:rsidRDefault="00E56933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643E6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/>
                <w:snapToGrid w:val="0"/>
                <w:kern w:val="0"/>
                <w:sz w:val="20"/>
                <w:szCs w:val="20"/>
              </w:rPr>
              <w:t>No. of events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7A385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207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924C4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4725C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65</w:t>
            </w:r>
          </w:p>
        </w:tc>
      </w:tr>
      <w:tr w:rsidR="00E56933" w14:paraId="0340DBF4" w14:textId="77777777">
        <w:tc>
          <w:tcPr>
            <w:tcW w:w="16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806EF" w14:textId="77777777" w:rsidR="00E56933" w:rsidRDefault="00E56933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EC3AE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/>
                <w:snapToGrid w:val="0"/>
                <w:kern w:val="0"/>
                <w:sz w:val="20"/>
                <w:szCs w:val="20"/>
              </w:rPr>
              <w:t>Crude incidence rate (per 100 PY</w:t>
            </w:r>
            <w:r>
              <w:rPr>
                <w:rFonts w:ascii="Times New Roman" w:eastAsia="楷体" w:hAnsi="Times New Roman" w:cs="Times New Roman"/>
                <w:snapToGrid w:val="0"/>
                <w:kern w:val="0"/>
                <w:sz w:val="20"/>
                <w:szCs w:val="20"/>
              </w:rPr>
              <w:t>）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5E7A5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</w:rPr>
              <w:t>50.01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45B1D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46.70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84DE2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59.18</w:t>
            </w:r>
          </w:p>
        </w:tc>
      </w:tr>
      <w:tr w:rsidR="00E56933" w14:paraId="3B8E6998" w14:textId="77777777">
        <w:tc>
          <w:tcPr>
            <w:tcW w:w="167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42D510" w14:textId="77777777" w:rsidR="00E56933" w:rsidRDefault="00E56933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F4B436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Cambria" w:hAnsi="Times New Roman" w:cs="Times New Roman"/>
                <w:kern w:val="0"/>
                <w:sz w:val="20"/>
                <w:szCs w:val="20"/>
              </w:rPr>
              <w:t xml:space="preserve">HR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</w:t>
            </w:r>
            <w:r>
              <w:rPr>
                <w:rFonts w:ascii="Times New Roman" w:eastAsia="Cambria" w:hAnsi="Times New Roman" w:cs="Times New Roman"/>
                <w:kern w:val="0"/>
                <w:sz w:val="20"/>
                <w:szCs w:val="20"/>
              </w:rPr>
              <w:t>95% CI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B24D96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/>
                <w:snapToGrid w:val="0"/>
                <w:kern w:val="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5768C1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/>
                <w:snapToGrid w:val="0"/>
                <w:kern w:val="0"/>
                <w:sz w:val="20"/>
                <w:szCs w:val="20"/>
              </w:rPr>
              <w:t>1(Ref)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5A9837" w14:textId="77777777" w:rsidR="00E56933" w:rsidRDefault="00000000">
            <w:pPr>
              <w:kinsoku w:val="0"/>
              <w:adjustRightInd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</w:rPr>
            </w:pP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1.27</w:t>
            </w:r>
            <w:r>
              <w:rPr>
                <w:rFonts w:ascii="Times New Roman" w:eastAsia="楷体" w:hAnsi="Times New Roman" w:cs="Times New Roman"/>
                <w:snapToGrid w:val="0"/>
                <w:kern w:val="0"/>
                <w:sz w:val="20"/>
                <w:szCs w:val="20"/>
              </w:rPr>
              <w:t>(</w:t>
            </w: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0.93</w:t>
            </w:r>
            <w:r>
              <w:rPr>
                <w:rFonts w:ascii="Times New Roman" w:eastAsia="楷体" w:hAnsi="Times New Roman" w:cs="Times New Roman"/>
                <w:snapToGrid w:val="0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楷体" w:hAnsi="Times New Roman" w:cs="Times New Roman" w:hint="eastAsia"/>
                <w:snapToGrid w:val="0"/>
                <w:kern w:val="0"/>
                <w:sz w:val="20"/>
                <w:szCs w:val="20"/>
              </w:rPr>
              <w:t>1.71</w:t>
            </w:r>
            <w:r>
              <w:rPr>
                <w:rFonts w:ascii="Times New Roman" w:eastAsia="楷体" w:hAnsi="Times New Roman" w:cs="Times New Roman"/>
                <w:snapToGrid w:val="0"/>
                <w:kern w:val="0"/>
                <w:sz w:val="20"/>
                <w:szCs w:val="20"/>
              </w:rPr>
              <w:t>)</w:t>
            </w:r>
          </w:p>
        </w:tc>
      </w:tr>
    </w:tbl>
    <w:p w14:paraId="6175D08C" w14:textId="77777777" w:rsidR="00E56933" w:rsidRPr="00AB2C39" w:rsidRDefault="00000000">
      <w:pPr>
        <w:spacing w:line="360" w:lineRule="auto"/>
        <w:rPr>
          <w:rFonts w:ascii="Times New Roman" w:hAnsi="Times New Roman"/>
          <w:sz w:val="20"/>
          <w:szCs w:val="20"/>
        </w:rPr>
      </w:pPr>
      <w:r w:rsidRPr="00AB2C39">
        <w:rPr>
          <w:rFonts w:ascii="Times New Roman" w:hAnsi="Times New Roman" w:hint="eastAsia"/>
          <w:sz w:val="20"/>
          <w:szCs w:val="20"/>
        </w:rPr>
        <w:t>NOTE: The upper limit of normal ALT has been redefined as 30 IU/L for male children and 24 IU/L for female children. ALT normalization was defined as observing ALT levels below the upper limit of normal for at least 6 months.</w:t>
      </w:r>
    </w:p>
    <w:p w14:paraId="7FCE6D03" w14:textId="77777777" w:rsidR="00E56933" w:rsidRPr="00AB2C39" w:rsidRDefault="00000000">
      <w:pPr>
        <w:spacing w:line="360" w:lineRule="auto"/>
        <w:rPr>
          <w:rFonts w:ascii="Times New Roman" w:hAnsi="Times New Roman"/>
          <w:sz w:val="20"/>
          <w:szCs w:val="20"/>
        </w:rPr>
      </w:pPr>
      <w:r w:rsidRPr="00AB2C39">
        <w:rPr>
          <w:rFonts w:ascii="Times New Roman" w:hAnsi="Times New Roman"/>
          <w:sz w:val="20"/>
          <w:szCs w:val="20"/>
        </w:rPr>
        <w:t>Abbreviations:</w:t>
      </w:r>
      <w:r w:rsidRPr="00AB2C39">
        <w:rPr>
          <w:rFonts w:ascii="Times New Roman" w:hAnsi="Times New Roman" w:hint="eastAsia"/>
          <w:sz w:val="20"/>
          <w:szCs w:val="20"/>
        </w:rPr>
        <w:t xml:space="preserve"> CI, confidence interval; HBsAb, antibody against hepatitis B surface antigen; HBsAg, hepatitis B surface antigen; HR, hazard ratio; PY, person-years.</w:t>
      </w:r>
    </w:p>
    <w:p w14:paraId="2D390A58" w14:textId="77777777" w:rsidR="00E56933" w:rsidRDefault="00E56933">
      <w:pPr>
        <w:rPr>
          <w:rFonts w:ascii="Times New Roman" w:hAnsi="Times New Roman"/>
          <w:kern w:val="0"/>
          <w:sz w:val="24"/>
        </w:rPr>
      </w:pPr>
    </w:p>
    <w:p w14:paraId="004EAE5C" w14:textId="77777777" w:rsidR="00E56933" w:rsidRDefault="00E56933">
      <w:pPr>
        <w:spacing w:line="360" w:lineRule="auto"/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</w:pPr>
    </w:p>
    <w:p w14:paraId="6583B179" w14:textId="77777777" w:rsidR="00E56933" w:rsidRDefault="00E56933">
      <w:pPr>
        <w:spacing w:line="360" w:lineRule="auto"/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</w:pPr>
    </w:p>
    <w:p w14:paraId="083C55B0" w14:textId="77777777" w:rsidR="00E56933" w:rsidRDefault="00E56933">
      <w:pPr>
        <w:spacing w:line="360" w:lineRule="auto"/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</w:pPr>
    </w:p>
    <w:p w14:paraId="0DB003ED" w14:textId="77777777" w:rsidR="00E56933" w:rsidRDefault="00000000">
      <w:pP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br w:type="page"/>
      </w:r>
    </w:p>
    <w:p w14:paraId="34935D69" w14:textId="77777777" w:rsidR="00E56933" w:rsidRDefault="00000000">
      <w:pPr>
        <w:spacing w:line="360" w:lineRule="auto"/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lastRenderedPageBreak/>
        <w:t xml:space="preserve">Figure S1 </w:t>
      </w:r>
      <w: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  <w:t xml:space="preserve">Kaplan-Meier curves of </w:t>
      </w: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t xml:space="preserve">ALT normalization </w:t>
      </w:r>
      <w: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  <w:t>between HBsAb</w:t>
      </w: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t>-positive</w:t>
      </w:r>
      <w: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  <w:t xml:space="preserve"> group</w:t>
      </w: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  <w:t>and HBsAb</w:t>
      </w: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t>-negative</w:t>
      </w:r>
      <w:r>
        <w:rPr>
          <w:rFonts w:ascii="Times New Roman" w:eastAsia="宋体" w:hAnsi="Times New Roman" w:cs="Times New Roman"/>
          <w:color w:val="000033"/>
          <w:sz w:val="24"/>
          <w:shd w:val="clear" w:color="auto" w:fill="FFFFFF"/>
        </w:rPr>
        <w:t xml:space="preserve"> group</w:t>
      </w:r>
      <w:r>
        <w:rPr>
          <w:rFonts w:ascii="Times New Roman" w:eastAsia="宋体" w:hAnsi="Times New Roman" w:cs="Times New Roman" w:hint="eastAsia"/>
          <w:color w:val="000033"/>
          <w:sz w:val="24"/>
          <w:shd w:val="clear" w:color="auto" w:fill="FFFFFF"/>
        </w:rPr>
        <w:t>.</w:t>
      </w:r>
    </w:p>
    <w:p w14:paraId="14735578" w14:textId="77777777" w:rsidR="00E56933" w:rsidRDefault="00000000">
      <w:r>
        <w:rPr>
          <w:noProof/>
        </w:rPr>
        <w:drawing>
          <wp:inline distT="0" distB="0" distL="114300" distR="114300" wp14:anchorId="27A2ABA5" wp14:editId="269FA49F">
            <wp:extent cx="2868295" cy="2641600"/>
            <wp:effectExtent l="0" t="0" r="8255" b="6350"/>
            <wp:docPr id="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9295" cy="264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69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B7310" w14:textId="77777777" w:rsidR="00AB60F4" w:rsidRDefault="00AB60F4" w:rsidP="00AB2C39">
      <w:r>
        <w:separator/>
      </w:r>
    </w:p>
  </w:endnote>
  <w:endnote w:type="continuationSeparator" w:id="0">
    <w:p w14:paraId="59DAE467" w14:textId="77777777" w:rsidR="00AB60F4" w:rsidRDefault="00AB60F4" w:rsidP="00AB2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Regular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8C449" w14:textId="77777777" w:rsidR="00AB60F4" w:rsidRDefault="00AB60F4" w:rsidP="00AB2C39">
      <w:r>
        <w:separator/>
      </w:r>
    </w:p>
  </w:footnote>
  <w:footnote w:type="continuationSeparator" w:id="0">
    <w:p w14:paraId="710B215A" w14:textId="77777777" w:rsidR="00AB60F4" w:rsidRDefault="00AB60F4" w:rsidP="00AB2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U1ZmM1MjI1ZDg5ZWVlYjM1ZTUwMTA5Yzc1YTYwMTYifQ==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EE1A2E"/>
    <w:rsid w:val="00AB2C39"/>
    <w:rsid w:val="00AB60F4"/>
    <w:rsid w:val="00BF38FF"/>
    <w:rsid w:val="00C35024"/>
    <w:rsid w:val="00E56933"/>
    <w:rsid w:val="00EE1A2E"/>
    <w:rsid w:val="540F6177"/>
    <w:rsid w:val="561F24D3"/>
    <w:rsid w:val="7432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87707B"/>
  <w15:docId w15:val="{622152F7-ECB2-4BB6-97F0-A0478908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autoRedefine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Calibri" w:hAnsi="Calibri" w:cs="Calibri"/>
      <w:sz w:val="20"/>
      <w:szCs w:val="24"/>
      <w14:ligatures w14:val="none"/>
    </w:rPr>
  </w:style>
  <w:style w:type="paragraph" w:customStyle="1" w:styleId="EndNoteBibliography">
    <w:name w:val="EndNote Bibliography"/>
    <w:basedOn w:val="a"/>
    <w:link w:val="EndNoteBibliography0"/>
    <w:autoRedefine/>
    <w:qFormat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a0"/>
    <w:link w:val="EndNoteBibliography"/>
    <w:rPr>
      <w:rFonts w:ascii="Calibri" w:hAnsi="Calibri" w:cs="Calibri"/>
      <w:sz w:val="20"/>
      <w:szCs w:val="24"/>
      <w14:ligatures w14:val="none"/>
    </w:rPr>
  </w:style>
  <w:style w:type="paragraph" w:customStyle="1" w:styleId="p2">
    <w:name w:val="p2"/>
    <w:basedOn w:val="a"/>
    <w:autoRedefine/>
    <w:qFormat/>
    <w:pPr>
      <w:jc w:val="left"/>
    </w:pPr>
    <w:rPr>
      <w:rFonts w:ascii="Times New Roman" w:hAnsi="Times New Roman" w:cs="Times New Roman"/>
      <w:kern w:val="0"/>
      <w:sz w:val="23"/>
      <w:szCs w:val="23"/>
    </w:rPr>
  </w:style>
  <w:style w:type="paragraph" w:styleId="a4">
    <w:name w:val="header"/>
    <w:basedOn w:val="a"/>
    <w:link w:val="a5"/>
    <w:uiPriority w:val="99"/>
    <w:unhideWhenUsed/>
    <w:rsid w:val="00AB2C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B2C39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B2C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B2C3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231</Words>
  <Characters>1420</Characters>
  <Application>Microsoft Office Word</Application>
  <DocSecurity>0</DocSecurity>
  <Lines>94</Lines>
  <Paragraphs>68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 yingping</dc:creator>
  <cp:lastModifiedBy>gu yingping</cp:lastModifiedBy>
  <cp:revision>3</cp:revision>
  <dcterms:created xsi:type="dcterms:W3CDTF">2024-01-06T08:12:00Z</dcterms:created>
  <dcterms:modified xsi:type="dcterms:W3CDTF">2024-02-05T08:52:00Z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e6cb10e5-3a5d-44c4-9f24-666518d0ec35</vt:lpwstr>
  </property>
  <property fmtid="{D5CDD505-2E9C-101B-9397-08002B2CF9AE}" pid="3" name="KSOProductBuildVer">
    <vt:lpwstr>2052-12.1.0.16250</vt:lpwstr>
  </property>
  <property fmtid="{D5CDD505-2E9C-101B-9397-08002B2CF9AE}" pid="4" name="ICV">
    <vt:lpwstr>CC77560B5D84463EAE175D2AA5EAF5A5_13</vt:lpwstr>
  </property>
</Properties>
</file>