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1D284" w14:textId="52B4BFBF" w:rsidR="00957B3C" w:rsidRPr="00E40C18" w:rsidRDefault="00F45059" w:rsidP="00E40C18">
      <w:pPr>
        <w:pStyle w:val="pf0"/>
        <w:rPr>
          <w:rFonts w:ascii="Arial" w:hAnsi="Arial" w:cs="Arial"/>
          <w:sz w:val="20"/>
          <w:szCs w:val="20"/>
        </w:rPr>
      </w:pPr>
      <w:r w:rsidRPr="00F55E05">
        <w:rPr>
          <w:rFonts w:ascii="Times New Roman" w:hAnsi="Times New Roman" w:cs="Times New Roman"/>
          <w:b/>
          <w:bCs/>
          <w:color w:val="FF0000"/>
        </w:rPr>
        <w:t xml:space="preserve">Additional </w:t>
      </w:r>
      <w:r w:rsidR="00587D05">
        <w:rPr>
          <w:rFonts w:ascii="Times New Roman" w:hAnsi="Times New Roman" w:cs="Times New Roman" w:hint="eastAsia"/>
          <w:b/>
          <w:bCs/>
          <w:color w:val="FF0000"/>
        </w:rPr>
        <w:t>F</w:t>
      </w:r>
      <w:r w:rsidR="00587D05" w:rsidRPr="00F55E05">
        <w:rPr>
          <w:rFonts w:ascii="Times New Roman" w:hAnsi="Times New Roman" w:cs="Times New Roman"/>
          <w:b/>
          <w:bCs/>
          <w:color w:val="FF0000"/>
        </w:rPr>
        <w:t xml:space="preserve">ile </w:t>
      </w:r>
      <w:r w:rsidR="00B356BF">
        <w:rPr>
          <w:rFonts w:ascii="Times New Roman" w:hAnsi="Times New Roman" w:cs="Times New Roman" w:hint="eastAsia"/>
          <w:b/>
          <w:bCs/>
          <w:color w:val="FF0000"/>
        </w:rPr>
        <w:t>2</w:t>
      </w:r>
    </w:p>
    <w:bookmarkStart w:id="0" w:name="_Hlk160801973" w:displacedByCustomXml="next"/>
    <w:sdt>
      <w:sdtPr>
        <w:rPr>
          <w:rFonts w:ascii="Times New Roman" w:eastAsiaTheme="minorEastAsia" w:hAnsi="Times New Roman" w:cs="Times New Roman"/>
          <w:color w:val="auto"/>
          <w:sz w:val="24"/>
          <w:szCs w:val="24"/>
          <w:lang w:val="zh-CN" w:eastAsia="en-US"/>
        </w:rPr>
        <w:id w:val="1106319831"/>
        <w:docPartObj>
          <w:docPartGallery w:val="Table of Contents"/>
          <w:docPartUnique/>
        </w:docPartObj>
      </w:sdtPr>
      <w:sdtEndPr>
        <w:rPr>
          <w:b/>
          <w:bCs/>
        </w:rPr>
      </w:sdtEndPr>
      <w:sdtContent>
        <w:p w14:paraId="3043601E" w14:textId="693F14AD" w:rsidR="00D9358D" w:rsidRPr="00B4565F" w:rsidRDefault="00D9358D" w:rsidP="003055EB">
          <w:pPr>
            <w:pStyle w:val="TOC"/>
            <w:spacing w:beforeLines="50" w:before="120" w:afterLines="50" w:after="120" w:line="360" w:lineRule="auto"/>
            <w:jc w:val="both"/>
            <w:rPr>
              <w:rFonts w:ascii="Times New Roman" w:hAnsi="Times New Roman" w:cs="Times New Roman"/>
              <w:color w:val="auto"/>
              <w:sz w:val="24"/>
              <w:szCs w:val="24"/>
            </w:rPr>
          </w:pPr>
          <w:r w:rsidRPr="00B4565F">
            <w:rPr>
              <w:rFonts w:ascii="Times New Roman" w:hAnsi="Times New Roman" w:cs="Times New Roman"/>
              <w:b/>
              <w:bCs/>
              <w:color w:val="auto"/>
              <w:sz w:val="24"/>
              <w:szCs w:val="24"/>
            </w:rPr>
            <w:t>Contents:</w:t>
          </w:r>
        </w:p>
        <w:bookmarkEnd w:id="0"/>
        <w:p w14:paraId="3196C794" w14:textId="3F6D5F63" w:rsidR="009E33D0" w:rsidRDefault="00D9358D" w:rsidP="009E33D0">
          <w:pPr>
            <w:pStyle w:val="TOC1"/>
            <w:ind w:firstLine="110"/>
            <w:rPr>
              <w:noProof/>
              <w:kern w:val="2"/>
              <w:szCs w:val="24"/>
              <w:lang w:val="en-US" w:eastAsia="zh-CN"/>
              <w14:ligatures w14:val="standardContextual"/>
            </w:rPr>
          </w:pPr>
          <w:r w:rsidRPr="00B4565F">
            <w:fldChar w:fldCharType="begin"/>
          </w:r>
          <w:r w:rsidRPr="00B4565F">
            <w:instrText xml:space="preserve"> TOC \o "1-3" \h \z \u </w:instrText>
          </w:r>
          <w:r w:rsidRPr="00B4565F">
            <w:fldChar w:fldCharType="separate"/>
          </w:r>
          <w:hyperlink w:anchor="_Toc160801071" w:history="1">
            <w:r w:rsidR="009E33D0" w:rsidRPr="00F80CCE">
              <w:rPr>
                <w:rStyle w:val="ae"/>
                <w:rFonts w:ascii="Times New Roman" w:hAnsi="Times New Roman" w:cs="Times New Roman"/>
                <w:b/>
                <w:bCs/>
                <w:noProof/>
              </w:rPr>
              <w:t>Supplemental methods</w:t>
            </w:r>
            <w:r w:rsidR="009E33D0">
              <w:rPr>
                <w:noProof/>
                <w:webHidden/>
              </w:rPr>
              <w:tab/>
            </w:r>
            <w:r w:rsidR="009E33D0">
              <w:rPr>
                <w:noProof/>
                <w:webHidden/>
              </w:rPr>
              <w:fldChar w:fldCharType="begin"/>
            </w:r>
            <w:r w:rsidR="009E33D0">
              <w:rPr>
                <w:noProof/>
                <w:webHidden/>
              </w:rPr>
              <w:instrText xml:space="preserve"> PAGEREF _Toc160801071 \h </w:instrText>
            </w:r>
            <w:r w:rsidR="009E33D0">
              <w:rPr>
                <w:noProof/>
                <w:webHidden/>
              </w:rPr>
            </w:r>
            <w:r w:rsidR="009E33D0">
              <w:rPr>
                <w:noProof/>
                <w:webHidden/>
              </w:rPr>
              <w:fldChar w:fldCharType="separate"/>
            </w:r>
            <w:r w:rsidR="009E33D0">
              <w:rPr>
                <w:noProof/>
                <w:webHidden/>
              </w:rPr>
              <w:t>2</w:t>
            </w:r>
            <w:r w:rsidR="009E33D0">
              <w:rPr>
                <w:noProof/>
                <w:webHidden/>
              </w:rPr>
              <w:fldChar w:fldCharType="end"/>
            </w:r>
          </w:hyperlink>
        </w:p>
        <w:p w14:paraId="00734D24" w14:textId="3667131C" w:rsidR="009E33D0" w:rsidRDefault="009E33D0">
          <w:pPr>
            <w:pStyle w:val="TOC2"/>
            <w:rPr>
              <w:noProof/>
              <w:kern w:val="2"/>
              <w:szCs w:val="24"/>
              <w:lang w:val="en-US" w:eastAsia="zh-CN"/>
              <w14:ligatures w14:val="standardContextual"/>
            </w:rPr>
          </w:pPr>
          <w:hyperlink w:anchor="_Toc160801072" w:history="1">
            <w:r w:rsidRPr="00F80CCE">
              <w:rPr>
                <w:rStyle w:val="ae"/>
                <w:rFonts w:ascii="Times New Roman" w:hAnsi="Times New Roman" w:cs="Times New Roman"/>
                <w:b/>
                <w:noProof/>
              </w:rPr>
              <w:t>Design of safety run-in</w:t>
            </w:r>
            <w:r>
              <w:rPr>
                <w:noProof/>
                <w:webHidden/>
              </w:rPr>
              <w:tab/>
            </w:r>
            <w:r>
              <w:rPr>
                <w:noProof/>
                <w:webHidden/>
              </w:rPr>
              <w:fldChar w:fldCharType="begin"/>
            </w:r>
            <w:r>
              <w:rPr>
                <w:noProof/>
                <w:webHidden/>
              </w:rPr>
              <w:instrText xml:space="preserve"> PAGEREF _Toc160801072 \h </w:instrText>
            </w:r>
            <w:r>
              <w:rPr>
                <w:noProof/>
                <w:webHidden/>
              </w:rPr>
            </w:r>
            <w:r>
              <w:rPr>
                <w:noProof/>
                <w:webHidden/>
              </w:rPr>
              <w:fldChar w:fldCharType="separate"/>
            </w:r>
            <w:r>
              <w:rPr>
                <w:noProof/>
                <w:webHidden/>
              </w:rPr>
              <w:t>2</w:t>
            </w:r>
            <w:r>
              <w:rPr>
                <w:noProof/>
                <w:webHidden/>
              </w:rPr>
              <w:fldChar w:fldCharType="end"/>
            </w:r>
          </w:hyperlink>
        </w:p>
        <w:p w14:paraId="6262FF6B" w14:textId="55D269B1" w:rsidR="009E33D0" w:rsidRDefault="009E33D0">
          <w:pPr>
            <w:pStyle w:val="TOC2"/>
            <w:rPr>
              <w:noProof/>
              <w:kern w:val="2"/>
              <w:szCs w:val="24"/>
              <w:lang w:val="en-US" w:eastAsia="zh-CN"/>
              <w14:ligatures w14:val="standardContextual"/>
            </w:rPr>
          </w:pPr>
          <w:hyperlink w:anchor="_Toc160801073" w:history="1">
            <w:r w:rsidRPr="00F80CCE">
              <w:rPr>
                <w:rStyle w:val="ae"/>
                <w:rFonts w:ascii="Times New Roman" w:hAnsi="Times New Roman" w:cs="Times New Roman"/>
                <w:b/>
                <w:noProof/>
              </w:rPr>
              <w:t>Assessment of Dose-Limiting Toxicity</w:t>
            </w:r>
            <w:r>
              <w:rPr>
                <w:noProof/>
                <w:webHidden/>
              </w:rPr>
              <w:tab/>
            </w:r>
            <w:r>
              <w:rPr>
                <w:noProof/>
                <w:webHidden/>
              </w:rPr>
              <w:fldChar w:fldCharType="begin"/>
            </w:r>
            <w:r>
              <w:rPr>
                <w:noProof/>
                <w:webHidden/>
              </w:rPr>
              <w:instrText xml:space="preserve"> PAGEREF _Toc160801073 \h </w:instrText>
            </w:r>
            <w:r>
              <w:rPr>
                <w:noProof/>
                <w:webHidden/>
              </w:rPr>
            </w:r>
            <w:r>
              <w:rPr>
                <w:noProof/>
                <w:webHidden/>
              </w:rPr>
              <w:fldChar w:fldCharType="separate"/>
            </w:r>
            <w:r>
              <w:rPr>
                <w:noProof/>
                <w:webHidden/>
              </w:rPr>
              <w:t>2</w:t>
            </w:r>
            <w:r>
              <w:rPr>
                <w:noProof/>
                <w:webHidden/>
              </w:rPr>
              <w:fldChar w:fldCharType="end"/>
            </w:r>
          </w:hyperlink>
        </w:p>
        <w:p w14:paraId="0AEDA58F" w14:textId="7D3DC156" w:rsidR="009E33D0" w:rsidRDefault="009E33D0">
          <w:pPr>
            <w:pStyle w:val="TOC2"/>
            <w:rPr>
              <w:noProof/>
              <w:kern w:val="2"/>
              <w:szCs w:val="24"/>
              <w:lang w:val="en-US" w:eastAsia="zh-CN"/>
              <w14:ligatures w14:val="standardContextual"/>
            </w:rPr>
          </w:pPr>
          <w:hyperlink w:anchor="_Toc160801074" w:history="1">
            <w:r w:rsidRPr="00F80CCE">
              <w:rPr>
                <w:rStyle w:val="ae"/>
                <w:rFonts w:ascii="Times New Roman" w:hAnsi="Times New Roman" w:cs="Times New Roman"/>
                <w:b/>
                <w:noProof/>
              </w:rPr>
              <w:t>Definition of Dose-Limiting Toxicity</w:t>
            </w:r>
            <w:r>
              <w:rPr>
                <w:noProof/>
                <w:webHidden/>
              </w:rPr>
              <w:tab/>
            </w:r>
            <w:r>
              <w:rPr>
                <w:noProof/>
                <w:webHidden/>
              </w:rPr>
              <w:fldChar w:fldCharType="begin"/>
            </w:r>
            <w:r>
              <w:rPr>
                <w:noProof/>
                <w:webHidden/>
              </w:rPr>
              <w:instrText xml:space="preserve"> PAGEREF _Toc160801074 \h </w:instrText>
            </w:r>
            <w:r>
              <w:rPr>
                <w:noProof/>
                <w:webHidden/>
              </w:rPr>
            </w:r>
            <w:r>
              <w:rPr>
                <w:noProof/>
                <w:webHidden/>
              </w:rPr>
              <w:fldChar w:fldCharType="separate"/>
            </w:r>
            <w:r>
              <w:rPr>
                <w:noProof/>
                <w:webHidden/>
              </w:rPr>
              <w:t>2</w:t>
            </w:r>
            <w:r>
              <w:rPr>
                <w:noProof/>
                <w:webHidden/>
              </w:rPr>
              <w:fldChar w:fldCharType="end"/>
            </w:r>
          </w:hyperlink>
        </w:p>
        <w:p w14:paraId="59F51D4A" w14:textId="23950F44" w:rsidR="009E33D0" w:rsidRDefault="009E33D0">
          <w:pPr>
            <w:pStyle w:val="TOC2"/>
            <w:rPr>
              <w:noProof/>
              <w:kern w:val="2"/>
              <w:szCs w:val="24"/>
              <w:lang w:val="en-US" w:eastAsia="zh-CN"/>
              <w14:ligatures w14:val="standardContextual"/>
            </w:rPr>
          </w:pPr>
          <w:hyperlink w:anchor="_Toc160801075" w:history="1">
            <w:r w:rsidRPr="00F80CCE">
              <w:rPr>
                <w:rStyle w:val="ae"/>
                <w:rFonts w:ascii="Times New Roman" w:hAnsi="Times New Roman" w:cs="Times New Roman"/>
                <w:b/>
                <w:noProof/>
              </w:rPr>
              <w:t xml:space="preserve">R code </w:t>
            </w:r>
            <w:r w:rsidRPr="00F80CCE">
              <w:rPr>
                <w:rStyle w:val="ae"/>
                <w:rFonts w:ascii="Times New Roman" w:hAnsi="Times New Roman" w:cs="Times New Roman"/>
                <w:b/>
                <w:noProof/>
                <w:lang w:eastAsia="zh-CN"/>
              </w:rPr>
              <w:t>(R 4.1.2)</w:t>
            </w:r>
            <w:r w:rsidRPr="00F80CCE">
              <w:rPr>
                <w:rStyle w:val="ae"/>
                <w:rFonts w:ascii="Times New Roman" w:hAnsi="Times New Roman" w:cs="Times New Roman"/>
                <w:b/>
                <w:noProof/>
              </w:rPr>
              <w:t xml:space="preserve"> to calculate the sample size based on Simon’s 2 design</w:t>
            </w:r>
            <w:r>
              <w:rPr>
                <w:noProof/>
                <w:webHidden/>
              </w:rPr>
              <w:tab/>
            </w:r>
            <w:r>
              <w:rPr>
                <w:noProof/>
                <w:webHidden/>
              </w:rPr>
              <w:fldChar w:fldCharType="begin"/>
            </w:r>
            <w:r>
              <w:rPr>
                <w:noProof/>
                <w:webHidden/>
              </w:rPr>
              <w:instrText xml:space="preserve"> PAGEREF _Toc160801075 \h </w:instrText>
            </w:r>
            <w:r>
              <w:rPr>
                <w:noProof/>
                <w:webHidden/>
              </w:rPr>
            </w:r>
            <w:r>
              <w:rPr>
                <w:noProof/>
                <w:webHidden/>
              </w:rPr>
              <w:fldChar w:fldCharType="separate"/>
            </w:r>
            <w:r>
              <w:rPr>
                <w:noProof/>
                <w:webHidden/>
              </w:rPr>
              <w:t>4</w:t>
            </w:r>
            <w:r>
              <w:rPr>
                <w:noProof/>
                <w:webHidden/>
              </w:rPr>
              <w:fldChar w:fldCharType="end"/>
            </w:r>
          </w:hyperlink>
        </w:p>
        <w:p w14:paraId="23CB3A50" w14:textId="42208ED6" w:rsidR="00D9358D" w:rsidRPr="00B4565F" w:rsidRDefault="00D9358D" w:rsidP="00AF270C">
          <w:pPr>
            <w:spacing w:line="360" w:lineRule="auto"/>
            <w:jc w:val="both"/>
            <w:rPr>
              <w:rFonts w:ascii="Times New Roman" w:hAnsi="Times New Roman" w:cs="Times New Roman"/>
              <w:sz w:val="24"/>
              <w:szCs w:val="24"/>
            </w:rPr>
          </w:pPr>
          <w:r w:rsidRPr="00B4565F">
            <w:rPr>
              <w:rFonts w:ascii="Times New Roman" w:hAnsi="Times New Roman" w:cs="Times New Roman"/>
              <w:b/>
              <w:bCs/>
              <w:sz w:val="24"/>
              <w:szCs w:val="24"/>
              <w:lang w:val="zh-CN"/>
            </w:rPr>
            <w:fldChar w:fldCharType="end"/>
          </w:r>
        </w:p>
      </w:sdtContent>
    </w:sdt>
    <w:p w14:paraId="683DB20D" w14:textId="77777777" w:rsidR="001F675B" w:rsidRPr="00B4565F" w:rsidRDefault="001F675B" w:rsidP="003055EB">
      <w:pPr>
        <w:adjustRightInd w:val="0"/>
        <w:snapToGrid w:val="0"/>
        <w:spacing w:after="0" w:line="360" w:lineRule="auto"/>
        <w:jc w:val="both"/>
        <w:rPr>
          <w:rFonts w:ascii="Times New Roman" w:hAnsi="Times New Roman" w:cs="Times New Roman"/>
          <w:b/>
          <w:bCs/>
          <w:sz w:val="24"/>
          <w:szCs w:val="24"/>
        </w:rPr>
        <w:sectPr w:rsidR="001F675B" w:rsidRPr="00B4565F" w:rsidSect="00812B3D">
          <w:footerReference w:type="default" r:id="rId8"/>
          <w:pgSz w:w="11906" w:h="16838"/>
          <w:pgMar w:top="1134" w:right="1440" w:bottom="1440" w:left="1440" w:header="708" w:footer="708" w:gutter="0"/>
          <w:cols w:space="708"/>
          <w:docGrid w:linePitch="360"/>
        </w:sectPr>
      </w:pPr>
    </w:p>
    <w:p w14:paraId="4EE89C10" w14:textId="77777777" w:rsidR="00957B3C" w:rsidRPr="00B4565F" w:rsidRDefault="00957B3C" w:rsidP="003055EB">
      <w:pPr>
        <w:pStyle w:val="1"/>
        <w:spacing w:beforeLines="50" w:before="120" w:afterLines="50" w:after="120" w:line="360" w:lineRule="auto"/>
        <w:jc w:val="both"/>
        <w:rPr>
          <w:rFonts w:ascii="Times New Roman" w:hAnsi="Times New Roman" w:cs="Times New Roman"/>
          <w:b/>
          <w:bCs/>
          <w:color w:val="auto"/>
          <w:sz w:val="24"/>
          <w:szCs w:val="24"/>
        </w:rPr>
      </w:pPr>
      <w:bookmarkStart w:id="1" w:name="_Toc155883515"/>
      <w:bookmarkStart w:id="2" w:name="_Toc160801071"/>
      <w:r w:rsidRPr="00B4565F">
        <w:rPr>
          <w:rFonts w:ascii="Times New Roman" w:hAnsi="Times New Roman" w:cs="Times New Roman"/>
          <w:b/>
          <w:bCs/>
          <w:color w:val="auto"/>
          <w:sz w:val="24"/>
          <w:szCs w:val="24"/>
        </w:rPr>
        <w:lastRenderedPageBreak/>
        <w:t>Supplemental methods</w:t>
      </w:r>
      <w:bookmarkEnd w:id="1"/>
      <w:bookmarkEnd w:id="2"/>
    </w:p>
    <w:p w14:paraId="4CB7FA90" w14:textId="77777777" w:rsidR="00957B3C" w:rsidRPr="00B4565F" w:rsidRDefault="00957B3C" w:rsidP="003055EB">
      <w:pPr>
        <w:pStyle w:val="2"/>
        <w:spacing w:beforeLines="50" w:before="120" w:afterLines="50" w:after="120" w:line="360" w:lineRule="auto"/>
        <w:jc w:val="both"/>
        <w:rPr>
          <w:rFonts w:ascii="Times New Roman" w:hAnsi="Times New Roman" w:cs="Times New Roman"/>
          <w:b/>
          <w:color w:val="auto"/>
          <w:sz w:val="24"/>
          <w:szCs w:val="24"/>
        </w:rPr>
      </w:pPr>
      <w:bookmarkStart w:id="3" w:name="_Toc160801072"/>
      <w:bookmarkStart w:id="4" w:name="_Toc155883516"/>
      <w:r w:rsidRPr="00B4565F">
        <w:rPr>
          <w:rFonts w:ascii="Times New Roman" w:hAnsi="Times New Roman" w:cs="Times New Roman"/>
          <w:b/>
          <w:color w:val="auto"/>
          <w:sz w:val="24"/>
          <w:szCs w:val="24"/>
        </w:rPr>
        <w:t>Design of safety run-in</w:t>
      </w:r>
      <w:bookmarkEnd w:id="3"/>
    </w:p>
    <w:p w14:paraId="49143D9B" w14:textId="049B9A49" w:rsidR="00957B3C" w:rsidRPr="00B4565F" w:rsidRDefault="00957B3C" w:rsidP="003055EB">
      <w:pPr>
        <w:adjustRightInd w:val="0"/>
        <w:snapToGrid w:val="0"/>
        <w:spacing w:after="0" w:line="360" w:lineRule="auto"/>
        <w:jc w:val="both"/>
        <w:rPr>
          <w:rFonts w:ascii="Times New Roman" w:hAnsi="Times New Roman" w:cs="Times New Roman"/>
          <w:sz w:val="24"/>
          <w:szCs w:val="24"/>
        </w:rPr>
      </w:pPr>
      <w:r w:rsidRPr="00B4565F">
        <w:rPr>
          <w:rFonts w:ascii="Times New Roman" w:eastAsia="Times New Roman" w:hAnsi="Times New Roman" w:cs="Times New Roman"/>
          <w:sz w:val="24"/>
          <w:szCs w:val="24"/>
        </w:rPr>
        <w:t xml:space="preserve">During </w:t>
      </w:r>
      <w:r w:rsidRPr="00B4565F">
        <w:rPr>
          <w:rFonts w:ascii="Times New Roman" w:hAnsi="Times New Roman" w:cs="Times New Roman"/>
          <w:sz w:val="24"/>
          <w:szCs w:val="24"/>
        </w:rPr>
        <w:t xml:space="preserve">safety run-in phase, 6-12 patients with unresectable locally advanced or metastatic HCC would be enrolled. </w:t>
      </w:r>
      <w:r w:rsidRPr="00B4565F">
        <w:rPr>
          <w:rFonts w:ascii="Times New Roman" w:hAnsi="Times New Roman" w:cs="Times New Roman"/>
          <w:sz w:val="24"/>
          <w:szCs w:val="24"/>
          <w:lang w:eastAsia="zh-CN"/>
        </w:rPr>
        <w:t>Three</w:t>
      </w:r>
      <w:r w:rsidRPr="00B4565F">
        <w:rPr>
          <w:rFonts w:ascii="Times New Roman" w:hAnsi="Times New Roman" w:cs="Times New Roman"/>
          <w:sz w:val="24"/>
          <w:szCs w:val="24"/>
        </w:rPr>
        <w:t xml:space="preserve"> patients with baseline body weight ≥60 kg and 3 patients with baseline body weight </w:t>
      </w:r>
      <w:r w:rsidR="00DD1244" w:rsidRPr="00B4565F">
        <w:rPr>
          <w:rFonts w:ascii="Times New Roman" w:hAnsi="Times New Roman" w:cs="Times New Roman"/>
          <w:sz w:val="24"/>
          <w:szCs w:val="24"/>
          <w:lang w:eastAsia="zh-CN"/>
        </w:rPr>
        <w:t>&lt;</w:t>
      </w:r>
      <w:r w:rsidRPr="00B4565F">
        <w:rPr>
          <w:rFonts w:ascii="Times New Roman" w:hAnsi="Times New Roman" w:cs="Times New Roman"/>
          <w:sz w:val="24"/>
          <w:szCs w:val="24"/>
        </w:rPr>
        <w:t>60 kg would be enrolled</w:t>
      </w:r>
      <w:r w:rsidRPr="00B4565F">
        <w:rPr>
          <w:rFonts w:ascii="Times New Roman" w:eastAsia="Times New Roman" w:hAnsi="Times New Roman" w:cs="Times New Roman"/>
          <w:sz w:val="24"/>
          <w:szCs w:val="24"/>
        </w:rPr>
        <w:t xml:space="preserve">. </w:t>
      </w:r>
      <w:r w:rsidRPr="00B4565F">
        <w:rPr>
          <w:rFonts w:ascii="Times New Roman" w:hAnsi="Times New Roman" w:cs="Times New Roman"/>
          <w:sz w:val="24"/>
          <w:szCs w:val="24"/>
        </w:rPr>
        <w:t xml:space="preserve">If ≤1 of 6 patients experienced a DLT, this dose level would be used in the expansion phase. If </w:t>
      </w:r>
      <w:r w:rsidR="00DD1244" w:rsidRPr="00B4565F">
        <w:rPr>
          <w:rFonts w:ascii="Times New Roman" w:hAnsi="Times New Roman" w:cs="Times New Roman"/>
          <w:sz w:val="24"/>
          <w:szCs w:val="24"/>
          <w:lang w:eastAsia="zh-CN"/>
        </w:rPr>
        <w:t>&gt;</w:t>
      </w:r>
      <w:r w:rsidRPr="00B4565F">
        <w:rPr>
          <w:rFonts w:ascii="Times New Roman" w:hAnsi="Times New Roman" w:cs="Times New Roman"/>
          <w:sz w:val="24"/>
          <w:szCs w:val="24"/>
        </w:rPr>
        <w:t>1 of 6 patients experienced a DLT, the principal investigator would decide to terminate the study or to start another 6 cases to investigate lenvatinib at reduced dose [8 mg (body weight ≥60 kg) or 4 mg (body weight &lt;60 kg)]. If</w:t>
      </w:r>
      <w:r w:rsidR="00DD1244" w:rsidRPr="00B4565F">
        <w:rPr>
          <w:rFonts w:ascii="Times New Roman" w:hAnsi="Times New Roman" w:cs="Times New Roman"/>
          <w:sz w:val="24"/>
          <w:szCs w:val="24"/>
        </w:rPr>
        <w:t xml:space="preserve"> </w:t>
      </w:r>
      <w:r w:rsidRPr="00B4565F">
        <w:rPr>
          <w:rFonts w:ascii="Times New Roman" w:hAnsi="Times New Roman" w:cs="Times New Roman"/>
          <w:sz w:val="24"/>
          <w:szCs w:val="24"/>
        </w:rPr>
        <w:t>≤1 of 6 patients experienced a DLT in lenvatinib dose reduced cohort, this reduced dose level would be used in the expansion phase. If</w:t>
      </w:r>
      <w:r w:rsidRPr="00B4565F">
        <w:rPr>
          <w:rFonts w:ascii="Times New Roman" w:hAnsi="Times New Roman" w:cs="Times New Roman"/>
          <w:sz w:val="24"/>
          <w:szCs w:val="24"/>
        </w:rPr>
        <w:t>＞</w:t>
      </w:r>
      <w:r w:rsidRPr="00B4565F">
        <w:rPr>
          <w:rFonts w:ascii="Times New Roman" w:hAnsi="Times New Roman" w:cs="Times New Roman"/>
          <w:sz w:val="24"/>
          <w:szCs w:val="24"/>
        </w:rPr>
        <w:t xml:space="preserve">1 of 6 patients experienced a DLT in lenvatinib dose reduced cohort, the safety run-in phase would be stopped, and the expansion phase wouldn’t be proceeded. The safety monitoring committee (SMC) would determine whether to continue the study based on all available safety data. </w:t>
      </w:r>
    </w:p>
    <w:p w14:paraId="288C2E3D" w14:textId="77777777" w:rsidR="00957B3C" w:rsidRPr="00B4565F" w:rsidRDefault="00957B3C" w:rsidP="003055EB">
      <w:pPr>
        <w:pStyle w:val="2"/>
        <w:spacing w:beforeLines="50" w:before="120" w:afterLines="50" w:after="120" w:line="360" w:lineRule="auto"/>
        <w:jc w:val="both"/>
        <w:rPr>
          <w:rFonts w:ascii="Times New Roman" w:hAnsi="Times New Roman" w:cs="Times New Roman"/>
          <w:b/>
          <w:color w:val="auto"/>
          <w:sz w:val="24"/>
          <w:szCs w:val="24"/>
        </w:rPr>
      </w:pPr>
      <w:bookmarkStart w:id="5" w:name="_Toc160801073"/>
      <w:r w:rsidRPr="00B4565F">
        <w:rPr>
          <w:rFonts w:ascii="Times New Roman" w:hAnsi="Times New Roman" w:cs="Times New Roman"/>
          <w:b/>
          <w:color w:val="auto"/>
          <w:sz w:val="24"/>
          <w:szCs w:val="24"/>
        </w:rPr>
        <w:t>Assessment of Dose-Limiting Toxicity</w:t>
      </w:r>
      <w:bookmarkEnd w:id="4"/>
      <w:bookmarkEnd w:id="5"/>
    </w:p>
    <w:p w14:paraId="24D6A637" w14:textId="77777777" w:rsidR="00957B3C" w:rsidRPr="00B4565F" w:rsidRDefault="00957B3C" w:rsidP="003055EB">
      <w:pPr>
        <w:adjustRightInd w:val="0"/>
        <w:snapToGrid w:val="0"/>
        <w:spacing w:after="0" w:line="360" w:lineRule="auto"/>
        <w:jc w:val="both"/>
        <w:rPr>
          <w:rFonts w:ascii="Times New Roman" w:hAnsi="Times New Roman" w:cs="Times New Roman"/>
          <w:sz w:val="24"/>
          <w:szCs w:val="24"/>
        </w:rPr>
      </w:pPr>
      <w:r w:rsidRPr="00B4565F">
        <w:rPr>
          <w:rFonts w:ascii="Times New Roman" w:hAnsi="Times New Roman" w:cs="Times New Roman"/>
          <w:sz w:val="24"/>
          <w:szCs w:val="24"/>
        </w:rPr>
        <w:t>Dose-limiting toxicity (DLT) was assessed among evaluable patients within 21 days after the first dose of study drugs. For dose reduction decision, only DLTs occurring within 21 days would be evaluated. The following patients would not be considered evaluable for DLT:</w:t>
      </w:r>
    </w:p>
    <w:p w14:paraId="59B34D77" w14:textId="77777777" w:rsidR="00957B3C" w:rsidRPr="00B4565F" w:rsidRDefault="00957B3C" w:rsidP="003055EB">
      <w:pPr>
        <w:pStyle w:val="a7"/>
        <w:numPr>
          <w:ilvl w:val="0"/>
          <w:numId w:val="2"/>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Patients who withdrew or were withdrawn from the study before completing the DLT assessment window for reasons other than a DLT.</w:t>
      </w:r>
    </w:p>
    <w:p w14:paraId="4EAFC4FE" w14:textId="27B6BD36" w:rsidR="00957B3C" w:rsidRPr="00B4565F" w:rsidRDefault="00957B3C" w:rsidP="003055EB">
      <w:pPr>
        <w:pStyle w:val="a7"/>
        <w:numPr>
          <w:ilvl w:val="0"/>
          <w:numId w:val="2"/>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Patients receiving combination therapy who did not receive ≥75% of scheduled lenvatinib and ≥67% (approximately two-thirds) of scheduled tislelizumab during the DLT assessment window unless they experienced a DLT.</w:t>
      </w:r>
    </w:p>
    <w:p w14:paraId="48251A4A" w14:textId="77777777" w:rsidR="00957B3C" w:rsidRPr="00B4565F" w:rsidRDefault="00957B3C" w:rsidP="003055EB">
      <w:pPr>
        <w:pStyle w:val="2"/>
        <w:spacing w:beforeLines="50" w:before="120" w:afterLines="50" w:after="120" w:line="360" w:lineRule="auto"/>
        <w:jc w:val="both"/>
        <w:rPr>
          <w:rFonts w:ascii="Times New Roman" w:hAnsi="Times New Roman" w:cs="Times New Roman"/>
          <w:b/>
          <w:color w:val="auto"/>
          <w:sz w:val="24"/>
          <w:szCs w:val="24"/>
        </w:rPr>
      </w:pPr>
      <w:bookmarkStart w:id="6" w:name="_Toc155883517"/>
      <w:bookmarkStart w:id="7" w:name="_Toc160801074"/>
      <w:r w:rsidRPr="00B4565F">
        <w:rPr>
          <w:rFonts w:ascii="Times New Roman" w:hAnsi="Times New Roman" w:cs="Times New Roman"/>
          <w:b/>
          <w:color w:val="auto"/>
          <w:sz w:val="24"/>
          <w:szCs w:val="24"/>
        </w:rPr>
        <w:t>Definition of Dose-Limiting Toxicity</w:t>
      </w:r>
      <w:bookmarkEnd w:id="6"/>
      <w:bookmarkEnd w:id="7"/>
    </w:p>
    <w:p w14:paraId="526E76CD" w14:textId="77777777" w:rsidR="00957B3C" w:rsidRPr="00B4565F" w:rsidRDefault="00957B3C" w:rsidP="003055EB">
      <w:pPr>
        <w:adjustRightInd w:val="0"/>
        <w:snapToGrid w:val="0"/>
        <w:spacing w:after="0" w:line="360" w:lineRule="auto"/>
        <w:jc w:val="both"/>
        <w:rPr>
          <w:rFonts w:ascii="Times New Roman" w:hAnsi="Times New Roman" w:cs="Times New Roman"/>
          <w:sz w:val="24"/>
          <w:szCs w:val="24"/>
        </w:rPr>
      </w:pPr>
      <w:r w:rsidRPr="00B4565F">
        <w:rPr>
          <w:rFonts w:ascii="Times New Roman" w:hAnsi="Times New Roman" w:cs="Times New Roman"/>
          <w:sz w:val="24"/>
          <w:szCs w:val="24"/>
        </w:rPr>
        <w:t>A DLT was defined as any of the following toxicities occurring during the DLT assessment window and considered by the investigator to be related to lenvatinib and/or tislelizumab.</w:t>
      </w:r>
    </w:p>
    <w:p w14:paraId="72D08237" w14:textId="77777777" w:rsidR="00957B3C" w:rsidRPr="00B4565F" w:rsidRDefault="00957B3C" w:rsidP="003055EB">
      <w:pPr>
        <w:adjustRightInd w:val="0"/>
        <w:snapToGrid w:val="0"/>
        <w:spacing w:after="0" w:line="360" w:lineRule="auto"/>
        <w:jc w:val="both"/>
        <w:rPr>
          <w:rFonts w:ascii="Times New Roman" w:hAnsi="Times New Roman" w:cs="Times New Roman"/>
          <w:sz w:val="24"/>
          <w:szCs w:val="24"/>
          <w:u w:val="single"/>
        </w:rPr>
      </w:pPr>
      <w:r w:rsidRPr="00B4565F">
        <w:rPr>
          <w:rFonts w:ascii="Times New Roman" w:hAnsi="Times New Roman" w:cs="Times New Roman"/>
          <w:sz w:val="24"/>
          <w:szCs w:val="24"/>
          <w:u w:val="single"/>
        </w:rPr>
        <w:t>Hematologic</w:t>
      </w:r>
    </w:p>
    <w:p w14:paraId="44207FD3" w14:textId="6332F973"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Grade 4 neutropenia lasting &gt;7 days</w:t>
      </w:r>
    </w:p>
    <w:p w14:paraId="2DD4A7A2" w14:textId="3598A478"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≥Grade 3 febrile neutropenia</w:t>
      </w:r>
    </w:p>
    <w:p w14:paraId="522FAD7E" w14:textId="77777777"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Grade 3 thrombocytopenia with clinically significant bleeding</w:t>
      </w:r>
    </w:p>
    <w:p w14:paraId="0A1FAB18" w14:textId="4C172069"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lastRenderedPageBreak/>
        <w:t>Grade 4 thrombocytopenia lasting &gt;3 days and requiring transfusion, or any decreased platelet count &lt;15,000/mm</w:t>
      </w:r>
      <w:r w:rsidRPr="00B4565F">
        <w:rPr>
          <w:rFonts w:ascii="Times New Roman" w:hAnsi="Times New Roman" w:cs="Times New Roman"/>
          <w:sz w:val="24"/>
          <w:szCs w:val="24"/>
          <w:vertAlign w:val="superscript"/>
        </w:rPr>
        <w:t>3</w:t>
      </w:r>
      <w:r w:rsidRPr="00B4565F">
        <w:rPr>
          <w:rFonts w:ascii="Times New Roman" w:hAnsi="Times New Roman" w:cs="Times New Roman"/>
          <w:sz w:val="24"/>
          <w:szCs w:val="24"/>
        </w:rPr>
        <w:t xml:space="preserve"> or &lt;15.0 x 10</w:t>
      </w:r>
      <w:r w:rsidRPr="00B4565F">
        <w:rPr>
          <w:rFonts w:ascii="Times New Roman" w:hAnsi="Times New Roman" w:cs="Times New Roman"/>
          <w:sz w:val="24"/>
          <w:szCs w:val="24"/>
          <w:vertAlign w:val="superscript"/>
        </w:rPr>
        <w:t>9</w:t>
      </w:r>
      <w:r w:rsidRPr="00B4565F">
        <w:rPr>
          <w:rFonts w:ascii="Times New Roman" w:hAnsi="Times New Roman" w:cs="Times New Roman"/>
          <w:sz w:val="24"/>
          <w:szCs w:val="24"/>
        </w:rPr>
        <w:t>/</w:t>
      </w:r>
      <w:proofErr w:type="gramStart"/>
      <w:r w:rsidRPr="00B4565F">
        <w:rPr>
          <w:rFonts w:ascii="Times New Roman" w:hAnsi="Times New Roman" w:cs="Times New Roman"/>
          <w:sz w:val="24"/>
          <w:szCs w:val="24"/>
        </w:rPr>
        <w:t>L</w:t>
      </w:r>
      <w:proofErr w:type="gramEnd"/>
    </w:p>
    <w:p w14:paraId="7BF375E8" w14:textId="2E43341D"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 xml:space="preserve">≥Grade 4 anaemia </w:t>
      </w:r>
    </w:p>
    <w:p w14:paraId="45FF3C58" w14:textId="77777777" w:rsidR="00957B3C" w:rsidRPr="00B4565F" w:rsidRDefault="00957B3C" w:rsidP="003055EB">
      <w:pPr>
        <w:adjustRightInd w:val="0"/>
        <w:snapToGrid w:val="0"/>
        <w:spacing w:after="0" w:line="360" w:lineRule="auto"/>
        <w:jc w:val="both"/>
        <w:rPr>
          <w:rFonts w:ascii="Times New Roman" w:hAnsi="Times New Roman" w:cs="Times New Roman"/>
          <w:sz w:val="24"/>
          <w:szCs w:val="24"/>
          <w:u w:val="single"/>
        </w:rPr>
      </w:pPr>
      <w:r w:rsidRPr="00B4565F">
        <w:rPr>
          <w:rFonts w:ascii="Times New Roman" w:hAnsi="Times New Roman" w:cs="Times New Roman"/>
          <w:sz w:val="24"/>
          <w:szCs w:val="24"/>
          <w:u w:val="single"/>
        </w:rPr>
        <w:t>Non-Hematologic</w:t>
      </w:r>
    </w:p>
    <w:p w14:paraId="6BBAC792" w14:textId="241E45B1"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≥Grade 4 toxicity</w:t>
      </w:r>
    </w:p>
    <w:p w14:paraId="77871071" w14:textId="3864642E"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 xml:space="preserve">Grade 3 toxicity that was clinically significant and did not resolve to baseline or ≤Grade 1 within 7 days of initiating optimal supportive </w:t>
      </w:r>
      <w:proofErr w:type="gramStart"/>
      <w:r w:rsidRPr="00B4565F">
        <w:rPr>
          <w:rFonts w:ascii="Times New Roman" w:hAnsi="Times New Roman" w:cs="Times New Roman"/>
          <w:sz w:val="24"/>
          <w:szCs w:val="24"/>
        </w:rPr>
        <w:t>care</w:t>
      </w:r>
      <w:proofErr w:type="gramEnd"/>
    </w:p>
    <w:p w14:paraId="138EA82E" w14:textId="77777777" w:rsidR="00957B3C" w:rsidRPr="00B4565F" w:rsidRDefault="00957B3C" w:rsidP="003055EB">
      <w:pPr>
        <w:adjustRightInd w:val="0"/>
        <w:snapToGrid w:val="0"/>
        <w:spacing w:after="0" w:line="360" w:lineRule="auto"/>
        <w:jc w:val="both"/>
        <w:rPr>
          <w:rFonts w:ascii="Times New Roman" w:hAnsi="Times New Roman" w:cs="Times New Roman"/>
          <w:sz w:val="24"/>
          <w:szCs w:val="24"/>
        </w:rPr>
      </w:pPr>
      <w:r w:rsidRPr="00B4565F">
        <w:rPr>
          <w:rFonts w:ascii="Times New Roman" w:hAnsi="Times New Roman" w:cs="Times New Roman"/>
          <w:sz w:val="24"/>
          <w:szCs w:val="24"/>
        </w:rPr>
        <w:t>Note: The following AEs would not be considered DLTs:</w:t>
      </w:r>
    </w:p>
    <w:p w14:paraId="62D69A31" w14:textId="77777777"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 xml:space="preserve">Grade 3 endocrinopathy that was adequately controlled by hormonal </w:t>
      </w:r>
      <w:proofErr w:type="gramStart"/>
      <w:r w:rsidRPr="00B4565F">
        <w:rPr>
          <w:rFonts w:ascii="Times New Roman" w:hAnsi="Times New Roman" w:cs="Times New Roman"/>
          <w:sz w:val="24"/>
          <w:szCs w:val="24"/>
        </w:rPr>
        <w:t>replacement;</w:t>
      </w:r>
      <w:proofErr w:type="gramEnd"/>
    </w:p>
    <w:p w14:paraId="5DE62D74" w14:textId="77777777"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 xml:space="preserve">Grade 3 of </w:t>
      </w:r>
      <w:proofErr w:type="spellStart"/>
      <w:r w:rsidRPr="00B4565F">
        <w:rPr>
          <w:rFonts w:ascii="Times New Roman" w:hAnsi="Times New Roman" w:cs="Times New Roman"/>
          <w:sz w:val="24"/>
          <w:szCs w:val="24"/>
        </w:rPr>
        <w:t>tumor</w:t>
      </w:r>
      <w:proofErr w:type="spellEnd"/>
      <w:r w:rsidRPr="00B4565F">
        <w:rPr>
          <w:rFonts w:ascii="Times New Roman" w:hAnsi="Times New Roman" w:cs="Times New Roman"/>
          <w:sz w:val="24"/>
          <w:szCs w:val="24"/>
        </w:rPr>
        <w:t xml:space="preserve"> flare (defined as local pain, irritation, or rash localized at sites of known or suspected </w:t>
      </w:r>
      <w:proofErr w:type="spellStart"/>
      <w:r w:rsidRPr="00B4565F">
        <w:rPr>
          <w:rFonts w:ascii="Times New Roman" w:hAnsi="Times New Roman" w:cs="Times New Roman"/>
          <w:sz w:val="24"/>
          <w:szCs w:val="24"/>
        </w:rPr>
        <w:t>tumors</w:t>
      </w:r>
      <w:proofErr w:type="spellEnd"/>
      <w:proofErr w:type="gramStart"/>
      <w:r w:rsidRPr="00B4565F">
        <w:rPr>
          <w:rFonts w:ascii="Times New Roman" w:hAnsi="Times New Roman" w:cs="Times New Roman"/>
          <w:sz w:val="24"/>
          <w:szCs w:val="24"/>
        </w:rPr>
        <w:t>);</w:t>
      </w:r>
      <w:proofErr w:type="gramEnd"/>
    </w:p>
    <w:p w14:paraId="626AAB4E" w14:textId="77777777"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 xml:space="preserve">Grade 3 </w:t>
      </w:r>
      <w:proofErr w:type="gramStart"/>
      <w:r w:rsidRPr="00B4565F">
        <w:rPr>
          <w:rFonts w:ascii="Times New Roman" w:hAnsi="Times New Roman" w:cs="Times New Roman"/>
          <w:sz w:val="24"/>
          <w:szCs w:val="24"/>
        </w:rPr>
        <w:t>rash;</w:t>
      </w:r>
      <w:proofErr w:type="gramEnd"/>
    </w:p>
    <w:p w14:paraId="313ACC51" w14:textId="77777777"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Grade 3 infusion-related AE that was transient (resolving within 6 hours of onset</w:t>
      </w:r>
      <w:proofErr w:type="gramStart"/>
      <w:r w:rsidRPr="00B4565F">
        <w:rPr>
          <w:rFonts w:ascii="Times New Roman" w:hAnsi="Times New Roman" w:cs="Times New Roman"/>
          <w:sz w:val="24"/>
          <w:szCs w:val="24"/>
        </w:rPr>
        <w:t>);</w:t>
      </w:r>
      <w:proofErr w:type="gramEnd"/>
    </w:p>
    <w:p w14:paraId="37BD185E" w14:textId="77777777"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 xml:space="preserve">Grade 3 hypertension that was resolving within 7 days of optimal supportive </w:t>
      </w:r>
      <w:proofErr w:type="gramStart"/>
      <w:r w:rsidRPr="00B4565F">
        <w:rPr>
          <w:rFonts w:ascii="Times New Roman" w:hAnsi="Times New Roman" w:cs="Times New Roman"/>
          <w:sz w:val="24"/>
          <w:szCs w:val="24"/>
        </w:rPr>
        <w:t>care;</w:t>
      </w:r>
      <w:proofErr w:type="gramEnd"/>
    </w:p>
    <w:p w14:paraId="6C5C98ED" w14:textId="77777777" w:rsidR="00957B3C" w:rsidRPr="00B4565F" w:rsidRDefault="00957B3C" w:rsidP="003055EB">
      <w:pPr>
        <w:adjustRightInd w:val="0"/>
        <w:snapToGrid w:val="0"/>
        <w:spacing w:after="0" w:line="360" w:lineRule="auto"/>
        <w:ind w:leftChars="150" w:left="330"/>
        <w:jc w:val="both"/>
        <w:rPr>
          <w:rFonts w:ascii="Times New Roman" w:hAnsi="Times New Roman" w:cs="Times New Roman"/>
          <w:sz w:val="24"/>
          <w:szCs w:val="24"/>
        </w:rPr>
      </w:pPr>
      <w:r w:rsidRPr="00B4565F">
        <w:rPr>
          <w:rFonts w:ascii="Times New Roman" w:hAnsi="Times New Roman" w:cs="Times New Roman"/>
          <w:sz w:val="24"/>
          <w:szCs w:val="24"/>
        </w:rPr>
        <w:t xml:space="preserve">Note: Hypertension would be graded using NCI-CTCAE v 5.0, based on blood pressure measurements only (and not on the number of antihypertensive medications). </w:t>
      </w:r>
    </w:p>
    <w:p w14:paraId="3763A094" w14:textId="77777777" w:rsidR="00957B3C" w:rsidRPr="00B4565F" w:rsidRDefault="00957B3C" w:rsidP="003055EB">
      <w:pPr>
        <w:pStyle w:val="a7"/>
        <w:numPr>
          <w:ilvl w:val="0"/>
          <w:numId w:val="1"/>
        </w:numPr>
        <w:adjustRightInd w:val="0"/>
        <w:snapToGrid w:val="0"/>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Clinically insignificant or transient abnormal laboratory findings, including but not limited to following:</w:t>
      </w:r>
    </w:p>
    <w:p w14:paraId="04141793" w14:textId="77777777" w:rsidR="00957B3C" w:rsidRPr="00B4565F" w:rsidRDefault="00957B3C" w:rsidP="003055EB">
      <w:pPr>
        <w:pStyle w:val="a7"/>
        <w:numPr>
          <w:ilvl w:val="1"/>
          <w:numId w:val="1"/>
        </w:numPr>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 xml:space="preserve">Grade 3-4 alanine aminotransferase elevation, aspartate aminotransferase elevation or hyperbilirubinemia without significant related clinical symptoms and judged by investigators and medical monitors as non-fatal </w:t>
      </w:r>
      <w:proofErr w:type="gramStart"/>
      <w:r w:rsidRPr="00B4565F">
        <w:rPr>
          <w:rFonts w:ascii="Times New Roman" w:hAnsi="Times New Roman" w:cs="Times New Roman"/>
          <w:sz w:val="24"/>
          <w:szCs w:val="24"/>
        </w:rPr>
        <w:t>risk;</w:t>
      </w:r>
      <w:proofErr w:type="gramEnd"/>
    </w:p>
    <w:p w14:paraId="11D912A9" w14:textId="77777777" w:rsidR="00957B3C" w:rsidRPr="00B4565F" w:rsidRDefault="00957B3C" w:rsidP="003055EB">
      <w:pPr>
        <w:pStyle w:val="a7"/>
        <w:numPr>
          <w:ilvl w:val="1"/>
          <w:numId w:val="1"/>
        </w:numPr>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 xml:space="preserve">Grade 3-4 hyperamylasaemia or hyperlipaemia that was not associated with symptoms or clinical manifestations of pancreatitis and judged by investigators and medical monitors as non-fatal </w:t>
      </w:r>
      <w:proofErr w:type="gramStart"/>
      <w:r w:rsidRPr="00B4565F">
        <w:rPr>
          <w:rFonts w:ascii="Times New Roman" w:hAnsi="Times New Roman" w:cs="Times New Roman"/>
          <w:sz w:val="24"/>
          <w:szCs w:val="24"/>
        </w:rPr>
        <w:t>risk;</w:t>
      </w:r>
      <w:proofErr w:type="gramEnd"/>
    </w:p>
    <w:p w14:paraId="4FAD8FF8" w14:textId="77777777" w:rsidR="00957B3C" w:rsidRPr="00B4565F" w:rsidRDefault="00957B3C" w:rsidP="003055EB">
      <w:pPr>
        <w:pStyle w:val="a7"/>
        <w:numPr>
          <w:ilvl w:val="1"/>
          <w:numId w:val="1"/>
        </w:numPr>
        <w:spacing w:line="360" w:lineRule="auto"/>
        <w:ind w:firstLineChars="0"/>
        <w:jc w:val="both"/>
        <w:rPr>
          <w:rFonts w:ascii="Times New Roman" w:hAnsi="Times New Roman" w:cs="Times New Roman"/>
          <w:sz w:val="24"/>
          <w:szCs w:val="24"/>
        </w:rPr>
      </w:pPr>
      <w:r w:rsidRPr="00B4565F">
        <w:rPr>
          <w:rFonts w:ascii="Times New Roman" w:hAnsi="Times New Roman" w:cs="Times New Roman"/>
          <w:sz w:val="24"/>
          <w:szCs w:val="24"/>
        </w:rPr>
        <w:t>Grade 3 proteinuria that was resolving within 7 days of optimal supportive care.</w:t>
      </w:r>
    </w:p>
    <w:p w14:paraId="50790E3C" w14:textId="6D08E681" w:rsidR="00957B3C" w:rsidRPr="00B4565F" w:rsidRDefault="00957B3C" w:rsidP="003055EB">
      <w:pPr>
        <w:adjustRightInd w:val="0"/>
        <w:snapToGrid w:val="0"/>
        <w:spacing w:after="0" w:line="360" w:lineRule="auto"/>
        <w:jc w:val="both"/>
        <w:rPr>
          <w:rFonts w:ascii="Times New Roman" w:hAnsi="Times New Roman" w:cs="Times New Roman"/>
          <w:sz w:val="24"/>
          <w:szCs w:val="24"/>
        </w:rPr>
      </w:pPr>
      <w:r w:rsidRPr="00B4565F">
        <w:rPr>
          <w:rFonts w:ascii="Times New Roman" w:hAnsi="Times New Roman" w:cs="Times New Roman"/>
          <w:sz w:val="24"/>
          <w:szCs w:val="24"/>
        </w:rPr>
        <w:t xml:space="preserve">All available safety data, including AEs, </w:t>
      </w:r>
      <w:r w:rsidR="009A03D3" w:rsidRPr="00B4565F">
        <w:rPr>
          <w:rFonts w:ascii="Times New Roman" w:hAnsi="Times New Roman" w:cs="Times New Roman"/>
          <w:sz w:val="24"/>
          <w:szCs w:val="24"/>
        </w:rPr>
        <w:t xml:space="preserve">and </w:t>
      </w:r>
      <w:r w:rsidRPr="00B4565F">
        <w:rPr>
          <w:rFonts w:ascii="Times New Roman" w:hAnsi="Times New Roman" w:cs="Times New Roman"/>
          <w:sz w:val="24"/>
          <w:szCs w:val="24"/>
        </w:rPr>
        <w:t>laboratory assessment would be reviewed with input from other functional representatives as appropriate.</w:t>
      </w:r>
    </w:p>
    <w:p w14:paraId="4F23F846" w14:textId="097FE6AA" w:rsidR="00957B3C" w:rsidRPr="00B4565F" w:rsidRDefault="00957B3C" w:rsidP="003055EB">
      <w:pPr>
        <w:adjustRightInd w:val="0"/>
        <w:snapToGrid w:val="0"/>
        <w:spacing w:after="0" w:line="360" w:lineRule="auto"/>
        <w:jc w:val="both"/>
        <w:rPr>
          <w:rFonts w:ascii="Times New Roman" w:hAnsi="Times New Roman" w:cs="Times New Roman"/>
          <w:sz w:val="24"/>
          <w:szCs w:val="24"/>
        </w:rPr>
      </w:pPr>
      <w:r w:rsidRPr="00B4565F">
        <w:rPr>
          <w:rFonts w:ascii="Times New Roman" w:hAnsi="Times New Roman" w:cs="Times New Roman"/>
          <w:sz w:val="24"/>
          <w:szCs w:val="24"/>
        </w:rPr>
        <w:t xml:space="preserve">A </w:t>
      </w:r>
      <w:r w:rsidRPr="00B4565F">
        <w:rPr>
          <w:rFonts w:ascii="Times New Roman" w:hAnsi="Times New Roman" w:cs="Times New Roman"/>
          <w:sz w:val="24"/>
          <w:szCs w:val="24"/>
          <w:lang w:eastAsia="zh-CN"/>
        </w:rPr>
        <w:t>s</w:t>
      </w:r>
      <w:r w:rsidRPr="00B4565F">
        <w:rPr>
          <w:rFonts w:ascii="Times New Roman" w:hAnsi="Times New Roman" w:cs="Times New Roman"/>
          <w:sz w:val="24"/>
          <w:szCs w:val="24"/>
        </w:rPr>
        <w:t>afety monitoring committee (SMC) would be established consisting of the sponsor’s clinical, safety, and medical team representatives (</w:t>
      </w:r>
      <w:proofErr w:type="spellStart"/>
      <w:r w:rsidRPr="00B4565F">
        <w:rPr>
          <w:rFonts w:ascii="Times New Roman" w:hAnsi="Times New Roman" w:cs="Times New Roman"/>
          <w:sz w:val="24"/>
          <w:szCs w:val="24"/>
        </w:rPr>
        <w:t>eg</w:t>
      </w:r>
      <w:proofErr w:type="spellEnd"/>
      <w:r w:rsidRPr="00B4565F">
        <w:rPr>
          <w:rFonts w:ascii="Times New Roman" w:hAnsi="Times New Roman" w:cs="Times New Roman"/>
          <w:sz w:val="24"/>
          <w:szCs w:val="24"/>
        </w:rPr>
        <w:t xml:space="preserve">, medical monitor, clinical pharmacology, </w:t>
      </w:r>
      <w:r w:rsidRPr="00B4565F">
        <w:rPr>
          <w:rFonts w:ascii="Times New Roman" w:hAnsi="Times New Roman" w:cs="Times New Roman"/>
          <w:sz w:val="24"/>
          <w:szCs w:val="24"/>
        </w:rPr>
        <w:lastRenderedPageBreak/>
        <w:t>statistician, and drug safety) and investigators. A planned formal SMC review of safety data would be performed after at least 6 evaluable patients had completed 21-day DLT assessment in each lenvatinib dose level. The SMC would monitor the preliminary safety of lenvatinib in combination with tislelizumab and determined whether to continue the study based on the available data (</w:t>
      </w:r>
      <w:proofErr w:type="spellStart"/>
      <w:r w:rsidRPr="00B4565F">
        <w:rPr>
          <w:rFonts w:ascii="Times New Roman" w:hAnsi="Times New Roman" w:cs="Times New Roman"/>
          <w:sz w:val="24"/>
          <w:szCs w:val="24"/>
        </w:rPr>
        <w:t>eg</w:t>
      </w:r>
      <w:proofErr w:type="spellEnd"/>
      <w:r w:rsidRPr="00B4565F">
        <w:rPr>
          <w:rFonts w:ascii="Times New Roman" w:hAnsi="Times New Roman" w:cs="Times New Roman"/>
          <w:sz w:val="24"/>
          <w:szCs w:val="24"/>
        </w:rPr>
        <w:t xml:space="preserve">, safety data) in this study. </w:t>
      </w:r>
    </w:p>
    <w:p w14:paraId="26273555" w14:textId="77777777" w:rsidR="00957B3C" w:rsidRPr="00B4565F" w:rsidRDefault="00957B3C" w:rsidP="003055EB">
      <w:pPr>
        <w:pStyle w:val="2"/>
        <w:spacing w:beforeLines="50" w:before="120" w:afterLines="50" w:after="120" w:line="360" w:lineRule="auto"/>
        <w:jc w:val="both"/>
        <w:rPr>
          <w:rFonts w:ascii="Times New Roman" w:hAnsi="Times New Roman" w:cs="Times New Roman"/>
          <w:b/>
          <w:color w:val="auto"/>
          <w:sz w:val="24"/>
          <w:szCs w:val="24"/>
        </w:rPr>
      </w:pPr>
      <w:bookmarkStart w:id="8" w:name="_Toc160801075"/>
      <w:bookmarkStart w:id="9" w:name="_Toc155883518"/>
      <w:r w:rsidRPr="00B4565F">
        <w:rPr>
          <w:rFonts w:ascii="Times New Roman" w:hAnsi="Times New Roman" w:cs="Times New Roman"/>
          <w:b/>
          <w:color w:val="auto"/>
          <w:sz w:val="24"/>
          <w:szCs w:val="24"/>
        </w:rPr>
        <w:t xml:space="preserve">R code </w:t>
      </w:r>
      <w:r w:rsidRPr="00B4565F">
        <w:rPr>
          <w:rFonts w:ascii="Times New Roman" w:hAnsi="Times New Roman" w:cs="Times New Roman"/>
          <w:b/>
          <w:color w:val="auto"/>
          <w:sz w:val="24"/>
          <w:szCs w:val="24"/>
          <w:lang w:eastAsia="zh-CN"/>
        </w:rPr>
        <w:t>(R 4.1.2)</w:t>
      </w:r>
      <w:r w:rsidRPr="00B4565F">
        <w:rPr>
          <w:rFonts w:ascii="Times New Roman" w:hAnsi="Times New Roman" w:cs="Times New Roman"/>
          <w:b/>
          <w:color w:val="auto"/>
          <w:sz w:val="24"/>
          <w:szCs w:val="24"/>
        </w:rPr>
        <w:t xml:space="preserve"> to calculate the sample size based on Simon’s 2 design</w:t>
      </w:r>
      <w:bookmarkEnd w:id="8"/>
    </w:p>
    <w:p w14:paraId="4935B494" w14:textId="77777777" w:rsidR="00957B3C" w:rsidRPr="00B4565F" w:rsidRDefault="00957B3C" w:rsidP="003055EB">
      <w:pPr>
        <w:spacing w:line="360" w:lineRule="auto"/>
        <w:jc w:val="both"/>
        <w:rPr>
          <w:rFonts w:ascii="Times New Roman" w:eastAsia="Times New Roman" w:hAnsi="Times New Roman" w:cs="Times New Roman"/>
          <w:sz w:val="24"/>
          <w:szCs w:val="24"/>
        </w:rPr>
      </w:pPr>
      <w:r w:rsidRPr="00B4565F">
        <w:rPr>
          <w:rFonts w:ascii="Times New Roman" w:hAnsi="Times New Roman" w:cs="Times New Roman"/>
          <w:noProof/>
          <w:sz w:val="24"/>
          <w:szCs w:val="24"/>
        </w:rPr>
        <w:drawing>
          <wp:inline distT="0" distB="0" distL="0" distR="0" wp14:anchorId="0CAC182A" wp14:editId="4127CB7D">
            <wp:extent cx="4572000" cy="990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72000" cy="990600"/>
                    </a:xfrm>
                    <a:prstGeom prst="rect">
                      <a:avLst/>
                    </a:prstGeom>
                  </pic:spPr>
                </pic:pic>
              </a:graphicData>
            </a:graphic>
          </wp:inline>
        </w:drawing>
      </w:r>
    </w:p>
    <w:bookmarkEnd w:id="9"/>
    <w:p w14:paraId="5079624F" w14:textId="01B68734" w:rsidR="00957B3C" w:rsidRPr="00B4565F" w:rsidRDefault="00957B3C" w:rsidP="007C39A6">
      <w:pPr>
        <w:pStyle w:val="1"/>
        <w:spacing w:beforeLines="50" w:before="120" w:afterLines="50" w:after="120" w:line="360" w:lineRule="auto"/>
        <w:jc w:val="both"/>
        <w:rPr>
          <w:rFonts w:ascii="Times New Roman" w:hAnsi="Times New Roman" w:cs="Times New Roman"/>
          <w:sz w:val="24"/>
          <w:szCs w:val="24"/>
        </w:rPr>
      </w:pPr>
    </w:p>
    <w:sectPr w:rsidR="00957B3C" w:rsidRPr="00B4565F" w:rsidSect="00812B3D">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369CD" w14:textId="77777777" w:rsidR="00812B3D" w:rsidRDefault="00812B3D" w:rsidP="00957B3C">
      <w:pPr>
        <w:spacing w:after="0" w:line="240" w:lineRule="auto"/>
      </w:pPr>
      <w:r>
        <w:separator/>
      </w:r>
    </w:p>
  </w:endnote>
  <w:endnote w:type="continuationSeparator" w:id="0">
    <w:p w14:paraId="4A4D1A38" w14:textId="77777777" w:rsidR="00812B3D" w:rsidRDefault="00812B3D" w:rsidP="0095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114271"/>
      <w:docPartObj>
        <w:docPartGallery w:val="Page Numbers (Bottom of Page)"/>
        <w:docPartUnique/>
      </w:docPartObj>
    </w:sdtPr>
    <w:sdtEndPr/>
    <w:sdtContent>
      <w:p w14:paraId="672EB7AC" w14:textId="72D06E82" w:rsidR="000C2D1F" w:rsidRDefault="000C2D1F">
        <w:pPr>
          <w:pStyle w:val="a5"/>
          <w:jc w:val="center"/>
        </w:pPr>
        <w:r>
          <w:fldChar w:fldCharType="begin"/>
        </w:r>
        <w:r>
          <w:instrText>PAGE   \* MERGEFORMAT</w:instrText>
        </w:r>
        <w:r>
          <w:fldChar w:fldCharType="separate"/>
        </w:r>
        <w:r>
          <w:rPr>
            <w:lang w:val="zh-CN" w:eastAsia="zh-CN"/>
          </w:rPr>
          <w:t>2</w:t>
        </w:r>
        <w:r>
          <w:fldChar w:fldCharType="end"/>
        </w:r>
      </w:p>
    </w:sdtContent>
  </w:sdt>
  <w:p w14:paraId="6C322135" w14:textId="77777777" w:rsidR="000C2D1F" w:rsidRDefault="000C2D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EDCA1" w14:textId="77777777" w:rsidR="00812B3D" w:rsidRDefault="00812B3D" w:rsidP="00957B3C">
      <w:pPr>
        <w:spacing w:after="0" w:line="240" w:lineRule="auto"/>
      </w:pPr>
      <w:r>
        <w:separator/>
      </w:r>
    </w:p>
  </w:footnote>
  <w:footnote w:type="continuationSeparator" w:id="0">
    <w:p w14:paraId="6F176A2D" w14:textId="77777777" w:rsidR="00812B3D" w:rsidRDefault="00812B3D" w:rsidP="00957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B6CD6"/>
    <w:multiLevelType w:val="hybridMultilevel"/>
    <w:tmpl w:val="9384AAC8"/>
    <w:lvl w:ilvl="0" w:tplc="D28E4924">
      <w:start w:val="24"/>
      <w:numFmt w:val="bullet"/>
      <w:lvlText w:val="•"/>
      <w:lvlJc w:val="left"/>
      <w:pPr>
        <w:ind w:left="360" w:hanging="360"/>
      </w:pPr>
      <w:rPr>
        <w:rFonts w:ascii="等线" w:eastAsia="等线" w:hAnsi="等线" w:cs="Times New Roman" w:hint="eastAsia"/>
      </w:rPr>
    </w:lvl>
    <w:lvl w:ilvl="1" w:tplc="2D78A69C">
      <w:start w:val="1"/>
      <w:numFmt w:val="bullet"/>
      <w:lvlText w:val=""/>
      <w:lvlJc w:val="left"/>
      <w:pPr>
        <w:ind w:left="880" w:hanging="440"/>
      </w:pPr>
      <w:rPr>
        <w:rFonts w:ascii="Wingdings" w:hAnsi="Wingdings" w:hint="default"/>
        <w:sz w:val="10"/>
        <w:szCs w:val="10"/>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73EC79B3"/>
    <w:multiLevelType w:val="hybridMultilevel"/>
    <w:tmpl w:val="96061328"/>
    <w:lvl w:ilvl="0" w:tplc="137611BC">
      <w:start w:val="24"/>
      <w:numFmt w:val="bullet"/>
      <w:lvlText w:val="•"/>
      <w:lvlJc w:val="left"/>
      <w:pPr>
        <w:ind w:left="360" w:hanging="360"/>
      </w:pPr>
      <w:rPr>
        <w:rFonts w:ascii="等线" w:eastAsia="等线" w:hAnsi="等线"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344743045">
    <w:abstractNumId w:val="0"/>
  </w:num>
  <w:num w:numId="2" w16cid:durableId="207161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Medicine-20240201 Copy&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rpp9vtnrevd2esepx5xxptwfaeawf9v229&quot;&gt;补充材料参考文献&lt;record-ids&gt;&lt;item&gt;4&lt;/item&gt;&lt;/record-ids&gt;&lt;/item&gt;&lt;/Libraries&gt;"/>
  </w:docVars>
  <w:rsids>
    <w:rsidRoot w:val="006E6A83"/>
    <w:rsid w:val="00001BCD"/>
    <w:rsid w:val="0002380B"/>
    <w:rsid w:val="00052B91"/>
    <w:rsid w:val="000571F7"/>
    <w:rsid w:val="000600AF"/>
    <w:rsid w:val="00093508"/>
    <w:rsid w:val="000A01B9"/>
    <w:rsid w:val="000B4636"/>
    <w:rsid w:val="000C2D1F"/>
    <w:rsid w:val="00145A66"/>
    <w:rsid w:val="001B19D3"/>
    <w:rsid w:val="001E2B6E"/>
    <w:rsid w:val="001F675B"/>
    <w:rsid w:val="00201130"/>
    <w:rsid w:val="0023316E"/>
    <w:rsid w:val="002442EC"/>
    <w:rsid w:val="00274468"/>
    <w:rsid w:val="002A6BE8"/>
    <w:rsid w:val="003055EB"/>
    <w:rsid w:val="0031529A"/>
    <w:rsid w:val="003206B5"/>
    <w:rsid w:val="00344148"/>
    <w:rsid w:val="00362E5D"/>
    <w:rsid w:val="00384A2B"/>
    <w:rsid w:val="0038696C"/>
    <w:rsid w:val="003C6100"/>
    <w:rsid w:val="003E164A"/>
    <w:rsid w:val="004002A6"/>
    <w:rsid w:val="0040078E"/>
    <w:rsid w:val="00406DBA"/>
    <w:rsid w:val="00496DA6"/>
    <w:rsid w:val="004E108F"/>
    <w:rsid w:val="004E16B0"/>
    <w:rsid w:val="004F6E76"/>
    <w:rsid w:val="00517D54"/>
    <w:rsid w:val="00587D05"/>
    <w:rsid w:val="005A3E6F"/>
    <w:rsid w:val="005B05A8"/>
    <w:rsid w:val="0063492F"/>
    <w:rsid w:val="0064483D"/>
    <w:rsid w:val="006A39C1"/>
    <w:rsid w:val="006B7490"/>
    <w:rsid w:val="006C7A4B"/>
    <w:rsid w:val="006E6A83"/>
    <w:rsid w:val="006F0FAF"/>
    <w:rsid w:val="007265E4"/>
    <w:rsid w:val="00736C60"/>
    <w:rsid w:val="00776A79"/>
    <w:rsid w:val="007C39A6"/>
    <w:rsid w:val="008066CA"/>
    <w:rsid w:val="008118D5"/>
    <w:rsid w:val="00812B3D"/>
    <w:rsid w:val="00834CE4"/>
    <w:rsid w:val="008C75DD"/>
    <w:rsid w:val="0092492C"/>
    <w:rsid w:val="00957B3C"/>
    <w:rsid w:val="0099206E"/>
    <w:rsid w:val="009A03D3"/>
    <w:rsid w:val="009D714D"/>
    <w:rsid w:val="009E33D0"/>
    <w:rsid w:val="00A33456"/>
    <w:rsid w:val="00A8333B"/>
    <w:rsid w:val="00AA6F30"/>
    <w:rsid w:val="00AB1472"/>
    <w:rsid w:val="00AF270C"/>
    <w:rsid w:val="00AF5976"/>
    <w:rsid w:val="00B0516E"/>
    <w:rsid w:val="00B06FCD"/>
    <w:rsid w:val="00B12226"/>
    <w:rsid w:val="00B356BF"/>
    <w:rsid w:val="00B4565F"/>
    <w:rsid w:val="00B84F47"/>
    <w:rsid w:val="00BC7FA1"/>
    <w:rsid w:val="00BE58A0"/>
    <w:rsid w:val="00C82526"/>
    <w:rsid w:val="00CC32AE"/>
    <w:rsid w:val="00CC6ACD"/>
    <w:rsid w:val="00CE5C56"/>
    <w:rsid w:val="00D44E69"/>
    <w:rsid w:val="00D724B6"/>
    <w:rsid w:val="00D9358D"/>
    <w:rsid w:val="00DA0456"/>
    <w:rsid w:val="00DA32AC"/>
    <w:rsid w:val="00DA6314"/>
    <w:rsid w:val="00DD1244"/>
    <w:rsid w:val="00E04FCE"/>
    <w:rsid w:val="00E26045"/>
    <w:rsid w:val="00E303DC"/>
    <w:rsid w:val="00E40C18"/>
    <w:rsid w:val="00E51B75"/>
    <w:rsid w:val="00E774C7"/>
    <w:rsid w:val="00ED558E"/>
    <w:rsid w:val="00EE468C"/>
    <w:rsid w:val="00F0564F"/>
    <w:rsid w:val="00F3005A"/>
    <w:rsid w:val="00F30413"/>
    <w:rsid w:val="00F45059"/>
    <w:rsid w:val="00F55E05"/>
    <w:rsid w:val="00F85F89"/>
    <w:rsid w:val="00F87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39113"/>
  <w15:chartTrackingRefBased/>
  <w15:docId w15:val="{36D2DC1C-D9C4-4EA8-8F9C-D4957ABC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B3C"/>
    <w:pPr>
      <w:spacing w:after="160" w:line="259" w:lineRule="auto"/>
    </w:pPr>
    <w:rPr>
      <w:kern w:val="0"/>
      <w:sz w:val="22"/>
      <w:lang w:val="en-GB" w:eastAsia="en-US"/>
      <w14:ligatures w14:val="none"/>
    </w:rPr>
  </w:style>
  <w:style w:type="paragraph" w:styleId="1">
    <w:name w:val="heading 1"/>
    <w:basedOn w:val="a"/>
    <w:next w:val="a"/>
    <w:link w:val="10"/>
    <w:uiPriority w:val="9"/>
    <w:qFormat/>
    <w:rsid w:val="00957B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57B3C"/>
    <w:pPr>
      <w:keepNext/>
      <w:keepLines/>
      <w:spacing w:before="40" w:after="0"/>
      <w:outlineLvl w:val="1"/>
    </w:pPr>
    <w:rPr>
      <w:rFonts w:asciiTheme="majorHAnsi" w:eastAsiaTheme="majorEastAsia" w:hAnsiTheme="majorHAnsi" w:cstheme="majorBidi"/>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B3C"/>
    <w:pPr>
      <w:tabs>
        <w:tab w:val="center" w:pos="4153"/>
        <w:tab w:val="right" w:pos="8306"/>
      </w:tabs>
      <w:snapToGrid w:val="0"/>
      <w:jc w:val="center"/>
    </w:pPr>
    <w:rPr>
      <w:sz w:val="18"/>
      <w:szCs w:val="18"/>
    </w:rPr>
  </w:style>
  <w:style w:type="character" w:customStyle="1" w:styleId="a4">
    <w:name w:val="页眉 字符"/>
    <w:basedOn w:val="a0"/>
    <w:link w:val="a3"/>
    <w:uiPriority w:val="99"/>
    <w:rsid w:val="00957B3C"/>
    <w:rPr>
      <w:sz w:val="18"/>
      <w:szCs w:val="18"/>
    </w:rPr>
  </w:style>
  <w:style w:type="paragraph" w:styleId="a5">
    <w:name w:val="footer"/>
    <w:basedOn w:val="a"/>
    <w:link w:val="a6"/>
    <w:uiPriority w:val="99"/>
    <w:unhideWhenUsed/>
    <w:rsid w:val="00957B3C"/>
    <w:pPr>
      <w:tabs>
        <w:tab w:val="center" w:pos="4153"/>
        <w:tab w:val="right" w:pos="8306"/>
      </w:tabs>
      <w:snapToGrid w:val="0"/>
    </w:pPr>
    <w:rPr>
      <w:sz w:val="18"/>
      <w:szCs w:val="18"/>
    </w:rPr>
  </w:style>
  <w:style w:type="character" w:customStyle="1" w:styleId="a6">
    <w:name w:val="页脚 字符"/>
    <w:basedOn w:val="a0"/>
    <w:link w:val="a5"/>
    <w:uiPriority w:val="99"/>
    <w:rsid w:val="00957B3C"/>
    <w:rPr>
      <w:sz w:val="18"/>
      <w:szCs w:val="18"/>
    </w:rPr>
  </w:style>
  <w:style w:type="character" w:customStyle="1" w:styleId="10">
    <w:name w:val="标题 1 字符"/>
    <w:basedOn w:val="a0"/>
    <w:link w:val="1"/>
    <w:uiPriority w:val="9"/>
    <w:rsid w:val="00957B3C"/>
    <w:rPr>
      <w:rFonts w:asciiTheme="majorHAnsi" w:eastAsiaTheme="majorEastAsia" w:hAnsiTheme="majorHAnsi" w:cstheme="majorBidi"/>
      <w:color w:val="2F5496" w:themeColor="accent1" w:themeShade="BF"/>
      <w:kern w:val="0"/>
      <w:sz w:val="32"/>
      <w:szCs w:val="32"/>
      <w:lang w:val="en-GB" w:eastAsia="en-US"/>
      <w14:ligatures w14:val="none"/>
    </w:rPr>
  </w:style>
  <w:style w:type="character" w:customStyle="1" w:styleId="20">
    <w:name w:val="标题 2 字符"/>
    <w:basedOn w:val="a0"/>
    <w:link w:val="2"/>
    <w:uiPriority w:val="9"/>
    <w:rsid w:val="00957B3C"/>
    <w:rPr>
      <w:rFonts w:asciiTheme="majorHAnsi" w:eastAsiaTheme="majorEastAsia" w:hAnsiTheme="majorHAnsi" w:cstheme="majorBidi"/>
      <w:color w:val="2F5496" w:themeColor="accent1" w:themeShade="BF"/>
      <w:kern w:val="0"/>
      <w:sz w:val="28"/>
      <w:szCs w:val="28"/>
      <w:lang w:val="en-GB" w:eastAsia="en-US"/>
      <w14:ligatures w14:val="none"/>
    </w:rPr>
  </w:style>
  <w:style w:type="paragraph" w:styleId="a7">
    <w:name w:val="List Paragraph"/>
    <w:basedOn w:val="a"/>
    <w:uiPriority w:val="34"/>
    <w:qFormat/>
    <w:rsid w:val="00957B3C"/>
    <w:pPr>
      <w:ind w:firstLineChars="200" w:firstLine="420"/>
    </w:pPr>
  </w:style>
  <w:style w:type="table" w:styleId="a8">
    <w:name w:val="Table Grid"/>
    <w:basedOn w:val="a1"/>
    <w:uiPriority w:val="39"/>
    <w:rsid w:val="00957B3C"/>
    <w:rPr>
      <w:kern w:val="0"/>
      <w:sz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957B3C"/>
    <w:rPr>
      <w:sz w:val="21"/>
      <w:szCs w:val="21"/>
    </w:rPr>
  </w:style>
  <w:style w:type="paragraph" w:styleId="aa">
    <w:name w:val="annotation text"/>
    <w:basedOn w:val="a"/>
    <w:link w:val="ab"/>
    <w:uiPriority w:val="99"/>
    <w:unhideWhenUsed/>
    <w:rsid w:val="00957B3C"/>
  </w:style>
  <w:style w:type="character" w:customStyle="1" w:styleId="ab">
    <w:name w:val="批注文字 字符"/>
    <w:basedOn w:val="a0"/>
    <w:link w:val="aa"/>
    <w:uiPriority w:val="99"/>
    <w:rsid w:val="00957B3C"/>
    <w:rPr>
      <w:kern w:val="0"/>
      <w:sz w:val="22"/>
      <w:lang w:val="en-GB" w:eastAsia="en-US"/>
      <w14:ligatures w14:val="none"/>
    </w:rPr>
  </w:style>
  <w:style w:type="paragraph" w:styleId="ac">
    <w:name w:val="Normal (Web)"/>
    <w:basedOn w:val="a"/>
    <w:link w:val="ad"/>
    <w:uiPriority w:val="99"/>
    <w:unhideWhenUsed/>
    <w:rsid w:val="00957B3C"/>
    <w:pPr>
      <w:spacing w:before="100" w:beforeAutospacing="1" w:after="100" w:afterAutospacing="1" w:line="240" w:lineRule="auto"/>
    </w:pPr>
    <w:rPr>
      <w:rFonts w:ascii="Times New Roman" w:eastAsia="Times New Roman" w:hAnsi="Times New Roman" w:cs="Times New Roman"/>
      <w:sz w:val="24"/>
      <w:szCs w:val="24"/>
    </w:rPr>
  </w:style>
  <w:style w:type="paragraph" w:styleId="TOC">
    <w:name w:val="TOC Heading"/>
    <w:basedOn w:val="1"/>
    <w:next w:val="a"/>
    <w:uiPriority w:val="39"/>
    <w:unhideWhenUsed/>
    <w:qFormat/>
    <w:rsid w:val="00D9358D"/>
    <w:pPr>
      <w:outlineLvl w:val="9"/>
    </w:pPr>
    <w:rPr>
      <w:lang w:val="en-US" w:eastAsia="zh-CN"/>
    </w:rPr>
  </w:style>
  <w:style w:type="paragraph" w:styleId="TOC1">
    <w:name w:val="toc 1"/>
    <w:basedOn w:val="a"/>
    <w:next w:val="a"/>
    <w:autoRedefine/>
    <w:uiPriority w:val="39"/>
    <w:unhideWhenUsed/>
    <w:rsid w:val="009E33D0"/>
    <w:pPr>
      <w:tabs>
        <w:tab w:val="right" w:leader="dot" w:pos="9016"/>
      </w:tabs>
      <w:spacing w:line="360" w:lineRule="auto"/>
      <w:ind w:firstLineChars="50" w:firstLine="120"/>
    </w:pPr>
  </w:style>
  <w:style w:type="paragraph" w:styleId="TOC2">
    <w:name w:val="toc 2"/>
    <w:basedOn w:val="a"/>
    <w:next w:val="a"/>
    <w:autoRedefine/>
    <w:uiPriority w:val="39"/>
    <w:unhideWhenUsed/>
    <w:rsid w:val="005B05A8"/>
    <w:pPr>
      <w:tabs>
        <w:tab w:val="right" w:leader="dot" w:pos="9016"/>
      </w:tabs>
      <w:spacing w:line="360" w:lineRule="auto"/>
      <w:ind w:leftChars="200" w:left="440"/>
    </w:pPr>
  </w:style>
  <w:style w:type="character" w:styleId="ae">
    <w:name w:val="Hyperlink"/>
    <w:basedOn w:val="a0"/>
    <w:uiPriority w:val="99"/>
    <w:unhideWhenUsed/>
    <w:rsid w:val="00D9358D"/>
    <w:rPr>
      <w:color w:val="0563C1" w:themeColor="hyperlink"/>
      <w:u w:val="single"/>
    </w:rPr>
  </w:style>
  <w:style w:type="paragraph" w:customStyle="1" w:styleId="EndNoteBibliographyTitle">
    <w:name w:val="EndNote Bibliography Title"/>
    <w:basedOn w:val="a"/>
    <w:link w:val="EndNoteBibliographyTitle0"/>
    <w:rsid w:val="003055EB"/>
    <w:pPr>
      <w:spacing w:after="0"/>
      <w:jc w:val="center"/>
    </w:pPr>
    <w:rPr>
      <w:rFonts w:ascii="等线" w:eastAsia="等线" w:hAnsi="等线"/>
      <w:noProof/>
      <w:lang w:val="en-US"/>
    </w:rPr>
  </w:style>
  <w:style w:type="character" w:customStyle="1" w:styleId="ad">
    <w:name w:val="普通(网站) 字符"/>
    <w:basedOn w:val="a0"/>
    <w:link w:val="ac"/>
    <w:uiPriority w:val="99"/>
    <w:rsid w:val="003055EB"/>
    <w:rPr>
      <w:rFonts w:ascii="Times New Roman" w:eastAsia="Times New Roman" w:hAnsi="Times New Roman" w:cs="Times New Roman"/>
      <w:kern w:val="0"/>
      <w:sz w:val="24"/>
      <w:szCs w:val="24"/>
      <w:lang w:val="en-GB" w:eastAsia="en-US"/>
      <w14:ligatures w14:val="none"/>
    </w:rPr>
  </w:style>
  <w:style w:type="character" w:customStyle="1" w:styleId="EndNoteBibliographyTitle0">
    <w:name w:val="EndNote Bibliography Title 字符"/>
    <w:basedOn w:val="ad"/>
    <w:link w:val="EndNoteBibliographyTitle"/>
    <w:rsid w:val="003055EB"/>
    <w:rPr>
      <w:rFonts w:ascii="等线" w:eastAsia="等线" w:hAnsi="等线" w:cs="Times New Roman"/>
      <w:noProof/>
      <w:kern w:val="0"/>
      <w:sz w:val="22"/>
      <w:szCs w:val="24"/>
      <w:lang w:val="en-GB" w:eastAsia="en-US"/>
      <w14:ligatures w14:val="none"/>
    </w:rPr>
  </w:style>
  <w:style w:type="paragraph" w:customStyle="1" w:styleId="EndNoteBibliography">
    <w:name w:val="EndNote Bibliography"/>
    <w:basedOn w:val="a"/>
    <w:link w:val="EndNoteBibliography0"/>
    <w:rsid w:val="003055EB"/>
    <w:pPr>
      <w:spacing w:line="240" w:lineRule="auto"/>
      <w:jc w:val="both"/>
    </w:pPr>
    <w:rPr>
      <w:rFonts w:ascii="等线" w:eastAsia="等线" w:hAnsi="等线"/>
      <w:noProof/>
      <w:lang w:val="en-US"/>
    </w:rPr>
  </w:style>
  <w:style w:type="character" w:customStyle="1" w:styleId="EndNoteBibliography0">
    <w:name w:val="EndNote Bibliography 字符"/>
    <w:basedOn w:val="ad"/>
    <w:link w:val="EndNoteBibliography"/>
    <w:rsid w:val="003055EB"/>
    <w:rPr>
      <w:rFonts w:ascii="等线" w:eastAsia="等线" w:hAnsi="等线" w:cs="Times New Roman"/>
      <w:noProof/>
      <w:kern w:val="0"/>
      <w:sz w:val="22"/>
      <w:szCs w:val="24"/>
      <w:lang w:val="en-GB" w:eastAsia="en-US"/>
      <w14:ligatures w14:val="none"/>
    </w:rPr>
  </w:style>
  <w:style w:type="paragraph" w:styleId="af">
    <w:name w:val="Revision"/>
    <w:hidden/>
    <w:uiPriority w:val="99"/>
    <w:semiHidden/>
    <w:rsid w:val="00E774C7"/>
    <w:rPr>
      <w:kern w:val="0"/>
      <w:sz w:val="22"/>
      <w:lang w:val="en-GB" w:eastAsia="en-US"/>
      <w14:ligatures w14:val="none"/>
    </w:rPr>
  </w:style>
  <w:style w:type="paragraph" w:styleId="af0">
    <w:name w:val="annotation subject"/>
    <w:basedOn w:val="aa"/>
    <w:next w:val="aa"/>
    <w:link w:val="af1"/>
    <w:uiPriority w:val="99"/>
    <w:semiHidden/>
    <w:unhideWhenUsed/>
    <w:rsid w:val="00384A2B"/>
    <w:rPr>
      <w:b/>
      <w:bCs/>
    </w:rPr>
  </w:style>
  <w:style w:type="character" w:customStyle="1" w:styleId="af1">
    <w:name w:val="批注主题 字符"/>
    <w:basedOn w:val="ab"/>
    <w:link w:val="af0"/>
    <w:uiPriority w:val="99"/>
    <w:semiHidden/>
    <w:rsid w:val="00384A2B"/>
    <w:rPr>
      <w:b/>
      <w:bCs/>
      <w:kern w:val="0"/>
      <w:sz w:val="22"/>
      <w:lang w:val="en-GB" w:eastAsia="en-US"/>
      <w14:ligatures w14:val="none"/>
    </w:rPr>
  </w:style>
  <w:style w:type="paragraph" w:customStyle="1" w:styleId="pf0">
    <w:name w:val="pf0"/>
    <w:basedOn w:val="a"/>
    <w:rsid w:val="00B356BF"/>
    <w:pPr>
      <w:spacing w:before="100" w:beforeAutospacing="1" w:after="100" w:afterAutospacing="1" w:line="240" w:lineRule="auto"/>
    </w:pPr>
    <w:rPr>
      <w:rFonts w:ascii="宋体" w:eastAsia="宋体" w:hAnsi="宋体" w:cs="宋体"/>
      <w:sz w:val="24"/>
      <w:szCs w:val="24"/>
      <w:lang w:val="en-US" w:eastAsia="zh-CN"/>
    </w:rPr>
  </w:style>
  <w:style w:type="character" w:customStyle="1" w:styleId="cf01">
    <w:name w:val="cf01"/>
    <w:basedOn w:val="a0"/>
    <w:rsid w:val="00B356BF"/>
    <w:rPr>
      <w:rFonts w:ascii="Microsoft YaHei UI" w:eastAsia="Microsoft YaHei UI" w:hAnsi="Microsoft YaHei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77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5B9EB-CB9E-4D18-A481-A896DB9F8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736</Words>
  <Characters>4198</Characters>
  <Application>Microsoft Office Word</Application>
  <DocSecurity>0</DocSecurity>
  <Lines>34</Lines>
  <Paragraphs>9</Paragraphs>
  <ScaleCrop>false</ScaleCrop>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lu</dc:creator>
  <cp:keywords/>
  <dc:description/>
  <cp:lastModifiedBy>Yumei Du</cp:lastModifiedBy>
  <cp:revision>17</cp:revision>
  <dcterms:created xsi:type="dcterms:W3CDTF">2024-03-06T12:37:00Z</dcterms:created>
  <dcterms:modified xsi:type="dcterms:W3CDTF">2024-03-11T04:23:00Z</dcterms:modified>
</cp:coreProperties>
</file>