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C2F85" w14:textId="77777777" w:rsidR="00037757" w:rsidRDefault="00000000">
      <w:pPr>
        <w:spacing w:after="2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Additional file 13: 2-sample MR sensitivity analyses other </w:t>
      </w:r>
      <w:proofErr w:type="gramStart"/>
      <w:r>
        <w:rPr>
          <w:b/>
          <w:sz w:val="28"/>
          <w:szCs w:val="28"/>
        </w:rPr>
        <w:t>domains</w:t>
      </w:r>
      <w:proofErr w:type="gramEnd"/>
    </w:p>
    <w:p w14:paraId="7307E259" w14:textId="77777777" w:rsidR="00037757" w:rsidRDefault="00037757">
      <w:pPr>
        <w:spacing w:after="200"/>
        <w:rPr>
          <w:b/>
          <w:sz w:val="20"/>
          <w:szCs w:val="20"/>
        </w:rPr>
      </w:pPr>
    </w:p>
    <w:p w14:paraId="108352CB" w14:textId="55DE9AEC" w:rsidR="00037757" w:rsidRDefault="00000000">
      <w:pPr>
        <w:spacing w:after="200"/>
        <w:rPr>
          <w:sz w:val="20"/>
          <w:szCs w:val="20"/>
        </w:rPr>
      </w:pPr>
      <w:r>
        <w:rPr>
          <w:b/>
          <w:noProof/>
        </w:rPr>
        <w:drawing>
          <wp:inline distT="114300" distB="114300" distL="114300" distR="114300" wp14:anchorId="190BDCC9" wp14:editId="7721D6D8">
            <wp:extent cx="5538148" cy="497697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8148" cy="49769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</w:rPr>
        <w:br/>
        <w:t>Figure S</w:t>
      </w:r>
      <w:r w:rsidR="000F556D">
        <w:rPr>
          <w:b/>
        </w:rPr>
        <w:t>11</w:t>
      </w:r>
      <w:r>
        <w:rPr>
          <w:b/>
        </w:rPr>
        <w:t xml:space="preserve">. 2-sample MR sensitivity analyses of age at menarche and other domains. </w:t>
      </w:r>
      <w:r>
        <w:rPr>
          <w:b/>
          <w:i/>
          <w:sz w:val="20"/>
          <w:szCs w:val="20"/>
        </w:rPr>
        <w:br/>
      </w:r>
      <w:r>
        <w:rPr>
          <w:sz w:val="20"/>
          <w:szCs w:val="20"/>
        </w:rPr>
        <w:t xml:space="preserve">MR sensitivity analyses showing results that are broadly consistent with the 1-sample MR, with little support for causal relationships between age at menarche and other symptom domains, apart from conduct disorder symptoms. MR, Mendelian randomisation; SNP, single nucleotide polymorphism. </w:t>
      </w:r>
    </w:p>
    <w:sectPr w:rsidR="0003775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757"/>
    <w:rsid w:val="00037757"/>
    <w:rsid w:val="000F556D"/>
    <w:rsid w:val="0058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3ADDDA"/>
  <w15:docId w15:val="{1B67CBEE-610C-F348-95E7-9267A72E8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 Adrian Dahl Askelund</cp:lastModifiedBy>
  <cp:revision>3</cp:revision>
  <dcterms:created xsi:type="dcterms:W3CDTF">2024-01-26T13:34:00Z</dcterms:created>
  <dcterms:modified xsi:type="dcterms:W3CDTF">2024-01-26T15:38:00Z</dcterms:modified>
</cp:coreProperties>
</file>