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6A42B2" w:rsidRDefault="00000000">
      <w:pPr>
        <w:pStyle w:val="Heading3"/>
        <w:spacing w:after="200" w:line="480" w:lineRule="auto"/>
        <w:rPr>
          <w:b/>
          <w:color w:val="000000"/>
        </w:rPr>
      </w:pPr>
      <w:bookmarkStart w:id="0" w:name="_n0afy7bdjg88" w:colFirst="0" w:colLast="0"/>
      <w:bookmarkEnd w:id="0"/>
      <w:r>
        <w:rPr>
          <w:b/>
          <w:color w:val="000000"/>
        </w:rPr>
        <w:t>Additional file 4: Two-sample MR instruments</w:t>
      </w:r>
    </w:p>
    <w:p w14:paraId="00000002" w14:textId="10D213BE" w:rsidR="006A42B2" w:rsidRDefault="00000000">
      <w:pPr>
        <w:spacing w:after="200" w:line="480" w:lineRule="auto"/>
      </w:pPr>
      <w:r>
        <w:t xml:space="preserve">For the two-sample MR, the SNPs were </w:t>
      </w:r>
      <w:r>
        <w:rPr>
          <w:highlight w:val="white"/>
        </w:rPr>
        <w:t xml:space="preserve">harmonised using </w:t>
      </w:r>
      <w:r>
        <w:rPr>
          <w:i/>
          <w:highlight w:val="white"/>
        </w:rPr>
        <w:t xml:space="preserve">MR-Base </w:t>
      </w:r>
      <w:r w:rsidR="00104685">
        <w:t>(71)</w:t>
      </w:r>
      <w:r>
        <w:rPr>
          <w:highlight w:val="white"/>
        </w:rPr>
        <w:t xml:space="preserve">, assuming that the summary statistics were </w:t>
      </w:r>
      <w:r w:rsidR="00A900A2">
        <w:rPr>
          <w:highlight w:val="white"/>
        </w:rPr>
        <w:t>formatted to be on</w:t>
      </w:r>
      <w:r>
        <w:rPr>
          <w:highlight w:val="white"/>
        </w:rPr>
        <w:t xml:space="preserve"> the forward strand (option 1), after consulting with the GWAS senior author (this was a deviation from the protocol, see Table 3). </w:t>
      </w:r>
      <w:r>
        <w:t xml:space="preserve">For two-sample multivariable MR analyses accounting for </w:t>
      </w:r>
      <w:proofErr w:type="spellStart"/>
      <w:r>
        <w:t>estradiol</w:t>
      </w:r>
      <w:proofErr w:type="spellEnd"/>
      <w:r>
        <w:t xml:space="preserve"> levels, we used a recently published GWAS in UK Biobank (</w:t>
      </w:r>
      <w:r>
        <w:rPr>
          <w:i/>
        </w:rPr>
        <w:t>N</w:t>
      </w:r>
      <w:r>
        <w:t xml:space="preserve"> = 163,985 females of European ancestry) which identified 4 SNPs independently associated with </w:t>
      </w:r>
      <w:proofErr w:type="spellStart"/>
      <w:r>
        <w:t>estradiol</w:t>
      </w:r>
      <w:proofErr w:type="spellEnd"/>
      <w:r>
        <w:t xml:space="preserve"> (at </w:t>
      </w:r>
      <w:r>
        <w:rPr>
          <w:i/>
        </w:rPr>
        <w:t>P</w:t>
      </w:r>
      <w:r>
        <w:t xml:space="preserve"> &lt; 1 x 10</w:t>
      </w:r>
      <w:r>
        <w:rPr>
          <w:vertAlign w:val="superscript"/>
        </w:rPr>
        <w:t>-7</w:t>
      </w:r>
      <w:r>
        <w:t>) (</w:t>
      </w:r>
      <w:r w:rsidR="00104685">
        <w:t>7</w:t>
      </w:r>
      <w:r>
        <w:t xml:space="preserve">2). We also conducted two-sample MR analyses to account for potential confounding by BMI, for which the most recent female-only GWAS summary data was used. This was due to the important assumption in two-sample MR that the employed samples stem from the same underlying population. Because of sample overlap between </w:t>
      </w:r>
      <w:proofErr w:type="spellStart"/>
      <w:r>
        <w:t>MoBa</w:t>
      </w:r>
      <w:proofErr w:type="spellEnd"/>
      <w:r>
        <w:t xml:space="preserve"> and the most recent GWAS of BMI in children (which identified 15 SNPs associated with childhood BMI (</w:t>
      </w:r>
      <w:r w:rsidR="00104685">
        <w:t>7</w:t>
      </w:r>
      <w:r>
        <w:t>3)), we used the GWAS of recalled body size at age 10 from the UK Biobank (</w:t>
      </w:r>
      <w:r>
        <w:rPr>
          <w:i/>
        </w:rPr>
        <w:t>N</w:t>
      </w:r>
      <w:r>
        <w:t xml:space="preserve"> = 246,511 females), which identified 135 SNPs independently associated with comparative early life body size (</w:t>
      </w:r>
      <w:r w:rsidR="00104685">
        <w:t>69</w:t>
      </w:r>
      <w:r>
        <w:t>). For adult BMI, we also used GWAS summary data from the UK Biobank (</w:t>
      </w:r>
      <w:r>
        <w:rPr>
          <w:i/>
        </w:rPr>
        <w:t>N</w:t>
      </w:r>
      <w:r>
        <w:t xml:space="preserve"> = 246,511 females), which identified 215 SNPs associated with adult-measured BMI (</w:t>
      </w:r>
      <w:r w:rsidR="00104685">
        <w:t>69</w:t>
      </w:r>
      <w:r>
        <w:t>). The use of these measures as indicators of separate exposures has previously been validated in ALSPAC and employed in an MVMR setting (</w:t>
      </w:r>
      <w:r w:rsidR="00104685">
        <w:t>69</w:t>
      </w:r>
      <w:r>
        <w:t>). Finally, to mirror how co-occurring depression is accounted for in the observational analyses of other mental health domains, we ran MVMR including a genetic instrument for depression. This was based on a GWAS meta-analysis of major depression (</w:t>
      </w:r>
      <w:r>
        <w:rPr>
          <w:i/>
        </w:rPr>
        <w:t>N</w:t>
      </w:r>
      <w:r>
        <w:t xml:space="preserve"> = 807,553), which identified 102 variants independently associated with depression (</w:t>
      </w:r>
      <w:r w:rsidR="00104685">
        <w:t>70</w:t>
      </w:r>
      <w:r>
        <w:t xml:space="preserve">). This was a deviation since the summary statistics we intended to use were not available; see Table 3. </w:t>
      </w:r>
    </w:p>
    <w:p w14:paraId="0000000B" w14:textId="3E134F14" w:rsidR="006A42B2" w:rsidRPr="00104685" w:rsidRDefault="00000000" w:rsidP="00104685">
      <w:pPr>
        <w:spacing w:after="200" w:line="480" w:lineRule="auto"/>
      </w:pPr>
      <w:r>
        <w:t xml:space="preserve">To enable running the two-sample MR analyses, we obtained summary statistics for the 14-year symptom outcomes in </w:t>
      </w:r>
      <w:proofErr w:type="spellStart"/>
      <w:r>
        <w:t>MoBa</w:t>
      </w:r>
      <w:proofErr w:type="spellEnd"/>
      <w:r>
        <w:t xml:space="preserve"> by running GWAS in </w:t>
      </w:r>
      <w:r>
        <w:rPr>
          <w:i/>
        </w:rPr>
        <w:t>REGENIE</w:t>
      </w:r>
      <w:r>
        <w:t xml:space="preserve"> (</w:t>
      </w:r>
      <w:r w:rsidR="00104685">
        <w:t>74</w:t>
      </w:r>
      <w:r>
        <w:t xml:space="preserve">). </w:t>
      </w:r>
      <w:r>
        <w:rPr>
          <w:i/>
        </w:rPr>
        <w:t>REGENIE</w:t>
      </w:r>
      <w:r>
        <w:t xml:space="preserve"> is a linear mixed model method which fits a whole-genome (linear) regression model for the phenotype </w:t>
      </w:r>
      <w:r>
        <w:lastRenderedPageBreak/>
        <w:t xml:space="preserve">and handles relatedness in the sample. Genotyping batch and the first 20 principal components were included as covariates in the GWAS. </w:t>
      </w:r>
    </w:p>
    <w:sectPr w:rsidR="006A42B2" w:rsidRPr="00104685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42B2"/>
    <w:rsid w:val="00104685"/>
    <w:rsid w:val="0026640F"/>
    <w:rsid w:val="006A42B2"/>
    <w:rsid w:val="0091309B"/>
    <w:rsid w:val="00A90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26480C7"/>
  <w15:docId w15:val="{1B67CBEE-610C-F348-95E7-9267A72E8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343</Words>
  <Characters>1957</Characters>
  <Application>Microsoft Office Word</Application>
  <DocSecurity>0</DocSecurity>
  <Lines>16</Lines>
  <Paragraphs>4</Paragraphs>
  <ScaleCrop>false</ScaleCrop>
  <Company/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Jo Adrian Dahl Askelund</cp:lastModifiedBy>
  <cp:revision>2</cp:revision>
  <dcterms:created xsi:type="dcterms:W3CDTF">2024-02-28T13:05:00Z</dcterms:created>
  <dcterms:modified xsi:type="dcterms:W3CDTF">2024-02-28T13:05:00Z</dcterms:modified>
</cp:coreProperties>
</file>