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9FB95" w14:textId="250723A4" w:rsidR="00911ABF" w:rsidRDefault="00F754C8">
      <w:pPr>
        <w:spacing w:line="480" w:lineRule="auto"/>
        <w:rPr>
          <w:rFonts w:ascii="Times New Roman" w:hAnsi="Times New Roman" w:cs="Times New Roman"/>
          <w:b/>
          <w:bCs/>
          <w:iCs/>
          <w:szCs w:val="21"/>
        </w:rPr>
      </w:pPr>
      <w:r>
        <w:rPr>
          <w:rFonts w:ascii="Times New Roman" w:hAnsi="Times New Roman" w:cs="Times New Roman" w:hint="eastAsia"/>
          <w:b/>
          <w:bCs/>
          <w:iCs/>
          <w:szCs w:val="21"/>
        </w:rPr>
        <w:t>A</w:t>
      </w:r>
      <w:r w:rsidRPr="00F754C8">
        <w:rPr>
          <w:rFonts w:ascii="Times New Roman" w:hAnsi="Times New Roman" w:cs="Times New Roman"/>
          <w:b/>
          <w:bCs/>
          <w:iCs/>
          <w:szCs w:val="21"/>
        </w:rPr>
        <w:t xml:space="preserve">dditional </w:t>
      </w:r>
      <w:r>
        <w:rPr>
          <w:rFonts w:ascii="Times New Roman" w:hAnsi="Times New Roman" w:cs="Times New Roman" w:hint="eastAsia"/>
          <w:b/>
          <w:bCs/>
          <w:iCs/>
          <w:szCs w:val="21"/>
        </w:rPr>
        <w:t>F</w:t>
      </w:r>
      <w:r w:rsidRPr="00F754C8">
        <w:rPr>
          <w:rFonts w:ascii="Times New Roman" w:hAnsi="Times New Roman" w:cs="Times New Roman"/>
          <w:b/>
          <w:bCs/>
          <w:iCs/>
          <w:szCs w:val="21"/>
        </w:rPr>
        <w:t xml:space="preserve">ile </w:t>
      </w:r>
      <w:r>
        <w:rPr>
          <w:rFonts w:ascii="Times New Roman" w:hAnsi="Times New Roman" w:cs="Times New Roman" w:hint="eastAsia"/>
          <w:b/>
          <w:bCs/>
          <w:iCs/>
          <w:szCs w:val="21"/>
        </w:rPr>
        <w:t>4</w:t>
      </w:r>
      <w:r w:rsidRPr="00F754C8">
        <w:rPr>
          <w:rFonts w:ascii="Times New Roman" w:hAnsi="Times New Roman" w:cs="Times New Roman"/>
          <w:b/>
          <w:bCs/>
          <w:iCs/>
          <w:szCs w:val="21"/>
        </w:rPr>
        <w:t xml:space="preserve">: </w:t>
      </w:r>
      <w:r w:rsidRPr="00F754C8">
        <w:rPr>
          <w:rFonts w:ascii="Times New Roman" w:hAnsi="Times New Roman" w:cs="Times New Roman" w:hint="eastAsia"/>
          <w:b/>
          <w:bCs/>
          <w:iCs/>
          <w:szCs w:val="21"/>
        </w:rPr>
        <w:t xml:space="preserve">Method </w:t>
      </w:r>
      <w:r w:rsidR="0021311D">
        <w:rPr>
          <w:rFonts w:ascii="Times New Roman" w:hAnsi="Times New Roman" w:cs="Times New Roman" w:hint="eastAsia"/>
          <w:b/>
          <w:bCs/>
          <w:iCs/>
          <w:szCs w:val="21"/>
        </w:rPr>
        <w:t>S</w:t>
      </w:r>
      <w:r>
        <w:rPr>
          <w:rFonts w:ascii="Times New Roman" w:hAnsi="Times New Roman" w:cs="Times New Roman" w:hint="eastAsia"/>
          <w:b/>
          <w:bCs/>
          <w:iCs/>
          <w:szCs w:val="21"/>
        </w:rPr>
        <w:t>4</w:t>
      </w:r>
      <w:r>
        <w:rPr>
          <w:rFonts w:ascii="Times New Roman" w:hAnsi="Times New Roman" w:cs="Times New Roman"/>
          <w:b/>
          <w:bCs/>
          <w:iCs/>
          <w:szCs w:val="21"/>
        </w:rPr>
        <w:t xml:space="preserve"> Measuring the performance of our model</w:t>
      </w:r>
    </w:p>
    <w:p w14:paraId="6C655CD1" w14:textId="77777777" w:rsidR="00911ABF"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 xml:space="preserve">In this study, we used </w:t>
      </w:r>
      <w:r>
        <w:rPr>
          <w:rFonts w:ascii="Times New Roman" w:eastAsia="等线" w:hAnsi="Times New Roman" w:cs="Times New Roman"/>
          <w:szCs w:val="21"/>
        </w:rPr>
        <w:t xml:space="preserve">the </w:t>
      </w:r>
      <w:r>
        <w:rPr>
          <w:rFonts w:ascii="Times New Roman" w:hAnsi="Times New Roman" w:cs="Times New Roman"/>
          <w:szCs w:val="21"/>
        </w:rPr>
        <w:t>sensitivity, specificity, receiver operating curve (ROC), area under curve (AUC), Youden index</w:t>
      </w:r>
      <w:r>
        <w:rPr>
          <w:rFonts w:ascii="Times New Roman" w:eastAsia="等线" w:hAnsi="Times New Roman" w:cs="Times New Roman"/>
          <w:szCs w:val="21"/>
        </w:rPr>
        <w:t xml:space="preserve">, and </w:t>
      </w:r>
      <w:r>
        <w:rPr>
          <w:rFonts w:ascii="Times New Roman" w:hAnsi="Times New Roman" w:cs="Times New Roman"/>
          <w:szCs w:val="21"/>
        </w:rPr>
        <w:t>accuracy to evaluate the performance of our model. Let TP, TN, FP, and FN be the numbers of true positive, true negative, false positive, and false negative samples, respectively</w:t>
      </w:r>
      <w:r>
        <w:rPr>
          <w:rFonts w:ascii="Times New Roman" w:eastAsia="等线" w:hAnsi="Times New Roman" w:cs="Times New Roman"/>
          <w:szCs w:val="21"/>
        </w:rPr>
        <w:t>.</w:t>
      </w:r>
    </w:p>
    <w:p w14:paraId="07A6A807" w14:textId="77777777" w:rsidR="00911ABF" w:rsidRDefault="00000000">
      <w:pPr>
        <w:pStyle w:val="a3"/>
        <w:spacing w:line="480" w:lineRule="auto"/>
        <w:ind w:firstLineChars="0" w:firstLine="0"/>
        <w:rPr>
          <w:rFonts w:ascii="Times New Roman" w:hAnsi="Times New Roman" w:cs="Times New Roman"/>
          <w:i/>
          <w:iCs/>
          <w:szCs w:val="21"/>
        </w:rPr>
      </w:pPr>
      <w:r>
        <w:rPr>
          <w:rFonts w:ascii="Times New Roman" w:hAnsi="Times New Roman" w:cs="Times New Roman" w:hint="eastAsia"/>
          <w:i/>
          <w:iCs/>
          <w:szCs w:val="21"/>
        </w:rPr>
        <w:t>Sensitivity, specificity, receiver operating curve (ROC)</w:t>
      </w:r>
      <w:r>
        <w:rPr>
          <w:rFonts w:ascii="Times New Roman" w:eastAsia="等线" w:hAnsi="Times New Roman" w:cs="Times New Roman" w:hint="eastAsia"/>
          <w:i/>
          <w:iCs/>
          <w:szCs w:val="21"/>
        </w:rPr>
        <w:t xml:space="preserve">, and </w:t>
      </w:r>
      <w:r>
        <w:rPr>
          <w:rFonts w:ascii="Times New Roman" w:hAnsi="Times New Roman" w:cs="Times New Roman" w:hint="eastAsia"/>
          <w:i/>
          <w:iCs/>
          <w:szCs w:val="21"/>
        </w:rPr>
        <w:t>area under curve (AUC)</w:t>
      </w:r>
    </w:p>
    <w:p w14:paraId="1F88CFD0" w14:textId="77777777" w:rsidR="00911ABF"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 xml:space="preserve">Sensitivity, also known as </w:t>
      </w:r>
      <w:r>
        <w:rPr>
          <w:rFonts w:ascii="Times New Roman" w:eastAsia="等线" w:hAnsi="Times New Roman" w:cs="Times New Roman"/>
          <w:szCs w:val="21"/>
        </w:rPr>
        <w:t xml:space="preserve">the true positive rate (TPR), reflects the ability </w:t>
      </w:r>
      <w:r>
        <w:rPr>
          <w:rFonts w:ascii="Times New Roman" w:hAnsi="Times New Roman" w:cs="Times New Roman"/>
          <w:szCs w:val="21"/>
        </w:rPr>
        <w:t>to determine patients. Its mathematical formula is</w:t>
      </w:r>
      <w:r>
        <w:rPr>
          <w:rFonts w:ascii="Times New Roman" w:eastAsia="等线" w:hAnsi="Times New Roman" w:cs="Times New Roman"/>
          <w:szCs w:val="21"/>
        </w:rPr>
        <w:t xml:space="preserve"> as follows:</w:t>
      </w:r>
    </w:p>
    <w:p w14:paraId="5E992C09" w14:textId="77777777" w:rsidR="00911ABF" w:rsidRDefault="00000000">
      <w:pPr>
        <w:spacing w:line="480" w:lineRule="auto"/>
        <w:ind w:firstLineChars="200" w:firstLine="420"/>
        <w:rPr>
          <w:rFonts w:ascii="Times New Roman" w:hAnsi="Times New Roman" w:cs="Times New Roman"/>
          <w:szCs w:val="21"/>
        </w:rPr>
      </w:pPr>
      <m:oMathPara>
        <m:oMath>
          <m:r>
            <w:rPr>
              <w:rFonts w:ascii="Cambria Math" w:hAnsi="Cambria Math" w:cs="Times New Roman"/>
              <w:szCs w:val="21"/>
            </w:rPr>
            <m:t>Sensitivity</m:t>
          </m:r>
          <m:r>
            <m:rPr>
              <m:sty m:val="p"/>
            </m:rPr>
            <w:rPr>
              <w:rFonts w:ascii="Cambria Math" w:hAnsi="Cambria Math" w:cs="Times New Roman"/>
              <w:szCs w:val="21"/>
            </w:rPr>
            <m:t xml:space="preserve">= </m:t>
          </m:r>
          <m:f>
            <m:fPr>
              <m:ctrlPr>
                <w:rPr>
                  <w:rFonts w:ascii="Cambria Math" w:hAnsi="Cambria Math" w:cs="Times New Roman"/>
                  <w:szCs w:val="21"/>
                </w:rPr>
              </m:ctrlPr>
            </m:fPr>
            <m:num>
              <m:r>
                <w:rPr>
                  <w:rFonts w:ascii="Cambria Math" w:hAnsi="Cambria Math" w:cs="Times New Roman"/>
                  <w:szCs w:val="21"/>
                </w:rPr>
                <m:t>TP</m:t>
              </m:r>
            </m:num>
            <m:den>
              <m:r>
                <w:rPr>
                  <w:rFonts w:ascii="Cambria Math" w:hAnsi="Cambria Math" w:cs="Times New Roman"/>
                  <w:szCs w:val="21"/>
                </w:rPr>
                <m:t>TP+FN</m:t>
              </m:r>
            </m:den>
          </m:f>
        </m:oMath>
      </m:oMathPara>
    </w:p>
    <w:p w14:paraId="353B4E6E" w14:textId="77777777" w:rsidR="00911ABF"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 xml:space="preserve">Specificity, also known as </w:t>
      </w:r>
      <w:r>
        <w:rPr>
          <w:rFonts w:ascii="Times New Roman" w:eastAsia="等线" w:hAnsi="Times New Roman" w:cs="Times New Roman"/>
          <w:szCs w:val="21"/>
        </w:rPr>
        <w:t xml:space="preserve">the true negative rate (TNR), reflects the ability </w:t>
      </w:r>
      <w:r>
        <w:rPr>
          <w:rFonts w:ascii="Times New Roman" w:hAnsi="Times New Roman" w:cs="Times New Roman"/>
          <w:szCs w:val="21"/>
        </w:rPr>
        <w:t>to determine non-patients. Its mathematical formula is</w:t>
      </w:r>
      <w:r>
        <w:rPr>
          <w:rFonts w:ascii="Times New Roman" w:eastAsia="等线" w:hAnsi="Times New Roman" w:cs="Times New Roman"/>
          <w:szCs w:val="21"/>
        </w:rPr>
        <w:t xml:space="preserve"> as follows:</w:t>
      </w:r>
    </w:p>
    <w:p w14:paraId="3F3CA0C9" w14:textId="77777777" w:rsidR="00911ABF" w:rsidRDefault="00000000">
      <w:pPr>
        <w:spacing w:line="480" w:lineRule="auto"/>
        <w:ind w:firstLineChars="200" w:firstLine="420"/>
        <w:rPr>
          <w:rFonts w:ascii="Times New Roman" w:hAnsi="Times New Roman" w:cs="Times New Roman"/>
          <w:szCs w:val="21"/>
        </w:rPr>
      </w:pPr>
      <m:oMathPara>
        <m:oMath>
          <m:r>
            <w:rPr>
              <w:rFonts w:ascii="Cambria Math" w:hAnsi="Cambria Math" w:cs="Times New Roman"/>
              <w:szCs w:val="21"/>
            </w:rPr>
            <m:t>Specificity</m:t>
          </m:r>
          <m:r>
            <m:rPr>
              <m:sty m:val="p"/>
            </m:rPr>
            <w:rPr>
              <w:rFonts w:ascii="Cambria Math" w:hAnsi="Cambria Math" w:cs="Times New Roman"/>
              <w:szCs w:val="21"/>
            </w:rPr>
            <m:t xml:space="preserve">= </m:t>
          </m:r>
          <m:f>
            <m:fPr>
              <m:ctrlPr>
                <w:rPr>
                  <w:rFonts w:ascii="Cambria Math" w:hAnsi="Cambria Math" w:cs="Times New Roman"/>
                  <w:szCs w:val="21"/>
                </w:rPr>
              </m:ctrlPr>
            </m:fPr>
            <m:num>
              <m:r>
                <w:rPr>
                  <w:rFonts w:ascii="Cambria Math" w:hAnsi="Cambria Math" w:cs="Times New Roman"/>
                  <w:szCs w:val="21"/>
                </w:rPr>
                <m:t>TN</m:t>
              </m:r>
            </m:num>
            <m:den>
              <m:r>
                <w:rPr>
                  <w:rFonts w:ascii="Cambria Math" w:hAnsi="Cambria Math" w:cs="Times New Roman"/>
                  <w:szCs w:val="21"/>
                </w:rPr>
                <m:t>TN+FP</m:t>
              </m:r>
            </m:den>
          </m:f>
        </m:oMath>
      </m:oMathPara>
    </w:p>
    <w:p w14:paraId="13F11C29" w14:textId="77777777" w:rsidR="00911ABF"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Sensitivity and Specificity are determined under a certain threshold.</w:t>
      </w:r>
    </w:p>
    <w:p w14:paraId="23D1FBE8" w14:textId="77777777" w:rsidR="00911ABF" w:rsidRDefault="00000000">
      <w:pPr>
        <w:spacing w:line="480" w:lineRule="auto"/>
        <w:ind w:firstLineChars="200" w:firstLine="420"/>
        <w:rPr>
          <w:rFonts w:ascii="Times New Roman" w:hAnsi="Times New Roman" w:cs="Times New Roman"/>
          <w:szCs w:val="21"/>
        </w:rPr>
      </w:pPr>
      <w:r>
        <w:rPr>
          <w:rFonts w:ascii="Times New Roman" w:eastAsia="等线" w:hAnsi="Times New Roman" w:cs="Times New Roman"/>
          <w:szCs w:val="21"/>
        </w:rPr>
        <w:t xml:space="preserve">The </w:t>
      </w:r>
      <w:r>
        <w:rPr>
          <w:rFonts w:ascii="Times New Roman" w:hAnsi="Times New Roman" w:cs="Times New Roman"/>
          <w:szCs w:val="21"/>
        </w:rPr>
        <w:t xml:space="preserve">receiver operating curve (ROC) reflects the trade-off between the sensitivity and specificity of the model for patient diagnosis. When drawing the ROC curve, the model prediction value of each patient was used as the threshold, and the sensitivity and specificity of the model results under these thresholds were calculated, and the ROC curve was drawn with 1-Specificity as the horizontal axis and sensitivity as the vertical axis. </w:t>
      </w:r>
      <w:r>
        <w:rPr>
          <w:rFonts w:ascii="Times New Roman" w:eastAsia="等线" w:hAnsi="Times New Roman" w:cs="Times New Roman"/>
          <w:szCs w:val="21"/>
        </w:rPr>
        <w:t xml:space="preserve">The </w:t>
      </w:r>
      <w:r>
        <w:rPr>
          <w:rFonts w:ascii="Times New Roman" w:hAnsi="Times New Roman" w:cs="Times New Roman"/>
          <w:szCs w:val="21"/>
        </w:rPr>
        <w:t xml:space="preserve">area under </w:t>
      </w:r>
      <w:r>
        <w:rPr>
          <w:rFonts w:ascii="Times New Roman" w:eastAsia="等线" w:hAnsi="Times New Roman" w:cs="Times New Roman"/>
          <w:szCs w:val="21"/>
        </w:rPr>
        <w:t xml:space="preserve">the curve (AUC) </w:t>
      </w:r>
      <w:r>
        <w:rPr>
          <w:rFonts w:ascii="Times New Roman" w:hAnsi="Times New Roman" w:cs="Times New Roman"/>
          <w:szCs w:val="21"/>
        </w:rPr>
        <w:t xml:space="preserve">was the area under ROC. The closer the AUC is to 1, the better </w:t>
      </w:r>
      <w:r>
        <w:rPr>
          <w:rFonts w:ascii="Times New Roman" w:eastAsia="等线" w:hAnsi="Times New Roman" w:cs="Times New Roman"/>
          <w:szCs w:val="21"/>
        </w:rPr>
        <w:t>is the model performance.</w:t>
      </w:r>
    </w:p>
    <w:p w14:paraId="49B9B0CC" w14:textId="77777777" w:rsidR="00911ABF" w:rsidRDefault="00000000">
      <w:pPr>
        <w:pStyle w:val="a3"/>
        <w:spacing w:line="480" w:lineRule="auto"/>
        <w:ind w:firstLineChars="0" w:firstLine="0"/>
        <w:rPr>
          <w:rFonts w:ascii="Times New Roman" w:hAnsi="Times New Roman" w:cs="Times New Roman"/>
          <w:i/>
          <w:iCs/>
          <w:szCs w:val="21"/>
        </w:rPr>
      </w:pPr>
      <w:r>
        <w:rPr>
          <w:rFonts w:ascii="Times New Roman" w:hAnsi="Times New Roman" w:cs="Times New Roman" w:hint="eastAsia"/>
          <w:i/>
          <w:iCs/>
          <w:szCs w:val="21"/>
        </w:rPr>
        <w:t>Youden Index and Accuracy</w:t>
      </w:r>
    </w:p>
    <w:p w14:paraId="73C060D1" w14:textId="77777777" w:rsidR="00911ABF"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t>The mathematical formula of Youden Index is</w:t>
      </w:r>
    </w:p>
    <w:p w14:paraId="364F228B" w14:textId="77777777" w:rsidR="00911ABF" w:rsidRDefault="00000000">
      <w:pPr>
        <w:spacing w:line="480" w:lineRule="auto"/>
        <w:ind w:firstLineChars="200" w:firstLine="420"/>
        <w:rPr>
          <w:rFonts w:ascii="Times New Roman" w:hAnsi="Times New Roman" w:cs="Times New Roman"/>
          <w:szCs w:val="21"/>
        </w:rPr>
      </w:pPr>
      <m:oMathPara>
        <m:oMath>
          <m:r>
            <w:rPr>
              <w:rFonts w:ascii="Cambria Math" w:hAnsi="Cambria Math" w:cs="Times New Roman"/>
              <w:szCs w:val="21"/>
            </w:rPr>
            <m:t>Youden Index</m:t>
          </m:r>
          <m:r>
            <m:rPr>
              <m:sty m:val="p"/>
            </m:rPr>
            <w:rPr>
              <w:rFonts w:ascii="Cambria Math" w:hAnsi="Cambria Math" w:cs="Times New Roman"/>
              <w:szCs w:val="21"/>
            </w:rPr>
            <m:t>=</m:t>
          </m:r>
          <m:r>
            <w:rPr>
              <w:rFonts w:ascii="Cambria Math" w:hAnsi="Cambria Math" w:cs="Times New Roman"/>
              <w:szCs w:val="21"/>
            </w:rPr>
            <m:t>Specificity</m:t>
          </m:r>
          <m:r>
            <m:rPr>
              <m:sty m:val="p"/>
            </m:rPr>
            <w:rPr>
              <w:rFonts w:ascii="Cambria Math" w:hAnsi="Cambria Math" w:cs="Times New Roman"/>
              <w:szCs w:val="21"/>
            </w:rPr>
            <m:t>+</m:t>
          </m:r>
          <m:r>
            <w:rPr>
              <w:rFonts w:ascii="Cambria Math" w:hAnsi="Cambria Math" w:cs="Times New Roman"/>
              <w:szCs w:val="21"/>
            </w:rPr>
            <m:t>Sensitivity</m:t>
          </m:r>
          <m:r>
            <m:rPr>
              <m:sty m:val="p"/>
            </m:rPr>
            <w:rPr>
              <w:rFonts w:ascii="Cambria Math" w:hAnsi="Cambria Math" w:cs="Times New Roman"/>
              <w:szCs w:val="21"/>
            </w:rPr>
            <m:t xml:space="preserve">-1 </m:t>
          </m:r>
        </m:oMath>
      </m:oMathPara>
    </w:p>
    <w:p w14:paraId="14ED08A3" w14:textId="77777777" w:rsidR="00911ABF" w:rsidRDefault="00000000">
      <w:pPr>
        <w:spacing w:line="480" w:lineRule="auto"/>
        <w:ind w:firstLineChars="200" w:firstLine="420"/>
        <w:rPr>
          <w:rFonts w:ascii="Times New Roman" w:hAnsi="Times New Roman" w:cs="Times New Roman"/>
          <w:szCs w:val="21"/>
        </w:rPr>
      </w:pPr>
      <w:r>
        <w:rPr>
          <w:rFonts w:ascii="Times New Roman" w:hAnsi="Times New Roman" w:cs="Times New Roman"/>
          <w:szCs w:val="21"/>
        </w:rPr>
        <w:lastRenderedPageBreak/>
        <w:t>The larger the index, the better</w:t>
      </w:r>
      <w:r>
        <w:rPr>
          <w:rFonts w:ascii="Times New Roman" w:eastAsia="等线" w:hAnsi="Times New Roman" w:cs="Times New Roman"/>
          <w:szCs w:val="21"/>
        </w:rPr>
        <w:t xml:space="preserve"> the model performance. At the same time, the Youden </w:t>
      </w:r>
      <w:r>
        <w:rPr>
          <w:rFonts w:ascii="Times New Roman" w:hAnsi="Times New Roman" w:cs="Times New Roman"/>
          <w:szCs w:val="21"/>
        </w:rPr>
        <w:t xml:space="preserve">index provides an optimal threshold for diagnosis. We calculated the maximum Youden Index of the model for the training, internal and external validation set respectively, and used it to calculate </w:t>
      </w:r>
      <w:r>
        <w:rPr>
          <w:rFonts w:ascii="Times New Roman" w:eastAsia="等线" w:hAnsi="Times New Roman" w:cs="Times New Roman"/>
          <w:szCs w:val="21"/>
        </w:rPr>
        <w:t xml:space="preserve">the </w:t>
      </w:r>
      <w:r>
        <w:rPr>
          <w:rFonts w:ascii="Times New Roman" w:hAnsi="Times New Roman" w:cs="Times New Roman"/>
          <w:szCs w:val="21"/>
        </w:rPr>
        <w:t>accuracy, sensitivity</w:t>
      </w:r>
      <w:r>
        <w:rPr>
          <w:rFonts w:ascii="Times New Roman" w:eastAsia="等线" w:hAnsi="Times New Roman" w:cs="Times New Roman"/>
          <w:szCs w:val="21"/>
        </w:rPr>
        <w:t xml:space="preserve">, and </w:t>
      </w:r>
      <w:r>
        <w:rPr>
          <w:rFonts w:ascii="Times New Roman" w:hAnsi="Times New Roman" w:cs="Times New Roman"/>
          <w:szCs w:val="21"/>
        </w:rPr>
        <w:t xml:space="preserve">specificity. The calculation formula for </w:t>
      </w:r>
      <w:r>
        <w:rPr>
          <w:rFonts w:ascii="Times New Roman" w:eastAsia="等线" w:hAnsi="Times New Roman" w:cs="Times New Roman"/>
          <w:szCs w:val="21"/>
        </w:rPr>
        <w:t xml:space="preserve">the </w:t>
      </w:r>
      <w:r>
        <w:rPr>
          <w:rFonts w:ascii="Times New Roman" w:hAnsi="Times New Roman" w:cs="Times New Roman"/>
          <w:szCs w:val="21"/>
        </w:rPr>
        <w:t>accuracy is</w:t>
      </w:r>
    </w:p>
    <w:p w14:paraId="64711C65" w14:textId="77777777" w:rsidR="00911ABF" w:rsidRDefault="00000000">
      <w:pPr>
        <w:spacing w:line="480" w:lineRule="auto"/>
        <w:ind w:firstLineChars="200" w:firstLine="420"/>
        <w:rPr>
          <w:rFonts w:ascii="Times New Roman" w:hAnsi="Times New Roman" w:cs="Times New Roman"/>
          <w:szCs w:val="21"/>
        </w:rPr>
      </w:pPr>
      <m:oMathPara>
        <m:oMath>
          <m:r>
            <m:rPr>
              <m:sty m:val="p"/>
            </m:rPr>
            <w:rPr>
              <w:rFonts w:ascii="Cambria Math" w:hAnsi="Cambria Math" w:cs="Times New Roman"/>
              <w:szCs w:val="21"/>
            </w:rPr>
            <m:t xml:space="preserve">Accuracy= </m:t>
          </m:r>
          <m:f>
            <m:fPr>
              <m:ctrlPr>
                <w:rPr>
                  <w:rFonts w:ascii="Cambria Math" w:hAnsi="Cambria Math" w:cs="Times New Roman"/>
                  <w:szCs w:val="21"/>
                </w:rPr>
              </m:ctrlPr>
            </m:fPr>
            <m:num>
              <m:r>
                <w:rPr>
                  <w:rFonts w:ascii="Cambria Math" w:hAnsi="Cambria Math" w:cs="Times New Roman"/>
                  <w:szCs w:val="21"/>
                </w:rPr>
                <m:t>TP+TN</m:t>
              </m:r>
            </m:num>
            <m:den>
              <m:r>
                <w:rPr>
                  <w:rFonts w:ascii="Cambria Math" w:hAnsi="Cambria Math" w:cs="Times New Roman"/>
                  <w:szCs w:val="21"/>
                </w:rPr>
                <m:t>TP+FN+TN+FP</m:t>
              </m:r>
            </m:den>
          </m:f>
        </m:oMath>
      </m:oMathPara>
    </w:p>
    <w:p w14:paraId="625B3DF5" w14:textId="77777777" w:rsidR="00911ABF" w:rsidRDefault="00911ABF"/>
    <w:sectPr w:rsidR="00911A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B1E01" w14:textId="77777777" w:rsidR="0095077C" w:rsidRDefault="0095077C" w:rsidP="00F754C8">
      <w:r>
        <w:separator/>
      </w:r>
    </w:p>
  </w:endnote>
  <w:endnote w:type="continuationSeparator" w:id="0">
    <w:p w14:paraId="099D9DA2" w14:textId="77777777" w:rsidR="0095077C" w:rsidRDefault="0095077C" w:rsidP="00F75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FB49F" w14:textId="77777777" w:rsidR="0095077C" w:rsidRDefault="0095077C" w:rsidP="00F754C8">
      <w:r>
        <w:separator/>
      </w:r>
    </w:p>
  </w:footnote>
  <w:footnote w:type="continuationSeparator" w:id="0">
    <w:p w14:paraId="03E8ED60" w14:textId="77777777" w:rsidR="0095077C" w:rsidRDefault="0095077C" w:rsidP="00F754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E0Nzg3ODY1MjNkYWU2ODI4MWRiMTFmODc1Y2Y5MTUifQ=="/>
  </w:docVars>
  <w:rsids>
    <w:rsidRoot w:val="00911ABF"/>
    <w:rsid w:val="001E1965"/>
    <w:rsid w:val="0021311D"/>
    <w:rsid w:val="00911ABF"/>
    <w:rsid w:val="0095077C"/>
    <w:rsid w:val="00F754C8"/>
    <w:rsid w:val="380E3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BB0B3"/>
  <w15:docId w15:val="{C7FFF2ED-9C17-439D-BD66-D997CA77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paragraph" w:styleId="a4">
    <w:name w:val="header"/>
    <w:basedOn w:val="a"/>
    <w:link w:val="a5"/>
    <w:rsid w:val="00F754C8"/>
    <w:pPr>
      <w:tabs>
        <w:tab w:val="center" w:pos="4153"/>
        <w:tab w:val="right" w:pos="8306"/>
      </w:tabs>
      <w:snapToGrid w:val="0"/>
      <w:jc w:val="center"/>
    </w:pPr>
    <w:rPr>
      <w:sz w:val="18"/>
      <w:szCs w:val="18"/>
    </w:rPr>
  </w:style>
  <w:style w:type="character" w:customStyle="1" w:styleId="a5">
    <w:name w:val="页眉 字符"/>
    <w:basedOn w:val="a0"/>
    <w:link w:val="a4"/>
    <w:rsid w:val="00F754C8"/>
    <w:rPr>
      <w:kern w:val="2"/>
      <w:sz w:val="18"/>
      <w:szCs w:val="18"/>
    </w:rPr>
  </w:style>
  <w:style w:type="paragraph" w:styleId="a6">
    <w:name w:val="footer"/>
    <w:basedOn w:val="a"/>
    <w:link w:val="a7"/>
    <w:rsid w:val="00F754C8"/>
    <w:pPr>
      <w:tabs>
        <w:tab w:val="center" w:pos="4153"/>
        <w:tab w:val="right" w:pos="8306"/>
      </w:tabs>
      <w:snapToGrid w:val="0"/>
      <w:jc w:val="left"/>
    </w:pPr>
    <w:rPr>
      <w:sz w:val="18"/>
      <w:szCs w:val="18"/>
    </w:rPr>
  </w:style>
  <w:style w:type="character" w:customStyle="1" w:styleId="a7">
    <w:name w:val="页脚 字符"/>
    <w:basedOn w:val="a0"/>
    <w:link w:val="a6"/>
    <w:rsid w:val="00F754C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300</Words>
  <Characters>1711</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thinkpad</dc:creator>
  <cp:lastModifiedBy>maoyiby@163.com</cp:lastModifiedBy>
  <cp:revision>3</cp:revision>
  <dcterms:created xsi:type="dcterms:W3CDTF">2024-03-15T02:32:00Z</dcterms:created>
  <dcterms:modified xsi:type="dcterms:W3CDTF">2024-03-15T02:50:00Z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67ECE2D55D0541A683E4D05AE27B0F5D_12</vt:lpwstr>
  </property>
</Properties>
</file>