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jc w:val="center"/>
        <w:rPr>
          <w:rFonts w:hint="default" w:ascii="Times New Roman" w:hAnsi="Times New Roman" w:eastAsia="Arial Unicode MS" w:cs="Times New Roman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Times New Roman" w:hAnsi="Times New Roman" w:cs="Times New Roman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Additional File 1</w:t>
      </w:r>
    </w:p>
    <w:p>
      <w:pPr>
        <w:pStyle w:val="3"/>
        <w:widowControl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Supplementary Methods</w:t>
      </w:r>
    </w:p>
    <w:p>
      <w:pPr>
        <w:pStyle w:val="3"/>
        <w:widowControl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Figures S1-S11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Figure S1. </w:t>
      </w:r>
      <w:r>
        <w:rPr>
          <w:rFonts w:ascii="Times New Roman" w:hAnsi="Times New Roman" w:cs="Times New Roman"/>
          <w:sz w:val="24"/>
        </w:rPr>
        <w:t>Distribution of Age at Dementia Diagnosis.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Figure S2. </w:t>
      </w:r>
      <w:r>
        <w:rPr>
          <w:rFonts w:ascii="Times New Roman" w:hAnsi="Times New Roman" w:cs="Times New Roman"/>
          <w:sz w:val="24"/>
        </w:rPr>
        <w:t>Distribution of GFAP and NfL Expression at Different Visits.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Figure S3.</w:t>
      </w:r>
      <w:r>
        <w:rPr>
          <w:rFonts w:ascii="Times New Roman" w:hAnsi="Times New Roman" w:cs="Times New Roman"/>
          <w:sz w:val="24"/>
        </w:rPr>
        <w:t xml:space="preserve"> Distribution of Cognitive Measurements at Different Visits.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Figure S4. </w:t>
      </w:r>
      <w:r>
        <w:rPr>
          <w:rFonts w:ascii="Times New Roman" w:hAnsi="Times New Roman" w:cs="Times New Roman"/>
          <w:sz w:val="24"/>
        </w:rPr>
        <w:t>Distribution of Global Cognition Z-Score at Different Visits.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Figure S5. </w:t>
      </w:r>
      <w:r>
        <w:rPr>
          <w:rFonts w:hint="eastAsia" w:ascii="Times New Roman" w:hAnsi="Times New Roman" w:cs="Times New Roman"/>
          <w:sz w:val="24"/>
        </w:rPr>
        <w:t xml:space="preserve">Linear Regression Analysis For </w:t>
      </w:r>
      <w:r>
        <w:rPr>
          <w:rFonts w:ascii="Times New Roman" w:hAnsi="Times New Roman" w:cs="Times New Roman"/>
          <w:sz w:val="24"/>
        </w:rPr>
        <w:t xml:space="preserve">GFAP and NfL Expression with Global </w:t>
      </w:r>
      <w:r>
        <w:rPr>
          <w:rFonts w:hint="eastAsia" w:ascii="Times New Roman" w:hAnsi="Times New Roman" w:cs="Times New Roman"/>
          <w:sz w:val="24"/>
        </w:rPr>
        <w:t>C</w:t>
      </w:r>
      <w:r>
        <w:rPr>
          <w:rFonts w:ascii="Times New Roman" w:hAnsi="Times New Roman" w:cs="Times New Roman"/>
          <w:sz w:val="24"/>
        </w:rPr>
        <w:t>ognition.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Figure S6. </w:t>
      </w:r>
      <w:r>
        <w:rPr>
          <w:rFonts w:ascii="Times New Roman" w:hAnsi="Times New Roman" w:cs="Times New Roman"/>
          <w:sz w:val="24"/>
        </w:rPr>
        <w:t>Comparison of Peripheral GFAP and NfL Expression Level According to the Diagnosis of Dementia.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Figure S7. </w:t>
      </w:r>
      <w:r>
        <w:rPr>
          <w:rFonts w:ascii="Times New Roman" w:hAnsi="Times New Roman" w:cs="Times New Roman"/>
          <w:sz w:val="24"/>
        </w:rPr>
        <w:t>Comparison of Peripheral GFAP and NfL Expression Level According to the Diagnosis of Dementia after Propensity Score Matching.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Figure S8. </w:t>
      </w:r>
      <w:r>
        <w:rPr>
          <w:rFonts w:ascii="Times New Roman" w:hAnsi="Times New Roman" w:cs="Times New Roman"/>
          <w:sz w:val="24"/>
        </w:rPr>
        <w:t>Comparison of Baseline Cognitive Measurements Between Never and Potential Dementia Groups after Propensity Score Matching.</w:t>
      </w:r>
    </w:p>
    <w:p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Figure S9. </w:t>
      </w:r>
      <w:r>
        <w:rPr>
          <w:rFonts w:ascii="Times New Roman" w:hAnsi="Times New Roman" w:cs="Times New Roman"/>
          <w:sz w:val="24"/>
        </w:rPr>
        <w:t>Correlation Between Time to a Dementia Diagnosis with Baseline Peripheral GFAP and NfL.</w:t>
      </w:r>
    </w:p>
    <w:p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Figure S10. </w:t>
      </w:r>
      <w:r>
        <w:rPr>
          <w:rFonts w:ascii="Times New Roman" w:hAnsi="Times New Roman" w:cs="Times New Roman"/>
          <w:sz w:val="24"/>
        </w:rPr>
        <w:t>Trajectories of GFAP Expression Over 15 Years Preceding Diagnosis of Dementia Using Loess Regression.</w:t>
      </w:r>
    </w:p>
    <w:p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Figure S11. </w:t>
      </w:r>
      <w:r>
        <w:rPr>
          <w:rFonts w:ascii="Times New Roman" w:hAnsi="Times New Roman" w:cs="Times New Roman"/>
          <w:sz w:val="24"/>
        </w:rPr>
        <w:t>Trajectories of NfL Expression Over 15 Years Preceding Diagnosis of Dementia Using Loess Regression.</w:t>
      </w:r>
    </w:p>
    <w:p>
      <w:pPr>
        <w:pStyle w:val="3"/>
        <w:widowControl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Tables S1-S16</w:t>
      </w:r>
    </w:p>
    <w:p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S1. </w:t>
      </w:r>
      <w:r>
        <w:rPr>
          <w:rFonts w:ascii="Times New Roman" w:hAnsi="Times New Roman" w:cs="Times New Roman"/>
          <w:sz w:val="24"/>
        </w:rPr>
        <w:t>Field IDs Used in Analysis.</w:t>
      </w:r>
    </w:p>
    <w:p>
      <w:pPr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S2. </w:t>
      </w:r>
      <w:r>
        <w:rPr>
          <w:rFonts w:ascii="Times New Roman" w:hAnsi="Times New Roman" w:cs="Times New Roman"/>
          <w:sz w:val="24"/>
        </w:rPr>
        <w:t>Data Categorization.</w:t>
      </w:r>
    </w:p>
    <w:p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S3. </w:t>
      </w:r>
      <w:r>
        <w:rPr>
          <w:rFonts w:ascii="Times New Roman" w:hAnsi="Times New Roman" w:cs="Times New Roman"/>
          <w:sz w:val="24"/>
        </w:rPr>
        <w:t>Missingness at Baseline for the Cohort.</w:t>
      </w:r>
    </w:p>
    <w:p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S4. </w:t>
      </w:r>
      <w:r>
        <w:rPr>
          <w:rFonts w:ascii="Times New Roman" w:hAnsi="Times New Roman" w:cs="Times New Roman"/>
          <w:sz w:val="24"/>
        </w:rPr>
        <w:t>Baseline Demographic Characteristics Among Individuals Enrolled in UK Biobank and Evaluated for Olink’s Assay and Cognition.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S5. </w:t>
      </w:r>
      <w:r>
        <w:rPr>
          <w:rFonts w:ascii="Times New Roman" w:hAnsi="Times New Roman" w:cs="Times New Roman"/>
          <w:sz w:val="24"/>
        </w:rPr>
        <w:t>Baseline Characteristics Grouped by GFAP Quartile.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S6. </w:t>
      </w:r>
      <w:r>
        <w:rPr>
          <w:rFonts w:ascii="Times New Roman" w:hAnsi="Times New Roman" w:cs="Times New Roman"/>
          <w:sz w:val="24"/>
        </w:rPr>
        <w:t>Baseline Characteristics Grouped by NfL Quartile.</w:t>
      </w:r>
    </w:p>
    <w:p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S7. </w:t>
      </w:r>
      <w:r>
        <w:rPr>
          <w:rFonts w:ascii="Times New Roman" w:hAnsi="Times New Roman" w:cs="Times New Roman"/>
          <w:sz w:val="24"/>
        </w:rPr>
        <w:t>Comparision of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Baseline Characteristics Between Participants with Multiple Protein Measurements and Single Protein Measurement.</w:t>
      </w: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S8.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Hazard Ratios for All-cause Dementia According to GFAP and NfL Quartiles.</w:t>
      </w: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cs="Times New Roman"/>
          <w:b/>
          <w:bCs/>
          <w:sz w:val="24"/>
        </w:rPr>
        <w:t>Table S9.</w:t>
      </w:r>
      <w:r>
        <w:rPr>
          <w:rFonts w:ascii="Times New Roman" w:hAnsi="Times New Roman" w:cs="Times New Roman"/>
          <w:sz w:val="24"/>
        </w:rPr>
        <w:t xml:space="preserve"> Correlation Between GFAP and NfL with Age.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S10.</w:t>
      </w:r>
      <w:r>
        <w:rPr>
          <w:rFonts w:ascii="Times New Roman" w:hAnsi="Times New Roman" w:cs="Times New Roman"/>
          <w:sz w:val="24"/>
        </w:rPr>
        <w:t xml:space="preserve"> Association Between Annualized Change Rate of GFAP and NfL with Annualized Change Rate of Global Cognition.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S11.</w:t>
      </w:r>
      <w:r>
        <w:rPr>
          <w:rFonts w:ascii="Times New Roman" w:hAnsi="Times New Roman" w:cs="Times New Roman"/>
          <w:sz w:val="24"/>
        </w:rPr>
        <w:t xml:space="preserve"> Association Between Annualized Change Rate of GFAP and NfL with Annualized Change Rate of Global Cognition (Setting Follow-up Time as Random Slope).</w:t>
      </w:r>
    </w:p>
    <w:p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S1</w:t>
      </w:r>
      <w:r>
        <w:rPr>
          <w:rFonts w:hint="eastAsia" w:ascii="Times New Roman" w:hAnsi="Times New Roman" w:cs="Times New Roman"/>
          <w:b/>
          <w:bCs/>
          <w:sz w:val="24"/>
        </w:rPr>
        <w:t>2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Values of Predictive Models Under Leave-One-Region-Out Validations.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S1</w:t>
      </w:r>
      <w:r>
        <w:rPr>
          <w:rFonts w:hint="eastAsia" w:ascii="Times New Roman" w:hAnsi="Times New Roman" w:cs="Times New Roman"/>
          <w:b/>
          <w:bCs/>
          <w:sz w:val="24"/>
        </w:rPr>
        <w:t>3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Competing Risk Analysis.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S1</w:t>
      </w:r>
      <w:r>
        <w:rPr>
          <w:rFonts w:hint="eastAsia" w:ascii="Times New Roman" w:hAnsi="Times New Roman" w:cs="Times New Roman"/>
          <w:b/>
          <w:bCs/>
          <w:sz w:val="24"/>
        </w:rPr>
        <w:t>4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Sensitivity Analysis for the Association Between GFAP and NfL With Incident All-cause Dementia (Imputing Missing Values).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S1</w:t>
      </w:r>
      <w:r>
        <w:rPr>
          <w:rFonts w:hint="eastAsia" w:ascii="Times New Roman" w:hAnsi="Times New Roman" w:cs="Times New Roman"/>
          <w:b/>
          <w:bCs/>
          <w:sz w:val="24"/>
        </w:rPr>
        <w:t>5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Predictive Model Using</w:t>
      </w:r>
      <w:r>
        <w:rPr>
          <w:rFonts w:hint="eastAsia" w:ascii="Times New Roman" w:hAnsi="Times New Roman" w:cs="Times New Roman"/>
          <w:sz w:val="24"/>
        </w:rPr>
        <w:t xml:space="preserve"> Age or Protein Expressions </w:t>
      </w:r>
      <w:r>
        <w:rPr>
          <w:rFonts w:ascii="Times New Roman" w:hAnsi="Times New Roman" w:cs="Times New Roman"/>
          <w:sz w:val="24"/>
        </w:rPr>
        <w:t>and Stratified by Age Groups.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S16.</w:t>
      </w:r>
      <w:r>
        <w:rPr>
          <w:rFonts w:ascii="Times New Roman" w:hAnsi="Times New Roman" w:cs="Times New Roman"/>
          <w:sz w:val="24"/>
        </w:rPr>
        <w:t xml:space="preserve"> Predictive Model Using DRSm Combined with Protein Expression and Stratified by Age Groups.</w:t>
      </w: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>
      <w:pPr>
        <w:numPr>
          <w:ilvl w:val="-1"/>
          <w:numId w:val="0"/>
        </w:numPr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Methods</w:t>
      </w:r>
    </w:p>
    <w:p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We divided participants into three groups based on the dementia diagnosis. The “Never” group means no dementia record in the cohort; the “Potential” group means dementia diagnosis was made after recruitment; the “Existing” group means dementia diagnosed has already been made at recruitment. The Existing group was excluded for analysis in Cox proportional hazard models. </w:t>
      </w:r>
    </w:p>
    <w:p>
      <w:pPr>
        <w:jc w:val="left"/>
        <w:rPr>
          <w:rFonts w:ascii="Times New Roman" w:hAnsi="Times New Roman" w:cs="Times New Roman"/>
          <w:sz w:val="24"/>
        </w:rPr>
      </w:pPr>
    </w:p>
    <w:p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Propensity score matching (PSM) was performed using the MatchIt package (version 4.5.3). Age and sex were matched for the Never group and Potential group with a 1:10 ratio. </w:t>
      </w:r>
      <w:r>
        <w:rPr>
          <w:rFonts w:hint="eastAsia" w:ascii="Times New Roman" w:hAnsi="Times New Roman" w:cs="Times New Roman"/>
          <w:sz w:val="24"/>
        </w:rPr>
        <w:t xml:space="preserve">Specifically, we employed a logistic regression model for propensity score calculation, where age and gender were the independent variables. This model estimated the likelihood of being in the group with potential dementia. </w:t>
      </w:r>
    </w:p>
    <w:p>
      <w:pPr>
        <w:jc w:val="left"/>
        <w:rPr>
          <w:rFonts w:ascii="Times New Roman" w:hAnsi="Times New Roman" w:cs="Times New Roman"/>
          <w:sz w:val="24"/>
        </w:rPr>
      </w:pPr>
    </w:p>
    <w:p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unpaired Student's t-test assessed differences in baseline GFAP and NfL NPX between each two groups, as well as the cognitive measurements. Pearson's correlation evaluated the association between time to a dementia diagnosis made </w:t>
      </w:r>
      <w:r>
        <w:rPr>
          <w:rFonts w:hint="eastAsia" w:ascii="Times New Roman" w:hAnsi="Times New Roman" w:cs="Times New Roman"/>
          <w:sz w:val="24"/>
        </w:rPr>
        <w:t xml:space="preserve">and age </w:t>
      </w:r>
      <w:r>
        <w:rPr>
          <w:rFonts w:ascii="Times New Roman" w:hAnsi="Times New Roman" w:cs="Times New Roman"/>
          <w:sz w:val="24"/>
        </w:rPr>
        <w:t xml:space="preserve">with baseline protein NPX levels. </w:t>
      </w:r>
    </w:p>
    <w:p>
      <w:pPr>
        <w:jc w:val="left"/>
        <w:rPr>
          <w:rFonts w:ascii="Times New Roman" w:hAnsi="Times New Roman" w:cs="Times New Roman"/>
          <w:sz w:val="24"/>
        </w:rPr>
      </w:pPr>
    </w:p>
    <w:p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Annualized change rate of NPX levels and </w:t>
      </w:r>
      <w:r>
        <w:rPr>
          <w:rFonts w:hint="eastAsia" w:ascii="Times New Roman" w:hAnsi="Times New Roman" w:cs="Times New Roman"/>
          <w:sz w:val="24"/>
        </w:rPr>
        <w:t>global cognition</w:t>
      </w:r>
      <w:r>
        <w:rPr>
          <w:rFonts w:ascii="Times New Roman" w:hAnsi="Times New Roman" w:cs="Times New Roman"/>
          <w:sz w:val="24"/>
        </w:rPr>
        <w:t xml:space="preserve"> were calculated using the following formula:</w:t>
      </w:r>
    </w:p>
    <w:p>
      <w:pPr>
        <w:jc w:val="left"/>
        <w:rPr>
          <w:rFonts w:ascii="Times New Roman" w:hAnsi="Times New Roman" w:cs="Times New Roman"/>
          <w:sz w:val="24"/>
        </w:rPr>
      </w:pPr>
      <m:oMathPara>
        <m:oMath>
          <m:r>
            <m:rPr/>
            <w:rPr>
              <w:rFonts w:ascii="Cambria Math" w:hAnsi="Cambria Math" w:cs="Times New Roman"/>
              <w:sz w:val="24"/>
            </w:rPr>
            <m:t>Annualized cℎange rate=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</w:rPr>
              </m:ctrlPr>
            </m:fPr>
            <m:num>
              <m:r>
                <m:rPr/>
                <w:rPr>
                  <w:rFonts w:ascii="Cambria Math" w:hAnsi="Cambria Math" w:cs="Times New Roman"/>
                  <w:sz w:val="24"/>
                </w:rPr>
                <m:t>Value at later visit−Value at earlier visit</m:t>
              </m:r>
              <m:ctrlPr>
                <w:rPr>
                  <w:rFonts w:ascii="Cambria Math" w:hAnsi="Cambria Math" w:cs="Times New Roman"/>
                  <w:i/>
                  <w:sz w:val="24"/>
                </w:rPr>
              </m:ctrlPr>
            </m:num>
            <m:den>
              <m:r>
                <m:rPr/>
                <w:rPr>
                  <w:rFonts w:ascii="Cambria Math" w:hAnsi="Cambria Math" w:cs="Times New Roman"/>
                  <w:sz w:val="24"/>
                </w:rPr>
                <m:t>Time between two visits in years</m:t>
              </m:r>
              <m:ctrlPr>
                <w:rPr>
                  <w:rFonts w:ascii="Cambria Math" w:hAnsi="Cambria Math" w:cs="Times New Roman"/>
                  <w:i/>
                  <w:sz w:val="24"/>
                </w:rPr>
              </m:ctrlPr>
            </m:den>
          </m:f>
        </m:oMath>
      </m:oMathPara>
    </w:p>
    <w:p>
      <w:pPr>
        <w:jc w:val="left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4"/>
        </w:rPr>
        <w:t xml:space="preserve">Annualized change rates from instance 0 to 2, 0 to 3, and 2 to 3 were calculated respectively. Generalized linear mixed models (GLMM) from the lme4 package (version 1.1-34) 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and lmerTest package (version 3.1-3) </w:t>
      </w:r>
      <w:r>
        <w:rPr>
          <w:rFonts w:ascii="Times New Roman" w:hAnsi="Times New Roman" w:cs="Times New Roman"/>
          <w:sz w:val="24"/>
        </w:rPr>
        <w:t xml:space="preserve">were employed to examine the relationship between annualized change rate of GFAP and NfL NPX with </w:t>
      </w:r>
      <w:r>
        <w:rPr>
          <w:rFonts w:hint="eastAsia" w:ascii="Times New Roman" w:hAnsi="Times New Roman" w:cs="Times New Roman"/>
          <w:sz w:val="24"/>
        </w:rPr>
        <w:t>global cognition</w:t>
      </w:r>
      <w:r>
        <w:rPr>
          <w:rFonts w:ascii="Times New Roman" w:hAnsi="Times New Roman" w:cs="Times New Roman"/>
          <w:sz w:val="24"/>
        </w:rPr>
        <w:t>, adjusting for the three confounder models in the Methods section.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All mixed models incorporated a random intercept per individual and a fixed slope:</w:t>
      </w:r>
    </w:p>
    <w:p>
      <w:pPr>
        <w:jc w:val="center"/>
        <w:rPr>
          <w:rFonts w:ascii="Times New Roman" w:hAnsi="Times New Roman" w:cs="Times New Roman"/>
          <w:highlight w:val="lightGray"/>
        </w:rPr>
      </w:pPr>
      <w:r>
        <w:rPr>
          <w:rFonts w:hint="eastAsia" w:ascii="Times New Roman" w:hAnsi="Times New Roman" w:cs="Times New Roman"/>
          <w:highlight w:val="lightGray"/>
        </w:rPr>
        <w:t>lmer(dglobal_cognition ~ age + age_squared + bmi + sex + ...(other covariates) + dgfap*fu_time + dnefl*fu_time + (1 | participant_id), data = d_data)</w:t>
      </w:r>
    </w:p>
    <w:p>
      <w:pPr>
        <w:jc w:val="center"/>
        <w:rPr>
          <w:rFonts w:ascii="Times New Roman" w:hAnsi="Times New Roman" w:cs="Times New Roman"/>
          <w:highlight w:val="lightGray"/>
        </w:rPr>
      </w:pPr>
    </w:p>
    <w:p>
      <w:pPr>
        <w:jc w:val="left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For sensitivity analysis, follow-up time as employed as the random slope:</w:t>
      </w:r>
    </w:p>
    <w:p>
      <w:pPr>
        <w:jc w:val="center"/>
        <w:rPr>
          <w:rFonts w:ascii="Times New Roman" w:hAnsi="Times New Roman" w:cs="Times New Roman"/>
          <w:highlight w:val="lightGray"/>
        </w:rPr>
      </w:pPr>
      <w:r>
        <w:rPr>
          <w:rFonts w:hint="eastAsia" w:ascii="Times New Roman" w:hAnsi="Times New Roman" w:cs="Times New Roman"/>
          <w:highlight w:val="lightGray"/>
        </w:rPr>
        <w:t>lmer(dglobal_cognition ~ age + age_squared + bmi + sex + ...(other covariates) + dgfap*fu_time + dnefl*fu_time + (1 + fu_time | participant_id), data = d_data)</w:t>
      </w:r>
    </w:p>
    <w:p>
      <w:pPr>
        <w:jc w:val="center"/>
        <w:rPr>
          <w:rFonts w:ascii="Times New Roman" w:hAnsi="Times New Roman" w:cs="Times New Roman"/>
          <w:highlight w:val="lightGray"/>
        </w:rPr>
      </w:pP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For competing risk analysis, we first identified the number of non-dementia, non-Alzheimer's disease deaths in our study population, which totaled 4,935 individuals. We then conducted a competing risk analysis using the “cmprsk” package in R. This analysis considered dementia diagnosis as the event of interest (coded as 1) and non-dementia, non-Alzheimer's disease death as the competing event (coded as 2). Our model included the same covariates as in Model 3</w:t>
      </w:r>
      <w:r>
        <w:rPr>
          <w:rFonts w:hint="eastAsia" w:ascii="Times New Roman" w:hAnsi="Times New Roman" w:cs="Times New Roman"/>
          <w:sz w:val="24"/>
        </w:rPr>
        <w:t xml:space="preserve"> in the Method section</w:t>
      </w:r>
      <w:r>
        <w:rPr>
          <w:rFonts w:ascii="Times New Roman" w:hAnsi="Times New Roman" w:cs="Times New Roman"/>
          <w:sz w:val="24"/>
        </w:rPr>
        <w:t xml:space="preserve">. The results of this competing risk analysis indicate that individuals with GFAP and NfL levels in the Interval 4 continue to show an increased risk of dementia. </w:t>
      </w:r>
      <w:r>
        <w:rPr>
          <w:rFonts w:ascii="Times New Roman" w:hAnsi="Times New Roman" w:cs="Times New Roman"/>
          <w:sz w:val="24"/>
        </w:rPr>
        <w:br w:type="page"/>
      </w:r>
      <w:r>
        <w:rPr>
          <w:rFonts w:ascii="Times New Roman" w:hAnsi="Times New Roman" w:cs="Times New Roman"/>
          <w:b/>
          <w:bCs/>
          <w:sz w:val="24"/>
        </w:rPr>
        <w:t xml:space="preserve">Figure S1. </w:t>
      </w:r>
      <w:r>
        <w:rPr>
          <w:rFonts w:ascii="Times New Roman" w:hAnsi="Times New Roman" w:cs="Times New Roman"/>
          <w:sz w:val="24"/>
        </w:rPr>
        <w:t>Distribution of Age at Dementia Diagnosis.</w:t>
      </w:r>
    </w:p>
    <w:p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4628515" cy="4610735"/>
            <wp:effectExtent l="0" t="0" r="6985" b="12065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28515" cy="461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>.</w:t>
      </w:r>
    </w:p>
    <w:p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vertical dot lines indicate mean ages for dementia diagnosis.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Figure S2. </w:t>
      </w:r>
      <w:r>
        <w:rPr>
          <w:rFonts w:ascii="Times New Roman" w:hAnsi="Times New Roman" w:cs="Times New Roman"/>
          <w:sz w:val="24"/>
        </w:rPr>
        <w:t>Distribution of GFAP and NfL Expression at Different Visits.</w:t>
      </w:r>
    </w:p>
    <w:p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6550660" cy="4853940"/>
            <wp:effectExtent l="0" t="0" r="2540" b="10160"/>
            <wp:docPr id="1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50660" cy="485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Figure S3.</w:t>
      </w:r>
      <w:r>
        <w:rPr>
          <w:rFonts w:ascii="Times New Roman" w:hAnsi="Times New Roman" w:cs="Times New Roman"/>
          <w:sz w:val="24"/>
        </w:rPr>
        <w:t xml:space="preserve"> Distribution of Cognitive Measurements at Different Visits.</w:t>
      </w:r>
    </w:p>
    <w:p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0" distR="0">
            <wp:extent cx="5624195" cy="4168775"/>
            <wp:effectExtent l="0" t="0" r="1905" b="9525"/>
            <wp:docPr id="19" name="图片 19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表, 条形图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24195" cy="416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vertical dot lines indicate mean values for cognitive measurement at different visits.</w:t>
      </w:r>
    </w:p>
    <w:p>
      <w:pPr>
        <w:rPr>
          <w:rFonts w:ascii="Times New Roman" w:hAnsi="Times New Roman" w:cs="Times New Roman"/>
          <w:b/>
          <w:bCs/>
          <w:sz w:val="24"/>
        </w:rPr>
      </w:pPr>
    </w:p>
    <w:p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Figure S4. </w:t>
      </w:r>
      <w:r>
        <w:rPr>
          <w:rFonts w:ascii="Times New Roman" w:hAnsi="Times New Roman" w:cs="Times New Roman"/>
          <w:sz w:val="24"/>
        </w:rPr>
        <w:t>Distribution of Global Cognition Z-Score at Different Visits.</w:t>
      </w:r>
    </w:p>
    <w:p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4491355" cy="4471670"/>
            <wp:effectExtent l="0" t="0" r="4445" b="11430"/>
            <wp:docPr id="1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91355" cy="447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vertical dot lines indicate mean values for Z-score at different visits.</w:t>
      </w:r>
    </w:p>
    <w:p>
      <w:pPr>
        <w:rPr>
          <w:rFonts w:ascii="Times New Roman" w:hAnsi="Times New Roman" w:cs="Times New Roman"/>
          <w:b/>
          <w:bCs/>
          <w:sz w:val="24"/>
        </w:rPr>
      </w:pPr>
    </w:p>
    <w:p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Figure S5. </w:t>
      </w:r>
      <w:r>
        <w:rPr>
          <w:rFonts w:hint="eastAsia" w:ascii="Times New Roman" w:hAnsi="Times New Roman" w:cs="Times New Roman"/>
          <w:sz w:val="24"/>
        </w:rPr>
        <w:t xml:space="preserve">Linear Regression Analysis For </w:t>
      </w:r>
      <w:r>
        <w:rPr>
          <w:rFonts w:ascii="Times New Roman" w:hAnsi="Times New Roman" w:cs="Times New Roman"/>
          <w:sz w:val="24"/>
        </w:rPr>
        <w:t xml:space="preserve">GFAP and NfL Expression with Global </w:t>
      </w:r>
      <w:r>
        <w:rPr>
          <w:rFonts w:hint="eastAsia" w:ascii="Times New Roman" w:hAnsi="Times New Roman" w:cs="Times New Roman"/>
          <w:sz w:val="24"/>
        </w:rPr>
        <w:t>C</w:t>
      </w:r>
      <w:r>
        <w:rPr>
          <w:rFonts w:ascii="Times New Roman" w:hAnsi="Times New Roman" w:cs="Times New Roman"/>
          <w:sz w:val="24"/>
        </w:rPr>
        <w:t>ognition.</w:t>
      </w:r>
    </w:p>
    <w:p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8852535" cy="3543935"/>
            <wp:effectExtent l="0" t="0" r="12065" b="12065"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52535" cy="354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Figure S6. </w:t>
      </w:r>
      <w:r>
        <w:rPr>
          <w:rFonts w:ascii="Times New Roman" w:hAnsi="Times New Roman" w:cs="Times New Roman"/>
          <w:sz w:val="24"/>
        </w:rPr>
        <w:t>Comparison of Peripheral GFAP and NfL Expression Level According to the Diagnosis of Dementia.</w:t>
      </w:r>
    </w:p>
    <w:p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557520" cy="4168140"/>
            <wp:effectExtent l="0" t="0" r="5080" b="1016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57520" cy="416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Mean (SD) age: Never, 56.59 ± 8.18 years; Potential, 64.61 ± 5.04 years; Existing, 63.23 ± 5.76 years.</w:t>
      </w:r>
    </w:p>
    <w:p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Sample Size: Existing, 48; Potential, 1,312; Never, 47,182.</w:t>
      </w: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Figure S7. </w:t>
      </w:r>
      <w:r>
        <w:rPr>
          <w:rFonts w:ascii="Times New Roman" w:hAnsi="Times New Roman" w:cs="Times New Roman"/>
          <w:sz w:val="24"/>
        </w:rPr>
        <w:t>Comparison of Peripheral GFAP and NfL Expression Level According to the Diagnosis of Dementia after Propensity Score Matching.</w:t>
      </w:r>
    </w:p>
    <w:p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475605" cy="4093210"/>
            <wp:effectExtent l="0" t="0" r="10795" b="889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75605" cy="409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Mean (SD) age: Never, 64.43 ± 4.92 years; Potential, 64.61 ± 5.04 years; Existing, 63.23 ± 5.76 years.</w:t>
      </w:r>
    </w:p>
    <w:p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Sample Size: Existing, 48; Potential, 1,312; Never, 13,120.</w:t>
      </w:r>
    </w:p>
    <w:p>
      <w:pPr>
        <w:jc w:val="center"/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Figure S8. </w:t>
      </w:r>
      <w:r>
        <w:rPr>
          <w:rFonts w:ascii="Times New Roman" w:hAnsi="Times New Roman" w:cs="Times New Roman"/>
          <w:sz w:val="24"/>
        </w:rPr>
        <w:t>Comparison of Baseline Cognitive Measurements Between Never and Potential Dementia Groups after Propensity Score Matching.</w:t>
      </w:r>
    </w:p>
    <w:p>
      <w:pPr>
        <w:jc w:val="center"/>
        <w:rPr>
          <w:rFonts w:ascii="Times New Roman" w:hAnsi="Times New Roman" w:cs="Times New Roman"/>
          <w:sz w:val="24"/>
        </w:rPr>
      </w:pPr>
    </w:p>
    <w:p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8862060" cy="2594610"/>
            <wp:effectExtent l="0" t="0" r="2540" b="8890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62060" cy="259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</w:rPr>
        <w:br w:type="page"/>
      </w:r>
    </w:p>
    <w:p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Figure S9. </w:t>
      </w:r>
      <w:r>
        <w:rPr>
          <w:rFonts w:ascii="Times New Roman" w:hAnsi="Times New Roman" w:cs="Times New Roman"/>
          <w:sz w:val="24"/>
        </w:rPr>
        <w:t>Correlation Between Time to a Dementia Diagnosis with Baseline Peripheral GFAP and NfL.</w:t>
      </w:r>
    </w:p>
    <w:p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6653530" cy="2938145"/>
            <wp:effectExtent l="0" t="0" r="6350" b="31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53530" cy="293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  <w:r>
        <w:rPr>
          <w:rFonts w:ascii="Times New Roman" w:hAnsi="Times New Roman" w:cs="Times New Roman"/>
          <w:b/>
          <w:bCs/>
          <w:sz w:val="24"/>
        </w:rPr>
        <w:t xml:space="preserve">Figure S10. </w:t>
      </w:r>
      <w:r>
        <w:rPr>
          <w:rFonts w:ascii="Times New Roman" w:hAnsi="Times New Roman" w:cs="Times New Roman"/>
          <w:sz w:val="24"/>
        </w:rPr>
        <w:t>Trajectories of GFAP Expression Over 15 Years Preceding Diagnosis of Dementia Using Loess Regression.</w:t>
      </w:r>
    </w:p>
    <w:p>
      <w:pPr>
        <w:widowControl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6509385" cy="4698365"/>
            <wp:effectExtent l="0" t="0" r="5715" b="635"/>
            <wp:docPr id="2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09385" cy="469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Times New Roman" w:hAnsi="Times New Roman" w:cs="Times New Roman"/>
          <w:sz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Figure S11. </w:t>
      </w:r>
      <w:r>
        <w:rPr>
          <w:rFonts w:ascii="Times New Roman" w:hAnsi="Times New Roman" w:cs="Times New Roman"/>
          <w:sz w:val="24"/>
        </w:rPr>
        <w:t>Trajectories of NfL Expression Over 15 Years Preceding Diagnosis of Dementia Using Loess Regression.</w:t>
      </w:r>
    </w:p>
    <w:p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6856730" cy="4855210"/>
            <wp:effectExtent l="0" t="0" r="1270" b="8890"/>
            <wp:docPr id="2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6730" cy="485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S1. </w:t>
      </w:r>
      <w:r>
        <w:rPr>
          <w:rFonts w:ascii="Times New Roman" w:hAnsi="Times New Roman" w:cs="Times New Roman"/>
          <w:sz w:val="24"/>
        </w:rPr>
        <w:t>Field IDs Used in Analysis.</w:t>
      </w:r>
    </w:p>
    <w:tbl>
      <w:tblPr>
        <w:tblStyle w:val="7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43"/>
        <w:gridCol w:w="102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Field ID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Description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eid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Participant 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UK Biobank assessment centre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21003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Age when attended assessment centre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of attending assessment centre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21001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Body mass index (BMI)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6138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Qualifications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22189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Townsend deprivation index at recruitment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884</w:t>
            </w:r>
          </w:p>
        </w:tc>
        <w:tc>
          <w:tcPr>
            <w:tcW w:w="3607" w:type="pct"/>
          </w:tcPr>
          <w:p>
            <w:pPr>
              <w:ind w:left="6720" w:hanging="6720" w:hangingChars="280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Days per week of moderate physical activity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20116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Smoking status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1558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Alcohol frequency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21000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Ethnic background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22418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Genotype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26206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Standard PRS for alzheimer's disease (AD)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00" w:type="pct"/>
            <w:gridSpan w:val="2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Total cholesterol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30690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Cholesterol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in mmol/L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00" w:type="pct"/>
            <w:gridSpan w:val="2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Medication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6153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Medication for cholesterol, blood pressure, diabetes, or take exogenous hormones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20003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Treatment/medication code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00" w:type="pct"/>
            <w:gridSpan w:val="2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Death cause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40001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Underlying (primary) cause of death: ICD10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cause_icd10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Cause of death - ICD-10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00" w:type="pct"/>
            <w:gridSpan w:val="2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Depressive disorders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130894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F32 first reported (depressive episode)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13089</w:t>
            </w:r>
            <w:r>
              <w:rPr>
                <w:rFonts w:hint="eastAsia" w:ascii="Times New Roman" w:hAnsi="Times New Roman" w:cs="Times New Roman"/>
                <w:sz w:val="24"/>
              </w:rPr>
              <w:t>6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F33 first reported (recurrent depressive disorder)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00" w:type="pct"/>
            <w:gridSpan w:val="2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trial fibrillation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131350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I48 first reported (atrial fibrillation and flutter)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00" w:type="pct"/>
            <w:gridSpan w:val="2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Diabetes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130706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E10 first reported (insulin-dependent diabetes mellitus)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130708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E11 first reported (non-insulin-dependent diabetes mellitus)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130710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E12 first reported (malnutrition-related diabetes mellitus)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130712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E13 first reported (other specified diabetes mellitus)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130714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E14 first reported (unspecified diabetes mellitus)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00" w:type="pct"/>
            <w:gridSpan w:val="2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Hypertension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131286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I10 first reported (essential (primary) hypertension)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131294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I15 first reported (secondary hypertension)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00" w:type="pct"/>
            <w:gridSpan w:val="2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Cerebrovascular disorders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131360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I60 first reported (subarachnoid haemorrhage)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131362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I61 first reported (intracerebral haemorrhage)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131364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I62 first reported (other nontraumatic intracranial haemorrhage)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131366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I63 first reported (cerebral infarction)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131368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I64 first reported (stroke, not specified as haemorrhage or infarction)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131370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I65 first reported (occlusion and stenosis of precerebral arteries, not resulting in cerebral infarction)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131372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I66 first reported (occlusion and stenosis of cerebral arteries, not resulting in cerebral infarction)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131374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I67 first reported (other cerebrovascular diseases)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131376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I68 first reported (cerebrovascular disorders in diseases classified elsewhere)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131056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G45 first reported (transient cerebral ischaemic attacks and related syndromes)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131058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G46 first reported (vascular syndromes of brain in cerebrovascular diseases)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00" w:type="pct"/>
            <w:gridSpan w:val="2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Demyelinating disorders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131042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G35 first reported (multiple sclerosis)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131044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G36 first reported (other acute disseminated demyelination)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131046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G37 first reported (other demyelinating diseases of central nervous system)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00" w:type="pct"/>
            <w:gridSpan w:val="2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Neurodegenerative disorders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131022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G20 first reported (parkinson's disease)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131024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G21 first reported (secondary parkinsonism)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131026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G22 first reported (parkinsonism in diseases classified elsewhere)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131028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G23 first reported (other degenerative diseases of basal ganglia)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131032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G25 first reported (other extrapyramidal and movement disorders)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131038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G31 first reported (other degenerative diseases of nervous system, not elsewhere classified)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131040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G32 first reported (other degenerative disorders of nervous system in diseases classified elsewhere)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131012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G10 first reported (huntington's disease)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131014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G11 first reported (hereditary ataxia)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131016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G12 first reported (spinal muscular atrophy and related syndromes)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00" w:type="pct"/>
            <w:gridSpan w:val="2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Mental disorders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130874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F20 first reported (schizophrenia)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130876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F21 first reported (schizotypal disorder)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130878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F22 first reported (persistent delusional disorders)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130880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F23 first reported (acute and transient psychotic disorders)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130882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F24 first reported (induced delusional disorder)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130884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F25 first reported (schizoaffective disorders)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130886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F28 first reported (other nonorganic psychotic disorders)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130888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F29 first reported (unspecified nonorganic psychosis)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130890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F30 first reported (manic episode)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130892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F31 first reported (bipolar affective disorder)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130894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F32 first reported (depressive episode)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130896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F33 first reported (recurrent depressive disorder)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1" w:hRule="atLeast"/>
        </w:trPr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130898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F34 first reported (persistent mood [affective] disorders)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130900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F38 first reported (other mood [affective] disorders)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130902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F39 first reported (unspecified mood [affective] disorder)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130904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F40 first reported (phobic anxiety disorders)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130907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F41 first reported (other anxiety disorders)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130854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F10 first reported (mental and behavioural disorders due to use of alcohol)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130856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F11 first reported (mental and behavioural disorders due to use of opioids)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130858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F12 first reported (mental and behavioural disorders due to use of cannabinoids)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130860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F13 first reported (mental and behavioural disorders due to use of sedatives or hypnotics)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130862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F14 first reported (mental and behavioural disorders due to use of cocaine)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130864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F15 first reported (mental and behavioural disorders due to use of other stimulants, including caffeine)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130866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F16 first reported (mental and behavioural disorders due to use of hallucinogens)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130868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F17 first reported (mental and behavioural disorders due to use of tobacco)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130870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F18 first reported (mental and behavioural disorders due to use of volatile solvents)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130872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F19 first reported (mental and behavioural disorders due to multiple drug use and use of other psychoactive substances)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00" w:type="pct"/>
            <w:gridSpan w:val="2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Organic brain disorders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130844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F04 first reported (organic amnesic syndrome, not induced by alcohol and other psychoactive substances)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130846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F05 first reported (delirium, not induced by alcohol and other psychoactive substances)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130848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F06 first reported (other mental disorders due to brain damage and dysfunction and to physical disease)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130850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F07 first reported (personality and behavioural disorders due to brain disease, damage and dysfunction)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130852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F09 first reported (unspecified organic or symptomatic mental disorder)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131110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G91 first reported (hydrocephalus)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131112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G92 first reported (toxic encephalopathy)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131114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G93 first reported (other disorders of brain)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131116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G94 first reported (other disorders of brain in diseases classified elsewhere)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00" w:type="pct"/>
            <w:gridSpan w:val="2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Dementia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131036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G30 first reported (alzheimer's disease)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130836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F00 first reported (dementia in alzheimer's disease)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130838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F01 first reported (vascular dementia)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130840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F02 first reported (dementia in other diseases classified elsewhere)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130842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F03 first reported (unspecified dementia)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42018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of all cause dementia report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42020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of alzheimer's disease report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42022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of vascular dementia report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42024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Date of frontotemporal dementia report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00" w:type="pct"/>
            <w:gridSpan w:val="2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Cognition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20016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Fluid intelligence score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4282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Maximum digits remembered correctly (Numeric memory)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20023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Mean time to correctly identify matches (Reaction time)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92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399</w:t>
            </w:r>
          </w:p>
        </w:tc>
        <w:tc>
          <w:tcPr>
            <w:tcW w:w="3607" w:type="pct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Number of incorrect matches in round (Pairs matching)</w:t>
            </w:r>
          </w:p>
        </w:tc>
      </w:tr>
    </w:tbl>
    <w:p>
      <w:pPr>
        <w:jc w:val="left"/>
        <w:rPr>
          <w:rFonts w:ascii="Times New Roman" w:hAnsi="Times New Roman" w:cs="Times New Roman"/>
          <w:b/>
          <w:bCs/>
          <w:sz w:val="24"/>
        </w:rPr>
      </w:pPr>
    </w:p>
    <w:p>
      <w:pPr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S2. </w:t>
      </w:r>
      <w:r>
        <w:rPr>
          <w:rFonts w:ascii="Times New Roman" w:hAnsi="Times New Roman" w:cs="Times New Roman"/>
          <w:sz w:val="24"/>
        </w:rPr>
        <w:t>Data Categorization.</w:t>
      </w:r>
    </w:p>
    <w:tbl>
      <w:tblPr>
        <w:tblStyle w:val="7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9"/>
        <w:gridCol w:w="31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3871" w:type="pct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Variate</w:t>
            </w:r>
          </w:p>
        </w:tc>
        <w:tc>
          <w:tcPr>
            <w:tcW w:w="1128" w:type="pct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Categorization or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5000" w:type="pct"/>
            <w:gridSpan w:val="2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Smoking status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3871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Never</w:t>
            </w:r>
          </w:p>
        </w:tc>
        <w:tc>
          <w:tcPr>
            <w:tcW w:w="1128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3871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Current, Previous</w:t>
            </w:r>
          </w:p>
        </w:tc>
        <w:tc>
          <w:tcPr>
            <w:tcW w:w="1128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3871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Prefer not to answer, Missing value</w:t>
            </w:r>
          </w:p>
        </w:tc>
        <w:tc>
          <w:tcPr>
            <w:tcW w:w="1128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5000" w:type="pct"/>
            <w:gridSpan w:val="2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Alcohol frequency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3871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Never</w:t>
            </w:r>
          </w:p>
        </w:tc>
        <w:tc>
          <w:tcPr>
            <w:tcW w:w="1128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3871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Special occasions only</w:t>
            </w:r>
          </w:p>
        </w:tc>
        <w:tc>
          <w:tcPr>
            <w:tcW w:w="1128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3871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One to three times a month</w:t>
            </w:r>
          </w:p>
        </w:tc>
        <w:tc>
          <w:tcPr>
            <w:tcW w:w="1128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3871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Once or twice a week</w:t>
            </w:r>
          </w:p>
        </w:tc>
        <w:tc>
          <w:tcPr>
            <w:tcW w:w="1128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3871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Three or four times a week</w:t>
            </w:r>
          </w:p>
        </w:tc>
        <w:tc>
          <w:tcPr>
            <w:tcW w:w="1128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3871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Daily or almost daily</w:t>
            </w:r>
          </w:p>
        </w:tc>
        <w:tc>
          <w:tcPr>
            <w:tcW w:w="1128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5000" w:type="pct"/>
            <w:gridSpan w:val="2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Qualifications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3871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College or University degree, A levels/AS levels or equivalent, NVQ or HND or HNC or equivalent, Other professional qualifications</w:t>
            </w:r>
          </w:p>
        </w:tc>
        <w:tc>
          <w:tcPr>
            <w:tcW w:w="1128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3871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Other educational levels, Prefer not to answer, Missing value</w:t>
            </w:r>
          </w:p>
        </w:tc>
        <w:tc>
          <w:tcPr>
            <w:tcW w:w="1128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5000" w:type="pct"/>
            <w:gridSpan w:val="2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Ethnic background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3871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British, White, Irish, Any other white background</w:t>
            </w:r>
          </w:p>
        </w:tc>
        <w:tc>
          <w:tcPr>
            <w:tcW w:w="1128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White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3871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Black or Black British, White and Black Caribbean, White and Black African, African, Caribbean, Any other Black background</w:t>
            </w:r>
          </w:p>
        </w:tc>
        <w:tc>
          <w:tcPr>
            <w:tcW w:w="1128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Black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3871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Asian or Asian British, Chinese, Indian, Pakistani, Bangladeshi, Any other Asian background</w:t>
            </w:r>
          </w:p>
        </w:tc>
        <w:tc>
          <w:tcPr>
            <w:tcW w:w="1128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Asian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3871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Mixed, Any other mixed background, Other ethnic group</w:t>
            </w:r>
          </w:p>
        </w:tc>
        <w:tc>
          <w:tcPr>
            <w:tcW w:w="1128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Multiracial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5000" w:type="pct"/>
            <w:gridSpan w:val="2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Dementia diagnosis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3871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p131036, 130836, p42020</w:t>
            </w:r>
          </w:p>
        </w:tc>
        <w:tc>
          <w:tcPr>
            <w:tcW w:w="1128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Alzheimer’s disease and related dementia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3871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p130838, p42022</w:t>
            </w:r>
          </w:p>
        </w:tc>
        <w:tc>
          <w:tcPr>
            <w:tcW w:w="1128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Vascular dementia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3871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p42024</w:t>
            </w:r>
          </w:p>
        </w:tc>
        <w:tc>
          <w:tcPr>
            <w:tcW w:w="1128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Frontotemporal dementia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3871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p130840, p130842, p42018, and the above data-field</w:t>
            </w:r>
          </w:p>
        </w:tc>
        <w:tc>
          <w:tcPr>
            <w:tcW w:w="1128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All-cause dementia</w:t>
            </w:r>
          </w:p>
        </w:tc>
      </w:tr>
    </w:tbl>
    <w:p>
      <w:pPr>
        <w:widowControl/>
        <w:jc w:val="left"/>
        <w:rPr>
          <w:rFonts w:ascii="Times New Roman" w:hAnsi="Times New Roman" w:cs="Times New Roman"/>
          <w:sz w:val="24"/>
        </w:rPr>
      </w:pPr>
    </w:p>
    <w:p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S3. </w:t>
      </w:r>
      <w:r>
        <w:rPr>
          <w:rFonts w:ascii="Times New Roman" w:hAnsi="Times New Roman" w:cs="Times New Roman"/>
          <w:sz w:val="24"/>
        </w:rPr>
        <w:t>Missingness at Baseline for the Cohort.</w:t>
      </w:r>
    </w:p>
    <w:tbl>
      <w:tblPr>
        <w:tblStyle w:val="7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9"/>
        <w:gridCol w:w="64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271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8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Total (N = 48,542)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271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Missing BMI</w:t>
            </w:r>
          </w:p>
        </w:tc>
        <w:tc>
          <w:tcPr>
            <w:tcW w:w="228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240 (0.5%)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271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Missing Townsend Deprivation Index</w:t>
            </w:r>
          </w:p>
        </w:tc>
        <w:tc>
          <w:tcPr>
            <w:tcW w:w="228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 (0.1%)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271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Missing Physical Activity</w:t>
            </w:r>
          </w:p>
        </w:tc>
        <w:tc>
          <w:tcPr>
            <w:tcW w:w="228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2,697 (5.6%)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271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Missing Alcohol frequency</w:t>
            </w:r>
          </w:p>
        </w:tc>
        <w:tc>
          <w:tcPr>
            <w:tcW w:w="228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117 (0.2%)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271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Missing Ethnic background</w:t>
            </w:r>
          </w:p>
        </w:tc>
        <w:tc>
          <w:tcPr>
            <w:tcW w:w="228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236 (0.5%)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271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Missing APOE*E4 Genotype</w:t>
            </w:r>
          </w:p>
        </w:tc>
        <w:tc>
          <w:tcPr>
            <w:tcW w:w="228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7,656 (15.8%)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2710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Missing Genetic risk score for AD</w:t>
            </w:r>
          </w:p>
        </w:tc>
        <w:tc>
          <w:tcPr>
            <w:tcW w:w="2289" w:type="pc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514 (1.1%)</w:t>
            </w:r>
          </w:p>
        </w:tc>
      </w:tr>
    </w:tbl>
    <w:p>
      <w:pPr>
        <w:jc w:val="left"/>
        <w:rPr>
          <w:rFonts w:ascii="Times New Roman" w:hAnsi="Times New Roman" w:cs="Times New Roman"/>
          <w:sz w:val="24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sz w:val="24"/>
        </w:rPr>
        <w:t xml:space="preserve">Abbreviations: BMI = body mass index (kg/m2); APOE = apolipoprotein; AD = Alzheimer’s disease. </w:t>
      </w:r>
    </w:p>
    <w:p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S4. </w:t>
      </w:r>
      <w:r>
        <w:rPr>
          <w:rFonts w:ascii="Times New Roman" w:hAnsi="Times New Roman" w:cs="Times New Roman"/>
          <w:sz w:val="24"/>
        </w:rPr>
        <w:t>Baseline Demographic Characteristics Among Individuals Enrolled in UK Biobank and Evaluated for Olink’s Assay and Cognition.</w:t>
      </w:r>
    </w:p>
    <w:tbl>
      <w:tblPr>
        <w:tblStyle w:val="7"/>
        <w:tblW w:w="14559" w:type="dxa"/>
        <w:tblInd w:w="-386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1"/>
        <w:gridCol w:w="2437"/>
        <w:gridCol w:w="2437"/>
        <w:gridCol w:w="2437"/>
        <w:gridCol w:w="243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481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43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Fluid intelligence</w:t>
            </w:r>
          </w:p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(N = 16,906)</w:t>
            </w:r>
          </w:p>
        </w:tc>
        <w:tc>
          <w:tcPr>
            <w:tcW w:w="243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Numeric memory</w:t>
            </w:r>
          </w:p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(N = 5,536)</w:t>
            </w:r>
          </w:p>
        </w:tc>
        <w:tc>
          <w:tcPr>
            <w:tcW w:w="243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Reaction time</w:t>
            </w:r>
          </w:p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(N = 52,055)</w:t>
            </w:r>
          </w:p>
        </w:tc>
        <w:tc>
          <w:tcPr>
            <w:tcW w:w="243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Pairs matching</w:t>
            </w:r>
          </w:p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(N = 52,404)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4811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Follow-up time, mean (SD)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12.4 (1.95)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12.69 (2.08)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13.2 (2.35)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13.18 (2.36)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4811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Sex (Female), n (%)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9,117 (53.9)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2,990 (54.0)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28,094 (54.0)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28,257 (53.9)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4811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Age in yeas, mean (SD)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56.8 (8.24)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56.8 (8.38)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56.8 (8.21)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56.8 (8.21)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4811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BMI, mean (SD)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27.4 (4.79)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27.5 (4.83)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27.5 (4.80)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27.5 (4.80)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4811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GFAP NPX, median [min, max]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-0.012 [-2.24, 5.43]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0.002 [-2.08, 4.48]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 [-2.24, 6.43]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 [-2.24, 6,43]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4811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NfL NPX, median [min, max]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-0.006 [-2.07, 5.15]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0.002 [-2.08, 4.48]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 [-2.98, 5.15]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 [-2.98, 5.15]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4811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Townsend Deprivation Index, </w:t>
            </w:r>
          </w:p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median [min, max]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-1.79 [-6.26, 9.89]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-2.15 [-6.26, 9.89]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-2.07 [-6.26, 10.4]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-2.05 [-6.26, 10.4]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4811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High school equivalent or more schooling, n (%)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11,476 (67.9)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3,621 (65.4)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33,689 (64.7)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33,905 (64.7)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4811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Days per week of moderate physical activity, mean (SD)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3.72 (2.32)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3.80 (2.34)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3.62 (2.34)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3.62 (2.34)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4811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Former or current smoker, n (%)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7,710 (45.6)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2,546 (46.0)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23,892 (45.9)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24,021 (45.8)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4811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Alcohol frequency, n (%)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4811" w:type="dxa"/>
            <w:vAlign w:val="center"/>
          </w:tcPr>
          <w:p>
            <w:pPr>
              <w:ind w:firstLine="480" w:firstLineChars="20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Never, n (%)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1,479 (8.7)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484 (8.7)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4,380 (8.4)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4,536 (8.7)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4811" w:type="dxa"/>
            <w:vAlign w:val="center"/>
          </w:tcPr>
          <w:p>
            <w:pPr>
              <w:ind w:firstLine="480" w:firstLineChars="20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Special occasions only, n (%)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2,049 (12.1)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641 (11.6)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6,096 (11.7)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6,166 (11.8)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4811" w:type="dxa"/>
            <w:vAlign w:val="center"/>
          </w:tcPr>
          <w:p>
            <w:pPr>
              <w:ind w:firstLine="480" w:firstLineChars="20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One to three times a month, n (%)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1,906 (11.3)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639 (11.5)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5,692 (10.9)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5,714 (10.9)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4811" w:type="dxa"/>
            <w:vAlign w:val="center"/>
          </w:tcPr>
          <w:p>
            <w:pPr>
              <w:ind w:firstLine="480" w:firstLineChars="20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Once or twice a week, n (%)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4,235 (25.1)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1,376 (24.9)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13,526 (26.0)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13,576 (25.9)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4811" w:type="dxa"/>
            <w:vAlign w:val="center"/>
          </w:tcPr>
          <w:p>
            <w:pPr>
              <w:ind w:firstLine="480" w:firstLineChars="20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Three or four times a week, n (%)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3,762 (22.3)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1,242 (22.4)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11,757 (22.6)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11,774 (22.5)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4811" w:type="dxa"/>
            <w:vAlign w:val="center"/>
          </w:tcPr>
          <w:p>
            <w:pPr>
              <w:ind w:firstLine="480" w:firstLineChars="20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Daily or almost daily, n (%)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3,464 (20.5)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1,151 (20.8)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10,552 (20.3)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10,576 (20.2)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4811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Race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4811" w:type="dxa"/>
            <w:vAlign w:val="center"/>
          </w:tcPr>
          <w:p>
            <w:pPr>
              <w:ind w:firstLine="480" w:firstLineChars="20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White, n (%)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15,371 (90.9)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5,226 (94.4)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48,799 (93.7)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48,929 (93.4)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4811" w:type="dxa"/>
            <w:vAlign w:val="center"/>
          </w:tcPr>
          <w:p>
            <w:pPr>
              <w:ind w:firstLine="480" w:firstLineChars="20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Black, n (%)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604 (3.6)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 (1.4)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1,264 (2.4)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1,340 (2.6)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4811" w:type="dxa"/>
            <w:vAlign w:val="center"/>
          </w:tcPr>
          <w:p>
            <w:pPr>
              <w:ind w:firstLine="480" w:firstLineChars="20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Asian, n (%)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558 (3.3)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155 (2.8)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1,127 (2.2)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1,215 (2.3)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4811" w:type="dxa"/>
            <w:vAlign w:val="center"/>
          </w:tcPr>
          <w:p>
            <w:pPr>
              <w:ind w:firstLine="480" w:firstLineChars="20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Multiracial, n (%)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308 (1.8)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 (1.2)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682 (1.3)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727 (1.4)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4811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APOE*E4 carrier, n (%)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4811" w:type="dxa"/>
            <w:vAlign w:val="center"/>
          </w:tcPr>
          <w:p>
            <w:pPr>
              <w:ind w:firstLine="480" w:firstLineChars="20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E2E4 &amp; E3E4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3,687 (21.8)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1,197 (21.6)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11,474 (22.0)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11,598 (22.1)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4811" w:type="dxa"/>
            <w:vAlign w:val="center"/>
          </w:tcPr>
          <w:p>
            <w:pPr>
              <w:ind w:firstLine="480" w:firstLineChars="20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E4E4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416 (2.5)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141 (2.5)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1,268 (2.4)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1,283 (2.4)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4811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Comorbidity, n (%) 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4811" w:type="dxa"/>
            <w:vAlign w:val="center"/>
          </w:tcPr>
          <w:p>
            <w:pPr>
              <w:ind w:firstLine="480" w:firstLineChars="20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Diabetes, n (%)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957 (5.7)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305 (5.5)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2,905 (5.6)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2,973 (5.7)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4811" w:type="dxa"/>
            <w:vAlign w:val="center"/>
          </w:tcPr>
          <w:p>
            <w:pPr>
              <w:ind w:firstLine="480" w:firstLineChars="20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Hypertension, n (%)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4,684 (27.7)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1,529 (27.6)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14,582 (28.0)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14,741 (28.1)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4811" w:type="dxa"/>
            <w:vAlign w:val="center"/>
          </w:tcPr>
          <w:p>
            <w:pPr>
              <w:ind w:firstLine="480" w:firstLineChars="20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Cerebrovacular disorders, n (%)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421 (2.5)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135 (2.4)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1,300 (2.5)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1,324 (2.5)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55" w:hRule="atLeast"/>
        </w:trPr>
        <w:tc>
          <w:tcPr>
            <w:tcW w:w="4811" w:type="dxa"/>
            <w:vAlign w:val="center"/>
          </w:tcPr>
          <w:p>
            <w:pPr>
              <w:ind w:firstLine="480" w:firstLineChars="20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Demyelinating disorders, n (%)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125 (0.7)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 (0.9)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405 (0.8)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408 (0.8)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4811" w:type="dxa"/>
            <w:vAlign w:val="center"/>
          </w:tcPr>
          <w:p>
            <w:pPr>
              <w:ind w:firstLine="480" w:firstLineChars="20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Neurodegenerative disorders, n (%)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185 (1.1)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 (1.2)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505 (1.0)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510 (1.0)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4811" w:type="dxa"/>
            <w:vAlign w:val="center"/>
          </w:tcPr>
          <w:p>
            <w:pPr>
              <w:ind w:firstLine="480" w:firstLineChars="20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Organic brain diseases, n (%)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154 (0.9)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 (1.1)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499 (1.0)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509 (1.0)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4811" w:type="dxa"/>
            <w:vAlign w:val="center"/>
          </w:tcPr>
          <w:p>
            <w:pPr>
              <w:ind w:firstLine="480" w:firstLineChars="20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Mental disorders, n (%)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2,952 (17.5)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1,196 (21.6)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8,298 (15.9)</w:t>
            </w:r>
          </w:p>
        </w:tc>
        <w:tc>
          <w:tcPr>
            <w:tcW w:w="243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8,388 (16.0)</w:t>
            </w:r>
          </w:p>
        </w:tc>
      </w:tr>
    </w:tbl>
    <w:p>
      <w:pP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Abbreviations: BMI, body mass index (kg/m2); NPX, normalized protein expression; APOE, apolipoprotein.</w:t>
      </w:r>
    </w:p>
    <w:p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S5. </w:t>
      </w:r>
      <w:r>
        <w:rPr>
          <w:rFonts w:ascii="Times New Roman" w:hAnsi="Times New Roman" w:cs="Times New Roman"/>
          <w:sz w:val="24"/>
        </w:rPr>
        <w:t>Baseline Characteristics Grouped by GFAP Quartile.</w:t>
      </w:r>
    </w:p>
    <w:tbl>
      <w:tblPr>
        <w:tblStyle w:val="7"/>
        <w:tblW w:w="4998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89"/>
        <w:gridCol w:w="2777"/>
        <w:gridCol w:w="2702"/>
        <w:gridCol w:w="2926"/>
        <w:gridCol w:w="227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GFAP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Interval</w:t>
            </w: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1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(N = 12,136)</w:t>
            </w:r>
          </w:p>
        </w:tc>
        <w:tc>
          <w:tcPr>
            <w:tcW w:w="953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GFAP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Interval</w:t>
            </w: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2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(N = 12,309)</w:t>
            </w:r>
          </w:p>
        </w:tc>
        <w:tc>
          <w:tcPr>
            <w:tcW w:w="1032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GFAP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Interval</w:t>
            </w: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3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(N = 11,961)</w:t>
            </w:r>
          </w:p>
        </w:tc>
        <w:tc>
          <w:tcPr>
            <w:tcW w:w="802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GFAP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Interval</w:t>
            </w: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4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(N = 12,136)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GFAP NPX, median [min, max]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-0.583 [-2.24, -0.341]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-0.157 [-0.341, 0]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0.167 [0, 0.363]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0.646 [0.363, 6.43]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Sex (Female),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5,581 (46.0)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6,263 (50.9）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6,646 (55.6)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7,662 (63.1)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Age in yeas, mean (SD)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52.8 (8.07)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55.3 (8.01)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57.9 (7.62)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61.2 (6.63)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BMI in kg/m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, mean (SD)</w:t>
            </w: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27.9 (5.14)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27.6 (4.85)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27.3 (4.60)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27.1 (4.52)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" w:hRule="atLeast"/>
        </w:trPr>
        <w:tc>
          <w:tcPr>
            <w:tcW w:w="123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Townsend Deprivation Index, median [min, max]</w:t>
            </w: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-1.79 [-6.26, 10.2]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-2.02 [-6.26, 10.4]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-2.15 [-6.26, 10.1]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-2.21 [-6.26, 9.98]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High school equivalent or more schooling,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8,358 (68.9)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8,178 (66.4)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7,666 (64.1)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7,029 (57.9)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Days per week of moderate physical activity, mean (SD)</w:t>
            </w: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3.56 (2.33)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3.57 (2.33)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3.65 (2.34)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3.69 (2.36)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Former or current smoker,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5,692 (46.9)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5,741 (46.6)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5,397 (45.1)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5,409 (44.6)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Alcohol frequency,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Never,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943 (7.8)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1,018 (8.3)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986 (8.2)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1,251 (10.3)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Special occasions only,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1,338 (11.0)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1,321 (10.7)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1,377 (11.5)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1,656 (13.6)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One to three times a month,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1,343 (11.1)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1,299 (10.6)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1,278 (10.7)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1,336 (11.0)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Once or twice a week,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3,236 (26.7)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3,244 (26.4)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3,106 (26.0)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3,010 (24.8)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Three or four times a week,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2,836 (23.4)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2,917 (23.7)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2,681 (22.4)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2,467 (20.3)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Daily or almost daily,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2,408 (19.8)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2,484 (20.2)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2,503 (20.9)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2,387 (19.7)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Race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White,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11,174 (92.1)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11,421 (92.8)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11,186 (93.5)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11,488 (94.7)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Black,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389 (3.2)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348 (2.8)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291 (2.4)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224 (1.8)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Asian,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321 (2.6)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272 (2.2)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267 (2.2)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244 (2.0)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Multiracial,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191 (1.6)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209 (1.7)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153 (1.3)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128 (1.1)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APOE*E4 carrier, n (%)</w:t>
            </w: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E2E4 &amp; E3E4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2,504 (20.6)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2,559 (20.8)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2,602 (21.8)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3,017 (24.9)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E4E4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209 (1.7)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220 (1.8)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283 (2.4)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481 (4.0)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Comorbidity, n (%) 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Diabetes,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780 (6.4)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649 (5.3)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644 (5.4)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670 (5.5)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Hypertension,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30,06 (24.8)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32,93 (26.8)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34,08 (28.5)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39,44 (32.5)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Cerebrovacular disorders,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252 (2.1)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265 (2.2)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284 (2.4)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422 (3.5)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Demyelinating disorders,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56 (0.5)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94 (0.8)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93 (0.8)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139 (1.1)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Neurodegenerative disorders,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89 (0.7)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126 (1.0)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121 (1.0)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137 (1.1)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Organic brain diseases,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117 (1.0)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117 (1.0)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134 (1.1)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116 (1.0)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Mental disorders,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2,090 (17.2)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2,018 (16.4)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1,823 (15.2)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1,815 (15.0)</w:t>
            </w:r>
          </w:p>
        </w:tc>
      </w:tr>
    </w:tbl>
    <w:p>
      <w:pP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Abbreviations: BMI, body mass index (kg/m2); NPX, normalized protein expression; APOE, apolipoprotein.</w:t>
      </w:r>
    </w:p>
    <w:p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S6. </w:t>
      </w:r>
      <w:r>
        <w:rPr>
          <w:rFonts w:ascii="Times New Roman" w:hAnsi="Times New Roman" w:cs="Times New Roman"/>
          <w:sz w:val="24"/>
        </w:rPr>
        <w:t>Baseline Characteristics Grouped by NfL Quartile.</w:t>
      </w:r>
    </w:p>
    <w:tbl>
      <w:tblPr>
        <w:tblStyle w:val="7"/>
        <w:tblW w:w="4997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88"/>
        <w:gridCol w:w="2778"/>
        <w:gridCol w:w="2701"/>
        <w:gridCol w:w="2925"/>
        <w:gridCol w:w="2273"/>
      </w:tblGrid>
      <w:tr>
        <w:trPr>
          <w:trHeight w:val="397" w:hRule="atLeast"/>
        </w:trPr>
        <w:tc>
          <w:tcPr>
            <w:tcW w:w="1231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NfL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Interval</w:t>
            </w: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1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(N = 12,138)</w:t>
            </w:r>
          </w:p>
        </w:tc>
        <w:tc>
          <w:tcPr>
            <w:tcW w:w="953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NfL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Interval</w:t>
            </w: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2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(N = 12,305)</w:t>
            </w:r>
          </w:p>
        </w:tc>
        <w:tc>
          <w:tcPr>
            <w:tcW w:w="1032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NfL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Interval</w:t>
            </w: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3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(N = 11,963)</w:t>
            </w:r>
          </w:p>
        </w:tc>
        <w:tc>
          <w:tcPr>
            <w:tcW w:w="802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NfL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Interval</w:t>
            </w: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4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(N = 12,136)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NfL NPX, median [min, max]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-0.596 [-2.98, -0.349]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-0.161 [-0.348, 0]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0.162 [0, 0.353]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0.621 [0.353, 5.15]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Sex (Female),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6,652 (54.8)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6,707 (54.5)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6,439 (53.8)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6,354 (52.4)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Age in yeas, mean (SD)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50.7 (7.38)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55.5 (7.61)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59.0 (6.93)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62.2 (6.05)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BMI in kg/m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, mean (SD)</w:t>
            </w: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28.1 (5.21)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27.5 (4.71)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27.2 (4.57)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26.9 (4.58)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" w:hRule="atLeast"/>
        </w:trPr>
        <w:tc>
          <w:tcPr>
            <w:tcW w:w="123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Townsend Deprivation Index, median [min, max]</w:t>
            </w: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-1.75 [-6.26, 10.2]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-2.09 [-6.26, 10.2]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-2.14 [-6.26, 10.4]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-2.21 [-6.26, 9.9.98]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High school equivalent or more schooling,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8,528 (70.3)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8,107 (65.9)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7,569 (63.3)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7,027 (57.9)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Days per week of moderate physical activity, mean (SD)</w:t>
            </w: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3.46 (2.32)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3.59 (2.32)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3.67 (2.33)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375 (2.39)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Former or current smoker,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5,257 (43.3)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5,603 (45.5)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5,542 (46.3)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5,837 (48.1)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Alcohol frequency,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Never,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1,009 (8.3)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970 (7.9)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1,028 (8.6)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1,191 (9.8)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Special occasions only,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1,369 (11.3)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1,313 (10.7)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1,401 (11.7)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1,609 (13.3)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One to three times a month,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1,469 (12.1)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1,336 (10.9)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1,188 (9.9)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1,263 (10.4)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Once or twice a week,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3,285 (27.1)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3,205 (260.0)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3,120 (26.1)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2,986 (24.6)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Three or four times a week,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2,839 (2.4)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2,949 (24.0)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2,664 (22.3)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2,449 (20.2)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Daily or almost daily,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2,135 (17.6)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2,500 (20.3)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2,533 (21.2)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2,614 (21.5)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Race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White,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10,885 (89.7)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11,492 (93.4)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11,318 (94.6)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11,574 (95.4)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Black,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619 (5.1)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295 (2.4)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198 (1.7)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 (1.2)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Asian,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326 (2.7)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265 (2.2)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253 (2.1)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260 (2.1)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Multiracial,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255 (2.1)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191 (1.6)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133 (1.1)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102 (0.8)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APOE*E4 carrier, n (%)</w:t>
            </w: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E2E4 &amp; E3E4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2,680 (22.1)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2,604 (21.2)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2,633 (22.0)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2,765 (22.8)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E4E4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232 (1.9)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256 (2.1)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295 (2.5)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410 (3.4)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Comorbidity, n (%) 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Diabetes,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477 (3.9)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538 (4.4)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657 (5.5)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1,071 (8.8)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Hypertension,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2,610 (21.5)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3,070 (24.9)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3,501 (29.3)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4,470 (36.8)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Cerebrovacular disorders,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159 (1.3)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242 (2.0)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302 (2.5)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520 (4.3)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Demyelinating disorders,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70 (0.6)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77 (0.6)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96 (0.8)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139 (1.1)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Neurodegenerative disorders,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60 (0.5)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96 (0.7)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117 (1.0)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210 (1.7)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Organic brain diseases,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135 (1.1)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116 (0.9)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101 (0.8)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132 (1.1)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23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Mental disorders, n (%)</w:t>
            </w:r>
          </w:p>
        </w:tc>
        <w:tc>
          <w:tcPr>
            <w:tcW w:w="980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1,967 (16.2)</w:t>
            </w:r>
          </w:p>
        </w:tc>
        <w:tc>
          <w:tcPr>
            <w:tcW w:w="9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1,977 (16.1)</w:t>
            </w:r>
          </w:p>
        </w:tc>
        <w:tc>
          <w:tcPr>
            <w:tcW w:w="10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1,861 (15.6)</w:t>
            </w:r>
          </w:p>
        </w:tc>
        <w:tc>
          <w:tcPr>
            <w:tcW w:w="80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1,941 (16.0)</w:t>
            </w:r>
          </w:p>
        </w:tc>
      </w:tr>
    </w:tbl>
    <w:p>
      <w:pP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Abbreviations: BMI, body mass index (kg/m2); NPX, normalized protein expression; APOE, apolipoprotein.</w:t>
      </w:r>
    </w:p>
    <w:p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S7. </w:t>
      </w:r>
      <w:r>
        <w:rPr>
          <w:rFonts w:ascii="Times New Roman" w:hAnsi="Times New Roman" w:cs="Times New Roman"/>
          <w:sz w:val="24"/>
        </w:rPr>
        <w:t>Comparision of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Baseline Characteristics Between Participants with Multiple Protein Measurements and Single Protein Measurement.</w:t>
      </w:r>
    </w:p>
    <w:tbl>
      <w:tblPr>
        <w:tblStyle w:val="7"/>
        <w:tblW w:w="4996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6"/>
        <w:gridCol w:w="4414"/>
        <w:gridCol w:w="4703"/>
        <w:gridCol w:w="99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Multiple GFAP or NfL Measurements (N = 1,124)</w:t>
            </w:r>
          </w:p>
        </w:tc>
        <w:tc>
          <w:tcPr>
            <w:tcW w:w="166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Single GFAP and NfL Measurements at Baseline (N = 47,418)</w:t>
            </w:r>
          </w:p>
        </w:tc>
        <w:tc>
          <w:tcPr>
            <w:tcW w:w="321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Sex (Female), n (%)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613 (54.5)</w:t>
            </w: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25,539 (53.9)</w:t>
            </w: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0.674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Age in yeas, mean (SD)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50.2 (7.13）</w:t>
            </w: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57.0 (8.17)</w:t>
            </w: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BMI in kg/m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, mean (SD)</w:t>
            </w: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26.3 (4.17)</w:t>
            </w: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27.5 (4.80)</w:t>
            </w: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GFAP NPX, median [min, max]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-0.256 [-1.91, 1.85]</w:t>
            </w: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 [-2.24, 6.43]</w:t>
            </w: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Nfl NPX, median [min, max]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-0.237 [-2.16, 3.92]</w:t>
            </w: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 [-2.98, 5.15]</w:t>
            </w: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Townsend Deprivation Index, median [min, max]</w:t>
            </w: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-2.37 [-6.26, 8.47]</w:t>
            </w: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-2.05 [-6.26, 10.4]</w:t>
            </w: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High school equivalent or more schooling, n (%)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927 (82.5)</w:t>
            </w: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30,304 (63.9)</w:t>
            </w: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Days per week of moderate physical activity, mean (SD)</w:t>
            </w: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3.51 (2.28)</w:t>
            </w: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3.62 (2.34)</w:t>
            </w: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0.114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Former or current smoker, n (%)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426 (37.9)</w:t>
            </w: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21,813 (46.0)</w:t>
            </w: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Alcohol frequency, n (%)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Never, n (%)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 (3.7)</w:t>
            </w: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4,156 (8.8)</w:t>
            </w: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" w:hRule="atLeast"/>
        </w:trPr>
        <w:tc>
          <w:tcPr>
            <w:tcW w:w="144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Special occasions only, n (%)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102 (9.1)</w:t>
            </w: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5,590 (11.8)</w:t>
            </w: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One to three times a month, n (%)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126 (11.2)</w:t>
            </w: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5,130 (10.8)</w:t>
            </w: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Once or twice a week, n (%)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292 (26.0)</w:t>
            </w: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12,304 (25.9)</w:t>
            </w: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Three or four times a week, n (%)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326 (29.0)</w:t>
            </w: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10,575 (22.3)</w:t>
            </w: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Daily or almost daily, n (%)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236 (21.0)</w:t>
            </w: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9,546 (20.1)</w:t>
            </w: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Race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White, n (%)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1,088 (96.8)</w:t>
            </w: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44,181 (93.2)</w:t>
            </w: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Black, n (%)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 (0.8)</w:t>
            </w: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1,243 (2.6)</w:t>
            </w: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Asian, n (%)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 (1.6)</w:t>
            </w: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1,086 (2.3)</w:t>
            </w: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Multiracial, n (%)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 (0.8)</w:t>
            </w: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672 (1.4)</w:t>
            </w: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APOE*E4 carrier, n (%)</w:t>
            </w: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0.062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E2E4 &amp; E3E4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228 (20.8)</w:t>
            </w: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10,454 (22.0)</w:t>
            </w: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E4E4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 (1.6)</w:t>
            </w: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1,175 (2.5)</w:t>
            </w: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Comorbidity, n (%) 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Diabetes, n (%)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 (2.1)</w:t>
            </w: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2,719 (5.7)</w:t>
            </w: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Hypertension, n (%)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158 (14.1)</w:t>
            </w: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13,493 (28.5)</w:t>
            </w: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Cerebrovacular disorders, n (%)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 (0.5)</w:t>
            </w: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1,217 (2.6)</w:t>
            </w: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Demyelinating disorders, n (%)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 (0.3)</w:t>
            </w: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379 (0.8)</w:t>
            </w: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0.068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Neurodegenerative disorders, n (%)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 (0.3)</w:t>
            </w: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470 (1.0)</w:t>
            </w: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0.022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Organic brain diseases, n (%)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 (1.2)</w:t>
            </w: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471 (1.0)</w:t>
            </w: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0.695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Mental disorders, n (%)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170 (15.1)</w:t>
            </w: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7,576 (16.0)</w:t>
            </w: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0.465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Cognition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Fluid intelligence, log (measurement + 1), mean (SD)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2.01 (0.293)</w:t>
            </w: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1.88 (0.348)</w:t>
            </w: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Numeric memory, log (measurement + 1), mean (SD)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2.09 (0.18)</w:t>
            </w: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2.02 (0.19)</w:t>
            </w: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Pairs matching, log (measurement + 1), mean (SD)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0.949 (0.466)</w:t>
            </w: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1.08 (0.529)</w:t>
            </w: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Reaction time in ms, mean (SD)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518 (95.2)</w:t>
            </w: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565 (123)</w:t>
            </w: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Dementia diagnosis in total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All-cause dementia,n (%)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1,360 (2.8)</w:t>
            </w: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Alzheimer’s disease and related dementia,n (%)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661 (1.4)</w:t>
            </w: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Vascular dementia,n (%)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273 (0.6)</w:t>
            </w: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144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Frontotemporal dementia,n (%)</w:t>
            </w:r>
          </w:p>
        </w:tc>
        <w:tc>
          <w:tcPr>
            <w:tcW w:w="1567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669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94 (0.2)</w:t>
            </w:r>
          </w:p>
        </w:tc>
        <w:tc>
          <w:tcPr>
            <w:tcW w:w="321" w:type="pct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Abbreviations: BMI, body mass index (kg/m2); NPX, normalized protein expression; APOE, apolipoprotein; ms = Milliseconds.</w:t>
      </w:r>
    </w:p>
    <w:p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S8.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Hazard Ratios for All-cause Dementia According to GFAP and NfL Quartiles.</w:t>
      </w:r>
    </w:p>
    <w:tbl>
      <w:tblPr>
        <w:tblStyle w:val="6"/>
        <w:tblW w:w="4436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7"/>
        <w:gridCol w:w="2745"/>
        <w:gridCol w:w="1761"/>
        <w:gridCol w:w="228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230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GFAP (All-cause dementia, Model 3)</w:t>
            </w:r>
          </w:p>
        </w:tc>
        <w:tc>
          <w:tcPr>
            <w:tcW w:w="1091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70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907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Observations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230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Interval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0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Reference</w:t>
            </w:r>
          </w:p>
        </w:tc>
        <w:tc>
          <w:tcPr>
            <w:tcW w:w="70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907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38,324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3" w:hRule="atLeast"/>
        </w:trPr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Interval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1.11 (0.84 – 1.48)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0.467</w:t>
            </w:r>
          </w:p>
        </w:tc>
        <w:tc>
          <w:tcPr>
            <w:tcW w:w="90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3" w:hRule="atLeast"/>
        </w:trPr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Interval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1.19 (0.91 – 1.55)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0.215</w:t>
            </w:r>
          </w:p>
        </w:tc>
        <w:tc>
          <w:tcPr>
            <w:tcW w:w="90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0" w:hRule="atLeast"/>
        </w:trPr>
        <w:tc>
          <w:tcPr>
            <w:tcW w:w="230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Interval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0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2.48 (1.94 – 3.17)</w:t>
            </w:r>
          </w:p>
        </w:tc>
        <w:tc>
          <w:tcPr>
            <w:tcW w:w="70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6.28×10</w:t>
            </w:r>
            <w:r>
              <w:rPr>
                <w:rStyle w:val="9"/>
                <w:rFonts w:hint="default" w:ascii="Times New Roman" w:hAnsi="Times New Roman" w:cs="Times New Roman"/>
                <w:sz w:val="24"/>
                <w:szCs w:val="24"/>
                <w:lang w:bidi="ar"/>
              </w:rPr>
              <w:t>-13</w:t>
            </w:r>
          </w:p>
        </w:tc>
        <w:tc>
          <w:tcPr>
            <w:tcW w:w="907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230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NfL (All-cause dementia, Model 3)</w:t>
            </w:r>
          </w:p>
        </w:tc>
        <w:tc>
          <w:tcPr>
            <w:tcW w:w="109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70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90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Observations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230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Interval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0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Reference</w:t>
            </w:r>
          </w:p>
        </w:tc>
        <w:tc>
          <w:tcPr>
            <w:tcW w:w="70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907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38,324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3" w:hRule="atLeast"/>
        </w:trPr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Interval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1.20 (0.83 – 1.73)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0.324</w:t>
            </w:r>
          </w:p>
        </w:tc>
        <w:tc>
          <w:tcPr>
            <w:tcW w:w="90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3" w:hRule="atLeast"/>
        </w:trPr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Interval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1.66 (1.18 – 2.34)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0.004</w:t>
            </w:r>
          </w:p>
        </w:tc>
        <w:tc>
          <w:tcPr>
            <w:tcW w:w="90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0" w:hRule="atLeast"/>
        </w:trPr>
        <w:tc>
          <w:tcPr>
            <w:tcW w:w="23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Interval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0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2.83 (2.02 – 3.95)</w:t>
            </w:r>
          </w:p>
        </w:tc>
        <w:tc>
          <w:tcPr>
            <w:tcW w:w="7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1.17×10</w:t>
            </w:r>
            <w:r>
              <w:rPr>
                <w:rStyle w:val="9"/>
                <w:rFonts w:hint="default" w:ascii="Times New Roman" w:hAnsi="Times New Roman" w:cs="Times New Roman"/>
                <w:sz w:val="24"/>
                <w:szCs w:val="24"/>
                <w:lang w:bidi="ar"/>
              </w:rPr>
              <w:t>-9</w:t>
            </w:r>
          </w:p>
        </w:tc>
        <w:tc>
          <w:tcPr>
            <w:tcW w:w="90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</w:tbl>
    <w:p>
      <w:pP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Covariates were adjusted by model 3 as described in Methods.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S9.</w:t>
      </w:r>
      <w:r>
        <w:rPr>
          <w:rFonts w:ascii="Times New Roman" w:hAnsi="Times New Roman" w:cs="Times New Roman"/>
          <w:sz w:val="24"/>
        </w:rPr>
        <w:t xml:space="preserve"> Correlation Between GFAP and NfL with Age.</w:t>
      </w:r>
    </w:p>
    <w:tbl>
      <w:tblPr>
        <w:tblStyle w:val="7"/>
        <w:tblW w:w="4999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2"/>
        <w:gridCol w:w="3542"/>
        <w:gridCol w:w="3542"/>
        <w:gridCol w:w="354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249" w:type="pct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9" w:type="pct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Pearson r</w:t>
            </w:r>
          </w:p>
        </w:tc>
        <w:tc>
          <w:tcPr>
            <w:tcW w:w="1249" w:type="pct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95% CI</w:t>
            </w:r>
          </w:p>
        </w:tc>
        <w:tc>
          <w:tcPr>
            <w:tcW w:w="1250" w:type="pct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249" w:type="pct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GFAP</w:t>
            </w:r>
          </w:p>
        </w:tc>
        <w:tc>
          <w:tcPr>
            <w:tcW w:w="1249" w:type="pct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0.377</w:t>
            </w:r>
          </w:p>
        </w:tc>
        <w:tc>
          <w:tcPr>
            <w:tcW w:w="1249" w:type="pct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0.370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0.385</w:t>
            </w:r>
          </w:p>
        </w:tc>
        <w:tc>
          <w:tcPr>
            <w:tcW w:w="1250" w:type="pct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&lt;2.2×10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-16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249" w:type="pct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NfL</w:t>
            </w:r>
          </w:p>
        </w:tc>
        <w:tc>
          <w:tcPr>
            <w:tcW w:w="1249" w:type="pct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0.501</w:t>
            </w:r>
          </w:p>
        </w:tc>
        <w:tc>
          <w:tcPr>
            <w:tcW w:w="1249" w:type="pct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0.494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0.508</w:t>
            </w:r>
          </w:p>
        </w:tc>
        <w:tc>
          <w:tcPr>
            <w:tcW w:w="1250" w:type="pct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&lt;2.2×10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-16</w:t>
            </w:r>
          </w:p>
        </w:tc>
      </w:tr>
    </w:tbl>
    <w:p>
      <w:pPr>
        <w:rPr>
          <w:rFonts w:ascii="Times New Roman" w:hAnsi="Times New Roman" w:cs="Times New Roman"/>
          <w:b/>
          <w:bCs/>
          <w:sz w:val="24"/>
        </w:rPr>
      </w:pPr>
    </w:p>
    <w:p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S10.</w:t>
      </w:r>
      <w:r>
        <w:rPr>
          <w:rFonts w:ascii="Times New Roman" w:hAnsi="Times New Roman" w:cs="Times New Roman"/>
          <w:sz w:val="24"/>
        </w:rPr>
        <w:t xml:space="preserve"> Association Between Annualized Change Rate of GFAP and NfL with Annualized Change Rate of Global Cognition.</w:t>
      </w:r>
    </w:p>
    <w:tbl>
      <w:tblPr>
        <w:tblStyle w:val="6"/>
        <w:tblW w:w="4998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3"/>
        <w:gridCol w:w="4336"/>
        <w:gridCol w:w="2245"/>
        <w:gridCol w:w="245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  <w:jc w:val="center"/>
        </w:trPr>
        <w:tc>
          <w:tcPr>
            <w:tcW w:w="1811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Global Cognition</w:t>
            </w:r>
          </w:p>
        </w:tc>
        <w:tc>
          <w:tcPr>
            <w:tcW w:w="153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Estimate (95% CI)</w:t>
            </w:r>
          </w:p>
        </w:tc>
        <w:tc>
          <w:tcPr>
            <w:tcW w:w="792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866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Observations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  <w:jc w:val="center"/>
        </w:trPr>
        <w:tc>
          <w:tcPr>
            <w:tcW w:w="181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Model 1</w:t>
            </w:r>
          </w:p>
        </w:tc>
        <w:tc>
          <w:tcPr>
            <w:tcW w:w="15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 </w:t>
            </w:r>
          </w:p>
        </w:tc>
        <w:tc>
          <w:tcPr>
            <w:tcW w:w="79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86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2,652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  <w:jc w:val="center"/>
        </w:trPr>
        <w:tc>
          <w:tcPr>
            <w:tcW w:w="1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GFAP</w:t>
            </w:r>
          </w:p>
        </w:tc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-0.066 (-0.122 – -0.009)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0.023*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  <w:jc w:val="center"/>
        </w:trPr>
        <w:tc>
          <w:tcPr>
            <w:tcW w:w="1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GFAP:Follow-up time</w:t>
            </w:r>
          </w:p>
        </w:tc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0.004 (-0.009 – 0.018)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0.545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" w:hRule="atLeast"/>
          <w:jc w:val="center"/>
        </w:trPr>
        <w:tc>
          <w:tcPr>
            <w:tcW w:w="1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NfL</w:t>
            </w:r>
          </w:p>
        </w:tc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 (-0.086 – 0.087)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0.998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  <w:jc w:val="center"/>
        </w:trPr>
        <w:tc>
          <w:tcPr>
            <w:tcW w:w="1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NfL:Follow-up time</w:t>
            </w:r>
          </w:p>
        </w:tc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0.002 (-0.017 – 0.021)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0.861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  <w:jc w:val="center"/>
        </w:trPr>
        <w:tc>
          <w:tcPr>
            <w:tcW w:w="1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Model 2</w:t>
            </w:r>
          </w:p>
        </w:tc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2,219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  <w:jc w:val="center"/>
        </w:trPr>
        <w:tc>
          <w:tcPr>
            <w:tcW w:w="1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GFAP</w:t>
            </w:r>
          </w:p>
        </w:tc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-0.103 (-0.165 – -0.041)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0.001**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  <w:jc w:val="center"/>
        </w:trPr>
        <w:tc>
          <w:tcPr>
            <w:tcW w:w="1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GFAP:Follow-up time</w:t>
            </w:r>
          </w:p>
        </w:tc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0.008 (-0.079 – 0.109)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0.319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  <w:jc w:val="center"/>
        </w:trPr>
        <w:tc>
          <w:tcPr>
            <w:tcW w:w="1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NfL</w:t>
            </w:r>
          </w:p>
        </w:tc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0.015 (-0.007 – 0.023)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0.761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  <w:jc w:val="center"/>
        </w:trPr>
        <w:tc>
          <w:tcPr>
            <w:tcW w:w="1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NfL:Follow-up time</w:t>
            </w:r>
          </w:p>
        </w:tc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 (-0.021 – 0.021)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0.986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  <w:jc w:val="center"/>
        </w:trPr>
        <w:tc>
          <w:tcPr>
            <w:tcW w:w="1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Model 3</w:t>
            </w:r>
          </w:p>
        </w:tc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2,219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  <w:jc w:val="center"/>
        </w:trPr>
        <w:tc>
          <w:tcPr>
            <w:tcW w:w="1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GFAP</w:t>
            </w:r>
          </w:p>
        </w:tc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-0.101 (-0.163 – -0.040)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0.001**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  <w:jc w:val="center"/>
        </w:trPr>
        <w:tc>
          <w:tcPr>
            <w:tcW w:w="1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GFAP:Follow-up time</w:t>
            </w:r>
          </w:p>
        </w:tc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 (-0.078 – 0.110)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0.337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  <w:jc w:val="center"/>
        </w:trPr>
        <w:tc>
          <w:tcPr>
            <w:tcW w:w="1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NfL</w:t>
            </w:r>
          </w:p>
        </w:tc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0.015 (-0.007 – 0.022)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0.751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  <w:jc w:val="center"/>
        </w:trPr>
        <w:tc>
          <w:tcPr>
            <w:tcW w:w="18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NfL:Follow-up time</w:t>
            </w:r>
          </w:p>
        </w:tc>
        <w:tc>
          <w:tcPr>
            <w:tcW w:w="15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-0.001 (-0.022 – 0.020)</w:t>
            </w:r>
          </w:p>
        </w:tc>
        <w:tc>
          <w:tcPr>
            <w:tcW w:w="7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0.943</w:t>
            </w:r>
          </w:p>
        </w:tc>
        <w:tc>
          <w:tcPr>
            <w:tcW w:w="8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</w:tbl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Covariates were adjusted by model 1, 2, and 3 as described in Methods.</w:t>
      </w:r>
    </w:p>
    <w:p>
      <w:pPr>
        <w:rPr>
          <w:rFonts w:ascii="Times New Roman" w:hAnsi="Times New Roman" w:cs="Times New Roman"/>
          <w:sz w:val="2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sz w:val="24"/>
        </w:rPr>
        <w:t>*P&lt;0.05, **P&lt;0.01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S11.</w:t>
      </w:r>
      <w:r>
        <w:rPr>
          <w:rFonts w:ascii="Times New Roman" w:hAnsi="Times New Roman" w:cs="Times New Roman"/>
          <w:sz w:val="24"/>
        </w:rPr>
        <w:t xml:space="preserve"> Association Between Annualized Change Rate of GFAP and NfL with Annualized Change Rate of Global Cognition (Setting Follow-up Time as Random Slope).</w:t>
      </w:r>
    </w:p>
    <w:tbl>
      <w:tblPr>
        <w:tblStyle w:val="6"/>
        <w:tblW w:w="4998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3"/>
        <w:gridCol w:w="4336"/>
        <w:gridCol w:w="2245"/>
        <w:gridCol w:w="245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  <w:jc w:val="center"/>
        </w:trPr>
        <w:tc>
          <w:tcPr>
            <w:tcW w:w="1811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Global Cognition</w:t>
            </w:r>
          </w:p>
        </w:tc>
        <w:tc>
          <w:tcPr>
            <w:tcW w:w="153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Estimate (95% CI)</w:t>
            </w:r>
          </w:p>
        </w:tc>
        <w:tc>
          <w:tcPr>
            <w:tcW w:w="792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866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Observations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  <w:jc w:val="center"/>
        </w:trPr>
        <w:tc>
          <w:tcPr>
            <w:tcW w:w="181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Model 1</w:t>
            </w:r>
          </w:p>
        </w:tc>
        <w:tc>
          <w:tcPr>
            <w:tcW w:w="15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 </w:t>
            </w:r>
          </w:p>
        </w:tc>
        <w:tc>
          <w:tcPr>
            <w:tcW w:w="79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86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2,652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  <w:jc w:val="center"/>
        </w:trPr>
        <w:tc>
          <w:tcPr>
            <w:tcW w:w="1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GFAP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-0.063 (-0.134 – 0.008)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0.084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  <w:jc w:val="center"/>
        </w:trPr>
        <w:tc>
          <w:tcPr>
            <w:tcW w:w="1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GFAP:Follow-up time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0.003 (-0.158 – 0.062)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0.640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  <w:jc w:val="center"/>
        </w:trPr>
        <w:tc>
          <w:tcPr>
            <w:tcW w:w="1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NfL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-0.048 (-0.008 – 0.013)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0.394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  <w:jc w:val="center"/>
        </w:trPr>
        <w:tc>
          <w:tcPr>
            <w:tcW w:w="1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NfL:Follow-up time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0.006 (-0.009 – 0.021)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0.439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  <w:jc w:val="center"/>
        </w:trPr>
        <w:tc>
          <w:tcPr>
            <w:tcW w:w="1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Model 2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2,219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  <w:jc w:val="center"/>
        </w:trPr>
        <w:tc>
          <w:tcPr>
            <w:tcW w:w="1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GFAP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-0.104 (-0.182 – -0.027)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0.009**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  <w:jc w:val="center"/>
        </w:trPr>
        <w:tc>
          <w:tcPr>
            <w:tcW w:w="1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GFAP:Follow-up time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0.006 (-0.006 – 0.018)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0.305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  <w:jc w:val="center"/>
        </w:trPr>
        <w:tc>
          <w:tcPr>
            <w:tcW w:w="1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NfL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-0.022 (-0.141 – 0.098)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0.721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  <w:jc w:val="center"/>
        </w:trPr>
        <w:tc>
          <w:tcPr>
            <w:tcW w:w="1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NfL:Follow-up time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0.004 (-0.013 – 0.020)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0.682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  <w:jc w:val="center"/>
        </w:trPr>
        <w:tc>
          <w:tcPr>
            <w:tcW w:w="1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Model 3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2,219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  <w:jc w:val="center"/>
        </w:trPr>
        <w:tc>
          <w:tcPr>
            <w:tcW w:w="1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GFAP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-0.103 (-0.181 – -0.026)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0.009**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  <w:jc w:val="center"/>
        </w:trPr>
        <w:tc>
          <w:tcPr>
            <w:tcW w:w="1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GFAP:Follow-up time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0.006 (-0.137 – 0.102)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0.332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  <w:jc w:val="center"/>
        </w:trPr>
        <w:tc>
          <w:tcPr>
            <w:tcW w:w="1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NfL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-0.018 (-0.006 – 0.017)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0.769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  <w:jc w:val="center"/>
        </w:trPr>
        <w:tc>
          <w:tcPr>
            <w:tcW w:w="18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NfL:Follow-up time</w:t>
            </w:r>
          </w:p>
        </w:tc>
        <w:tc>
          <w:tcPr>
            <w:tcW w:w="26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0.002 (-0.015 – 0.019)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0.791</w:t>
            </w:r>
          </w:p>
        </w:tc>
        <w:tc>
          <w:tcPr>
            <w:tcW w:w="8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</w:tbl>
    <w:p>
      <w:pP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Covariates were adjusted by model 1, 2, and 3 as described in Methods.</w:t>
      </w:r>
    </w:p>
    <w:p>
      <w:pPr>
        <w:rPr>
          <w:rFonts w:ascii="Times New Roman" w:hAnsi="Times New Roman" w:cs="Times New Roman"/>
          <w:sz w:val="2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sz w:val="24"/>
        </w:rPr>
        <w:t>*P&lt;0.05, **P&lt;0.01</w:t>
      </w:r>
    </w:p>
    <w:p>
      <w:pPr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S12.</w:t>
      </w:r>
      <w:r>
        <w:rPr>
          <w:rFonts w:ascii="Times New Roman" w:hAnsi="Times New Roman" w:cs="Times New Roman"/>
          <w:sz w:val="24"/>
        </w:rPr>
        <w:t xml:space="preserve"> Values of Predictive Models Under Leave-One-Region-Out Validations.</w:t>
      </w:r>
    </w:p>
    <w:tbl>
      <w:tblPr>
        <w:tblStyle w:val="6"/>
        <w:tblW w:w="499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8"/>
        <w:gridCol w:w="1548"/>
        <w:gridCol w:w="1844"/>
        <w:gridCol w:w="1737"/>
        <w:gridCol w:w="2576"/>
        <w:gridCol w:w="1548"/>
        <w:gridCol w:w="2482"/>
      </w:tblGrid>
      <w:tr>
        <w:trPr>
          <w:trHeight w:val="280" w:hRule="atLeast"/>
        </w:trPr>
        <w:tc>
          <w:tcPr>
            <w:tcW w:w="857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546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Age</w:t>
            </w:r>
          </w:p>
        </w:tc>
        <w:tc>
          <w:tcPr>
            <w:tcW w:w="650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GFAP + NfL</w:t>
            </w:r>
          </w:p>
        </w:tc>
        <w:tc>
          <w:tcPr>
            <w:tcW w:w="613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CAIDE</w:t>
            </w:r>
          </w:p>
        </w:tc>
        <w:tc>
          <w:tcPr>
            <w:tcW w:w="909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CAIDE + GFAP + NfL</w:t>
            </w:r>
          </w:p>
        </w:tc>
        <w:tc>
          <w:tcPr>
            <w:tcW w:w="546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DRSm</w:t>
            </w:r>
          </w:p>
        </w:tc>
        <w:tc>
          <w:tcPr>
            <w:tcW w:w="876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DRSm + GFAP + NfL</w:t>
            </w:r>
          </w:p>
        </w:tc>
      </w:tr>
      <w:tr>
        <w:trPr>
          <w:trHeight w:val="280" w:hRule="atLeast"/>
        </w:trPr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AUC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</w:tr>
      <w:tr>
        <w:trPr>
          <w:trHeight w:val="310" w:hRule="atLeast"/>
        </w:trPr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All-cause dementia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0.806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0.031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0.785 ± 0.024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0.751 ± 0.036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0.832 ± 0.030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0.848 ± 0.032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0.867 ± 0.025</w:t>
            </w:r>
          </w:p>
        </w:tc>
      </w:tr>
      <w:tr>
        <w:trPr>
          <w:trHeight w:val="310" w:hRule="atLeast"/>
        </w:trPr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ADRD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0.817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0.816 ± 0.036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0.791 ± 0.052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0.864 ± 0.047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0.867 ± 0.050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0.892 ± 0.044</w:t>
            </w:r>
          </w:p>
        </w:tc>
      </w:tr>
      <w:tr>
        <w:trPr>
          <w:trHeight w:val="310" w:hRule="atLeast"/>
        </w:trPr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VD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0.822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0.781 ± 0.091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0.770 ± 0.077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0.843 ± 0.083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0.871 ± 0.042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0.892 ± 0.047</w:t>
            </w:r>
          </w:p>
        </w:tc>
      </w:tr>
      <w:tr>
        <w:trPr>
          <w:trHeight w:val="310" w:hRule="atLeast"/>
        </w:trPr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FTD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0.699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0.039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0.809 ± 0.038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0.627 ± 0.014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0.819 ± 0.027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0.690 ± 0.057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0.799 ± 0.036</w:t>
            </w:r>
          </w:p>
        </w:tc>
      </w:tr>
      <w:tr>
        <w:trPr>
          <w:trHeight w:val="280" w:hRule="atLeast"/>
        </w:trPr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C-Index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rPr>
          <w:trHeight w:val="310" w:hRule="atLeast"/>
        </w:trPr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All-cause dementia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0.805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0.792 ± 0.001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0.754 ± 0.002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0.837 ± 0.001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0.851 ± 0.002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0.871 ± 0.001</w:t>
            </w:r>
          </w:p>
        </w:tc>
      </w:tr>
      <w:tr>
        <w:trPr>
          <w:trHeight w:val="310" w:hRule="atLeast"/>
        </w:trPr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ADRD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0.823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0.829 ± 0.002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0.798 ± 0.003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0.879 ± 0.002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0.876 ± 0.002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0.904 ± 0.002</w:t>
            </w:r>
          </w:p>
        </w:tc>
      </w:tr>
      <w:tr>
        <w:trPr>
          <w:trHeight w:val="310" w:hRule="atLeast"/>
        </w:trPr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VD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0.830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0.807 ± 0.004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0.775 ± 0.004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0.861 ± 0.004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0.888 ± 0.002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0.910 ± 0.002</w:t>
            </w:r>
          </w:p>
        </w:tc>
      </w:tr>
      <w:tr>
        <w:trPr>
          <w:trHeight w:val="310" w:hRule="atLeast"/>
        </w:trPr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FTD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0.703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0.811 ± 0.011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0.680 ± 0.009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0.842 ± 0.010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0.779 ± 0.024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0.858 ± 0.010</w:t>
            </w:r>
          </w:p>
        </w:tc>
      </w:tr>
      <w:tr>
        <w:trPr>
          <w:trHeight w:val="310" w:hRule="atLeast"/>
        </w:trPr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 xml:space="preserve">et 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 xml:space="preserve">eclassification 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I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ndex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</w:tr>
      <w:tr>
        <w:trPr>
          <w:trHeight w:val="310" w:hRule="atLeast"/>
        </w:trPr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All-cause dementia</w:t>
            </w:r>
          </w:p>
        </w:tc>
        <w:tc>
          <w:tcPr>
            <w:tcW w:w="11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0.088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 (0.065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 0.106)</w:t>
            </w:r>
          </w:p>
        </w:tc>
        <w:tc>
          <w:tcPr>
            <w:tcW w:w="15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0.17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3 (0.152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 0.203)</w:t>
            </w:r>
          </w:p>
        </w:tc>
        <w:tc>
          <w:tcPr>
            <w:tcW w:w="14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0.13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5 (0.108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 0.171)</w:t>
            </w:r>
          </w:p>
        </w:tc>
      </w:tr>
      <w:tr>
        <w:trPr>
          <w:trHeight w:val="310" w:hRule="atLeast"/>
        </w:trPr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ADRD</w:t>
            </w:r>
          </w:p>
        </w:tc>
        <w:tc>
          <w:tcPr>
            <w:tcW w:w="11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0.02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4 (0.010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 0.039)</w:t>
            </w:r>
          </w:p>
        </w:tc>
        <w:tc>
          <w:tcPr>
            <w:tcW w:w="15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0.135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 (0.103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 0.170)</w:t>
            </w:r>
          </w:p>
        </w:tc>
        <w:tc>
          <w:tcPr>
            <w:tcW w:w="14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 xml:space="preserve"> 0.12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8 (0.089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 0.171)</w:t>
            </w:r>
          </w:p>
        </w:tc>
      </w:tr>
      <w:tr>
        <w:trPr>
          <w:trHeight w:val="310" w:hRule="atLeast"/>
        </w:trPr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VD</w:t>
            </w:r>
          </w:p>
        </w:tc>
        <w:tc>
          <w:tcPr>
            <w:tcW w:w="11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2 (-0.001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 0.034)</w:t>
            </w:r>
          </w:p>
        </w:tc>
        <w:tc>
          <w:tcPr>
            <w:tcW w:w="15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0.05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1 (0.019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 0.093)</w:t>
            </w:r>
          </w:p>
        </w:tc>
        <w:tc>
          <w:tcPr>
            <w:tcW w:w="14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0.064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 (0.033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 0.128)</w:t>
            </w:r>
          </w:p>
        </w:tc>
      </w:tr>
      <w:tr>
        <w:trPr>
          <w:trHeight w:val="310" w:hRule="atLeast"/>
        </w:trPr>
        <w:tc>
          <w:tcPr>
            <w:tcW w:w="85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FTD</w:t>
            </w:r>
          </w:p>
        </w:tc>
        <w:tc>
          <w:tcPr>
            <w:tcW w:w="1197" w:type="pct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-0.0002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 (-0.0003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 -0.00008)</w:t>
            </w:r>
          </w:p>
        </w:tc>
        <w:tc>
          <w:tcPr>
            <w:tcW w:w="1522" w:type="pct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-0.0002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 (-0.0004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 -0.0001)</w:t>
            </w:r>
          </w:p>
        </w:tc>
        <w:tc>
          <w:tcPr>
            <w:tcW w:w="1422" w:type="pct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-0.0002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 (-3.71E-04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 -9.89E-05)</w:t>
            </w:r>
          </w:p>
        </w:tc>
      </w:tr>
    </w:tbl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ADRD: Alzheimer’s disease and related dementia; VD: Vascular dementia; FTD: Frontotemporal dementia.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CAIDE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Cardiovascular Risk Factors, Aging, and Incidence of Dementia Risk Score, DRS</w:t>
      </w:r>
      <w:r>
        <w:rPr>
          <w:rFonts w:hint="eastAsia" w:ascii="Times New Roman" w:hAnsi="Times New Roman" w:cs="Times New Roman"/>
          <w:sz w:val="24"/>
        </w:rPr>
        <w:t>m:</w:t>
      </w:r>
      <w:r>
        <w:rPr>
          <w:rFonts w:ascii="Times New Roman" w:hAnsi="Times New Roman" w:cs="Times New Roman"/>
          <w:sz w:val="24"/>
        </w:rPr>
        <w:t xml:space="preserve"> Dementia Risk Score</w:t>
      </w:r>
      <w:r>
        <w:rPr>
          <w:rFonts w:hint="eastAsia" w:ascii="Times New Roman" w:hAnsi="Times New Roman" w:cs="Times New Roman"/>
          <w:sz w:val="24"/>
        </w:rPr>
        <w:t xml:space="preserve"> modified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S1</w:t>
      </w:r>
      <w:r>
        <w:rPr>
          <w:rFonts w:hint="eastAsia" w:ascii="Times New Roman" w:hAnsi="Times New Roman" w:cs="Times New Roman"/>
          <w:b/>
          <w:bCs/>
          <w:sz w:val="24"/>
        </w:rPr>
        <w:t>3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Competing Risk Analysis.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1"/>
        <w:gridCol w:w="4249"/>
        <w:gridCol w:w="220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72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Outcome</w:t>
            </w:r>
          </w:p>
        </w:tc>
        <w:tc>
          <w:tcPr>
            <w:tcW w:w="1499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779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72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All-cause dementia</w:t>
            </w:r>
          </w:p>
        </w:tc>
        <w:tc>
          <w:tcPr>
            <w:tcW w:w="149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7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GFAP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Interval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4)</w:t>
            </w:r>
          </w:p>
        </w:tc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2.224 (1.937 – 2.555)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 2.2×10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-16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NfL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Interval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4)</w:t>
            </w:r>
          </w:p>
        </w:tc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1.869 (1.622 – 2.154)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 2.2×10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-16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Alzheimer's disease and related dementia</w:t>
            </w:r>
          </w:p>
        </w:tc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GFAP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Interval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4)</w:t>
            </w:r>
          </w:p>
        </w:tc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2.980 (2.407 – 3.688)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 2.2×10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-16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NfL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Interval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4)</w:t>
            </w:r>
          </w:p>
        </w:tc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1.971 (1.611 – 2.411)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4.40×10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-11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Vascular dementia</w:t>
            </w:r>
          </w:p>
        </w:tc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GFAP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Interval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4)</w:t>
            </w:r>
          </w:p>
        </w:tc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2.201 (1.631 – 2.969)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2.40×10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-7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NfL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Interval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4)</w:t>
            </w:r>
          </w:p>
        </w:tc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1.925 (1.407 – 2.633)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4.20×10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-5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Frontotemporal dementia</w:t>
            </w:r>
          </w:p>
        </w:tc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GFAP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Interval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4)</w:t>
            </w:r>
          </w:p>
        </w:tc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3.115 (1.767 – 5.493)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8.60×10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-5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7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NfL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Interval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4)</w:t>
            </w:r>
          </w:p>
        </w:tc>
        <w:tc>
          <w:tcPr>
            <w:tcW w:w="14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4.074 (2.123 – 7.798)</w:t>
            </w:r>
          </w:p>
        </w:tc>
        <w:tc>
          <w:tcPr>
            <w:tcW w:w="7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2.20×10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-5</w:t>
            </w:r>
          </w:p>
        </w:tc>
      </w:tr>
    </w:tbl>
    <w:p>
      <w:pP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Covariates were adjusted by model 3 as described in Methods.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S1</w:t>
      </w:r>
      <w:r>
        <w:rPr>
          <w:rFonts w:hint="eastAsia" w:ascii="Times New Roman" w:hAnsi="Times New Roman" w:cs="Times New Roman"/>
          <w:b/>
          <w:bCs/>
          <w:sz w:val="24"/>
        </w:rPr>
        <w:t>4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Sensitivity Analysis for the Association Between GFAP and NfL With Incident All-cause Dementia (Imputing Missing Values).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3"/>
        <w:gridCol w:w="3008"/>
        <w:gridCol w:w="2024"/>
        <w:gridCol w:w="273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259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061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714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964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Observations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25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GFAP</w:t>
            </w:r>
          </w:p>
        </w:tc>
        <w:tc>
          <w:tcPr>
            <w:tcW w:w="106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1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96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Model 1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 xml:space="preserve">2.33 (2.07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–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 xml:space="preserve"> 2.62)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 2×10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-16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48,494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Model 2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 xml:space="preserve">2.09 (1.85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–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 xml:space="preserve"> 2.35)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 2×10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-16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48,494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Model 3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 xml:space="preserve">2.18 (1.94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–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 xml:space="preserve"> 2.45)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 2×10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-16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48,494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NfL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Model 1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 xml:space="preserve">2.10 (1.86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–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 xml:space="preserve"> 2.36)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 2×10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-16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48,494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Model 2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 xml:space="preserve">2.05 (1.82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–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 xml:space="preserve"> 2.31)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 2×10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-16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48,494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2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Model 3</w:t>
            </w:r>
          </w:p>
        </w:tc>
        <w:tc>
          <w:tcPr>
            <w:tcW w:w="10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 xml:space="preserve">1.94 (1.73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–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 xml:space="preserve"> 2.19)</w:t>
            </w: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 2×10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-16</w:t>
            </w:r>
          </w:p>
        </w:tc>
        <w:tc>
          <w:tcPr>
            <w:tcW w:w="9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48,494</w:t>
            </w:r>
          </w:p>
        </w:tc>
      </w:tr>
    </w:tbl>
    <w:p>
      <w:pP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Covariates were adjusted by model 1, 2, and 3 as described in Methods.</w:t>
      </w:r>
    </w:p>
    <w:p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S1</w:t>
      </w:r>
      <w:r>
        <w:rPr>
          <w:rFonts w:hint="eastAsia" w:ascii="Times New Roman" w:hAnsi="Times New Roman" w:cs="Times New Roman"/>
          <w:b/>
          <w:bCs/>
          <w:sz w:val="24"/>
        </w:rPr>
        <w:t>5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Predictive Model Using</w:t>
      </w:r>
      <w:r>
        <w:rPr>
          <w:rFonts w:hint="eastAsia" w:ascii="Times New Roman" w:hAnsi="Times New Roman" w:cs="Times New Roman"/>
          <w:sz w:val="24"/>
        </w:rPr>
        <w:t xml:space="preserve"> Age or Protein Expressions </w:t>
      </w:r>
      <w:r>
        <w:rPr>
          <w:rFonts w:ascii="Times New Roman" w:hAnsi="Times New Roman" w:cs="Times New Roman"/>
          <w:sz w:val="24"/>
        </w:rPr>
        <w:t>and Stratified by Age Groups.</w:t>
      </w:r>
    </w:p>
    <w:p>
      <w:pPr>
        <w:rPr>
          <w:rFonts w:ascii="Times New Roman" w:hAnsi="Times New Roman" w:cs="Times New Roman"/>
          <w:b/>
          <w:bCs/>
          <w:sz w:val="24"/>
        </w:rPr>
      </w:pPr>
    </w:p>
    <w:tbl>
      <w:tblPr>
        <w:tblStyle w:val="6"/>
        <w:tblW w:w="4996" w:type="pct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8"/>
        <w:gridCol w:w="1989"/>
        <w:gridCol w:w="2092"/>
        <w:gridCol w:w="1408"/>
        <w:gridCol w:w="2200"/>
        <w:gridCol w:w="2091"/>
        <w:gridCol w:w="1195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2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37" w:type="pct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Age &lt; 65</w:t>
            </w:r>
          </w:p>
        </w:tc>
        <w:tc>
          <w:tcPr>
            <w:tcW w:w="1936" w:type="pct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Age ≥ 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2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02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Age</w:t>
            </w:r>
          </w:p>
        </w:tc>
        <w:tc>
          <w:tcPr>
            <w:tcW w:w="737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GFAP + NfL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776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center" w:pos="905"/>
                <w:tab w:val="right" w:pos="1691"/>
              </w:tabs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Age</w:t>
            </w:r>
          </w:p>
        </w:tc>
        <w:tc>
          <w:tcPr>
            <w:tcW w:w="737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GFAP + NfL</w:t>
            </w:r>
          </w:p>
        </w:tc>
        <w:tc>
          <w:tcPr>
            <w:tcW w:w="422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4" w:hRule="atLeast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AUC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0" w:hRule="atLeast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All-cause dementia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736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758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0.101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665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0" w:hRule="atLeast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ADRD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728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786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0.055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617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6.16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×10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0" w:hRule="atLeast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VD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774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083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710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0.082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597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701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98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0" w:hRule="atLeast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FTD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677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790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0.062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550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785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C-Index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0" w:hRule="atLeast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All-cause dementia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740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03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760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 2×10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-16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592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03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683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03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 2×10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-16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0" w:hRule="atLeast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ADRD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731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03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807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 2×10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-16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613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03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718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03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 2×10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-16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0" w:hRule="atLeast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VD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780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05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746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.08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×10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-1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595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05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718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 2×10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vertAlign w:val="superscript"/>
                <w:lang w:bidi="ar"/>
              </w:rPr>
              <w:t>-16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0" w:hRule="atLeast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FTD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682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787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0.068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552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798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± 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0" w:hRule="atLeast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 xml:space="preserve">et 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 xml:space="preserve">eclassification 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I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ndex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0" w:hRule="atLeast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All-cause dementia</w:t>
            </w:r>
          </w:p>
        </w:tc>
        <w:tc>
          <w:tcPr>
            <w:tcW w:w="14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0.014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 (0.005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 0.027)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-</w:t>
            </w:r>
          </w:p>
        </w:tc>
        <w:tc>
          <w:tcPr>
            <w:tcW w:w="15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0.170 (0.125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 0.216)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0" w:hRule="atLeast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ADRD</w:t>
            </w:r>
          </w:p>
        </w:tc>
        <w:tc>
          <w:tcPr>
            <w:tcW w:w="14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2 (-0.001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 0.029)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-</w:t>
            </w:r>
          </w:p>
        </w:tc>
        <w:tc>
          <w:tcPr>
            <w:tcW w:w="15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(0.028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0.072)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0" w:hRule="atLeast"/>
        </w:trPr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VD</w:t>
            </w:r>
          </w:p>
        </w:tc>
        <w:tc>
          <w:tcPr>
            <w:tcW w:w="14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-0.0001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 (2.35E-04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 -2.61E-05)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-</w:t>
            </w:r>
          </w:p>
        </w:tc>
        <w:tc>
          <w:tcPr>
            <w:tcW w:w="15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(-0.005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0.058)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0" w:hRule="atLeast"/>
        </w:trPr>
        <w:tc>
          <w:tcPr>
            <w:tcW w:w="112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FTD</w:t>
            </w:r>
          </w:p>
        </w:tc>
        <w:tc>
          <w:tcPr>
            <w:tcW w:w="144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-0.0001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 (-2.35E-04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 -7.83E-05)</w:t>
            </w:r>
          </w:p>
        </w:tc>
        <w:tc>
          <w:tcPr>
            <w:tcW w:w="4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-</w:t>
            </w:r>
          </w:p>
        </w:tc>
        <w:tc>
          <w:tcPr>
            <w:tcW w:w="1514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0.000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4 (-6.90E-04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–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 -9.85E-05)</w:t>
            </w:r>
          </w:p>
        </w:tc>
        <w:tc>
          <w:tcPr>
            <w:tcW w:w="4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</w:tr>
    </w:tbl>
    <w:p>
      <w:pPr>
        <w:rPr>
          <w:rFonts w:ascii="Times New Roman" w:hAnsi="Times New Roman" w:cs="Times New Roman"/>
          <w:b/>
          <w:bCs/>
          <w:sz w:val="24"/>
        </w:rPr>
      </w:pP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ADRD: Alzheimer’s disease and related dementia; VD: Vascular dementia; FTD: Frontotemporal dementia.</w:t>
      </w:r>
    </w:p>
    <w:p>
      <w:pPr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P values were calculated by paired t-test.</w:t>
      </w:r>
    </w:p>
    <w:p>
      <w:pPr>
        <w:rPr>
          <w:rFonts w:ascii="Times New Roman" w:hAnsi="Times New Roman" w:cs="Times New Roman"/>
          <w:b/>
          <w:bCs/>
          <w:sz w:val="24"/>
        </w:rPr>
      </w:pPr>
    </w:p>
    <w:p>
      <w:pPr>
        <w:rPr>
          <w:rFonts w:ascii="Times New Roman" w:hAnsi="Times New Roman" w:cs="Times New Roman"/>
          <w:b/>
          <w:bCs/>
          <w:sz w:val="24"/>
        </w:rPr>
      </w:pPr>
    </w:p>
    <w:p>
      <w:pPr>
        <w:rPr>
          <w:rFonts w:ascii="Times New Roman" w:hAnsi="Times New Roman" w:cs="Times New Roman"/>
          <w:b/>
          <w:bCs/>
          <w:sz w:val="24"/>
        </w:rPr>
      </w:pPr>
    </w:p>
    <w:p>
      <w:pPr>
        <w:rPr>
          <w:rFonts w:ascii="Times New Roman" w:hAnsi="Times New Roman" w:cs="Times New Roman"/>
          <w:b/>
          <w:bCs/>
          <w:sz w:val="24"/>
        </w:rPr>
      </w:pP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S1</w:t>
      </w:r>
      <w:r>
        <w:rPr>
          <w:rFonts w:hint="eastAsia" w:ascii="Times New Roman" w:hAnsi="Times New Roman" w:cs="Times New Roman"/>
          <w:b/>
          <w:bCs/>
          <w:sz w:val="24"/>
        </w:rPr>
        <w:t>6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Predictive Model Using DRSm Combined with Protein Expression</w:t>
      </w:r>
      <w:r>
        <w:rPr>
          <w:rFonts w:hint="eastAsia"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and Stratified by Age Groups.</w:t>
      </w:r>
    </w:p>
    <w:tbl>
      <w:tblPr>
        <w:tblStyle w:val="6"/>
        <w:tblW w:w="4999" w:type="pct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5"/>
        <w:gridCol w:w="4139"/>
        <w:gridCol w:w="4147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076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923" w:type="pct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DRSm + GFAP + NfL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076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60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Age &lt; 65</w:t>
            </w:r>
          </w:p>
        </w:tc>
        <w:tc>
          <w:tcPr>
            <w:tcW w:w="1463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Age ≥ 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4" w:hRule="atLeast"/>
        </w:trPr>
        <w:tc>
          <w:tcPr>
            <w:tcW w:w="2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AUC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0" w:hRule="atLeast"/>
        </w:trPr>
        <w:tc>
          <w:tcPr>
            <w:tcW w:w="2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All-cause dementia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0.834 ± 0.042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0.771 ± 0.045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0" w:hRule="atLeast"/>
        </w:trPr>
        <w:tc>
          <w:tcPr>
            <w:tcW w:w="2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ADRD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0.854 ± 0.074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0.816 ± 0.062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0" w:hRule="atLeast"/>
        </w:trPr>
        <w:tc>
          <w:tcPr>
            <w:tcW w:w="2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VD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0.872 ±0 .093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0.776 ± 0.092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0" w:hRule="atLeast"/>
        </w:trPr>
        <w:tc>
          <w:tcPr>
            <w:tcW w:w="2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FTD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0.758 ± 0.071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0.670 ± 0.058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C-Index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0" w:hRule="atLeast"/>
        </w:trPr>
        <w:tc>
          <w:tcPr>
            <w:tcW w:w="2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All-cause dementia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0.837 ± 0.002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0.783 ± 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0" w:hRule="atLeast"/>
        </w:trPr>
        <w:tc>
          <w:tcPr>
            <w:tcW w:w="2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ADRD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0.870 ± 0.003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0.837 ± 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0" w:hRule="atLeast"/>
        </w:trPr>
        <w:tc>
          <w:tcPr>
            <w:tcW w:w="2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VD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0.897 ± 0.004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0.812 ± 0.004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0" w:hRule="atLeast"/>
        </w:trPr>
        <w:tc>
          <w:tcPr>
            <w:tcW w:w="207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FTD</w:t>
            </w:r>
          </w:p>
        </w:tc>
        <w:tc>
          <w:tcPr>
            <w:tcW w:w="1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0.863 ± 0.013</w:t>
            </w:r>
          </w:p>
        </w:tc>
        <w:tc>
          <w:tcPr>
            <w:tcW w:w="14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0.866 ± 0.019</w:t>
            </w:r>
          </w:p>
        </w:tc>
      </w:tr>
    </w:tbl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ADRD: Alzheimer’s disease and related dementia; VD: Vascular dementia; FTD: Frontotemporal dementia.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DRS</w:t>
      </w:r>
      <w:r>
        <w:rPr>
          <w:rFonts w:hint="eastAsia" w:ascii="Times New Roman" w:hAnsi="Times New Roman" w:cs="Times New Roman"/>
          <w:sz w:val="24"/>
        </w:rPr>
        <w:t>m:</w:t>
      </w:r>
      <w:r>
        <w:rPr>
          <w:rFonts w:ascii="Times New Roman" w:hAnsi="Times New Roman" w:cs="Times New Roman"/>
          <w:sz w:val="24"/>
        </w:rPr>
        <w:t xml:space="preserve"> Dementia Risk Score</w:t>
      </w:r>
      <w:r>
        <w:rPr>
          <w:rFonts w:hint="eastAsia" w:ascii="Times New Roman" w:hAnsi="Times New Roman" w:cs="Times New Roman"/>
          <w:sz w:val="24"/>
        </w:rPr>
        <w:t xml:space="preserve"> modified</w:t>
      </w:r>
    </w:p>
    <w:p>
      <w:pPr>
        <w:rPr>
          <w:rFonts w:ascii="Times New Roman" w:hAnsi="Times New Roman" w:cs="Times New Roman"/>
          <w:b/>
          <w:bCs/>
          <w:sz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Cambria Math">
    <w:altName w:val="Kingsoft Math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WAAAA&#10;ZHJzL1BLAQIUABQAAAAIAIdO4kCzSVju0AAAAAUBAAAPAAAAAAAAAAEAIAAAADgAAABkcnMvZG93&#10;bnJldi54bWxQSwECFAAUAAAACACHTuJAmkZxjCsCAABXBAAADgAAAAAAAAABACAAAAA1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0F3F2F"/>
    <w:multiLevelType w:val="singleLevel"/>
    <w:tmpl w:val="DC0F3F2F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YxOTBkMjY2Njg1MGIyNWI1YWFjNTYwMGI1Y2YwNmQifQ=="/>
  </w:docVars>
  <w:rsids>
    <w:rsidRoot w:val="2DF40E7A"/>
    <w:rsid w:val="000E7B1F"/>
    <w:rsid w:val="004E2611"/>
    <w:rsid w:val="00C15BC0"/>
    <w:rsid w:val="00FB166F"/>
    <w:rsid w:val="00FE5DE6"/>
    <w:rsid w:val="01395285"/>
    <w:rsid w:val="013B4944"/>
    <w:rsid w:val="016E3FE0"/>
    <w:rsid w:val="01B033D2"/>
    <w:rsid w:val="01C72940"/>
    <w:rsid w:val="01D330B0"/>
    <w:rsid w:val="01E7687A"/>
    <w:rsid w:val="01F80A87"/>
    <w:rsid w:val="0261662C"/>
    <w:rsid w:val="027D6ED9"/>
    <w:rsid w:val="02854A0B"/>
    <w:rsid w:val="02B62B41"/>
    <w:rsid w:val="02D54924"/>
    <w:rsid w:val="038878F2"/>
    <w:rsid w:val="03912F41"/>
    <w:rsid w:val="03AA7B5F"/>
    <w:rsid w:val="03DE3CAC"/>
    <w:rsid w:val="03FD4132"/>
    <w:rsid w:val="045849ED"/>
    <w:rsid w:val="045B52FD"/>
    <w:rsid w:val="046A423C"/>
    <w:rsid w:val="04A24CDA"/>
    <w:rsid w:val="04DD3F64"/>
    <w:rsid w:val="050F6813"/>
    <w:rsid w:val="05412745"/>
    <w:rsid w:val="054B1EFF"/>
    <w:rsid w:val="05600E8A"/>
    <w:rsid w:val="05A66A8B"/>
    <w:rsid w:val="05EA1F03"/>
    <w:rsid w:val="05EC26B0"/>
    <w:rsid w:val="06410E51"/>
    <w:rsid w:val="06691F53"/>
    <w:rsid w:val="06A90522"/>
    <w:rsid w:val="06C10C36"/>
    <w:rsid w:val="06FD269B"/>
    <w:rsid w:val="071A26D7"/>
    <w:rsid w:val="072678E3"/>
    <w:rsid w:val="073E346C"/>
    <w:rsid w:val="0777244E"/>
    <w:rsid w:val="078057A6"/>
    <w:rsid w:val="078B25F5"/>
    <w:rsid w:val="080A2E68"/>
    <w:rsid w:val="081303C8"/>
    <w:rsid w:val="08844E22"/>
    <w:rsid w:val="08EC1311"/>
    <w:rsid w:val="09423D0E"/>
    <w:rsid w:val="09A11A04"/>
    <w:rsid w:val="09B23C11"/>
    <w:rsid w:val="09FF4E2A"/>
    <w:rsid w:val="0A447D68"/>
    <w:rsid w:val="0A5922DF"/>
    <w:rsid w:val="0ABB4799"/>
    <w:rsid w:val="0B0A357E"/>
    <w:rsid w:val="0B310B66"/>
    <w:rsid w:val="0C071718"/>
    <w:rsid w:val="0C1069CD"/>
    <w:rsid w:val="0C6F62FF"/>
    <w:rsid w:val="0CA710DF"/>
    <w:rsid w:val="0D40618A"/>
    <w:rsid w:val="0DD71E98"/>
    <w:rsid w:val="0E5C1236"/>
    <w:rsid w:val="0E6179B4"/>
    <w:rsid w:val="0EA70C00"/>
    <w:rsid w:val="0EC73CBB"/>
    <w:rsid w:val="0EC77B13"/>
    <w:rsid w:val="0ECF0DC1"/>
    <w:rsid w:val="0ED03727"/>
    <w:rsid w:val="0F1C2F5E"/>
    <w:rsid w:val="0F6C0C55"/>
    <w:rsid w:val="0F8309E1"/>
    <w:rsid w:val="0F8E1282"/>
    <w:rsid w:val="100D0CBF"/>
    <w:rsid w:val="103267C5"/>
    <w:rsid w:val="1038514C"/>
    <w:rsid w:val="103C5FE2"/>
    <w:rsid w:val="10576079"/>
    <w:rsid w:val="105C4F9C"/>
    <w:rsid w:val="109E4EEF"/>
    <w:rsid w:val="10BE7CE9"/>
    <w:rsid w:val="11186A50"/>
    <w:rsid w:val="11335902"/>
    <w:rsid w:val="11800151"/>
    <w:rsid w:val="12011292"/>
    <w:rsid w:val="122B15F7"/>
    <w:rsid w:val="12B61F29"/>
    <w:rsid w:val="12BF763D"/>
    <w:rsid w:val="12CB06CD"/>
    <w:rsid w:val="132538EA"/>
    <w:rsid w:val="132A5649"/>
    <w:rsid w:val="137678C1"/>
    <w:rsid w:val="14472E49"/>
    <w:rsid w:val="144B3AE7"/>
    <w:rsid w:val="146138AA"/>
    <w:rsid w:val="147A357D"/>
    <w:rsid w:val="14881C4F"/>
    <w:rsid w:val="14D07641"/>
    <w:rsid w:val="14E851B8"/>
    <w:rsid w:val="16E80C72"/>
    <w:rsid w:val="16FC1321"/>
    <w:rsid w:val="171D4158"/>
    <w:rsid w:val="1731561E"/>
    <w:rsid w:val="17584751"/>
    <w:rsid w:val="17712A16"/>
    <w:rsid w:val="177A70E6"/>
    <w:rsid w:val="17E04F45"/>
    <w:rsid w:val="18003D99"/>
    <w:rsid w:val="186F1D4F"/>
    <w:rsid w:val="18AA314D"/>
    <w:rsid w:val="18BC2305"/>
    <w:rsid w:val="18BC4164"/>
    <w:rsid w:val="1925717C"/>
    <w:rsid w:val="19B92850"/>
    <w:rsid w:val="1A4F2DB6"/>
    <w:rsid w:val="1A674035"/>
    <w:rsid w:val="1A78055F"/>
    <w:rsid w:val="1A8C3163"/>
    <w:rsid w:val="1A8C6779"/>
    <w:rsid w:val="1A901079"/>
    <w:rsid w:val="1B8C2514"/>
    <w:rsid w:val="1B9F38C9"/>
    <w:rsid w:val="1C1D57E8"/>
    <w:rsid w:val="1C3A271C"/>
    <w:rsid w:val="1CC17F9B"/>
    <w:rsid w:val="1D3C6327"/>
    <w:rsid w:val="1D4666F2"/>
    <w:rsid w:val="1D4A0555"/>
    <w:rsid w:val="1D6D56AE"/>
    <w:rsid w:val="1D9F5E03"/>
    <w:rsid w:val="1DAD3DAD"/>
    <w:rsid w:val="1DD717E6"/>
    <w:rsid w:val="1E043A67"/>
    <w:rsid w:val="1E1E31CB"/>
    <w:rsid w:val="1E6A399F"/>
    <w:rsid w:val="1ED337BC"/>
    <w:rsid w:val="1EE305C4"/>
    <w:rsid w:val="1EFEBB4A"/>
    <w:rsid w:val="1F1C5897"/>
    <w:rsid w:val="1F463A11"/>
    <w:rsid w:val="1F4A5D44"/>
    <w:rsid w:val="1F7E2174"/>
    <w:rsid w:val="1F9870B8"/>
    <w:rsid w:val="1FA07A57"/>
    <w:rsid w:val="1FE346CD"/>
    <w:rsid w:val="2027280B"/>
    <w:rsid w:val="20407429"/>
    <w:rsid w:val="204D1B46"/>
    <w:rsid w:val="20B6593D"/>
    <w:rsid w:val="20E64474"/>
    <w:rsid w:val="21336F8E"/>
    <w:rsid w:val="216B0472"/>
    <w:rsid w:val="21751354"/>
    <w:rsid w:val="217A696B"/>
    <w:rsid w:val="21C20989"/>
    <w:rsid w:val="21F030D1"/>
    <w:rsid w:val="220B1BC2"/>
    <w:rsid w:val="22162099"/>
    <w:rsid w:val="22194943"/>
    <w:rsid w:val="22255A28"/>
    <w:rsid w:val="22596E5D"/>
    <w:rsid w:val="22A74D75"/>
    <w:rsid w:val="22CA56D0"/>
    <w:rsid w:val="233F337B"/>
    <w:rsid w:val="23CE2C95"/>
    <w:rsid w:val="23E8163D"/>
    <w:rsid w:val="24202ADA"/>
    <w:rsid w:val="24276EB2"/>
    <w:rsid w:val="24763D61"/>
    <w:rsid w:val="24A07728"/>
    <w:rsid w:val="24D82326"/>
    <w:rsid w:val="2503311B"/>
    <w:rsid w:val="2512329A"/>
    <w:rsid w:val="25730837"/>
    <w:rsid w:val="2593624D"/>
    <w:rsid w:val="25B32729"/>
    <w:rsid w:val="264B1D94"/>
    <w:rsid w:val="265728E7"/>
    <w:rsid w:val="26677513"/>
    <w:rsid w:val="267E514F"/>
    <w:rsid w:val="269B6890"/>
    <w:rsid w:val="2718770F"/>
    <w:rsid w:val="271A7958"/>
    <w:rsid w:val="272555CB"/>
    <w:rsid w:val="27A73FC6"/>
    <w:rsid w:val="28314ECF"/>
    <w:rsid w:val="28593D52"/>
    <w:rsid w:val="287D3B77"/>
    <w:rsid w:val="28831575"/>
    <w:rsid w:val="28BF67A1"/>
    <w:rsid w:val="29293FA2"/>
    <w:rsid w:val="2936586D"/>
    <w:rsid w:val="29746395"/>
    <w:rsid w:val="29B80978"/>
    <w:rsid w:val="29FB394A"/>
    <w:rsid w:val="2A007C29"/>
    <w:rsid w:val="2A241B69"/>
    <w:rsid w:val="2A5A3A20"/>
    <w:rsid w:val="2A922F77"/>
    <w:rsid w:val="2B046561"/>
    <w:rsid w:val="2B5834DC"/>
    <w:rsid w:val="2BA03472"/>
    <w:rsid w:val="2BAE2C44"/>
    <w:rsid w:val="2BFB4D3E"/>
    <w:rsid w:val="2C230A66"/>
    <w:rsid w:val="2C293F03"/>
    <w:rsid w:val="2C4C2003"/>
    <w:rsid w:val="2CB177FA"/>
    <w:rsid w:val="2CF41CC7"/>
    <w:rsid w:val="2D0068BE"/>
    <w:rsid w:val="2D320A41"/>
    <w:rsid w:val="2D87488A"/>
    <w:rsid w:val="2D8A3F0F"/>
    <w:rsid w:val="2DCE2518"/>
    <w:rsid w:val="2DF40E7A"/>
    <w:rsid w:val="2E21535D"/>
    <w:rsid w:val="2E876B6B"/>
    <w:rsid w:val="2EDB4780"/>
    <w:rsid w:val="2F087CAC"/>
    <w:rsid w:val="2F283504"/>
    <w:rsid w:val="2F5352C4"/>
    <w:rsid w:val="2F6C32E1"/>
    <w:rsid w:val="2FBE7790"/>
    <w:rsid w:val="2FC97716"/>
    <w:rsid w:val="2FED0C50"/>
    <w:rsid w:val="30024B76"/>
    <w:rsid w:val="30C6676A"/>
    <w:rsid w:val="313A6116"/>
    <w:rsid w:val="31E3230A"/>
    <w:rsid w:val="31E57E30"/>
    <w:rsid w:val="324A4137"/>
    <w:rsid w:val="32844C35"/>
    <w:rsid w:val="328D7E61"/>
    <w:rsid w:val="329F041D"/>
    <w:rsid w:val="32D428B1"/>
    <w:rsid w:val="32D81743"/>
    <w:rsid w:val="33784CD4"/>
    <w:rsid w:val="340B0A6A"/>
    <w:rsid w:val="341E7629"/>
    <w:rsid w:val="345179FF"/>
    <w:rsid w:val="34E376C5"/>
    <w:rsid w:val="34EB1C02"/>
    <w:rsid w:val="3505286C"/>
    <w:rsid w:val="350C044C"/>
    <w:rsid w:val="351A0017"/>
    <w:rsid w:val="354041AE"/>
    <w:rsid w:val="357D65D2"/>
    <w:rsid w:val="358636D8"/>
    <w:rsid w:val="358C701E"/>
    <w:rsid w:val="3592207D"/>
    <w:rsid w:val="35941EE7"/>
    <w:rsid w:val="35973B37"/>
    <w:rsid w:val="36DC0B6D"/>
    <w:rsid w:val="372407BE"/>
    <w:rsid w:val="372B50A7"/>
    <w:rsid w:val="374B6987"/>
    <w:rsid w:val="375D7A12"/>
    <w:rsid w:val="377203B8"/>
    <w:rsid w:val="37BD0108"/>
    <w:rsid w:val="37F20FB0"/>
    <w:rsid w:val="382870E5"/>
    <w:rsid w:val="38473444"/>
    <w:rsid w:val="38575800"/>
    <w:rsid w:val="38760BAD"/>
    <w:rsid w:val="38806B05"/>
    <w:rsid w:val="389E342F"/>
    <w:rsid w:val="38CC1D4A"/>
    <w:rsid w:val="391B682D"/>
    <w:rsid w:val="394915ED"/>
    <w:rsid w:val="39537572"/>
    <w:rsid w:val="39DA37E0"/>
    <w:rsid w:val="3A3B72DD"/>
    <w:rsid w:val="3A3E74A3"/>
    <w:rsid w:val="3A5C7555"/>
    <w:rsid w:val="3AA31AE7"/>
    <w:rsid w:val="3AA94B11"/>
    <w:rsid w:val="3AC00B5A"/>
    <w:rsid w:val="3AC058DE"/>
    <w:rsid w:val="3AC3717D"/>
    <w:rsid w:val="3B46294E"/>
    <w:rsid w:val="3B5FF5FB"/>
    <w:rsid w:val="3B6C3370"/>
    <w:rsid w:val="3BAC3BAE"/>
    <w:rsid w:val="3C137C90"/>
    <w:rsid w:val="3C37731E"/>
    <w:rsid w:val="3C53567F"/>
    <w:rsid w:val="3C790877"/>
    <w:rsid w:val="3CD37937"/>
    <w:rsid w:val="3D006466"/>
    <w:rsid w:val="3D385C00"/>
    <w:rsid w:val="3D5F19FE"/>
    <w:rsid w:val="3D6F0EF6"/>
    <w:rsid w:val="3E4C3FFA"/>
    <w:rsid w:val="3EC11C25"/>
    <w:rsid w:val="3EE11A80"/>
    <w:rsid w:val="3EF90895"/>
    <w:rsid w:val="3F03223E"/>
    <w:rsid w:val="3F1B1335"/>
    <w:rsid w:val="3F850B1A"/>
    <w:rsid w:val="3FEA68B8"/>
    <w:rsid w:val="40241450"/>
    <w:rsid w:val="409C4562"/>
    <w:rsid w:val="409F5F96"/>
    <w:rsid w:val="40A7345C"/>
    <w:rsid w:val="417C003C"/>
    <w:rsid w:val="417D62D7"/>
    <w:rsid w:val="41C95079"/>
    <w:rsid w:val="425D7A1C"/>
    <w:rsid w:val="42973EA3"/>
    <w:rsid w:val="432F3601"/>
    <w:rsid w:val="4331506A"/>
    <w:rsid w:val="433C187A"/>
    <w:rsid w:val="4389537A"/>
    <w:rsid w:val="43A40AF2"/>
    <w:rsid w:val="43C006FD"/>
    <w:rsid w:val="442C635E"/>
    <w:rsid w:val="445A645C"/>
    <w:rsid w:val="445C6678"/>
    <w:rsid w:val="44625310"/>
    <w:rsid w:val="447F4114"/>
    <w:rsid w:val="44A27E03"/>
    <w:rsid w:val="44F07393"/>
    <w:rsid w:val="45091C30"/>
    <w:rsid w:val="45341A76"/>
    <w:rsid w:val="45343845"/>
    <w:rsid w:val="45462793"/>
    <w:rsid w:val="457870A4"/>
    <w:rsid w:val="45C74089"/>
    <w:rsid w:val="460453A6"/>
    <w:rsid w:val="46DF0E9A"/>
    <w:rsid w:val="471C4279"/>
    <w:rsid w:val="472739AC"/>
    <w:rsid w:val="4794353F"/>
    <w:rsid w:val="480D2FE1"/>
    <w:rsid w:val="486C2660"/>
    <w:rsid w:val="48790B8E"/>
    <w:rsid w:val="487B78EB"/>
    <w:rsid w:val="487D096B"/>
    <w:rsid w:val="48AE321A"/>
    <w:rsid w:val="48DD144D"/>
    <w:rsid w:val="49042E3A"/>
    <w:rsid w:val="49491C6D"/>
    <w:rsid w:val="49647D7D"/>
    <w:rsid w:val="497E57DF"/>
    <w:rsid w:val="4A29760D"/>
    <w:rsid w:val="4A37476A"/>
    <w:rsid w:val="4A6E2145"/>
    <w:rsid w:val="4A6E30D2"/>
    <w:rsid w:val="4A9B5A20"/>
    <w:rsid w:val="4ADE3681"/>
    <w:rsid w:val="4ADF11B3"/>
    <w:rsid w:val="4B105AC6"/>
    <w:rsid w:val="4B2A2961"/>
    <w:rsid w:val="4B50040A"/>
    <w:rsid w:val="4C013661"/>
    <w:rsid w:val="4C213D03"/>
    <w:rsid w:val="4C2A2BEC"/>
    <w:rsid w:val="4C6A2251"/>
    <w:rsid w:val="4C7C7A72"/>
    <w:rsid w:val="4CBB7CB4"/>
    <w:rsid w:val="4CE17C8C"/>
    <w:rsid w:val="4D6B771C"/>
    <w:rsid w:val="4D7E6BE5"/>
    <w:rsid w:val="4DDF79D2"/>
    <w:rsid w:val="4DF65813"/>
    <w:rsid w:val="4DFA480C"/>
    <w:rsid w:val="4E726219"/>
    <w:rsid w:val="4E760948"/>
    <w:rsid w:val="4ECA68D4"/>
    <w:rsid w:val="4F764366"/>
    <w:rsid w:val="4F7D979B"/>
    <w:rsid w:val="4FB365CF"/>
    <w:rsid w:val="501778F7"/>
    <w:rsid w:val="501A1195"/>
    <w:rsid w:val="506C7057"/>
    <w:rsid w:val="50A849F3"/>
    <w:rsid w:val="50F97FCF"/>
    <w:rsid w:val="513B7615"/>
    <w:rsid w:val="515B3813"/>
    <w:rsid w:val="51C21764"/>
    <w:rsid w:val="520150E1"/>
    <w:rsid w:val="52140128"/>
    <w:rsid w:val="522F1608"/>
    <w:rsid w:val="52694EC1"/>
    <w:rsid w:val="5271683A"/>
    <w:rsid w:val="5290573F"/>
    <w:rsid w:val="52965B84"/>
    <w:rsid w:val="52E12DCC"/>
    <w:rsid w:val="52E71802"/>
    <w:rsid w:val="52F7756C"/>
    <w:rsid w:val="530C3017"/>
    <w:rsid w:val="531C50F9"/>
    <w:rsid w:val="53261BFE"/>
    <w:rsid w:val="53935379"/>
    <w:rsid w:val="53CD721A"/>
    <w:rsid w:val="542B1FEB"/>
    <w:rsid w:val="544C6EA3"/>
    <w:rsid w:val="544D38E7"/>
    <w:rsid w:val="547F1F0F"/>
    <w:rsid w:val="549860DA"/>
    <w:rsid w:val="54B075F9"/>
    <w:rsid w:val="550D3076"/>
    <w:rsid w:val="55202DAA"/>
    <w:rsid w:val="55A819F9"/>
    <w:rsid w:val="560346B4"/>
    <w:rsid w:val="56462171"/>
    <w:rsid w:val="564A010C"/>
    <w:rsid w:val="56E16A1A"/>
    <w:rsid w:val="57535E58"/>
    <w:rsid w:val="575D6537"/>
    <w:rsid w:val="5767596D"/>
    <w:rsid w:val="57802226"/>
    <w:rsid w:val="579730CB"/>
    <w:rsid w:val="57C84740"/>
    <w:rsid w:val="582F194D"/>
    <w:rsid w:val="585C6B9F"/>
    <w:rsid w:val="58812F33"/>
    <w:rsid w:val="58F5279F"/>
    <w:rsid w:val="59B5338A"/>
    <w:rsid w:val="59B8562B"/>
    <w:rsid w:val="59C87211"/>
    <w:rsid w:val="5A1005F6"/>
    <w:rsid w:val="5A3A33DD"/>
    <w:rsid w:val="5A3A4A42"/>
    <w:rsid w:val="5A7617F2"/>
    <w:rsid w:val="5A7D105E"/>
    <w:rsid w:val="5AF019DD"/>
    <w:rsid w:val="5B543B6F"/>
    <w:rsid w:val="5B561ED5"/>
    <w:rsid w:val="5B563CA4"/>
    <w:rsid w:val="5B5B1807"/>
    <w:rsid w:val="5B9D6810"/>
    <w:rsid w:val="5BA04C44"/>
    <w:rsid w:val="5BF84A80"/>
    <w:rsid w:val="5D5E0913"/>
    <w:rsid w:val="5DDF61F5"/>
    <w:rsid w:val="5E023994"/>
    <w:rsid w:val="5E4D1B01"/>
    <w:rsid w:val="5E6C3504"/>
    <w:rsid w:val="5E7634E1"/>
    <w:rsid w:val="5E7D252A"/>
    <w:rsid w:val="5E83130F"/>
    <w:rsid w:val="5EFE3080"/>
    <w:rsid w:val="5FBA11A7"/>
    <w:rsid w:val="5FBD6443"/>
    <w:rsid w:val="5FBF7663"/>
    <w:rsid w:val="5FF70B8B"/>
    <w:rsid w:val="601606E4"/>
    <w:rsid w:val="60431E99"/>
    <w:rsid w:val="604C7455"/>
    <w:rsid w:val="606F2E37"/>
    <w:rsid w:val="60997EB4"/>
    <w:rsid w:val="60BE791B"/>
    <w:rsid w:val="61364F93"/>
    <w:rsid w:val="61820EC5"/>
    <w:rsid w:val="61BF1B9C"/>
    <w:rsid w:val="61CB329D"/>
    <w:rsid w:val="62233ED9"/>
    <w:rsid w:val="626A29F5"/>
    <w:rsid w:val="633111A5"/>
    <w:rsid w:val="639506C2"/>
    <w:rsid w:val="63B53257"/>
    <w:rsid w:val="63E90FE9"/>
    <w:rsid w:val="646D3B32"/>
    <w:rsid w:val="64CF61F6"/>
    <w:rsid w:val="64EC2F81"/>
    <w:rsid w:val="64F0304B"/>
    <w:rsid w:val="65080E4C"/>
    <w:rsid w:val="65B5753E"/>
    <w:rsid w:val="65EF3008"/>
    <w:rsid w:val="664061B8"/>
    <w:rsid w:val="66D363D6"/>
    <w:rsid w:val="66E96F94"/>
    <w:rsid w:val="672302EE"/>
    <w:rsid w:val="6727446C"/>
    <w:rsid w:val="674466F8"/>
    <w:rsid w:val="67462B55"/>
    <w:rsid w:val="675635B6"/>
    <w:rsid w:val="678371C8"/>
    <w:rsid w:val="678A2757"/>
    <w:rsid w:val="67BD092C"/>
    <w:rsid w:val="68541290"/>
    <w:rsid w:val="6870599E"/>
    <w:rsid w:val="68AF296B"/>
    <w:rsid w:val="69B57DCE"/>
    <w:rsid w:val="69C76BA1"/>
    <w:rsid w:val="69D16B70"/>
    <w:rsid w:val="6A241E1F"/>
    <w:rsid w:val="6BC87409"/>
    <w:rsid w:val="6BD6020E"/>
    <w:rsid w:val="6C00528B"/>
    <w:rsid w:val="6C3C3C8E"/>
    <w:rsid w:val="6CA704A7"/>
    <w:rsid w:val="6CD508C8"/>
    <w:rsid w:val="6CE7184E"/>
    <w:rsid w:val="6D2C6C05"/>
    <w:rsid w:val="6D5175C4"/>
    <w:rsid w:val="6DA31E1B"/>
    <w:rsid w:val="6DAF2072"/>
    <w:rsid w:val="6DBC51E2"/>
    <w:rsid w:val="6E5FBA3A"/>
    <w:rsid w:val="6E5FE6AD"/>
    <w:rsid w:val="6E804461"/>
    <w:rsid w:val="6EA0448C"/>
    <w:rsid w:val="6F225711"/>
    <w:rsid w:val="6F7F7FE0"/>
    <w:rsid w:val="6FD378C1"/>
    <w:rsid w:val="6FF9170D"/>
    <w:rsid w:val="6FFEE57C"/>
    <w:rsid w:val="70310109"/>
    <w:rsid w:val="70B9397B"/>
    <w:rsid w:val="70F133F4"/>
    <w:rsid w:val="713954C7"/>
    <w:rsid w:val="713D663A"/>
    <w:rsid w:val="716977C2"/>
    <w:rsid w:val="71B267D7"/>
    <w:rsid w:val="71FA4253"/>
    <w:rsid w:val="72D2478B"/>
    <w:rsid w:val="72D42E76"/>
    <w:rsid w:val="73441F01"/>
    <w:rsid w:val="73CE6CD2"/>
    <w:rsid w:val="74130252"/>
    <w:rsid w:val="74183CCB"/>
    <w:rsid w:val="741D2CE4"/>
    <w:rsid w:val="7443665D"/>
    <w:rsid w:val="74600FBD"/>
    <w:rsid w:val="747C271B"/>
    <w:rsid w:val="748A7022"/>
    <w:rsid w:val="75045ABA"/>
    <w:rsid w:val="754B4766"/>
    <w:rsid w:val="75704960"/>
    <w:rsid w:val="76AD4842"/>
    <w:rsid w:val="772E53A2"/>
    <w:rsid w:val="779E1EC9"/>
    <w:rsid w:val="780A371A"/>
    <w:rsid w:val="78363C62"/>
    <w:rsid w:val="784F59FE"/>
    <w:rsid w:val="785901FD"/>
    <w:rsid w:val="789A2DA3"/>
    <w:rsid w:val="791F31F5"/>
    <w:rsid w:val="797C2153"/>
    <w:rsid w:val="79CF667F"/>
    <w:rsid w:val="7A067F11"/>
    <w:rsid w:val="7AA5597C"/>
    <w:rsid w:val="7AC32471"/>
    <w:rsid w:val="7AF23B62"/>
    <w:rsid w:val="7B085777"/>
    <w:rsid w:val="7B5645C7"/>
    <w:rsid w:val="7B5A6537"/>
    <w:rsid w:val="7B6E5A8C"/>
    <w:rsid w:val="7B7C5444"/>
    <w:rsid w:val="7BAC3561"/>
    <w:rsid w:val="7C0D1A2A"/>
    <w:rsid w:val="7C1F4227"/>
    <w:rsid w:val="7C2C549C"/>
    <w:rsid w:val="7C351C1C"/>
    <w:rsid w:val="7C515AE3"/>
    <w:rsid w:val="7CE04A49"/>
    <w:rsid w:val="7D06502B"/>
    <w:rsid w:val="7D6513F2"/>
    <w:rsid w:val="7E5C27F5"/>
    <w:rsid w:val="7E73F74B"/>
    <w:rsid w:val="7E740EAF"/>
    <w:rsid w:val="7EE747B5"/>
    <w:rsid w:val="7EFFB639"/>
    <w:rsid w:val="7F1F5DDE"/>
    <w:rsid w:val="7F402117"/>
    <w:rsid w:val="7F473894"/>
    <w:rsid w:val="7FA9A782"/>
    <w:rsid w:val="7FEFB781"/>
    <w:rsid w:val="7FF671D9"/>
    <w:rsid w:val="7FFA2B8D"/>
    <w:rsid w:val="7FFA49FC"/>
    <w:rsid w:val="B7FF39BD"/>
    <w:rsid w:val="CFAF2CE1"/>
    <w:rsid w:val="D7FB21B3"/>
    <w:rsid w:val="EF6B10B9"/>
    <w:rsid w:val="EF6E3029"/>
    <w:rsid w:val="EFAA6BC5"/>
    <w:rsid w:val="EFFFE74E"/>
    <w:rsid w:val="FD73C78C"/>
    <w:rsid w:val="FF75F940"/>
    <w:rsid w:val="FFFFE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rFonts w:eastAsia="Arial Unicode MS"/>
      <w:b/>
      <w:bCs/>
      <w:color w:val="7030A0"/>
      <w:sz w:val="36"/>
      <w:szCs w:val="48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360" w:after="80"/>
      <w:outlineLvl w:val="1"/>
    </w:pPr>
    <w:rPr>
      <w:rFonts w:eastAsia="Arial Unicode MS"/>
      <w:b/>
      <w:bCs/>
      <w:color w:val="0070C0"/>
      <w:sz w:val="32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1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  <w:style w:type="character" w:customStyle="1" w:styleId="10">
    <w:name w:val="font4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paragraph" w:customStyle="1" w:styleId="11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45</Pages>
  <Words>4913</Words>
  <Characters>28005</Characters>
  <Lines>233</Lines>
  <Paragraphs>65</Paragraphs>
  <TotalTime>2</TotalTime>
  <ScaleCrop>false</ScaleCrop>
  <LinksUpToDate>false</LinksUpToDate>
  <CharactersWithSpaces>32853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2024-04-08T20:33:00Z</dcterms:created>
  <dc:creator>Administrator</dc:creator>
  <cp:lastModifiedBy>Administrator</cp:lastModifiedBy>
  <dcterms:modified xsi:type="dcterms:W3CDTF">2024-04-09T10:45:17Z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92C7E12F1F0C4C5FB429E11C0E395854_13</vt:lpwstr>
  </property>
</Properties>
</file>