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jc w:val="left"/>
        <w:rPr>
          <w:rFonts w:ascii="Times New Roman" w:hAnsi="Times New Roman" w:eastAsia="宋体" w:cs="Times New Roman"/>
          <w:b/>
          <w:bCs/>
          <w:kern w:val="0"/>
          <w:sz w:val="24"/>
          <w:lang w:bidi="ar"/>
        </w:rPr>
      </w:pPr>
      <w:r>
        <w:rPr>
          <w:rFonts w:hint="eastAsia" w:ascii="Times New Roman" w:hAnsi="Times New Roman" w:eastAsia="宋体" w:cs="Times New Roman"/>
          <w:b/>
          <w:bCs/>
          <w:kern w:val="0"/>
          <w:sz w:val="24"/>
          <w:lang w:bidi="ar"/>
        </w:rPr>
        <w:t>R</w:t>
      </w:r>
      <w:r>
        <w:rPr>
          <w:rFonts w:ascii="Times New Roman" w:hAnsi="Times New Roman" w:eastAsia="宋体" w:cs="Times New Roman"/>
          <w:b/>
          <w:bCs/>
          <w:kern w:val="0"/>
          <w:sz w:val="24"/>
          <w:lang w:bidi="ar"/>
        </w:rPr>
        <w:t xml:space="preserve">uxolitinib plus standard of care </w:t>
      </w:r>
      <w:r>
        <w:rPr>
          <w:rFonts w:hint="eastAsia" w:ascii="Times New Roman" w:hAnsi="Times New Roman" w:eastAsia="宋体" w:cs="Times New Roman"/>
          <w:b/>
          <w:bCs/>
          <w:kern w:val="0"/>
          <w:sz w:val="24"/>
          <w:lang w:bidi="ar"/>
        </w:rPr>
        <w:t>in</w:t>
      </w:r>
      <w:r>
        <w:rPr>
          <w:rFonts w:ascii="Times New Roman" w:hAnsi="Times New Roman" w:eastAsia="宋体" w:cs="Times New Roman"/>
          <w:b/>
          <w:bCs/>
          <w:kern w:val="0"/>
          <w:sz w:val="24"/>
          <w:lang w:bidi="ar"/>
        </w:rPr>
        <w:t xml:space="preserve"> </w:t>
      </w:r>
      <w:r>
        <w:rPr>
          <w:rFonts w:hint="eastAsia" w:ascii="Times New Roman" w:hAnsi="Times New Roman" w:eastAsia="宋体" w:cs="Times New Roman"/>
          <w:b/>
          <w:bCs/>
          <w:kern w:val="0"/>
          <w:sz w:val="24"/>
          <w:lang w:bidi="ar"/>
        </w:rPr>
        <w:t xml:space="preserve">severe </w:t>
      </w:r>
      <w:r>
        <w:rPr>
          <w:rFonts w:ascii="Times New Roman" w:hAnsi="Times New Roman" w:eastAsia="宋体" w:cs="Times New Roman"/>
          <w:b/>
          <w:bCs/>
          <w:kern w:val="0"/>
          <w:sz w:val="24"/>
          <w:lang w:bidi="ar"/>
        </w:rPr>
        <w:t>hospitali</w:t>
      </w:r>
      <w:r>
        <w:rPr>
          <w:rFonts w:hint="eastAsia" w:ascii="Times New Roman" w:hAnsi="Times New Roman" w:eastAsia="宋体" w:cs="Times New Roman"/>
          <w:b/>
          <w:bCs/>
          <w:kern w:val="0"/>
          <w:sz w:val="24"/>
          <w:lang w:bidi="ar"/>
        </w:rPr>
        <w:t>z</w:t>
      </w:r>
      <w:r>
        <w:rPr>
          <w:rFonts w:ascii="Times New Roman" w:hAnsi="Times New Roman" w:eastAsia="宋体" w:cs="Times New Roman"/>
          <w:b/>
          <w:bCs/>
          <w:kern w:val="0"/>
          <w:sz w:val="24"/>
          <w:lang w:bidi="ar"/>
        </w:rPr>
        <w:t>ed adults with severe fever with thrombocytopenia syndrome (SFTS): an exploratory, single-arm</w:t>
      </w:r>
      <w:r>
        <w:rPr>
          <w:rFonts w:hint="eastAsia" w:ascii="Times New Roman" w:hAnsi="Times New Roman" w:eastAsia="宋体" w:cs="Times New Roman"/>
          <w:b/>
          <w:bCs/>
          <w:kern w:val="0"/>
          <w:sz w:val="24"/>
          <w:lang w:bidi="ar"/>
        </w:rPr>
        <w:t xml:space="preserve"> </w:t>
      </w:r>
      <w:r>
        <w:rPr>
          <w:rFonts w:ascii="Times New Roman" w:hAnsi="Times New Roman" w:eastAsia="宋体" w:cs="Times New Roman"/>
          <w:b/>
          <w:bCs/>
          <w:kern w:val="0"/>
          <w:sz w:val="24"/>
          <w:lang w:bidi="ar"/>
        </w:rPr>
        <w:t>trial</w:t>
      </w:r>
    </w:p>
    <w:p>
      <w:pPr>
        <w:widowControl/>
        <w:spacing w:line="480" w:lineRule="auto"/>
        <w:jc w:val="left"/>
        <w:rPr>
          <w:rFonts w:ascii="Times New Roman" w:hAnsi="Times New Roman" w:eastAsia="宋体" w:cs="Times New Roman"/>
          <w:b/>
          <w:bCs/>
          <w:kern w:val="0"/>
          <w:sz w:val="20"/>
          <w:szCs w:val="20"/>
          <w:lang w:bidi="ar"/>
        </w:rPr>
      </w:pPr>
    </w:p>
    <w:p>
      <w:pPr>
        <w:widowControl/>
        <w:spacing w:line="48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 xml:space="preserve">Sai Wen </w:t>
      </w:r>
      <w:r>
        <w:rPr>
          <w:rFonts w:ascii="Times New Roman" w:hAnsi="Times New Roman" w:eastAsia="宋体" w:cs="Times New Roman"/>
          <w:sz w:val="20"/>
          <w:szCs w:val="20"/>
          <w:vertAlign w:val="superscript"/>
        </w:rPr>
        <w:t>1</w:t>
      </w:r>
      <w:r>
        <w:rPr>
          <w:rFonts w:ascii="Times New Roman" w:hAnsi="Times New Roman" w:eastAsia="宋体" w:cs="Times New Roman"/>
          <w:sz w:val="20"/>
          <w:szCs w:val="20"/>
        </w:rPr>
        <w:t>, Nannan Xu</w:t>
      </w:r>
      <w:r>
        <w:rPr>
          <w:rFonts w:ascii="Times New Roman" w:hAnsi="Times New Roman" w:eastAsia="宋体" w:cs="Times New Roman"/>
          <w:sz w:val="20"/>
          <w:szCs w:val="20"/>
          <w:vertAlign w:val="superscript"/>
        </w:rPr>
        <w:t xml:space="preserve"> 1</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Lianhui Zhao</w:t>
      </w:r>
      <w:r>
        <w:rPr>
          <w:rFonts w:hint="eastAsia" w:ascii="Times New Roman" w:hAnsi="Times New Roman" w:eastAsia="宋体" w:cs="Times New Roman"/>
          <w:sz w:val="20"/>
          <w:szCs w:val="20"/>
          <w:vertAlign w:val="superscript"/>
        </w:rPr>
        <w:t xml:space="preserve"> 1</w:t>
      </w:r>
      <w:r>
        <w:rPr>
          <w:rFonts w:hint="eastAsia" w:ascii="Times New Roman" w:hAnsi="Times New Roman" w:eastAsia="宋体" w:cs="Times New Roman"/>
          <w:sz w:val="20"/>
          <w:szCs w:val="20"/>
        </w:rPr>
        <w:t>, Lulu Yang</w:t>
      </w:r>
      <w:r>
        <w:rPr>
          <w:rFonts w:hint="eastAsia" w:ascii="Times New Roman" w:hAnsi="Times New Roman" w:eastAsia="宋体" w:cs="Times New Roman"/>
          <w:sz w:val="20"/>
          <w:szCs w:val="20"/>
          <w:vertAlign w:val="superscript"/>
        </w:rPr>
        <w:t xml:space="preserve"> 1</w:t>
      </w:r>
      <w:r>
        <w:rPr>
          <w:rFonts w:hint="eastAsia" w:ascii="Times New Roman" w:hAnsi="Times New Roman" w:eastAsia="宋体" w:cs="Times New Roman"/>
          <w:sz w:val="20"/>
          <w:szCs w:val="20"/>
        </w:rPr>
        <w:t>,</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Hui Yang</w:t>
      </w:r>
      <w:r>
        <w:rPr>
          <w:rFonts w:hint="eastAsia" w:ascii="Times New Roman" w:hAnsi="Times New Roman" w:eastAsia="宋体" w:cs="Times New Roman"/>
          <w:sz w:val="20"/>
          <w:szCs w:val="20"/>
          <w:vertAlign w:val="superscript"/>
        </w:rPr>
        <w:t xml:space="preserve"> 1</w:t>
      </w:r>
      <w:r>
        <w:rPr>
          <w:rFonts w:hint="eastAsia" w:ascii="Times New Roman" w:hAnsi="Times New Roman" w:eastAsia="宋体" w:cs="Times New Roman"/>
          <w:sz w:val="20"/>
          <w:szCs w:val="20"/>
        </w:rPr>
        <w:t>,</w:t>
      </w:r>
      <w:r>
        <w:rPr>
          <w:rFonts w:ascii="Times New Roman" w:hAnsi="Times New Roman" w:eastAsia="宋体" w:cs="Times New Roman"/>
          <w:sz w:val="20"/>
          <w:szCs w:val="20"/>
        </w:rPr>
        <w:t xml:space="preserve"> Caiyun Chang</w:t>
      </w:r>
      <w:r>
        <w:rPr>
          <w:rFonts w:hint="eastAsia" w:ascii="Times New Roman" w:hAnsi="Times New Roman" w:eastAsia="宋体" w:cs="Times New Roman"/>
          <w:sz w:val="20"/>
          <w:szCs w:val="20"/>
          <w:vertAlign w:val="superscript"/>
        </w:rPr>
        <w:t xml:space="preserve"> </w:t>
      </w:r>
      <w:r>
        <w:rPr>
          <w:rFonts w:ascii="Times New Roman" w:hAnsi="Times New Roman" w:eastAsia="宋体" w:cs="Times New Roman"/>
          <w:sz w:val="20"/>
          <w:szCs w:val="20"/>
          <w:vertAlign w:val="superscript"/>
        </w:rPr>
        <w:t>2</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Shanshan Wang</w:t>
      </w:r>
      <w:r>
        <w:rPr>
          <w:rFonts w:hint="eastAsia" w:ascii="Times New Roman" w:hAnsi="Times New Roman" w:eastAsia="宋体" w:cs="Times New Roman"/>
          <w:sz w:val="20"/>
          <w:szCs w:val="20"/>
          <w:vertAlign w:val="superscript"/>
        </w:rPr>
        <w:t xml:space="preserve"> 1</w:t>
      </w:r>
      <w:r>
        <w:rPr>
          <w:rFonts w:hint="eastAsia" w:ascii="Times New Roman" w:hAnsi="Times New Roman" w:eastAsia="宋体" w:cs="Times New Roman"/>
          <w:sz w:val="20"/>
          <w:szCs w:val="20"/>
        </w:rPr>
        <w:t>,</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Chunmei Qu</w:t>
      </w:r>
      <w:r>
        <w:rPr>
          <w:rFonts w:hint="eastAsia" w:ascii="Times New Roman" w:hAnsi="Times New Roman" w:eastAsia="宋体" w:cs="Times New Roman"/>
          <w:sz w:val="20"/>
          <w:szCs w:val="20"/>
          <w:vertAlign w:val="superscript"/>
        </w:rPr>
        <w:t xml:space="preserve"> 1</w:t>
      </w:r>
      <w:r>
        <w:rPr>
          <w:rFonts w:hint="eastAsia" w:ascii="Times New Roman" w:hAnsi="Times New Roman" w:eastAsia="宋体" w:cs="Times New Roman"/>
          <w:sz w:val="20"/>
          <w:szCs w:val="20"/>
        </w:rPr>
        <w:t>,</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Li Song</w:t>
      </w:r>
      <w:r>
        <w:rPr>
          <w:rFonts w:hint="eastAsia" w:ascii="Times New Roman" w:hAnsi="Times New Roman" w:eastAsia="宋体" w:cs="Times New Roman"/>
          <w:sz w:val="20"/>
          <w:szCs w:val="20"/>
          <w:vertAlign w:val="superscript"/>
        </w:rPr>
        <w:t xml:space="preserve"> 1</w:t>
      </w:r>
      <w:r>
        <w:rPr>
          <w:rFonts w:hint="eastAsia" w:ascii="Times New Roman" w:hAnsi="Times New Roman" w:eastAsia="宋体" w:cs="Times New Roman"/>
          <w:sz w:val="20"/>
          <w:szCs w:val="20"/>
        </w:rPr>
        <w:t>,</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Wenlu Zou</w:t>
      </w:r>
      <w:r>
        <w:rPr>
          <w:rFonts w:hint="eastAsia" w:ascii="Times New Roman" w:hAnsi="Times New Roman" w:eastAsia="宋体" w:cs="Times New Roman"/>
          <w:sz w:val="20"/>
          <w:szCs w:val="20"/>
          <w:vertAlign w:val="superscript"/>
        </w:rPr>
        <w:t xml:space="preserve"> 1</w:t>
      </w:r>
      <w:r>
        <w:rPr>
          <w:rFonts w:hint="eastAsia" w:ascii="Times New Roman" w:hAnsi="Times New Roman" w:eastAsia="宋体" w:cs="Times New Roman"/>
          <w:sz w:val="20"/>
          <w:szCs w:val="20"/>
        </w:rPr>
        <w:t>,</w:t>
      </w:r>
      <w:r>
        <w:rPr>
          <w:rFonts w:ascii="Times New Roman" w:hAnsi="Times New Roman" w:eastAsia="宋体" w:cs="Times New Roman"/>
          <w:sz w:val="20"/>
          <w:szCs w:val="20"/>
        </w:rPr>
        <w:t xml:space="preserve"> Yishan He</w:t>
      </w:r>
      <w:r>
        <w:rPr>
          <w:rFonts w:ascii="Times New Roman" w:hAnsi="Times New Roman" w:eastAsia="宋体" w:cs="Times New Roman"/>
          <w:sz w:val="20"/>
          <w:szCs w:val="20"/>
          <w:vertAlign w:val="superscript"/>
        </w:rPr>
        <w:t xml:space="preserve"> 1</w:t>
      </w:r>
      <w:r>
        <w:rPr>
          <w:rFonts w:ascii="Times New Roman" w:hAnsi="Times New Roman" w:eastAsia="宋体" w:cs="Times New Roman"/>
          <w:sz w:val="20"/>
          <w:szCs w:val="20"/>
        </w:rPr>
        <w:t>, Gang Wang</w:t>
      </w:r>
      <w:r>
        <w:rPr>
          <w:rFonts w:ascii="Times New Roman" w:hAnsi="Times New Roman" w:eastAsia="宋体" w:cs="Times New Roman"/>
          <w:sz w:val="20"/>
          <w:szCs w:val="20"/>
          <w:vertAlign w:val="superscript"/>
        </w:rPr>
        <w:t xml:space="preserve"> 1*</w:t>
      </w:r>
    </w:p>
    <w:p>
      <w:pPr>
        <w:widowControl/>
        <w:spacing w:line="480" w:lineRule="auto"/>
        <w:jc w:val="left"/>
        <w:rPr>
          <w:rFonts w:ascii="Times New Roman" w:hAnsi="Times New Roman" w:eastAsia="宋体" w:cs="Times New Roman"/>
          <w:b/>
          <w:sz w:val="20"/>
          <w:szCs w:val="20"/>
        </w:rPr>
      </w:pPr>
    </w:p>
    <w:p>
      <w:pPr>
        <w:widowControl/>
        <w:numPr>
          <w:ilvl w:val="0"/>
          <w:numId w:val="2"/>
        </w:numPr>
        <w:spacing w:line="48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Department of Infectious Disease, Qilu Hospital, Cheeloo College of Medicine, Shandong University, Jinan, 250012, Shandong, China.</w:t>
      </w:r>
    </w:p>
    <w:p>
      <w:pPr>
        <w:widowControl/>
        <w:numPr>
          <w:ilvl w:val="0"/>
          <w:numId w:val="2"/>
        </w:numPr>
        <w:spacing w:line="480" w:lineRule="auto"/>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Jinan Center for Disease Control and Prevention, Jinan,</w:t>
      </w:r>
      <w:r>
        <w:rPr>
          <w:rFonts w:ascii="Times New Roman" w:hAnsi="Times New Roman" w:eastAsia="宋体" w:cs="Times New Roman"/>
          <w:sz w:val="20"/>
          <w:szCs w:val="20"/>
        </w:rPr>
        <w:t xml:space="preserve"> </w:t>
      </w:r>
      <w:r>
        <w:rPr>
          <w:rFonts w:hint="eastAsia" w:ascii="Times New Roman" w:hAnsi="Times New Roman" w:eastAsia="宋体" w:cs="Times New Roman"/>
          <w:sz w:val="20"/>
          <w:szCs w:val="20"/>
        </w:rPr>
        <w:t>250021, Shandong, China.</w:t>
      </w:r>
    </w:p>
    <w:p>
      <w:pPr>
        <w:rPr>
          <w:rFonts w:ascii="Times New Roman" w:hAnsi="Times New Roman" w:cs="Times New Roman"/>
          <w:b/>
          <w:bCs/>
          <w:sz w:val="20"/>
          <w:szCs w:val="20"/>
          <w:lang w:bidi="ar"/>
        </w:rPr>
      </w:pPr>
    </w:p>
    <w:p>
      <w:pPr>
        <w:spacing w:line="480" w:lineRule="auto"/>
        <w:rPr>
          <w:rFonts w:ascii="Times New Roman" w:hAnsi="Times New Roman" w:cs="Times New Roman"/>
          <w:sz w:val="20"/>
          <w:szCs w:val="20"/>
        </w:rPr>
      </w:pPr>
      <w:bookmarkStart w:id="0" w:name="_Hlk165648137"/>
      <w:r>
        <w:rPr>
          <w:rFonts w:ascii="Times New Roman" w:hAnsi="Times New Roman" w:cs="Times New Roman"/>
          <w:b/>
          <w:bCs/>
          <w:sz w:val="20"/>
          <w:szCs w:val="20"/>
          <w:lang w:bidi="ar"/>
        </w:rPr>
        <w:t xml:space="preserve">Figure </w:t>
      </w:r>
      <w:r>
        <w:rPr>
          <w:rFonts w:hint="eastAsia" w:ascii="Times New Roman" w:hAnsi="Times New Roman" w:cs="Times New Roman"/>
          <w:b/>
          <w:bCs/>
          <w:sz w:val="20"/>
          <w:szCs w:val="20"/>
          <w:lang w:bidi="ar"/>
        </w:rPr>
        <w:t>S</w:t>
      </w:r>
      <w:r>
        <w:rPr>
          <w:rFonts w:ascii="Times New Roman" w:hAnsi="Times New Roman" w:cs="Times New Roman"/>
          <w:b/>
          <w:bCs/>
          <w:sz w:val="20"/>
          <w:szCs w:val="20"/>
          <w:lang w:bidi="ar"/>
        </w:rPr>
        <w:t>1.</w:t>
      </w:r>
      <w:r>
        <w:rPr>
          <w:rFonts w:ascii="Times New Roman" w:hAnsi="Times New Roman" w:eastAsia="TimesNewRomanPS-BoldMT" w:cs="Times New Roman"/>
          <w:b/>
          <w:bCs/>
          <w:sz w:val="20"/>
          <w:szCs w:val="20"/>
          <w:lang w:bidi="ar"/>
        </w:rPr>
        <w:t xml:space="preserve"> </w:t>
      </w:r>
      <w:r>
        <w:rPr>
          <w:rFonts w:ascii="Times New Roman" w:hAnsi="Times New Roman" w:eastAsia="TimesNewRomanPS-BoldMT" w:cs="Times New Roman"/>
          <w:sz w:val="20"/>
          <w:szCs w:val="20"/>
          <w:lang w:bidi="ar"/>
        </w:rPr>
        <w:t>Flow Diagram</w:t>
      </w:r>
    </w:p>
    <w:p>
      <w:pPr>
        <w:spacing w:line="480" w:lineRule="auto"/>
        <w:rPr>
          <w:rFonts w:ascii="Times New Roman" w:hAnsi="Times New Roman" w:cs="Times New Roman"/>
          <w:b/>
          <w:bCs/>
          <w:sz w:val="20"/>
          <w:szCs w:val="20"/>
          <w:lang w:bidi="ar"/>
        </w:rPr>
      </w:pPr>
      <w:r>
        <w:rPr>
          <w:rFonts w:ascii="Times New Roman" w:hAnsi="Times New Roman" w:cs="Times New Roman"/>
          <w:b/>
          <w:bCs/>
          <w:sz w:val="20"/>
          <w:szCs w:val="20"/>
          <w:lang w:bidi="ar"/>
        </w:rPr>
        <w:t>Figure</w:t>
      </w:r>
      <w:r>
        <w:rPr>
          <w:rFonts w:ascii="Times New Roman" w:hAnsi="Times New Roman" w:eastAsia="TimesNewRomanPS-BoldMT" w:cs="Times New Roman"/>
          <w:b/>
          <w:bCs/>
          <w:sz w:val="20"/>
          <w:szCs w:val="20"/>
          <w:lang w:bidi="ar"/>
        </w:rPr>
        <w:t xml:space="preserve"> </w:t>
      </w:r>
      <w:r>
        <w:rPr>
          <w:rFonts w:hint="eastAsia" w:ascii="Times New Roman" w:hAnsi="Times New Roman" w:cs="Times New Roman"/>
          <w:b/>
          <w:bCs/>
          <w:sz w:val="20"/>
          <w:szCs w:val="20"/>
          <w:lang w:bidi="ar"/>
        </w:rPr>
        <w:t>S</w:t>
      </w:r>
      <w:r>
        <w:rPr>
          <w:rFonts w:ascii="Times New Roman" w:hAnsi="Times New Roman" w:cs="Times New Roman"/>
          <w:b/>
          <w:bCs/>
          <w:sz w:val="20"/>
          <w:szCs w:val="20"/>
          <w:lang w:bidi="ar"/>
        </w:rPr>
        <w:t>2</w:t>
      </w:r>
      <w:r>
        <w:rPr>
          <w:rFonts w:ascii="Times New Roman" w:hAnsi="Times New Roman" w:eastAsia="TimesNewRomanPS-BoldMT" w:cs="Times New Roman"/>
          <w:b/>
          <w:bCs/>
          <w:sz w:val="20"/>
          <w:szCs w:val="20"/>
          <w:lang w:bidi="ar"/>
        </w:rPr>
        <w:t xml:space="preserve">. </w:t>
      </w:r>
      <w:r>
        <w:rPr>
          <w:rFonts w:ascii="Times New Roman" w:hAnsi="Times New Roman" w:eastAsia="TimesNewRomanPS-BoldMT" w:cs="Times New Roman"/>
          <w:sz w:val="20"/>
          <w:szCs w:val="20"/>
          <w:lang w:bidi="ar"/>
        </w:rPr>
        <w:t xml:space="preserve">Cytokines and </w:t>
      </w:r>
      <w:r>
        <w:rPr>
          <w:rFonts w:ascii="Times New Roman" w:hAnsi="Times New Roman" w:cs="Times New Roman"/>
          <w:color w:val="000000" w:themeColor="text1"/>
          <w:sz w:val="20"/>
          <w:szCs w:val="20"/>
          <w14:textFill>
            <w14:solidFill>
              <w14:schemeClr w14:val="tx1"/>
            </w14:solidFill>
          </w14:textFill>
        </w:rPr>
        <w:t>IFI44L gene at baseline</w:t>
      </w:r>
      <w:r>
        <w:rPr>
          <w:rFonts w:ascii="Times New Roman" w:hAnsi="Times New Roman" w:cs="Times New Roman"/>
          <w:sz w:val="20"/>
          <w:szCs w:val="20"/>
          <w:lang w:bidi="ar"/>
        </w:rPr>
        <w:t xml:space="preserve"> in ruxolitinib group</w:t>
      </w:r>
    </w:p>
    <w:p>
      <w:pPr>
        <w:spacing w:line="480" w:lineRule="auto"/>
        <w:rPr>
          <w:rFonts w:ascii="Times New Roman" w:hAnsi="Times New Roman" w:cs="Times New Roman"/>
          <w:b/>
          <w:bCs/>
          <w:sz w:val="20"/>
          <w:szCs w:val="20"/>
          <w:lang w:bidi="ar"/>
        </w:rPr>
      </w:pPr>
    </w:p>
    <w:p>
      <w:pPr>
        <w:spacing w:line="480" w:lineRule="auto"/>
        <w:rPr>
          <w:rFonts w:ascii="Times New Roman" w:hAnsi="Times New Roman" w:cs="Times New Roman"/>
          <w:sz w:val="20"/>
          <w:szCs w:val="20"/>
          <w:lang w:bidi="ar"/>
        </w:rPr>
      </w:pPr>
      <w:r>
        <w:rPr>
          <w:rFonts w:ascii="Times New Roman" w:hAnsi="Times New Roman" w:cs="Times New Roman"/>
          <w:b/>
          <w:bCs/>
          <w:sz w:val="20"/>
          <w:szCs w:val="20"/>
          <w:lang w:bidi="ar"/>
        </w:rPr>
        <w:t xml:space="preserve">Table </w:t>
      </w:r>
      <w:r>
        <w:rPr>
          <w:rFonts w:hint="eastAsia" w:ascii="Times New Roman" w:hAnsi="Times New Roman" w:cs="Times New Roman"/>
          <w:b/>
          <w:bCs/>
          <w:sz w:val="20"/>
          <w:szCs w:val="20"/>
          <w:lang w:bidi="ar"/>
        </w:rPr>
        <w:t>S</w:t>
      </w:r>
      <w:r>
        <w:rPr>
          <w:rFonts w:ascii="Times New Roman" w:hAnsi="Times New Roman" w:cs="Times New Roman"/>
          <w:b/>
          <w:bCs/>
          <w:sz w:val="20"/>
          <w:szCs w:val="20"/>
          <w:lang w:bidi="ar"/>
        </w:rPr>
        <w:t xml:space="preserve">1. </w:t>
      </w:r>
      <w:r>
        <w:rPr>
          <w:rFonts w:ascii="Times New Roman" w:hAnsi="Times New Roman" w:cs="Times New Roman"/>
          <w:sz w:val="20"/>
          <w:szCs w:val="20"/>
          <w:lang w:bidi="ar"/>
        </w:rPr>
        <w:t>The clinical scoring model based on age, and neurologic symptoms, and 4 laboratory indicators</w:t>
      </w:r>
    </w:p>
    <w:p>
      <w:pPr>
        <w:spacing w:line="480" w:lineRule="auto"/>
        <w:rPr>
          <w:rFonts w:ascii="Times New Roman" w:hAnsi="Times New Roman" w:cs="Times New Roman"/>
          <w:sz w:val="20"/>
          <w:szCs w:val="20"/>
          <w:lang w:bidi="ar"/>
        </w:rPr>
      </w:pPr>
      <w:r>
        <w:rPr>
          <w:rFonts w:hint="eastAsia" w:ascii="Times New Roman" w:hAnsi="Times New Roman" w:cs="Times New Roman"/>
          <w:b/>
          <w:bCs/>
        </w:rPr>
        <w:t>T</w:t>
      </w:r>
      <w:r>
        <w:rPr>
          <w:rFonts w:ascii="Times New Roman" w:hAnsi="Times New Roman" w:cs="Times New Roman"/>
          <w:b/>
          <w:bCs/>
        </w:rPr>
        <w:t xml:space="preserve">able </w:t>
      </w:r>
      <w:r>
        <w:rPr>
          <w:rFonts w:hint="eastAsia" w:ascii="Times New Roman" w:hAnsi="Times New Roman" w:cs="Times New Roman"/>
          <w:b/>
          <w:bCs/>
        </w:rPr>
        <w:t>S2</w:t>
      </w:r>
      <w:r>
        <w:rPr>
          <w:rFonts w:ascii="Times New Roman" w:hAnsi="Times New Roman" w:cs="Times New Roman"/>
          <w:b/>
          <w:bCs/>
        </w:rPr>
        <w:t xml:space="preserve">. </w:t>
      </w:r>
      <w:r>
        <w:rPr>
          <w:rFonts w:hint="eastAsia" w:ascii="Times New Roman" w:hAnsi="Times New Roman" w:cs="Times New Roman"/>
        </w:rPr>
        <w:t>P</w:t>
      </w:r>
      <w:r>
        <w:rPr>
          <w:rFonts w:ascii="Times New Roman" w:hAnsi="Times New Roman" w:cs="Times New Roman"/>
        </w:rPr>
        <w:t>ropensity</w:t>
      </w:r>
      <w:r>
        <w:rPr>
          <w:rFonts w:hint="eastAsia" w:ascii="Times New Roman" w:hAnsi="Times New Roman" w:cs="Times New Roman"/>
        </w:rPr>
        <w:t xml:space="preserve"> s</w:t>
      </w:r>
      <w:r>
        <w:rPr>
          <w:rFonts w:ascii="Times New Roman" w:hAnsi="Times New Roman" w:cs="Times New Roman"/>
        </w:rPr>
        <w:t>core</w:t>
      </w:r>
      <w:r>
        <w:rPr>
          <w:rFonts w:hint="eastAsia" w:ascii="Times New Roman" w:hAnsi="Times New Roman" w:cs="Times New Roman"/>
        </w:rPr>
        <w:t xml:space="preserve"> m</w:t>
      </w:r>
      <w:r>
        <w:rPr>
          <w:rFonts w:ascii="Times New Roman" w:hAnsi="Times New Roman" w:cs="Times New Roman"/>
        </w:rPr>
        <w:t>atching methods for RUX and HC group</w:t>
      </w:r>
    </w:p>
    <w:p>
      <w:pPr>
        <w:spacing w:line="480" w:lineRule="auto"/>
        <w:rPr>
          <w:rFonts w:ascii="Times New Roman" w:hAnsi="Times New Roman" w:cs="Times New Roman"/>
          <w:b/>
          <w:bCs/>
          <w:sz w:val="20"/>
          <w:szCs w:val="20"/>
          <w:lang w:bidi="ar"/>
        </w:rPr>
      </w:pPr>
      <w:r>
        <w:rPr>
          <w:rFonts w:hint="eastAsia" w:ascii="Times New Roman" w:hAnsi="Times New Roman" w:cs="Times New Roman"/>
          <w:b/>
          <w:bCs/>
        </w:rPr>
        <w:t xml:space="preserve">Table S3. </w:t>
      </w:r>
      <w:r>
        <w:rPr>
          <w:rFonts w:ascii="Times New Roman" w:hAnsi="Times New Roman" w:cs="Times New Roman"/>
        </w:rPr>
        <w:t xml:space="preserve">Baseline characteristics before </w:t>
      </w:r>
      <w:r>
        <w:rPr>
          <w:rFonts w:hint="eastAsia" w:ascii="Times New Roman" w:hAnsi="Times New Roman" w:cs="Times New Roman"/>
        </w:rPr>
        <w:t>p</w:t>
      </w:r>
      <w:r>
        <w:rPr>
          <w:rFonts w:ascii="Times New Roman" w:hAnsi="Times New Roman" w:cs="Times New Roman"/>
        </w:rPr>
        <w:t xml:space="preserve">ropensity </w:t>
      </w:r>
      <w:r>
        <w:rPr>
          <w:rFonts w:hint="eastAsia" w:ascii="Times New Roman" w:hAnsi="Times New Roman" w:cs="Times New Roman"/>
        </w:rPr>
        <w:t>s</w:t>
      </w:r>
      <w:r>
        <w:rPr>
          <w:rFonts w:ascii="Times New Roman" w:hAnsi="Times New Roman" w:cs="Times New Roman"/>
        </w:rPr>
        <w:t xml:space="preserve">core </w:t>
      </w:r>
      <w:r>
        <w:rPr>
          <w:rFonts w:hint="eastAsia" w:ascii="Times New Roman" w:hAnsi="Times New Roman" w:cs="Times New Roman"/>
        </w:rPr>
        <w:t>m</w:t>
      </w:r>
      <w:r>
        <w:rPr>
          <w:rFonts w:ascii="Times New Roman" w:hAnsi="Times New Roman" w:cs="Times New Roman"/>
        </w:rPr>
        <w:t xml:space="preserve">atching </w:t>
      </w:r>
      <w:r>
        <w:rPr>
          <w:rFonts w:hint="eastAsia" w:ascii="Times New Roman" w:hAnsi="Times New Roman" w:cs="Times New Roman"/>
        </w:rPr>
        <w:t>m</w:t>
      </w:r>
      <w:r>
        <w:rPr>
          <w:rFonts w:ascii="Times New Roman" w:hAnsi="Times New Roman" w:cs="Times New Roman"/>
        </w:rPr>
        <w:t>ethods</w:t>
      </w:r>
    </w:p>
    <w:p>
      <w:pPr>
        <w:spacing w:line="480" w:lineRule="auto"/>
        <w:rPr>
          <w:rFonts w:ascii="Times New Roman" w:hAnsi="Times New Roman" w:cs="Times New Roman"/>
          <w:b/>
          <w:bCs/>
          <w:sz w:val="20"/>
          <w:szCs w:val="20"/>
          <w:lang w:bidi="ar"/>
        </w:rPr>
      </w:pPr>
      <w:r>
        <w:rPr>
          <w:rFonts w:ascii="Times New Roman" w:hAnsi="Times New Roman" w:cs="Times New Roman"/>
          <w:b/>
          <w:bCs/>
          <w:color w:val="000000"/>
          <w:sz w:val="20"/>
          <w:szCs w:val="20"/>
          <w:lang w:bidi="ar"/>
        </w:rPr>
        <w:t>Table</w:t>
      </w:r>
      <w:r>
        <w:rPr>
          <w:rFonts w:ascii="Times New Roman" w:hAnsi="Times New Roman" w:eastAsia="TimesNewRomanPS-BoldMT" w:cs="Times New Roman"/>
          <w:b/>
          <w:bCs/>
          <w:color w:val="000000"/>
          <w:sz w:val="20"/>
          <w:szCs w:val="20"/>
          <w:lang w:bidi="ar"/>
        </w:rPr>
        <w:t xml:space="preserve"> </w:t>
      </w:r>
      <w:r>
        <w:rPr>
          <w:rFonts w:hint="eastAsia" w:ascii="Times New Roman" w:hAnsi="Times New Roman" w:cs="Times New Roman"/>
          <w:b/>
          <w:bCs/>
          <w:color w:val="000000"/>
          <w:sz w:val="20"/>
          <w:szCs w:val="20"/>
          <w:lang w:bidi="ar"/>
        </w:rPr>
        <w:t>S</w:t>
      </w:r>
      <w:r>
        <w:rPr>
          <w:rFonts w:ascii="Times New Roman" w:hAnsi="Times New Roman" w:eastAsia="TimesNewRomanPS-BoldMT" w:cs="Times New Roman"/>
          <w:b/>
          <w:bCs/>
          <w:color w:val="000000"/>
          <w:sz w:val="20"/>
          <w:szCs w:val="20"/>
          <w:lang w:bidi="ar"/>
        </w:rPr>
        <w:t xml:space="preserve">4. </w:t>
      </w:r>
      <w:r>
        <w:rPr>
          <w:rFonts w:ascii="Times New Roman" w:hAnsi="Times New Roman" w:cs="Times New Roman"/>
          <w:sz w:val="20"/>
          <w:szCs w:val="20"/>
          <w:lang w:bidi="ar"/>
        </w:rPr>
        <w:t>Combinations of standard of care in two groups</w:t>
      </w:r>
    </w:p>
    <w:bookmarkEnd w:id="0"/>
    <w:p>
      <w:pPr>
        <w:rPr>
          <w:rFonts w:ascii="Times New Roman" w:hAnsi="Times New Roman" w:cs="Times New Roman"/>
          <w:b/>
          <w:bCs/>
          <w:sz w:val="20"/>
          <w:szCs w:val="20"/>
          <w:lang w:bidi="ar"/>
        </w:rPr>
      </w:pPr>
    </w:p>
    <w:p>
      <w:pPr>
        <w:rPr>
          <w:rFonts w:ascii="Times New Roman" w:hAnsi="Times New Roman" w:cs="Times New Roman"/>
          <w:b/>
          <w:bCs/>
          <w:sz w:val="20"/>
          <w:szCs w:val="20"/>
          <w:lang w:bidi="ar"/>
        </w:rPr>
      </w:pPr>
    </w:p>
    <w:p>
      <w:pPr>
        <w:rPr>
          <w:rFonts w:ascii="Times New Roman" w:hAnsi="Times New Roman" w:cs="Times New Roman"/>
          <w:b/>
          <w:bCs/>
          <w:sz w:val="20"/>
          <w:szCs w:val="20"/>
          <w:lang w:bidi="ar"/>
        </w:rPr>
      </w:pPr>
    </w:p>
    <w:p>
      <w:pPr>
        <w:rPr>
          <w:rFonts w:ascii="Times New Roman" w:hAnsi="Times New Roman" w:cs="Times New Roman"/>
          <w:b/>
          <w:bCs/>
          <w:sz w:val="20"/>
          <w:szCs w:val="20"/>
          <w:lang w:bidi="ar"/>
        </w:rPr>
      </w:pPr>
    </w:p>
    <w:p>
      <w:pPr>
        <w:rPr>
          <w:rFonts w:ascii="Times New Roman" w:hAnsi="Times New Roman" w:cs="Times New Roman"/>
          <w:b/>
          <w:bCs/>
          <w:sz w:val="20"/>
          <w:szCs w:val="20"/>
          <w:lang w:bidi="ar"/>
        </w:rPr>
      </w:pPr>
    </w:p>
    <w:p>
      <w:pPr>
        <w:rPr>
          <w:rFonts w:ascii="Times New Roman" w:hAnsi="Times New Roman" w:cs="Times New Roman"/>
          <w:b/>
          <w:bCs/>
          <w:sz w:val="20"/>
          <w:szCs w:val="20"/>
          <w:lang w:bidi="ar"/>
        </w:rPr>
      </w:pPr>
    </w:p>
    <w:p>
      <w:pPr>
        <w:rPr>
          <w:rFonts w:ascii="Times New Roman" w:hAnsi="Times New Roman" w:cs="Times New Roman"/>
          <w:b/>
          <w:bCs/>
          <w:sz w:val="20"/>
          <w:szCs w:val="20"/>
          <w:lang w:bidi="ar"/>
        </w:rPr>
      </w:pPr>
    </w:p>
    <w:p>
      <w:pPr>
        <w:rPr>
          <w:rFonts w:ascii="Times New Roman" w:hAnsi="Times New Roman" w:cs="Times New Roman"/>
          <w:b/>
          <w:bCs/>
          <w:sz w:val="20"/>
          <w:szCs w:val="20"/>
          <w:lang w:bidi="ar"/>
        </w:rPr>
      </w:pPr>
    </w:p>
    <w:p>
      <w:pPr>
        <w:rPr>
          <w:rFonts w:ascii="Times New Roman" w:hAnsi="Times New Roman" w:cs="Times New Roman"/>
          <w:b/>
          <w:bCs/>
          <w:sz w:val="20"/>
          <w:szCs w:val="20"/>
          <w:lang w:bidi="ar"/>
        </w:rPr>
      </w:pPr>
    </w:p>
    <w:p>
      <w:pPr>
        <w:rPr>
          <w:rFonts w:ascii="Times New Roman" w:hAnsi="Times New Roman" w:cs="Times New Roman"/>
          <w:b/>
          <w:bCs/>
          <w:sz w:val="20"/>
          <w:szCs w:val="20"/>
          <w:lang w:bidi="ar"/>
        </w:rPr>
      </w:pPr>
      <w:r>
        <w:rPr>
          <w:rFonts w:ascii="Times New Roman" w:hAnsi="Times New Roman" w:cs="Times New Roman"/>
          <w:b/>
          <w:bCs/>
          <w:sz w:val="20"/>
          <w:szCs w:val="20"/>
          <w:lang w:bidi="ar"/>
        </w:rPr>
        <w:t>1.Eligibility Criteria</w:t>
      </w:r>
    </w:p>
    <w:p>
      <w:pPr>
        <w:rPr>
          <w:rFonts w:ascii="Times New Roman" w:hAnsi="Times New Roman" w:cs="Times New Roman"/>
          <w:b/>
          <w:bCs/>
          <w:sz w:val="20"/>
          <w:szCs w:val="20"/>
        </w:rPr>
      </w:pPr>
      <w:r>
        <w:rPr>
          <w:rFonts w:ascii="Times New Roman" w:hAnsi="Times New Roman" w:cs="Times New Roman"/>
          <w:b/>
          <w:bCs/>
          <w:sz w:val="20"/>
          <w:szCs w:val="20"/>
        </w:rPr>
        <w:t>Inclusion criteria</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 xml:space="preserve">Patients with SFTS were included in accordance with the following inclusion criteria: </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 xml:space="preserve">(1) Age ≥ 18 years. </w:t>
      </w:r>
    </w:p>
    <w:p>
      <w:pPr>
        <w:spacing w:line="360" w:lineRule="auto"/>
        <w:jc w:val="left"/>
        <w:rPr>
          <w:rFonts w:ascii="Times New Roman" w:hAnsi="Times New Roman" w:cs="Times New Roman"/>
          <w:color w:val="000000"/>
          <w:sz w:val="20"/>
          <w:szCs w:val="20"/>
          <w:lang w:bidi="ar"/>
        </w:rPr>
      </w:pPr>
      <w:r>
        <w:rPr>
          <w:rFonts w:ascii="Times New Roman" w:hAnsi="Times New Roman" w:cs="Times New Roman"/>
          <w:sz w:val="20"/>
          <w:szCs w:val="20"/>
          <w:lang w:bidi="ar"/>
        </w:rPr>
        <w:t>(2) Laboratory-confirmed SFTS use the definition released by the Chinese Ministry of Health</w:t>
      </w:r>
      <w:r>
        <w:rPr>
          <w:rFonts w:ascii="Times New Roman" w:hAnsi="Times New Roman" w:cs="Times New Roman"/>
          <w:sz w:val="20"/>
          <w:szCs w:val="20"/>
          <w:vertAlign w:val="superscript"/>
          <w:lang w:bidi="ar"/>
        </w:rPr>
        <w:fldChar w:fldCharType="begin"/>
      </w:r>
      <w:r>
        <w:rPr>
          <w:rFonts w:ascii="Times New Roman" w:hAnsi="Times New Roman" w:cs="Times New Roman"/>
          <w:sz w:val="20"/>
          <w:szCs w:val="20"/>
          <w:vertAlign w:val="superscript"/>
          <w:lang w:bidi="ar"/>
        </w:rPr>
        <w:instrText xml:space="preserve"> ADDIN EN.CITE &lt;EndNote&gt;&lt;Cite&gt;&lt;Year&gt;2011&lt;/Year&gt;&lt;RecNum&gt;58&lt;/RecNum&gt;&lt;DisplayText&gt;[1]&lt;/DisplayText&gt;&lt;record&gt;&lt;rec-number&gt;58&lt;/rec-number&gt;&lt;foreign-keys&gt;&lt;key app="EN" db-id="sz5zf5etq9tz02ewe9cxdfxgp590fe59dpar" timestamp="1678885294"&gt;58&lt;/key&gt;&lt;/foreign-keys&gt;&lt;ref-type name="Journal Article"&gt;17&lt;/ref-type&gt;&lt;contributors&gt;&lt;/contributors&gt;&lt;titles&gt;&lt;title&gt;Ministry of Health PRC.Guideline for prevention and treatment of severe fever with thrombocytopenia syndrome (2010 version).&lt;/title&gt;&lt;secondary-title&gt;Zhonghua Lin Chuang Gan Ran Bing Za Zhi&lt;/secondary-title&gt;&lt;/titles&gt;&lt;periodical&gt;&lt;full-title&gt;Zhonghua Lin Chuang Gan Ran Bing Za Zhi&lt;/full-title&gt;&lt;/periodical&gt;&lt;pages&gt;193–94&lt;/pages&gt;&lt;volume&gt;4&lt;/volume&gt;&lt;dates&gt;&lt;year&gt;2011&lt;/year&gt;&lt;/dates&gt;&lt;urls&gt;&lt;/urls&gt;&lt;language&gt; (in Chinese)&lt;/language&gt;&lt;/record&gt;&lt;/Cite&gt;&lt;/EndNote&gt;</w:instrText>
      </w:r>
      <w:r>
        <w:rPr>
          <w:rFonts w:ascii="Times New Roman" w:hAnsi="Times New Roman" w:cs="Times New Roman"/>
          <w:sz w:val="20"/>
          <w:szCs w:val="20"/>
          <w:vertAlign w:val="superscript"/>
          <w:lang w:bidi="ar"/>
        </w:rPr>
        <w:fldChar w:fldCharType="separate"/>
      </w:r>
      <w:r>
        <w:rPr>
          <w:rFonts w:ascii="Times New Roman" w:hAnsi="Times New Roman" w:cs="Times New Roman"/>
          <w:sz w:val="20"/>
          <w:szCs w:val="20"/>
          <w:vertAlign w:val="superscript"/>
          <w:lang w:bidi="ar"/>
        </w:rPr>
        <w:t>[1</w:t>
      </w:r>
      <w:r>
        <w:rPr>
          <w:rFonts w:hint="eastAsia" w:ascii="Times New Roman" w:hAnsi="Times New Roman" w:cs="Times New Roman"/>
          <w:sz w:val="20"/>
          <w:szCs w:val="20"/>
          <w:vertAlign w:val="superscript"/>
          <w:lang w:bidi="ar"/>
        </w:rPr>
        <w:t>0</w:t>
      </w:r>
      <w:r>
        <w:rPr>
          <w:rFonts w:ascii="Times New Roman" w:hAnsi="Times New Roman" w:cs="Times New Roman"/>
          <w:sz w:val="20"/>
          <w:szCs w:val="20"/>
          <w:vertAlign w:val="superscript"/>
          <w:lang w:bidi="ar"/>
        </w:rPr>
        <w:t>]</w:t>
      </w:r>
      <w:r>
        <w:rPr>
          <w:rFonts w:ascii="Times New Roman" w:hAnsi="Times New Roman" w:cs="Times New Roman"/>
          <w:sz w:val="20"/>
          <w:szCs w:val="20"/>
          <w:vertAlign w:val="superscript"/>
          <w:lang w:bidi="ar"/>
        </w:rPr>
        <w:fldChar w:fldCharType="end"/>
      </w:r>
      <w:r>
        <w:rPr>
          <w:rFonts w:ascii="Times New Roman" w:hAnsi="Times New Roman" w:cs="Times New Roman"/>
          <w:sz w:val="20"/>
          <w:szCs w:val="20"/>
          <w:lang w:bidi="ar"/>
        </w:rPr>
        <w:t>: suspected diagnosed SFTS (an exposure history of previous field activities in SFTS pandemic areas or tick bites within 2 weeks before febrile symptom onset, acute fever with thrombocytopenia and/or leukopenia) with detection of SFTSV RNA by reverse-transcriptase PCR (RT-PCR).</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(3) Hospitalized patients.</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(4) Clinical score more than 8 points within 6 days of symptom onset</w:t>
      </w:r>
      <w:r>
        <w:rPr>
          <w:rFonts w:ascii="Times New Roman" w:hAnsi="Times New Roman" w:cs="Times New Roman"/>
          <w:sz w:val="20"/>
          <w:szCs w:val="20"/>
          <w:vertAlign w:val="superscript"/>
          <w:lang w:bidi="ar"/>
        </w:rPr>
        <w:fldChar w:fldCharType="begin">
          <w:fldData xml:space="preserve">PEVuZE5vdGU+PENpdGU+PEF1dGhvcj5MaTwvQXV0aG9yPjxZZWFyPjIwMTg8L1llYXI+PFJlY051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</w:fldData>
        </w:fldChar>
      </w:r>
      <w:r>
        <w:rPr>
          <w:rFonts w:ascii="Times New Roman" w:hAnsi="Times New Roman" w:cs="Times New Roman"/>
          <w:sz w:val="20"/>
          <w:szCs w:val="20"/>
          <w:vertAlign w:val="superscript"/>
          <w:lang w:bidi="ar"/>
        </w:rPr>
        <w:instrText xml:space="preserve"> ADDIN EN.CITE </w:instrText>
      </w:r>
      <w:r>
        <w:rPr>
          <w:rFonts w:ascii="Times New Roman" w:hAnsi="Times New Roman" w:cs="Times New Roman"/>
          <w:sz w:val="20"/>
          <w:szCs w:val="20"/>
          <w:vertAlign w:val="superscript"/>
          <w:lang w:bidi="ar"/>
        </w:rPr>
        <w:fldChar w:fldCharType="begin">
          <w:fldData xml:space="preserve">PEVuZE5vdGU+PENpdGU+PEF1dGhvcj5MaTwvQXV0aG9yPjxZZWFyPjIwMTg8L1llYXI+PFJlY051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</w:fldData>
        </w:fldChar>
      </w:r>
      <w:r>
        <w:rPr>
          <w:rFonts w:ascii="Times New Roman" w:hAnsi="Times New Roman" w:cs="Times New Roman"/>
          <w:sz w:val="20"/>
          <w:szCs w:val="20"/>
          <w:vertAlign w:val="superscript"/>
          <w:lang w:bidi="ar"/>
        </w:rPr>
        <w:instrText xml:space="preserve"> ADDIN EN.CITE.DATA </w:instrText>
      </w:r>
      <w:r>
        <w:rPr>
          <w:rFonts w:ascii="Times New Roman" w:hAnsi="Times New Roman" w:cs="Times New Roman"/>
          <w:sz w:val="20"/>
          <w:szCs w:val="20"/>
          <w:vertAlign w:val="superscript"/>
          <w:lang w:bidi="ar"/>
        </w:rPr>
        <w:fldChar w:fldCharType="end"/>
      </w:r>
      <w:r>
        <w:rPr>
          <w:rFonts w:ascii="Times New Roman" w:hAnsi="Times New Roman" w:cs="Times New Roman"/>
          <w:sz w:val="20"/>
          <w:szCs w:val="20"/>
          <w:vertAlign w:val="superscript"/>
          <w:lang w:bidi="ar"/>
        </w:rPr>
        <w:fldChar w:fldCharType="separate"/>
      </w:r>
      <w:r>
        <w:rPr>
          <w:rFonts w:ascii="Times New Roman" w:hAnsi="Times New Roman" w:cs="Times New Roman"/>
          <w:sz w:val="20"/>
          <w:szCs w:val="20"/>
          <w:vertAlign w:val="superscript"/>
          <w:lang w:bidi="ar"/>
        </w:rPr>
        <w:t>[</w:t>
      </w:r>
      <w:r>
        <w:rPr>
          <w:rFonts w:hint="eastAsia" w:ascii="Times New Roman" w:hAnsi="Times New Roman" w:cs="Times New Roman"/>
          <w:sz w:val="20"/>
          <w:szCs w:val="20"/>
          <w:vertAlign w:val="superscript"/>
          <w:lang w:bidi="ar"/>
        </w:rPr>
        <w:t>9</w:t>
      </w:r>
      <w:r>
        <w:rPr>
          <w:rFonts w:ascii="Times New Roman" w:hAnsi="Times New Roman" w:cs="Times New Roman"/>
          <w:sz w:val="20"/>
          <w:szCs w:val="20"/>
          <w:vertAlign w:val="superscript"/>
          <w:lang w:bidi="ar"/>
        </w:rPr>
        <w:t>]</w:t>
      </w:r>
      <w:r>
        <w:rPr>
          <w:rFonts w:ascii="Times New Roman" w:hAnsi="Times New Roman" w:cs="Times New Roman"/>
          <w:sz w:val="20"/>
          <w:szCs w:val="20"/>
          <w:vertAlign w:val="superscript"/>
          <w:lang w:bidi="ar"/>
        </w:rPr>
        <w:fldChar w:fldCharType="end"/>
      </w:r>
      <w:r>
        <w:rPr>
          <w:rFonts w:ascii="Times New Roman" w:hAnsi="Times New Roman" w:cs="Times New Roman"/>
          <w:sz w:val="20"/>
          <w:szCs w:val="20"/>
          <w:lang w:bidi="ar"/>
        </w:rPr>
        <w:t>,</w:t>
      </w:r>
      <w:r>
        <w:rPr>
          <w:rFonts w:ascii="Times New Roman" w:hAnsi="Times New Roman" w:cs="Times New Roman"/>
          <w:sz w:val="20"/>
          <w:szCs w:val="20"/>
        </w:rPr>
        <w:t xml:space="preserve"> </w:t>
      </w:r>
      <w:r>
        <w:rPr>
          <w:rFonts w:ascii="Times New Roman" w:hAnsi="Times New Roman" w:cs="Times New Roman"/>
          <w:sz w:val="20"/>
          <w:szCs w:val="20"/>
          <w:lang w:bidi="ar"/>
        </w:rPr>
        <w:t>see supplementary table 1 for details.</w:t>
      </w:r>
    </w:p>
    <w:p>
      <w:pPr>
        <w:spacing w:line="360" w:lineRule="auto"/>
        <w:jc w:val="left"/>
        <w:rPr>
          <w:rFonts w:ascii="Times New Roman" w:hAnsi="Times New Roman" w:cs="Times New Roman"/>
          <w:sz w:val="20"/>
          <w:szCs w:val="20"/>
        </w:rPr>
      </w:pPr>
      <w:r>
        <w:rPr>
          <w:rFonts w:ascii="Times New Roman" w:hAnsi="Times New Roman" w:cs="Times New Roman"/>
          <w:sz w:val="20"/>
          <w:szCs w:val="20"/>
          <w:lang w:bidi="ar"/>
        </w:rPr>
        <w:t xml:space="preserve">(5) Signed Informed consent. </w:t>
      </w:r>
    </w:p>
    <w:p>
      <w:pPr>
        <w:rPr>
          <w:rFonts w:ascii="Times New Roman" w:hAnsi="Times New Roman" w:cs="Times New Roman"/>
          <w:sz w:val="20"/>
          <w:szCs w:val="20"/>
          <w:lang w:bidi="ar"/>
        </w:rPr>
      </w:pPr>
    </w:p>
    <w:p>
      <w:pPr>
        <w:rPr>
          <w:rFonts w:ascii="Times New Roman" w:hAnsi="Times New Roman" w:cs="Times New Roman"/>
          <w:b/>
          <w:bCs/>
          <w:sz w:val="20"/>
          <w:szCs w:val="20"/>
          <w:lang w:bidi="ar"/>
        </w:rPr>
      </w:pPr>
      <w:r>
        <w:rPr>
          <w:rFonts w:ascii="Times New Roman" w:hAnsi="Times New Roman" w:cs="Times New Roman"/>
          <w:b/>
          <w:bCs/>
          <w:sz w:val="20"/>
          <w:szCs w:val="20"/>
          <w:lang w:bidi="ar"/>
        </w:rPr>
        <w:t xml:space="preserve">B. Exclusion criteria included: </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 xml:space="preserve">(1) Pregnancy or breastfeeding. </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(2) Current treatment with interferon, tocilizumab or similar drugs during current SFTSV infection.</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(3) History of hypersensitivity to any drugs or metabolites of similar chemical classes as ruxolitinib.</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(4) Unlikely to survive longer than 24 hours from enrollment in the investigator’s judgment.</w:t>
      </w:r>
    </w:p>
    <w:p>
      <w:pPr>
        <w:jc w:val="left"/>
        <w:rPr>
          <w:rFonts w:ascii="Times New Roman" w:hAnsi="Times New Roman" w:cs="Times New Roman"/>
          <w:sz w:val="20"/>
          <w:szCs w:val="20"/>
          <w:lang w:bidi="ar"/>
        </w:rPr>
      </w:pPr>
    </w:p>
    <w:p>
      <w:pPr>
        <w:jc w:val="left"/>
        <w:rPr>
          <w:rFonts w:ascii="Times New Roman" w:hAnsi="Times New Roman" w:cs="Times New Roman"/>
          <w:sz w:val="20"/>
          <w:szCs w:val="20"/>
          <w:lang w:bidi="ar"/>
        </w:rPr>
      </w:pPr>
      <w:r>
        <w:rPr>
          <w:rFonts w:ascii="Times New Roman" w:hAnsi="Times New Roman" w:cs="Times New Roman"/>
          <w:b/>
          <w:bCs/>
          <w:sz w:val="20"/>
          <w:szCs w:val="20"/>
          <w:lang w:bidi="ar"/>
        </w:rPr>
        <w:t>C. Treatment suspension criteria included</w:t>
      </w:r>
      <w:r>
        <w:rPr>
          <w:rFonts w:ascii="Times New Roman" w:hAnsi="Times New Roman" w:cs="Times New Roman"/>
          <w:sz w:val="20"/>
          <w:szCs w:val="20"/>
          <w:lang w:bidi="ar"/>
        </w:rPr>
        <w:t xml:space="preserve">: </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 xml:space="preserve">(1) Voluntary decision of the patient. </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 xml:space="preserve">(2) Treating physician's decision to discontinue the treatment. </w:t>
      </w:r>
    </w:p>
    <w:p>
      <w:pPr>
        <w:spacing w:line="360" w:lineRule="auto"/>
        <w:jc w:val="left"/>
        <w:rPr>
          <w:rFonts w:ascii="Times New Roman" w:hAnsi="Times New Roman" w:cs="Times New Roman"/>
          <w:sz w:val="20"/>
          <w:szCs w:val="20"/>
          <w:lang w:bidi="ar"/>
        </w:rPr>
      </w:pPr>
      <w:r>
        <w:rPr>
          <w:rFonts w:ascii="Times New Roman" w:hAnsi="Times New Roman" w:eastAsia="Times New Roman Bold" w:cs="Times New Roman"/>
          <w:color w:val="000000"/>
          <w:sz w:val="20"/>
          <w:szCs w:val="20"/>
          <w:lang w:bidi="ar"/>
        </w:rPr>
        <w:t xml:space="preserve">(3) Development of </w:t>
      </w:r>
      <w:r>
        <w:rPr>
          <w:rFonts w:ascii="Times New Roman" w:hAnsi="Times New Roman" w:cs="Times New Roman"/>
          <w:sz w:val="20"/>
          <w:szCs w:val="20"/>
          <w:lang w:bidi="ar"/>
        </w:rPr>
        <w:t>ruxolitinib allergy.</w:t>
      </w:r>
    </w:p>
    <w:p>
      <w:pPr>
        <w:rPr>
          <w:rFonts w:ascii="Times New Roman" w:hAnsi="Times New Roman" w:cs="Times New Roman"/>
          <w:sz w:val="20"/>
          <w:szCs w:val="20"/>
          <w:lang w:bidi="ar"/>
        </w:rPr>
      </w:pPr>
    </w:p>
    <w:p>
      <w:pPr>
        <w:rPr>
          <w:rFonts w:ascii="Times New Roman" w:hAnsi="Times New Roman" w:cs="Times New Roman"/>
          <w:sz w:val="20"/>
          <w:szCs w:val="20"/>
          <w:lang w:bidi="ar"/>
        </w:rPr>
      </w:pPr>
      <w:r>
        <w:rPr>
          <w:rFonts w:ascii="Times New Roman" w:hAnsi="Times New Roman" w:cs="Times New Roman"/>
          <w:b/>
          <w:bCs/>
          <w:sz w:val="20"/>
          <w:szCs w:val="20"/>
          <w:lang w:bidi="ar"/>
        </w:rPr>
        <w:t>2. SFTSV detection and quantitation by real-time PCR</w:t>
      </w:r>
    </w:p>
    <w:p>
      <w:pPr>
        <w:spacing w:line="360" w:lineRule="auto"/>
        <w:jc w:val="left"/>
        <w:rPr>
          <w:rFonts w:ascii="Times New Roman" w:hAnsi="Times New Roman" w:cs="Times New Roman"/>
          <w:sz w:val="20"/>
          <w:szCs w:val="20"/>
          <w:lang w:bidi="ar"/>
        </w:rPr>
      </w:pPr>
      <w:r>
        <w:rPr>
          <w:rFonts w:ascii="Times New Roman" w:hAnsi="Times New Roman" w:cs="Times New Roman"/>
          <w:sz w:val="20"/>
          <w:szCs w:val="20"/>
          <w:lang w:bidi="ar"/>
        </w:rPr>
        <w:t>A total of 200 μl of serum was used for RNA extraction via the RNeasy Mini Kit (Qiagen, Germany). The SFTSV nucleic acid tests were performed using an SFTSV Real Time RT-PCR Kit (Daan gene, Guangzhou, China) according to the manufacturer’s protocol. The reaction parameters were 50℃ for 15 min, 95℃ for 15 min, 45 cycles of 94℃ for 15 s and 55℃ for 45 s, and then 40℃ for 10 s. The cut-off cycle threshold (Ct) value was set at 35 cycles.</w:t>
      </w:r>
    </w:p>
    <w:p>
      <w:pPr>
        <w:rPr>
          <w:rFonts w:ascii="Times New Roman" w:hAnsi="Times New Roman" w:cs="Times New Roman"/>
          <w:sz w:val="20"/>
          <w:szCs w:val="20"/>
          <w:lang w:bidi="ar"/>
        </w:rPr>
      </w:pPr>
    </w:p>
    <w:p>
      <w:pPr>
        <w:jc w:val="left"/>
        <w:rPr>
          <w:rFonts w:ascii="Times New Roman" w:hAnsi="Times New Roman" w:cs="Times New Roman"/>
          <w:sz w:val="20"/>
          <w:szCs w:val="20"/>
          <w:lang w:bidi="ar"/>
        </w:rPr>
      </w:pPr>
      <w:r>
        <w:rPr>
          <w:rFonts w:ascii="Times New Roman" w:hAnsi="Times New Roman" w:cs="Times New Roman"/>
          <w:b/>
          <w:bCs/>
          <w:sz w:val="20"/>
          <w:szCs w:val="20"/>
          <w:lang w:bidi="ar"/>
        </w:rPr>
        <w:t>3.Serum cytokines (IL-6, IL-8, IL-10, IFN-α, IFN-γ) detection and quantitation by</w:t>
      </w:r>
      <w:r>
        <w:rPr>
          <w:rFonts w:ascii="Times New Roman" w:hAnsi="Times New Roman" w:cs="Times New Roman"/>
          <w:sz w:val="20"/>
          <w:szCs w:val="20"/>
          <w:lang w:bidi="ar"/>
        </w:rPr>
        <w:t xml:space="preserve"> </w:t>
      </w:r>
      <w:r>
        <w:rPr>
          <w:rFonts w:ascii="Times New Roman" w:hAnsi="Times New Roman" w:cs="Times New Roman"/>
          <w:b/>
          <w:bCs/>
          <w:sz w:val="20"/>
          <w:szCs w:val="20"/>
          <w:lang w:bidi="ar"/>
        </w:rPr>
        <w:t>immunofluorescence assay.</w:t>
      </w:r>
    </w:p>
    <w:p>
      <w:pPr>
        <w:spacing w:line="360" w:lineRule="auto"/>
        <w:rPr>
          <w:rFonts w:ascii="Times New Roman" w:hAnsi="Times New Roman" w:cs="Times New Roman"/>
          <w:sz w:val="20"/>
          <w:szCs w:val="20"/>
          <w:lang w:bidi="ar"/>
        </w:rPr>
      </w:pPr>
      <w:r>
        <w:rPr>
          <w:rFonts w:ascii="Times New Roman" w:hAnsi="Times New Roman" w:cs="Times New Roman"/>
          <w:b/>
          <w:sz w:val="20"/>
          <w:szCs w:val="20"/>
          <w:lang w:bidi="ar"/>
        </w:rPr>
        <w:t xml:space="preserve">  </w:t>
      </w:r>
      <w:r>
        <w:rPr>
          <w:rFonts w:ascii="Times New Roman" w:hAnsi="Times New Roman" w:cs="Times New Roman"/>
          <w:sz w:val="20"/>
          <w:szCs w:val="20"/>
          <w:lang w:bidi="ar"/>
        </w:rPr>
        <w:t xml:space="preserve">The serum cytokines tests were performed using immunofluorescence assay (Sakkibio, Nanchang, China) and BD FACSCantoll flow cytometer system (BD, Shanghai China) according to the manufacturer’s protocol. </w:t>
      </w:r>
    </w:p>
    <w:p>
      <w:pPr>
        <w:rPr>
          <w:rFonts w:ascii="Times New Roman" w:hAnsi="Times New Roman" w:cs="Times New Roman"/>
          <w:sz w:val="20"/>
          <w:szCs w:val="20"/>
          <w:lang w:bidi="ar"/>
        </w:rPr>
      </w:pPr>
    </w:p>
    <w:p>
      <w:pPr>
        <w:rPr>
          <w:rFonts w:ascii="Times New Roman" w:hAnsi="Times New Roman" w:cs="Times New Roman"/>
          <w:b/>
          <w:bCs/>
          <w:sz w:val="20"/>
          <w:szCs w:val="20"/>
          <w:lang w:bidi="ar"/>
        </w:rPr>
      </w:pPr>
      <w:r>
        <w:rPr>
          <w:rFonts w:ascii="Times New Roman" w:hAnsi="Times New Roman" w:cs="Times New Roman"/>
          <w:b/>
          <w:bCs/>
          <w:sz w:val="20"/>
          <w:szCs w:val="20"/>
          <w:lang w:bidi="ar"/>
        </w:rPr>
        <w:t>4. IFI44L transcript detection and quantitation by real-time RT-PCR</w:t>
      </w:r>
    </w:p>
    <w:p>
      <w:pPr>
        <w:rPr>
          <w:rFonts w:ascii="Times New Roman" w:hAnsi="Times New Roman" w:cs="Times New Roman"/>
          <w:b/>
          <w:bCs/>
          <w:sz w:val="20"/>
          <w:szCs w:val="20"/>
          <w:lang w:bidi="ar"/>
        </w:rPr>
      </w:pPr>
      <w:r>
        <w:rPr>
          <w:rFonts w:ascii="Times New Roman" w:hAnsi="Times New Roman" w:cs="Times New Roman"/>
          <w:b/>
          <w:bCs/>
          <w:sz w:val="20"/>
          <w:szCs w:val="20"/>
          <w:lang w:bidi="ar"/>
        </w:rPr>
        <w:t xml:space="preserve">A.RNA extraction and reverse transcription </w:t>
      </w:r>
    </w:p>
    <w:p>
      <w:pPr>
        <w:spacing w:line="360" w:lineRule="auto"/>
        <w:rPr>
          <w:rFonts w:ascii="Times New Roman" w:hAnsi="Times New Roman" w:cs="Times New Roman"/>
          <w:sz w:val="20"/>
          <w:szCs w:val="20"/>
          <w:lang w:bidi="ar"/>
        </w:rPr>
      </w:pPr>
      <w:r>
        <w:rPr>
          <w:rFonts w:ascii="Times New Roman" w:hAnsi="Times New Roman" w:cs="Times New Roman"/>
          <w:sz w:val="20"/>
          <w:szCs w:val="20"/>
          <w:lang w:bidi="ar"/>
        </w:rPr>
        <w:t>Blood samples (1-2 ml each in volume) were drawn into EDTA-anticoagulation tubes concurrently with samples for routine clinical testing. Within 2 hours after collection, the blood sample was treated with TRIzol LS Reagent (Invitrogen) for subsequent RNA extraction. Total RNA was extracted using a Direct-zolTM RNA MiniPrep kit (ZYMO RESEARCH CORP) from the processed whole blood sample. 300 ng RNA was added to a 20-μl mixture containing Random Primer p(dN)6, reaction buffer, RNase Inhibitor, dNTP Mix, M-MuLV RT, and RNase free ddH2O using a reverse-transcription kit (Sangon Biotech Corp) with the following cycling profile: 65℃ for 5 min, 2 min in an ice bath, 25℃ for 10 min, 50℃ for 30 min, and 85℃ for 5 min and a hold at 4℃. The obtained cDNA was stored at -80℃ for further detection.</w:t>
      </w:r>
    </w:p>
    <w:p>
      <w:pPr>
        <w:rPr>
          <w:rFonts w:ascii="Times New Roman" w:hAnsi="Times New Roman" w:cs="Times New Roman"/>
          <w:sz w:val="20"/>
          <w:szCs w:val="20"/>
          <w:lang w:bidi="ar"/>
        </w:rPr>
      </w:pPr>
    </w:p>
    <w:p>
      <w:pPr>
        <w:rPr>
          <w:rFonts w:ascii="Times New Roman" w:hAnsi="Times New Roman" w:cs="Times New Roman"/>
          <w:b/>
          <w:bCs/>
          <w:sz w:val="20"/>
          <w:szCs w:val="20"/>
          <w:lang w:bidi="ar"/>
        </w:rPr>
      </w:pPr>
      <w:r>
        <w:rPr>
          <w:rFonts w:ascii="Times New Roman" w:hAnsi="Times New Roman" w:cs="Times New Roman"/>
          <w:b/>
          <w:bCs/>
          <w:sz w:val="20"/>
          <w:szCs w:val="20"/>
          <w:lang w:bidi="ar"/>
        </w:rPr>
        <w:t>B. Real-time PCR</w:t>
      </w:r>
    </w:p>
    <w:p>
      <w:pPr>
        <w:spacing w:line="360" w:lineRule="auto"/>
        <w:rPr>
          <w:rFonts w:ascii="Times New Roman" w:hAnsi="Times New Roman" w:cs="Times New Roman"/>
          <w:sz w:val="20"/>
          <w:szCs w:val="20"/>
          <w:lang w:bidi="ar"/>
        </w:rPr>
      </w:pPr>
      <w:r>
        <w:rPr>
          <w:rFonts w:ascii="Times New Roman" w:hAnsi="Times New Roman" w:cs="Times New Roman"/>
          <w:sz w:val="20"/>
          <w:szCs w:val="20"/>
          <w:lang w:bidi="ar"/>
        </w:rPr>
        <w:t xml:space="preserve">A TaqMan PCR kit and the primers for target genes were purchased from Applied Biosystems, including IFI44L (Hs00915292_m1) and the internal control ACTB (Hs01060665_g1). Reactions were performed in a 20-ul reaction volume in TaqMan Fast qPCR Master Mix (Sangon Biotech Corp) using Hongshi SLAN96P platform. Single-gene single-channel dual-repetitive amplification was performed using a fluorescent quantitation PCR instrument. The PCR cycle was 50℃ for 2 min, 95℃ for 10 min and 36 cycles of 95℃ for 15 s and 60℃ for 1 min. Delta Ct method was used to calculate relative mRNA expression. </w:t>
      </w: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rPr>
      </w:pPr>
      <w:r>
        <w:rPr>
          <w:rFonts w:ascii="Times New Roman" w:hAnsi="Times New Roman" w:cs="Times New Roman"/>
          <w:b/>
          <w:bCs/>
          <w:sz w:val="20"/>
          <w:szCs w:val="20"/>
          <w:lang w:bidi="ar"/>
        </w:rPr>
        <w:t xml:space="preserve">Figure </w:t>
      </w:r>
      <w:r>
        <w:rPr>
          <w:rFonts w:hint="eastAsia" w:ascii="Times New Roman" w:hAnsi="Times New Roman" w:cs="Times New Roman"/>
          <w:b/>
          <w:bCs/>
          <w:sz w:val="20"/>
          <w:szCs w:val="20"/>
          <w:lang w:bidi="ar"/>
        </w:rPr>
        <w:t>S</w:t>
      </w:r>
      <w:r>
        <w:rPr>
          <w:rFonts w:ascii="Times New Roman" w:hAnsi="Times New Roman" w:cs="Times New Roman"/>
          <w:b/>
          <w:bCs/>
          <w:sz w:val="20"/>
          <w:szCs w:val="20"/>
          <w:lang w:bidi="ar"/>
        </w:rPr>
        <w:t>1.</w:t>
      </w:r>
      <w:r>
        <w:rPr>
          <w:rFonts w:ascii="Times New Roman" w:hAnsi="Times New Roman" w:eastAsia="TimesNewRomanPS-BoldMT" w:cs="Times New Roman"/>
          <w:b/>
          <w:bCs/>
          <w:sz w:val="20"/>
          <w:szCs w:val="20"/>
          <w:lang w:bidi="ar"/>
        </w:rPr>
        <w:t xml:space="preserve"> Flow Diagram</w:t>
      </w:r>
    </w:p>
    <w:p>
      <w:pPr>
        <w:rPr>
          <w:rFonts w:ascii="Times New Roman" w:hAnsi="Times New Roman" w:cs="Times New Roman"/>
          <w:sz w:val="20"/>
          <w:szCs w:val="20"/>
          <w:lang w:bidi="ar"/>
        </w:rPr>
      </w:pPr>
      <w:r>
        <w:rPr>
          <w:rFonts w:ascii="Times New Roman" w:hAnsi="Times New Roman" w:cs="Times New Roman"/>
          <w:sz w:val="20"/>
          <w:szCs w:val="20"/>
          <w:lang w:bidi="ar"/>
        </w:rPr>
        <w:drawing>
          <wp:inline distT="0" distB="0" distL="114300" distR="114300">
            <wp:extent cx="5254625" cy="3129280"/>
            <wp:effectExtent l="0" t="0" r="0" b="0"/>
            <wp:docPr id="2" name="图片 2" descr="基础组织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基础组织结构图"/>
                    <pic:cNvPicPr>
                      <a:picLocks noChangeAspect="1"/>
                    </pic:cNvPicPr>
                  </pic:nvPicPr>
                  <pic:blipFill>
                    <a:blip r:embed="rId6"/>
                    <a:stretch>
                      <a:fillRect/>
                    </a:stretch>
                  </pic:blipFill>
                  <pic:spPr>
                    <a:xfrm>
                      <a:off x="0" y="0"/>
                      <a:ext cx="5254625" cy="3129280"/>
                    </a:xfrm>
                    <a:prstGeom prst="rect">
                      <a:avLst/>
                    </a:prstGeom>
                  </pic:spPr>
                </pic:pic>
              </a:graphicData>
            </a:graphic>
          </wp:inline>
        </w:drawing>
      </w:r>
    </w:p>
    <w:p>
      <w:pPr>
        <w:rPr>
          <w:rFonts w:ascii="Times New Roman" w:hAnsi="Times New Roman" w:eastAsia="宋体" w:cs="Times New Roman"/>
          <w:color w:val="000000"/>
          <w:kern w:val="0"/>
          <w:sz w:val="20"/>
          <w:szCs w:val="20"/>
          <w:lang w:eastAsia="zh-Hans" w:bidi="ar"/>
        </w:rPr>
      </w:pPr>
      <w:r>
        <w:rPr>
          <w:rFonts w:ascii="Times New Roman" w:hAnsi="Times New Roman" w:cs="Times New Roman"/>
          <w:sz w:val="20"/>
          <w:szCs w:val="20"/>
        </w:rPr>
        <w:t>Abbreviations: RUX: ruxolitinib group; HC: history control group</w:t>
      </w:r>
      <w:r>
        <w:rPr>
          <w:rFonts w:ascii="Times New Roman" w:hAnsi="Times New Roman" w:eastAsia="宋体" w:cs="Times New Roman"/>
          <w:kern w:val="0"/>
          <w:sz w:val="20"/>
          <w:szCs w:val="20"/>
          <w:lang w:bidi="ar"/>
        </w:rPr>
        <w:t>.</w:t>
      </w: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b/>
          <w:bCs/>
          <w:sz w:val="20"/>
          <w:szCs w:val="20"/>
        </w:rPr>
      </w:pPr>
      <w:r>
        <w:rPr>
          <w:rFonts w:ascii="Times New Roman" w:hAnsi="Times New Roman" w:cs="Times New Roman"/>
          <w:b/>
          <w:bCs/>
          <w:sz w:val="20"/>
          <w:szCs w:val="20"/>
          <w:lang w:bidi="ar"/>
        </w:rPr>
        <w:t>Figure</w:t>
      </w:r>
      <w:r>
        <w:rPr>
          <w:rFonts w:ascii="Times New Roman" w:hAnsi="Times New Roman" w:eastAsia="TimesNewRomanPS-BoldMT" w:cs="Times New Roman"/>
          <w:b/>
          <w:bCs/>
          <w:sz w:val="20"/>
          <w:szCs w:val="20"/>
          <w:lang w:bidi="ar"/>
        </w:rPr>
        <w:t xml:space="preserve"> </w:t>
      </w:r>
      <w:r>
        <w:rPr>
          <w:rFonts w:hint="eastAsia" w:ascii="Times New Roman" w:hAnsi="Times New Roman" w:cs="Times New Roman"/>
          <w:b/>
          <w:bCs/>
          <w:sz w:val="20"/>
          <w:szCs w:val="20"/>
          <w:lang w:bidi="ar"/>
        </w:rPr>
        <w:t>S</w:t>
      </w:r>
      <w:r>
        <w:rPr>
          <w:rFonts w:ascii="Times New Roman" w:hAnsi="Times New Roman" w:cs="Times New Roman"/>
          <w:b/>
          <w:bCs/>
          <w:sz w:val="20"/>
          <w:szCs w:val="20"/>
          <w:lang w:bidi="ar"/>
        </w:rPr>
        <w:t>2</w:t>
      </w:r>
      <w:r>
        <w:rPr>
          <w:rFonts w:ascii="Times New Roman" w:hAnsi="Times New Roman" w:eastAsia="TimesNewRomanPS-BoldMT" w:cs="Times New Roman"/>
          <w:b/>
          <w:bCs/>
          <w:sz w:val="20"/>
          <w:szCs w:val="20"/>
          <w:lang w:bidi="ar"/>
        </w:rPr>
        <w:t xml:space="preserve">. Cytokines and </w:t>
      </w:r>
      <w:r>
        <w:rPr>
          <w:rFonts w:ascii="Times New Roman" w:hAnsi="Times New Roman" w:cs="Times New Roman"/>
          <w:b/>
          <w:bCs/>
          <w:color w:val="000000" w:themeColor="text1"/>
          <w:sz w:val="20"/>
          <w:szCs w:val="20"/>
          <w14:textFill>
            <w14:solidFill>
              <w14:schemeClr w14:val="tx1"/>
            </w14:solidFill>
          </w14:textFill>
        </w:rPr>
        <w:t>IFI44L gene at baseline</w:t>
      </w:r>
      <w:r>
        <w:rPr>
          <w:rFonts w:ascii="Times New Roman" w:hAnsi="Times New Roman" w:cs="Times New Roman"/>
          <w:b/>
          <w:bCs/>
          <w:sz w:val="20"/>
          <w:szCs w:val="20"/>
          <w:lang w:bidi="ar"/>
        </w:rPr>
        <w:t xml:space="preserve"> in ruxolitinib group.</w:t>
      </w:r>
    </w:p>
    <w:p>
      <w:pPr>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sz w:val="20"/>
          <w:szCs w:val="20"/>
        </w:rPr>
        <w:drawing>
          <wp:inline distT="0" distB="0" distL="114300" distR="114300">
            <wp:extent cx="5271135" cy="3213735"/>
            <wp:effectExtent l="0" t="0" r="1206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1135" cy="3213735"/>
                    </a:xfrm>
                    <a:prstGeom prst="rect">
                      <a:avLst/>
                    </a:prstGeom>
                    <a:noFill/>
                    <a:ln>
                      <a:noFill/>
                    </a:ln>
                  </pic:spPr>
                </pic:pic>
              </a:graphicData>
            </a:graphic>
          </wp:inline>
        </w:drawing>
      </w:r>
    </w:p>
    <w:p>
      <w:pPr>
        <w:rPr>
          <w:rFonts w:ascii="Times New Roman" w:hAnsi="Times New Roman" w:cs="Times New Roman"/>
          <w:color w:val="FF0000"/>
          <w:sz w:val="20"/>
          <w:szCs w:val="20"/>
        </w:rPr>
      </w:pPr>
      <w:r>
        <w:rPr>
          <w:rFonts w:ascii="Times New Roman" w:hAnsi="Times New Roman" w:cs="Times New Roman"/>
          <w:bCs/>
          <w:color w:val="000000" w:themeColor="text1"/>
          <w:sz w:val="20"/>
          <w:szCs w:val="20"/>
          <w14:textFill>
            <w14:solidFill>
              <w14:schemeClr w14:val="tx1"/>
            </w14:solidFill>
          </w14:textFill>
        </w:rPr>
        <w:t>Abbreviations: IL-6</w:t>
      </w:r>
      <w:r>
        <w:rPr>
          <w:rFonts w:ascii="Times New Roman" w:hAnsi="Times New Roman" w:cs="Times New Roman"/>
          <w:kern w:val="0"/>
          <w:sz w:val="20"/>
          <w:szCs w:val="20"/>
          <w:lang w:eastAsia="zh-Hans" w:bidi="ar"/>
        </w:rPr>
        <w:t>:</w:t>
      </w:r>
      <w:r>
        <w:rPr>
          <w:rFonts w:ascii="Times New Roman" w:hAnsi="Times New Roman" w:cs="Times New Roman"/>
          <w:kern w:val="0"/>
          <w:sz w:val="20"/>
          <w:szCs w:val="20"/>
          <w:lang w:bidi="ar"/>
        </w:rPr>
        <w:t xml:space="preserve"> interleukin-6; </w:t>
      </w:r>
      <w:r>
        <w:rPr>
          <w:rFonts w:ascii="Times New Roman" w:hAnsi="Times New Roman" w:cs="Times New Roman"/>
          <w:bCs/>
          <w:color w:val="000000" w:themeColor="text1"/>
          <w:sz w:val="20"/>
          <w:szCs w:val="20"/>
          <w14:textFill>
            <w14:solidFill>
              <w14:schemeClr w14:val="tx1"/>
            </w14:solidFill>
          </w14:textFill>
        </w:rPr>
        <w:t>IL-8</w:t>
      </w:r>
      <w:r>
        <w:rPr>
          <w:rFonts w:ascii="Times New Roman" w:hAnsi="Times New Roman" w:cs="Times New Roman"/>
          <w:kern w:val="0"/>
          <w:sz w:val="20"/>
          <w:szCs w:val="20"/>
          <w:lang w:eastAsia="zh-Hans" w:bidi="ar"/>
        </w:rPr>
        <w:t>:</w:t>
      </w:r>
      <w:r>
        <w:rPr>
          <w:rFonts w:ascii="Times New Roman" w:hAnsi="Times New Roman" w:cs="Times New Roman"/>
          <w:kern w:val="0"/>
          <w:sz w:val="20"/>
          <w:szCs w:val="20"/>
          <w:lang w:bidi="ar"/>
        </w:rPr>
        <w:t xml:space="preserve"> interleukin-8; </w:t>
      </w:r>
      <w:r>
        <w:rPr>
          <w:rFonts w:ascii="Times New Roman" w:hAnsi="Times New Roman" w:cs="Times New Roman"/>
          <w:bCs/>
          <w:color w:val="000000" w:themeColor="text1"/>
          <w:sz w:val="20"/>
          <w:szCs w:val="20"/>
          <w14:textFill>
            <w14:solidFill>
              <w14:schemeClr w14:val="tx1"/>
            </w14:solidFill>
          </w14:textFill>
        </w:rPr>
        <w:t>IL-10</w:t>
      </w:r>
      <w:r>
        <w:rPr>
          <w:rFonts w:ascii="Times New Roman" w:hAnsi="Times New Roman" w:cs="Times New Roman"/>
          <w:kern w:val="0"/>
          <w:sz w:val="20"/>
          <w:szCs w:val="20"/>
          <w:lang w:eastAsia="zh-Hans" w:bidi="ar"/>
        </w:rPr>
        <w:t>:</w:t>
      </w:r>
      <w:r>
        <w:rPr>
          <w:rFonts w:ascii="Times New Roman" w:hAnsi="Times New Roman" w:cs="Times New Roman"/>
          <w:kern w:val="0"/>
          <w:sz w:val="20"/>
          <w:szCs w:val="20"/>
          <w:lang w:bidi="ar"/>
        </w:rPr>
        <w:t xml:space="preserve"> interleukin-10; IFN-α: interferon-α; IFN-γ: interferon-γ;</w:t>
      </w:r>
      <w:r>
        <w:rPr>
          <w:rFonts w:ascii="Times New Roman" w:hAnsi="Times New Roman" w:cs="Times New Roman"/>
          <w:bCs/>
          <w:color w:val="000000" w:themeColor="text1"/>
          <w:sz w:val="20"/>
          <w:szCs w:val="20"/>
          <w14:textFill>
            <w14:solidFill>
              <w14:schemeClr w14:val="tx1"/>
            </w14:solidFill>
          </w14:textFill>
        </w:rPr>
        <w:t xml:space="preserve"> IFI44L: </w:t>
      </w:r>
      <w:r>
        <w:rPr>
          <w:rFonts w:ascii="Times New Roman" w:hAnsi="Times New Roman" w:cs="Times New Roman"/>
          <w:sz w:val="20"/>
          <w:szCs w:val="20"/>
        </w:rPr>
        <w:t>transcripts</w:t>
      </w:r>
      <w:r>
        <w:rPr>
          <w:rFonts w:ascii="Times New Roman" w:hAnsi="Times New Roman" w:cs="Times New Roman"/>
          <w:color w:val="000000" w:themeColor="text1"/>
          <w:sz w:val="20"/>
          <w:szCs w:val="20"/>
          <w14:textFill>
            <w14:solidFill>
              <w14:schemeClr w14:val="tx1"/>
            </w14:solidFill>
          </w14:textFill>
        </w:rPr>
        <w:t xml:space="preserve"> of </w:t>
      </w:r>
      <w:r>
        <w:rPr>
          <w:rFonts w:ascii="Times New Roman" w:hAnsi="Times New Roman" w:cs="Times New Roman"/>
          <w:sz w:val="20"/>
          <w:szCs w:val="20"/>
        </w:rPr>
        <w:t xml:space="preserve">the </w:t>
      </w:r>
      <w:r>
        <w:rPr>
          <w:rFonts w:ascii="Times New Roman" w:hAnsi="Times New Roman" w:cs="Times New Roman"/>
          <w:color w:val="000000" w:themeColor="text1"/>
          <w:sz w:val="20"/>
          <w:szCs w:val="20"/>
          <w14:textFill>
            <w14:solidFill>
              <w14:schemeClr w14:val="tx1"/>
            </w14:solidFill>
          </w14:textFill>
        </w:rPr>
        <w:t>interferon (IFN)-induced protein 44-like (IFI44L) gene.</w:t>
      </w:r>
    </w:p>
    <w:p>
      <w:pPr>
        <w:rPr>
          <w:rFonts w:ascii="Times New Roman" w:hAnsi="Times New Roman" w:cs="Times New Roman"/>
          <w:sz w:val="20"/>
          <w:szCs w:val="20"/>
          <w:lang w:eastAsia="zh-Hans" w:bidi="ar"/>
        </w:rPr>
      </w:pPr>
    </w:p>
    <w:p>
      <w:pPr>
        <w:rPr>
          <w:rFonts w:ascii="Times New Roman" w:hAnsi="Times New Roman" w:cs="Times New Roman"/>
          <w:sz w:val="20"/>
          <w:szCs w:val="20"/>
          <w:lang w:bidi="ar"/>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lang w:bidi="ar"/>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jc w:val="left"/>
        <w:rPr>
          <w:rFonts w:ascii="Times New Roman" w:hAnsi="Times New Roman" w:cs="Times New Roman"/>
          <w:sz w:val="20"/>
          <w:szCs w:val="20"/>
        </w:rPr>
      </w:pPr>
    </w:p>
    <w:p>
      <w:pPr>
        <w:rPr>
          <w:rFonts w:ascii="Times New Roman" w:hAnsi="Times New Roman" w:cs="Times New Roman"/>
          <w:sz w:val="20"/>
          <w:szCs w:val="20"/>
          <w:lang w:bidi="ar"/>
        </w:rPr>
      </w:pPr>
      <w:r>
        <w:rPr>
          <w:rFonts w:ascii="Times New Roman" w:hAnsi="Times New Roman" w:cs="Times New Roman"/>
          <w:b/>
          <w:bCs/>
          <w:sz w:val="20"/>
          <w:szCs w:val="20"/>
          <w:lang w:bidi="ar"/>
        </w:rPr>
        <w:t xml:space="preserve">Table </w:t>
      </w:r>
      <w:r>
        <w:rPr>
          <w:rFonts w:hint="eastAsia" w:ascii="Times New Roman" w:hAnsi="Times New Roman" w:cs="Times New Roman"/>
          <w:b/>
          <w:bCs/>
          <w:sz w:val="20"/>
          <w:szCs w:val="20"/>
          <w:lang w:bidi="ar"/>
        </w:rPr>
        <w:t>S</w:t>
      </w:r>
      <w:r>
        <w:rPr>
          <w:rFonts w:ascii="Times New Roman" w:hAnsi="Times New Roman" w:cs="Times New Roman"/>
          <w:b/>
          <w:bCs/>
          <w:sz w:val="20"/>
          <w:szCs w:val="20"/>
          <w:lang w:bidi="ar"/>
        </w:rPr>
        <w:t>1. The clinical scoring model based on age, and neurologic symptoms, and 4 laboratory indicators</w:t>
      </w:r>
      <w:r>
        <w:rPr>
          <w:rFonts w:hint="eastAsia" w:ascii="Times New Roman" w:hAnsi="Times New Roman" w:cs="Times New Roman"/>
          <w:b/>
          <w:bCs/>
          <w:sz w:val="20"/>
          <w:szCs w:val="20"/>
          <w:lang w:bidi="ar"/>
        </w:rPr>
        <w:t>.</w:t>
      </w:r>
    </w:p>
    <w:tbl>
      <w:tblPr>
        <w:tblStyle w:val="6"/>
        <w:tblW w:w="8246" w:type="dxa"/>
        <w:tblInd w:w="88" w:type="dxa"/>
        <w:tblLayout w:type="fixed"/>
        <w:tblCellMar>
          <w:top w:w="0" w:type="dxa"/>
          <w:left w:w="108" w:type="dxa"/>
          <w:bottom w:w="0" w:type="dxa"/>
          <w:right w:w="108" w:type="dxa"/>
        </w:tblCellMar>
      </w:tblPr>
      <w:tblGrid>
        <w:gridCol w:w="4296"/>
        <w:gridCol w:w="1626"/>
        <w:gridCol w:w="2324"/>
      </w:tblGrid>
      <w:tr>
        <w:tblPrEx>
          <w:tblCellMar>
            <w:top w:w="0" w:type="dxa"/>
            <w:left w:w="108" w:type="dxa"/>
            <w:bottom w:w="0" w:type="dxa"/>
            <w:right w:w="108" w:type="dxa"/>
          </w:tblCellMar>
        </w:tblPrEx>
        <w:trPr>
          <w:trHeight w:val="336" w:hRule="atLeast"/>
        </w:trPr>
        <w:tc>
          <w:tcPr>
            <w:tcW w:w="429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b/>
                <w:bCs/>
                <w:sz w:val="20"/>
                <w:szCs w:val="20"/>
                <w:lang w:bidi="ar"/>
              </w:rPr>
            </w:pPr>
            <w:r>
              <w:rPr>
                <w:rFonts w:ascii="Times New Roman" w:hAnsi="Times New Roman" w:cs="Times New Roman"/>
                <w:b/>
                <w:bCs/>
                <w:sz w:val="20"/>
                <w:szCs w:val="20"/>
                <w:lang w:bidi="ar"/>
              </w:rPr>
              <w:t>Variable</w:t>
            </w: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b/>
                <w:bCs/>
                <w:sz w:val="20"/>
                <w:szCs w:val="20"/>
                <w:lang w:bidi="ar"/>
              </w:rPr>
            </w:pPr>
            <w:r>
              <w:rPr>
                <w:rFonts w:ascii="Times New Roman" w:hAnsi="Times New Roman" w:cs="Times New Roman"/>
                <w:b/>
                <w:bCs/>
                <w:sz w:val="20"/>
                <w:szCs w:val="20"/>
                <w:lang w:bidi="ar"/>
              </w:rPr>
              <w:t>range</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b/>
                <w:bCs/>
                <w:sz w:val="20"/>
                <w:szCs w:val="20"/>
                <w:lang w:bidi="ar"/>
              </w:rPr>
            </w:pPr>
            <w:r>
              <w:rPr>
                <w:rFonts w:ascii="Times New Roman" w:hAnsi="Times New Roman" w:cs="Times New Roman"/>
                <w:b/>
                <w:bCs/>
                <w:sz w:val="20"/>
                <w:szCs w:val="20"/>
                <w:lang w:bidi="ar"/>
              </w:rPr>
              <w:t>Score</w:t>
            </w:r>
          </w:p>
        </w:tc>
      </w:tr>
      <w:tr>
        <w:tblPrEx>
          <w:tblCellMar>
            <w:top w:w="0" w:type="dxa"/>
            <w:left w:w="108" w:type="dxa"/>
            <w:bottom w:w="0" w:type="dxa"/>
            <w:right w:w="108" w:type="dxa"/>
          </w:tblCellMar>
        </w:tblPrEx>
        <w:trPr>
          <w:trHeight w:val="336" w:hRule="atLeast"/>
        </w:trPr>
        <w:tc>
          <w:tcPr>
            <w:tcW w:w="4296" w:type="dxa"/>
            <w:vMerge w:val="restart"/>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Age, years</w:t>
            </w: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&lt;60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1</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60-70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2</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≥70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3</w:t>
            </w:r>
          </w:p>
        </w:tc>
      </w:tr>
      <w:tr>
        <w:tblPrEx>
          <w:tblCellMar>
            <w:top w:w="0" w:type="dxa"/>
            <w:left w:w="108" w:type="dxa"/>
            <w:bottom w:w="0" w:type="dxa"/>
            <w:right w:w="108" w:type="dxa"/>
          </w:tblCellMar>
        </w:tblPrEx>
        <w:trPr>
          <w:trHeight w:val="336" w:hRule="atLeast"/>
        </w:trPr>
        <w:tc>
          <w:tcPr>
            <w:tcW w:w="4296" w:type="dxa"/>
            <w:vMerge w:val="restart"/>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Neurologic symptoms, no.</w:t>
            </w: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1</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1</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2</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≥2</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3</w:t>
            </w:r>
          </w:p>
        </w:tc>
      </w:tr>
      <w:tr>
        <w:tblPrEx>
          <w:tblCellMar>
            <w:top w:w="0" w:type="dxa"/>
            <w:left w:w="108" w:type="dxa"/>
            <w:bottom w:w="0" w:type="dxa"/>
            <w:right w:w="108" w:type="dxa"/>
          </w:tblCellMar>
        </w:tblPrEx>
        <w:trPr>
          <w:trHeight w:val="336" w:hRule="atLeast"/>
        </w:trPr>
        <w:tc>
          <w:tcPr>
            <w:tcW w:w="4296" w:type="dxa"/>
            <w:vMerge w:val="restart"/>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Lactate dehydrogenase, U/L</w:t>
            </w: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＜600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1</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600-1000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2</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≥1000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3</w:t>
            </w:r>
          </w:p>
        </w:tc>
      </w:tr>
      <w:tr>
        <w:tblPrEx>
          <w:tblCellMar>
            <w:top w:w="0" w:type="dxa"/>
            <w:left w:w="108" w:type="dxa"/>
            <w:bottom w:w="0" w:type="dxa"/>
            <w:right w:w="108" w:type="dxa"/>
          </w:tblCellMar>
        </w:tblPrEx>
        <w:trPr>
          <w:trHeight w:val="336" w:hRule="atLeast"/>
        </w:trPr>
        <w:tc>
          <w:tcPr>
            <w:tcW w:w="4296" w:type="dxa"/>
            <w:vMerge w:val="restart"/>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Aspartate aminotransferase, U/L</w:t>
            </w: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eastAsia="zh-Hans" w:bidi="ar"/>
              </w:rPr>
            </w:pPr>
            <w:r>
              <w:rPr>
                <w:rFonts w:ascii="Times New Roman" w:hAnsi="Times New Roman" w:cs="Times New Roman"/>
                <w:sz w:val="20"/>
                <w:szCs w:val="20"/>
                <w:lang w:eastAsia="zh-Hans" w:bidi="ar"/>
              </w:rPr>
              <w:t>＜200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1</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200-4000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2</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eastAsia="zh-Hans" w:bidi="ar"/>
              </w:rPr>
            </w:pPr>
            <w:r>
              <w:rPr>
                <w:rFonts w:ascii="Times New Roman" w:hAnsi="Times New Roman" w:cs="Times New Roman"/>
                <w:sz w:val="20"/>
                <w:szCs w:val="20"/>
                <w:lang w:eastAsia="zh-Hans" w:bidi="ar"/>
              </w:rPr>
              <w:t>≥4000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3</w:t>
            </w:r>
          </w:p>
        </w:tc>
      </w:tr>
      <w:tr>
        <w:tblPrEx>
          <w:tblCellMar>
            <w:top w:w="0" w:type="dxa"/>
            <w:left w:w="108" w:type="dxa"/>
            <w:bottom w:w="0" w:type="dxa"/>
            <w:right w:w="108" w:type="dxa"/>
          </w:tblCellMar>
        </w:tblPrEx>
        <w:trPr>
          <w:trHeight w:val="336" w:hRule="atLeast"/>
        </w:trPr>
        <w:tc>
          <w:tcPr>
            <w:tcW w:w="4296" w:type="dxa"/>
            <w:vMerge w:val="restart"/>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Blood urea nitrogen, mmol/L</w:t>
            </w: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eastAsia="zh-Hans" w:bidi="ar"/>
              </w:rPr>
            </w:pPr>
            <w:r>
              <w:rPr>
                <w:rFonts w:ascii="Times New Roman" w:hAnsi="Times New Roman" w:cs="Times New Roman"/>
                <w:sz w:val="20"/>
                <w:szCs w:val="20"/>
                <w:lang w:eastAsia="zh-Hans" w:bidi="ar"/>
              </w:rPr>
              <w:t>＜7.15</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1</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7.15-9</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2</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eastAsia="zh-Hans" w:bidi="ar"/>
              </w:rPr>
            </w:pPr>
            <w:r>
              <w:rPr>
                <w:rFonts w:ascii="Times New Roman" w:hAnsi="Times New Roman" w:cs="Times New Roman"/>
                <w:sz w:val="20"/>
                <w:szCs w:val="20"/>
                <w:lang w:eastAsia="zh-Hans" w:bidi="ar"/>
              </w:rPr>
              <w:t>≥9</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3</w:t>
            </w:r>
          </w:p>
        </w:tc>
      </w:tr>
      <w:tr>
        <w:tblPrEx>
          <w:tblCellMar>
            <w:top w:w="0" w:type="dxa"/>
            <w:left w:w="108" w:type="dxa"/>
            <w:bottom w:w="0" w:type="dxa"/>
            <w:right w:w="108" w:type="dxa"/>
          </w:tblCellMar>
        </w:tblPrEx>
        <w:trPr>
          <w:trHeight w:val="336" w:hRule="atLeast"/>
        </w:trPr>
        <w:tc>
          <w:tcPr>
            <w:tcW w:w="4296" w:type="dxa"/>
            <w:vMerge w:val="restart"/>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Neutrophil percentage, %</w:t>
            </w: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eastAsia="zh-Hans" w:bidi="ar"/>
              </w:rPr>
              <w:t>＜</w:t>
            </w:r>
            <w:r>
              <w:rPr>
                <w:rFonts w:ascii="Times New Roman" w:hAnsi="Times New Roman" w:cs="Times New Roman"/>
                <w:sz w:val="20"/>
                <w:szCs w:val="20"/>
                <w:lang w:bidi="ar"/>
              </w:rPr>
              <w:t>70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1</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70-80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2</w:t>
            </w:r>
          </w:p>
        </w:tc>
      </w:tr>
      <w:tr>
        <w:tblPrEx>
          <w:tblCellMar>
            <w:top w:w="0" w:type="dxa"/>
            <w:left w:w="108" w:type="dxa"/>
            <w:bottom w:w="0" w:type="dxa"/>
            <w:right w:w="108" w:type="dxa"/>
          </w:tblCellMar>
        </w:tblPrEx>
        <w:trPr>
          <w:trHeight w:val="336" w:hRule="atLeast"/>
        </w:trPr>
        <w:tc>
          <w:tcPr>
            <w:tcW w:w="4296" w:type="dxa"/>
            <w:vMerge w:val="continue"/>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p>
        </w:tc>
        <w:tc>
          <w:tcPr>
            <w:tcW w:w="1626"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eastAsia="zh-Hans" w:bidi="ar"/>
              </w:rPr>
            </w:pPr>
            <w:r>
              <w:rPr>
                <w:rFonts w:ascii="Times New Roman" w:hAnsi="Times New Roman" w:cs="Times New Roman"/>
                <w:sz w:val="20"/>
                <w:szCs w:val="20"/>
                <w:lang w:eastAsia="zh-Hans" w:bidi="ar"/>
              </w:rPr>
              <w:t>≥80</w:t>
            </w:r>
          </w:p>
        </w:tc>
        <w:tc>
          <w:tcPr>
            <w:tcW w:w="2324"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3</w:t>
            </w:r>
          </w:p>
        </w:tc>
      </w:tr>
    </w:tbl>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lang w:bidi="ar"/>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rPr>
          <w:rFonts w:ascii="Times New Roman" w:hAnsi="Times New Roman" w:cs="Times New Roman"/>
          <w:sz w:val="20"/>
          <w:szCs w:val="20"/>
        </w:rPr>
      </w:pPr>
    </w:p>
    <w:p>
      <w:pPr>
        <w:widowControl/>
        <w:jc w:val="left"/>
        <w:rPr>
          <w:rFonts w:ascii="Times New Roman" w:hAnsi="Times New Roman" w:cs="Times New Roman"/>
          <w:b/>
          <w:bCs/>
        </w:rPr>
      </w:pPr>
    </w:p>
    <w:p>
      <w:pPr>
        <w:widowControl/>
        <w:jc w:val="left"/>
      </w:pPr>
      <w:r>
        <w:rPr>
          <w:rFonts w:hint="eastAsia" w:ascii="Times New Roman" w:hAnsi="Times New Roman" w:cs="Times New Roman"/>
          <w:b/>
          <w:bCs/>
        </w:rPr>
        <w:t>T</w:t>
      </w:r>
      <w:r>
        <w:rPr>
          <w:rFonts w:ascii="Times New Roman" w:hAnsi="Times New Roman" w:cs="Times New Roman"/>
          <w:b/>
          <w:bCs/>
        </w:rPr>
        <w:t xml:space="preserve">able </w:t>
      </w:r>
      <w:r>
        <w:rPr>
          <w:rFonts w:hint="eastAsia" w:ascii="Times New Roman" w:hAnsi="Times New Roman" w:cs="Times New Roman"/>
          <w:b/>
          <w:bCs/>
        </w:rPr>
        <w:t>S2</w:t>
      </w:r>
      <w:r>
        <w:rPr>
          <w:rFonts w:ascii="Times New Roman" w:hAnsi="Times New Roman" w:cs="Times New Roman"/>
          <w:b/>
          <w:bCs/>
        </w:rPr>
        <w:t xml:space="preserve">. </w:t>
      </w:r>
      <w:r>
        <w:rPr>
          <w:rFonts w:hint="eastAsia" w:ascii="Times New Roman" w:hAnsi="Times New Roman" w:cs="Times New Roman"/>
          <w:b/>
          <w:bCs/>
        </w:rPr>
        <w:t>P</w:t>
      </w:r>
      <w:r>
        <w:rPr>
          <w:rFonts w:ascii="Times New Roman" w:hAnsi="Times New Roman" w:cs="Times New Roman"/>
          <w:b/>
          <w:bCs/>
        </w:rPr>
        <w:t>ropensity</w:t>
      </w:r>
      <w:r>
        <w:rPr>
          <w:rFonts w:hint="eastAsia" w:ascii="Times New Roman" w:hAnsi="Times New Roman" w:cs="Times New Roman"/>
          <w:b/>
          <w:bCs/>
        </w:rPr>
        <w:t xml:space="preserve"> </w:t>
      </w:r>
      <w:r>
        <w:rPr>
          <w:rFonts w:ascii="Times New Roman" w:hAnsi="Times New Roman" w:cs="Times New Roman"/>
          <w:b/>
          <w:bCs/>
        </w:rPr>
        <w:t xml:space="preserve">score </w:t>
      </w:r>
      <w:r>
        <w:rPr>
          <w:rFonts w:hint="eastAsia" w:ascii="Times New Roman" w:hAnsi="Times New Roman" w:cs="Times New Roman"/>
          <w:b/>
          <w:bCs/>
        </w:rPr>
        <w:t>m</w:t>
      </w:r>
      <w:r>
        <w:rPr>
          <w:rFonts w:ascii="Times New Roman" w:hAnsi="Times New Roman" w:cs="Times New Roman"/>
          <w:b/>
          <w:bCs/>
        </w:rPr>
        <w:t>atching methods for RUX and HC group.</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18"/>
        <w:gridCol w:w="1803"/>
        <w:gridCol w:w="1220"/>
        <w:gridCol w:w="12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tcBorders>
              <w:top w:val="single" w:color="auto" w:sz="4" w:space="0"/>
              <w:bottom w:val="single" w:color="auto" w:sz="4" w:space="0"/>
            </w:tcBorders>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Variables</w:t>
            </w:r>
            <w:r>
              <w:rPr>
                <w:rFonts w:ascii="Times New Roman" w:hAnsi="Times New Roman" w:eastAsia="宋体" w:cs="Times New Roman"/>
                <w:kern w:val="0"/>
                <w:szCs w:val="21"/>
              </w:rPr>
              <w:t xml:space="preserve"> </w:t>
            </w:r>
            <w:r>
              <w:rPr>
                <w:rFonts w:hint="eastAsia" w:ascii="Times New Roman" w:hAnsi="Times New Roman" w:eastAsia="宋体" w:cs="Times New Roman"/>
                <w:kern w:val="0"/>
                <w:szCs w:val="21"/>
              </w:rPr>
              <w:t>in</w:t>
            </w:r>
            <w:r>
              <w:rPr>
                <w:rFonts w:ascii="Times New Roman" w:hAnsi="Times New Roman" w:eastAsia="宋体" w:cs="Times New Roman"/>
                <w:kern w:val="0"/>
                <w:szCs w:val="21"/>
              </w:rPr>
              <w:t xml:space="preserve"> logistics regression</w:t>
            </w:r>
          </w:p>
        </w:tc>
        <w:tc>
          <w:tcPr>
            <w:tcW w:w="1058" w:type="pct"/>
            <w:tcBorders>
              <w:top w:val="single" w:color="auto" w:sz="4" w:space="0"/>
              <w:bottom w:val="single" w:color="auto" w:sz="4" w:space="0"/>
            </w:tcBorders>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B</w:t>
            </w:r>
          </w:p>
        </w:tc>
        <w:tc>
          <w:tcPr>
            <w:tcW w:w="716" w:type="pct"/>
            <w:tcBorders>
              <w:top w:val="single" w:color="auto" w:sz="4" w:space="0"/>
              <w:bottom w:val="single" w:color="auto" w:sz="4" w:space="0"/>
            </w:tcBorders>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P</w:t>
            </w:r>
          </w:p>
        </w:tc>
        <w:tc>
          <w:tcPr>
            <w:tcW w:w="751" w:type="pct"/>
            <w:tcBorders>
              <w:top w:val="single" w:color="auto" w:sz="4" w:space="0"/>
              <w:bottom w:val="single" w:color="auto" w:sz="4" w:space="0"/>
            </w:tcBorders>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Exp(B)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tcBorders>
              <w:top w:val="single" w:color="auto" w:sz="4" w:space="0"/>
            </w:tcBorders>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Gender</w:t>
            </w:r>
          </w:p>
        </w:tc>
        <w:tc>
          <w:tcPr>
            <w:tcW w:w="1058" w:type="pct"/>
            <w:tcBorders>
              <w:top w:val="single" w:color="auto" w:sz="4" w:space="0"/>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0.430</w:t>
            </w:r>
          </w:p>
        </w:tc>
        <w:tc>
          <w:tcPr>
            <w:tcW w:w="716" w:type="pct"/>
            <w:tcBorders>
              <w:top w:val="single" w:color="auto" w:sz="4" w:space="0"/>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0.473</w:t>
            </w:r>
          </w:p>
        </w:tc>
        <w:tc>
          <w:tcPr>
            <w:tcW w:w="751" w:type="pct"/>
            <w:tcBorders>
              <w:top w:val="single" w:color="auto" w:sz="4" w:space="0"/>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1.537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Time from initial symptoms to hospitalization</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0.552</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0.007</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1.737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Clinical score within 6 days of onset</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0.155</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0.431</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1.167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475" w:type="pct"/>
            <w:vAlign w:val="center"/>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Gastrointestinal symptoms</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1.089</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0.261</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2.971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vAlign w:val="center"/>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Respiratory tract symptoms</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-0.563</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0.410</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0.569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vAlign w:val="center"/>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 xml:space="preserve">Hemorrhage symptoms </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-0.979</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0.290</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0.376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vAlign w:val="center"/>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Pre-existing comorbidity</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-0.175</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0.779</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0.839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475" w:type="pct"/>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platelet count</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-0.008</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0.451</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ferritin concentration</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0.000</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0.852</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 xml:space="preserve">c-reactive protein </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0.001</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0.892</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1.001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Creatinine(umol/L)</w:t>
            </w:r>
          </w:p>
        </w:tc>
        <w:tc>
          <w:tcPr>
            <w:tcW w:w="1058" w:type="pct"/>
            <w:tcBorders>
              <w:top w:val="nil"/>
              <w:lef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0.008</w:t>
            </w:r>
          </w:p>
        </w:tc>
        <w:tc>
          <w:tcPr>
            <w:tcW w:w="716" w:type="pct"/>
            <w:tcBorders>
              <w:top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0.294</w:t>
            </w:r>
          </w:p>
        </w:tc>
        <w:tc>
          <w:tcPr>
            <w:tcW w:w="751" w:type="pct"/>
            <w:tcBorders>
              <w:top w:val="nil"/>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1.008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tcBorders>
              <w:bottom w:val="single" w:color="auto" w:sz="4" w:space="0"/>
            </w:tcBorders>
          </w:tcPr>
          <w:p>
            <w:pPr>
              <w:widowControl/>
              <w:spacing w:line="360" w:lineRule="auto"/>
              <w:jc w:val="left"/>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alanine aminotransferase</w:t>
            </w:r>
          </w:p>
        </w:tc>
        <w:tc>
          <w:tcPr>
            <w:tcW w:w="1058" w:type="pct"/>
            <w:tcBorders>
              <w:top w:val="nil"/>
              <w:left w:val="nil"/>
              <w:bottom w:val="single" w:color="auto" w:sz="4" w:space="0"/>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0.001</w:t>
            </w:r>
          </w:p>
        </w:tc>
        <w:tc>
          <w:tcPr>
            <w:tcW w:w="716" w:type="pct"/>
            <w:tcBorders>
              <w:top w:val="nil"/>
              <w:bottom w:val="single" w:color="auto" w:sz="4" w:space="0"/>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0.650</w:t>
            </w:r>
          </w:p>
        </w:tc>
        <w:tc>
          <w:tcPr>
            <w:tcW w:w="751" w:type="pct"/>
            <w:tcBorders>
              <w:top w:val="nil"/>
              <w:bottom w:val="single" w:color="auto" w:sz="4" w:space="0"/>
              <w:right w:val="nil"/>
            </w:tcBorders>
            <w:shd w:val="clear" w:color="auto" w:fill="auto"/>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1.001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2475" w:type="pct"/>
            <w:vMerge w:val="restart"/>
            <w:tcBorders>
              <w:top w:val="single" w:color="auto" w:sz="4" w:space="0"/>
            </w:tcBorders>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Match types</w:t>
            </w:r>
          </w:p>
        </w:tc>
        <w:tc>
          <w:tcPr>
            <w:tcW w:w="1058" w:type="pct"/>
            <w:tcBorders>
              <w:top w:val="single" w:color="auto" w:sz="4" w:space="0"/>
            </w:tcBorders>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exact match</w:t>
            </w:r>
          </w:p>
        </w:tc>
        <w:tc>
          <w:tcPr>
            <w:tcW w:w="716" w:type="pct"/>
            <w:tcBorders>
              <w:top w:val="single" w:color="auto" w:sz="4" w:space="0"/>
            </w:tcBorders>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0.000</w:t>
            </w:r>
          </w:p>
        </w:tc>
        <w:tc>
          <w:tcPr>
            <w:tcW w:w="751" w:type="pct"/>
            <w:tcBorders>
              <w:top w:val="single" w:color="auto" w:sz="4" w:space="0"/>
            </w:tcBorders>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vMerge w:val="continue"/>
            <w:noWrap/>
          </w:tcPr>
          <w:p>
            <w:pPr>
              <w:spacing w:line="480" w:lineRule="auto"/>
              <w:rPr>
                <w:rFonts w:ascii="Times New Roman" w:hAnsi="Times New Roman" w:eastAsia="宋体" w:cs="Times New Roman"/>
                <w:kern w:val="0"/>
                <w:szCs w:val="21"/>
              </w:rPr>
            </w:pPr>
          </w:p>
        </w:tc>
        <w:tc>
          <w:tcPr>
            <w:tcW w:w="1058" w:type="pct"/>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fuzzy matching</w:t>
            </w:r>
          </w:p>
        </w:tc>
        <w:tc>
          <w:tcPr>
            <w:tcW w:w="716" w:type="pct"/>
            <w:noWrap/>
          </w:tcPr>
          <w:p>
            <w:pPr>
              <w:spacing w:line="480" w:lineRule="auto"/>
              <w:rPr>
                <w:rFonts w:ascii="Times New Roman" w:hAnsi="Times New Roman" w:eastAsia="宋体" w:cs="Times New Roman"/>
                <w:kern w:val="0"/>
                <w:szCs w:val="21"/>
              </w:rPr>
            </w:pPr>
            <w:r>
              <w:rPr>
                <w:rFonts w:ascii="Times New Roman" w:hAnsi="Times New Roman" w:eastAsia="宋体" w:cs="Times New Roman"/>
                <w:kern w:val="0"/>
                <w:szCs w:val="21"/>
              </w:rPr>
              <w:t>26</w:t>
            </w:r>
            <w:r>
              <w:rPr>
                <w:rFonts w:hint="eastAsia" w:ascii="Times New Roman" w:hAnsi="Times New Roman" w:eastAsia="宋体" w:cs="Times New Roman"/>
                <w:kern w:val="0"/>
                <w:szCs w:val="21"/>
              </w:rPr>
              <w:t>.000</w:t>
            </w:r>
          </w:p>
        </w:tc>
        <w:tc>
          <w:tcPr>
            <w:tcW w:w="751" w:type="pct"/>
          </w:tcPr>
          <w:p>
            <w:pPr>
              <w:spacing w:line="480" w:lineRule="auto"/>
              <w:rPr>
                <w:rFonts w:ascii="Times New Roman" w:hAnsi="Times New Roman" w:eastAsia="宋体" w:cs="Times New Roman"/>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PSSS</w:t>
            </w:r>
          </w:p>
        </w:tc>
        <w:tc>
          <w:tcPr>
            <w:tcW w:w="2525" w:type="pct"/>
            <w:gridSpan w:val="3"/>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0.020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475" w:type="pct"/>
            <w:noWrap/>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matching attempt count</w:t>
            </w:r>
          </w:p>
        </w:tc>
        <w:tc>
          <w:tcPr>
            <w:tcW w:w="2525" w:type="pct"/>
            <w:gridSpan w:val="3"/>
            <w:noWrap/>
          </w:tcPr>
          <w:p>
            <w:pPr>
              <w:spacing w:line="480" w:lineRule="auto"/>
              <w:rPr>
                <w:rFonts w:ascii="Times New Roman" w:hAnsi="Times New Roman" w:eastAsia="宋体" w:cs="Times New Roman"/>
                <w:kern w:val="0"/>
                <w:szCs w:val="21"/>
              </w:rPr>
            </w:pPr>
            <w:r>
              <w:rPr>
                <w:rFonts w:ascii="Times New Roman" w:hAnsi="Times New Roman" w:eastAsia="宋体" w:cs="Times New Roman"/>
                <w:kern w:val="0"/>
                <w:szCs w:val="21"/>
              </w:rPr>
              <w:t>686</w:t>
            </w:r>
            <w:r>
              <w:rPr>
                <w:rFonts w:hint="eastAsia" w:ascii="Times New Roman" w:hAnsi="Times New Roman" w:eastAsia="宋体" w:cs="Times New Roman"/>
                <w:kern w:val="0"/>
                <w:szCs w:val="21"/>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475" w:type="pct"/>
            <w:tcBorders>
              <w:bottom w:val="single" w:color="auto" w:sz="4" w:space="0"/>
            </w:tcBorders>
          </w:tcPr>
          <w:p>
            <w:pPr>
              <w:spacing w:line="480" w:lineRule="auto"/>
              <w:rPr>
                <w:rFonts w:ascii="Times New Roman" w:hAnsi="Times New Roman" w:eastAsia="宋体" w:cs="Times New Roman"/>
                <w:kern w:val="0"/>
                <w:szCs w:val="21"/>
              </w:rPr>
            </w:pPr>
            <w:r>
              <w:rPr>
                <w:rFonts w:hint="eastAsia" w:ascii="Times New Roman" w:hAnsi="Times New Roman" w:eastAsia="宋体" w:cs="Times New Roman"/>
                <w:kern w:val="0"/>
                <w:szCs w:val="21"/>
              </w:rPr>
              <w:t>incremental rejection percentage</w:t>
            </w:r>
          </w:p>
        </w:tc>
        <w:tc>
          <w:tcPr>
            <w:tcW w:w="2525" w:type="pct"/>
            <w:gridSpan w:val="3"/>
            <w:tcBorders>
              <w:bottom w:val="single" w:color="auto" w:sz="4" w:space="0"/>
            </w:tcBorders>
            <w:noWrap/>
          </w:tcPr>
          <w:p>
            <w:pPr>
              <w:spacing w:line="480" w:lineRule="auto"/>
              <w:rPr>
                <w:rFonts w:ascii="Times New Roman" w:hAnsi="Times New Roman" w:eastAsia="宋体" w:cs="Times New Roman"/>
                <w:kern w:val="0"/>
                <w:szCs w:val="21"/>
              </w:rPr>
            </w:pPr>
            <w:r>
              <w:rPr>
                <w:rFonts w:ascii="Times New Roman" w:hAnsi="Times New Roman" w:eastAsia="宋体" w:cs="Times New Roman"/>
                <w:kern w:val="0"/>
                <w:szCs w:val="21"/>
              </w:rPr>
              <w:t>97.376</w:t>
            </w:r>
          </w:p>
        </w:tc>
      </w:tr>
    </w:tbl>
    <w:p/>
    <w:p>
      <w:pPr>
        <w:rPr>
          <w:rFonts w:ascii="Times New Roman" w:hAnsi="Times New Roman" w:eastAsia="TimesNewRomanPS-BoldMT" w:cs="Times New Roman"/>
          <w:b/>
          <w:bCs/>
          <w:color w:val="000000"/>
          <w:sz w:val="20"/>
          <w:szCs w:val="20"/>
          <w:lang w:bidi="ar"/>
        </w:rPr>
      </w:pPr>
    </w:p>
    <w:p>
      <w:pPr>
        <w:rPr>
          <w:rFonts w:ascii="Times New Roman" w:hAnsi="Times New Roman" w:eastAsia="TimesNewRomanPS-BoldMT" w:cs="Times New Roman"/>
          <w:b/>
          <w:bCs/>
          <w:color w:val="000000"/>
          <w:sz w:val="20"/>
          <w:szCs w:val="20"/>
          <w:lang w:bidi="ar"/>
        </w:rPr>
      </w:pPr>
    </w:p>
    <w:p>
      <w:pPr>
        <w:rPr>
          <w:rFonts w:ascii="Times New Roman" w:hAnsi="Times New Roman" w:eastAsia="TimesNewRomanPS-BoldMT" w:cs="Times New Roman"/>
          <w:b/>
          <w:bCs/>
          <w:color w:val="000000"/>
          <w:sz w:val="20"/>
          <w:szCs w:val="20"/>
          <w:lang w:bidi="ar"/>
        </w:rPr>
      </w:pPr>
    </w:p>
    <w:p>
      <w:pPr>
        <w:rPr>
          <w:rFonts w:hint="eastAsia" w:ascii="Times New Roman" w:hAnsi="Times New Roman" w:cs="Times New Roman"/>
          <w:sz w:val="20"/>
          <w:szCs w:val="20"/>
        </w:rPr>
      </w:pPr>
    </w:p>
    <w:p>
      <w:pPr>
        <w:rPr>
          <w:rFonts w:ascii="Times New Roman" w:hAnsi="Times New Roman" w:cs="Times New Roman"/>
          <w:sz w:val="20"/>
          <w:szCs w:val="20"/>
        </w:rPr>
      </w:pPr>
      <w:r>
        <w:rPr>
          <w:rFonts w:hint="eastAsia" w:ascii="Times New Roman" w:hAnsi="Times New Roman" w:cs="Times New Roman"/>
          <w:b/>
          <w:bCs/>
        </w:rPr>
        <w:t xml:space="preserve">Table S3. </w:t>
      </w:r>
      <w:r>
        <w:rPr>
          <w:rFonts w:ascii="Times New Roman" w:hAnsi="Times New Roman" w:cs="Times New Roman"/>
          <w:b/>
          <w:bCs/>
        </w:rPr>
        <w:t xml:space="preserve">Baseline characteristics before </w:t>
      </w:r>
      <w:r>
        <w:rPr>
          <w:rFonts w:hint="eastAsia" w:ascii="Times New Roman" w:hAnsi="Times New Roman" w:cs="Times New Roman"/>
          <w:b/>
          <w:bCs/>
        </w:rPr>
        <w:t>p</w:t>
      </w:r>
      <w:r>
        <w:rPr>
          <w:rFonts w:ascii="Times New Roman" w:hAnsi="Times New Roman" w:cs="Times New Roman"/>
          <w:b/>
          <w:bCs/>
        </w:rPr>
        <w:t xml:space="preserve">ropensity </w:t>
      </w:r>
      <w:r>
        <w:rPr>
          <w:rFonts w:hint="eastAsia" w:ascii="Times New Roman" w:hAnsi="Times New Roman" w:cs="Times New Roman"/>
          <w:b/>
          <w:bCs/>
        </w:rPr>
        <w:t>s</w:t>
      </w:r>
      <w:r>
        <w:rPr>
          <w:rFonts w:ascii="Times New Roman" w:hAnsi="Times New Roman" w:cs="Times New Roman"/>
          <w:b/>
          <w:bCs/>
        </w:rPr>
        <w:t xml:space="preserve">core </w:t>
      </w:r>
      <w:r>
        <w:rPr>
          <w:rFonts w:hint="eastAsia" w:ascii="Times New Roman" w:hAnsi="Times New Roman" w:cs="Times New Roman"/>
          <w:b/>
          <w:bCs/>
        </w:rPr>
        <w:t>m</w:t>
      </w:r>
      <w:r>
        <w:rPr>
          <w:rFonts w:ascii="Times New Roman" w:hAnsi="Times New Roman" w:cs="Times New Roman"/>
          <w:b/>
          <w:bCs/>
        </w:rPr>
        <w:t xml:space="preserve">atching </w:t>
      </w:r>
      <w:r>
        <w:rPr>
          <w:rFonts w:hint="eastAsia" w:ascii="Times New Roman" w:hAnsi="Times New Roman" w:cs="Times New Roman"/>
          <w:b/>
          <w:bCs/>
        </w:rPr>
        <w:t>m</w:t>
      </w:r>
      <w:r>
        <w:rPr>
          <w:rFonts w:ascii="Times New Roman" w:hAnsi="Times New Roman" w:cs="Times New Roman"/>
          <w:b/>
          <w:bCs/>
        </w:rPr>
        <w:t>ethods</w:t>
      </w:r>
      <w:r>
        <w:rPr>
          <w:rFonts w:hint="eastAsia" w:ascii="Times New Roman" w:hAnsi="Times New Roman" w:cs="Times New Roman"/>
          <w:b/>
          <w:bCs/>
        </w:rPr>
        <w:t>.</w:t>
      </w:r>
    </w:p>
    <w:tbl>
      <w:tblPr>
        <w:tblStyle w:val="6"/>
        <w:tblW w:w="9091" w:type="dxa"/>
        <w:tblInd w:w="91" w:type="dxa"/>
        <w:tblLayout w:type="fixed"/>
        <w:tblCellMar>
          <w:top w:w="0" w:type="dxa"/>
          <w:left w:w="108" w:type="dxa"/>
          <w:bottom w:w="0" w:type="dxa"/>
          <w:right w:w="108" w:type="dxa"/>
        </w:tblCellMar>
      </w:tblPr>
      <w:tblGrid>
        <w:gridCol w:w="2711"/>
        <w:gridCol w:w="1904"/>
        <w:gridCol w:w="1871"/>
        <w:gridCol w:w="1611"/>
        <w:gridCol w:w="994"/>
      </w:tblGrid>
      <w:tr>
        <w:tblPrEx>
          <w:tblCellMar>
            <w:top w:w="0" w:type="dxa"/>
            <w:left w:w="108" w:type="dxa"/>
            <w:bottom w:w="0" w:type="dxa"/>
            <w:right w:w="108" w:type="dxa"/>
          </w:tblCellMar>
        </w:tblPrEx>
        <w:trPr>
          <w:trHeight w:val="283" w:hRule="atLeast"/>
        </w:trPr>
        <w:tc>
          <w:tcPr>
            <w:tcW w:w="2711" w:type="dxa"/>
            <w:tcBorders>
              <w:top w:val="single" w:color="auto" w:sz="4" w:space="0"/>
              <w:left w:val="nil"/>
              <w:bottom w:val="single" w:color="auto" w:sz="4" w:space="0"/>
            </w:tcBorders>
            <w:shd w:val="clear" w:color="auto" w:fill="auto"/>
            <w:noWrap/>
            <w:vAlign w:val="center"/>
          </w:tcPr>
          <w:p>
            <w:pPr>
              <w:widowControl/>
              <w:jc w:val="left"/>
              <w:textAlignment w:val="center"/>
              <w:rPr>
                <w:rFonts w:ascii="Times New Roman" w:hAnsi="Times New Roman" w:eastAsia="Times New Roman Bold" w:cs="Times New Roman"/>
                <w:b/>
                <w:bCs/>
                <w:color w:val="000000" w:themeColor="text1"/>
                <w:kern w:val="0"/>
                <w:sz w:val="20"/>
                <w:szCs w:val="20"/>
                <w:lang w:bidi="ar"/>
                <w14:textFill>
                  <w14:solidFill>
                    <w14:schemeClr w14:val="tx1"/>
                  </w14:solidFill>
                </w14:textFill>
              </w:rPr>
            </w:pPr>
          </w:p>
        </w:tc>
        <w:tc>
          <w:tcPr>
            <w:tcW w:w="1904" w:type="dxa"/>
            <w:tcBorders>
              <w:top w:val="single" w:color="auto" w:sz="4" w:space="0"/>
              <w:bottom w:val="single" w:color="auto" w:sz="4" w:space="0"/>
            </w:tcBorders>
            <w:shd w:val="clear" w:color="auto" w:fill="auto"/>
            <w:vAlign w:val="center"/>
          </w:tcPr>
          <w:p>
            <w:pPr>
              <w:widowControl/>
              <w:jc w:val="center"/>
              <w:rPr>
                <w:rFonts w:ascii="Times New Roman" w:hAnsi="Times New Roman" w:eastAsia="宋体" w:cs="Times New Roman"/>
                <w:b/>
                <w:bCs/>
                <w:color w:val="000000" w:themeColor="text1"/>
                <w:kern w:val="0"/>
                <w:sz w:val="20"/>
                <w:szCs w:val="20"/>
                <w14:textFill>
                  <w14:solidFill>
                    <w14:schemeClr w14:val="tx1"/>
                  </w14:solidFill>
                </w14:textFill>
              </w:rPr>
            </w:pPr>
            <w:r>
              <w:rPr>
                <w:rFonts w:ascii="Times New Roman" w:hAnsi="Times New Roman" w:eastAsia="宋体" w:cs="Times New Roman"/>
                <w:b/>
                <w:bCs/>
                <w:color w:val="000000" w:themeColor="text1"/>
                <w:kern w:val="0"/>
                <w:sz w:val="20"/>
                <w:szCs w:val="20"/>
                <w14:textFill>
                  <w14:solidFill>
                    <w14:schemeClr w14:val="tx1"/>
                  </w14:solidFill>
                </w14:textFill>
              </w:rPr>
              <w:t xml:space="preserve">Total </w:t>
            </w:r>
          </w:p>
          <w:p>
            <w:pPr>
              <w:widowControl/>
              <w:jc w:val="center"/>
              <w:rPr>
                <w:rFonts w:ascii="Times New Roman" w:hAnsi="Times New Roman" w:eastAsia="宋体" w:cs="Times New Roman"/>
                <w:b/>
                <w:bCs/>
                <w:color w:val="000000" w:themeColor="text1"/>
                <w:sz w:val="20"/>
                <w:szCs w:val="20"/>
                <w14:textFill>
                  <w14:solidFill>
                    <w14:schemeClr w14:val="tx1"/>
                  </w14:solidFill>
                </w14:textFill>
              </w:rPr>
            </w:pPr>
            <w:r>
              <w:rPr>
                <w:rFonts w:ascii="Times New Roman" w:hAnsi="Times New Roman" w:eastAsia="宋体" w:cs="Times New Roman"/>
                <w:b/>
                <w:bCs/>
                <w:color w:val="000000" w:themeColor="text1"/>
                <w:kern w:val="0"/>
                <w:sz w:val="20"/>
                <w:szCs w:val="20"/>
                <w14:textFill>
                  <w14:solidFill>
                    <w14:schemeClr w14:val="tx1"/>
                  </w14:solidFill>
                </w14:textFill>
              </w:rPr>
              <w:t>(N=79)</w:t>
            </w:r>
          </w:p>
        </w:tc>
        <w:tc>
          <w:tcPr>
            <w:tcW w:w="1871" w:type="dxa"/>
            <w:tcBorders>
              <w:top w:val="single" w:color="auto" w:sz="4" w:space="0"/>
              <w:bottom w:val="single" w:color="auto" w:sz="4" w:space="0"/>
            </w:tcBorders>
            <w:shd w:val="clear" w:color="auto" w:fill="auto"/>
            <w:vAlign w:val="center"/>
          </w:tcPr>
          <w:p>
            <w:pPr>
              <w:widowControl/>
              <w:jc w:val="center"/>
              <w:rPr>
                <w:rFonts w:ascii="Times New Roman" w:hAnsi="Times New Roman" w:eastAsia="宋体" w:cs="Times New Roman"/>
                <w:b/>
                <w:bCs/>
                <w:color w:val="000000" w:themeColor="text1"/>
                <w:kern w:val="0"/>
                <w:sz w:val="20"/>
                <w:szCs w:val="20"/>
                <w14:textFill>
                  <w14:solidFill>
                    <w14:schemeClr w14:val="tx1"/>
                  </w14:solidFill>
                </w14:textFill>
              </w:rPr>
            </w:pPr>
            <w:r>
              <w:rPr>
                <w:rFonts w:ascii="Times New Roman" w:hAnsi="Times New Roman" w:eastAsia="宋体" w:cs="Times New Roman"/>
                <w:b/>
                <w:bCs/>
                <w:color w:val="000000" w:themeColor="text1"/>
                <w:kern w:val="0"/>
                <w:sz w:val="20"/>
                <w:szCs w:val="20"/>
                <w14:textFill>
                  <w14:solidFill>
                    <w14:schemeClr w14:val="tx1"/>
                  </w14:solidFill>
                </w14:textFill>
              </w:rPr>
              <w:t>RUX</w:t>
            </w:r>
          </w:p>
          <w:p>
            <w:pPr>
              <w:widowControl/>
              <w:jc w:val="center"/>
              <w:rPr>
                <w:rFonts w:ascii="Times New Roman" w:hAnsi="Times New Roman" w:eastAsia="宋体" w:cs="Times New Roman"/>
                <w:b/>
                <w:bCs/>
                <w:color w:val="000000" w:themeColor="text1"/>
                <w:sz w:val="20"/>
                <w:szCs w:val="20"/>
                <w14:textFill>
                  <w14:solidFill>
                    <w14:schemeClr w14:val="tx1"/>
                  </w14:solidFill>
                </w14:textFill>
              </w:rPr>
            </w:pPr>
            <w:r>
              <w:rPr>
                <w:rFonts w:ascii="Times New Roman" w:hAnsi="Times New Roman" w:eastAsia="宋体" w:cs="Times New Roman"/>
                <w:b/>
                <w:bCs/>
                <w:color w:val="000000" w:themeColor="text1"/>
                <w:kern w:val="0"/>
                <w:sz w:val="20"/>
                <w:szCs w:val="20"/>
                <w14:textFill>
                  <w14:solidFill>
                    <w14:schemeClr w14:val="tx1"/>
                  </w14:solidFill>
                </w14:textFill>
              </w:rPr>
              <w:t>（n=26）</w:t>
            </w:r>
          </w:p>
        </w:tc>
        <w:tc>
          <w:tcPr>
            <w:tcW w:w="1611" w:type="dxa"/>
            <w:tcBorders>
              <w:top w:val="single" w:color="auto" w:sz="4" w:space="0"/>
              <w:bottom w:val="single" w:color="auto" w:sz="4" w:space="0"/>
            </w:tcBorders>
            <w:shd w:val="clear" w:color="auto" w:fill="auto"/>
            <w:vAlign w:val="center"/>
          </w:tcPr>
          <w:p>
            <w:pPr>
              <w:widowControl/>
              <w:jc w:val="center"/>
              <w:rPr>
                <w:rFonts w:ascii="Times New Roman" w:hAnsi="Times New Roman" w:eastAsia="宋体" w:cs="Times New Roman"/>
                <w:b/>
                <w:bCs/>
                <w:color w:val="000000" w:themeColor="text1"/>
                <w:kern w:val="0"/>
                <w:sz w:val="20"/>
                <w:szCs w:val="20"/>
                <w14:textFill>
                  <w14:solidFill>
                    <w14:schemeClr w14:val="tx1"/>
                  </w14:solidFill>
                </w14:textFill>
              </w:rPr>
            </w:pPr>
            <w:r>
              <w:rPr>
                <w:rFonts w:ascii="Times New Roman" w:hAnsi="Times New Roman" w:eastAsia="宋体" w:cs="Times New Roman"/>
                <w:b/>
                <w:bCs/>
                <w:color w:val="000000" w:themeColor="text1"/>
                <w:kern w:val="0"/>
                <w:sz w:val="20"/>
                <w:szCs w:val="20"/>
                <w14:textFill>
                  <w14:solidFill>
                    <w14:schemeClr w14:val="tx1"/>
                  </w14:solidFill>
                </w14:textFill>
              </w:rPr>
              <w:t>HC</w:t>
            </w:r>
          </w:p>
          <w:p>
            <w:pPr>
              <w:widowControl/>
              <w:jc w:val="center"/>
              <w:rPr>
                <w:rFonts w:ascii="Times New Roman" w:hAnsi="Times New Roman" w:eastAsia="宋体" w:cs="Times New Roman"/>
                <w:b/>
                <w:bCs/>
                <w:color w:val="000000" w:themeColor="text1"/>
                <w:sz w:val="20"/>
                <w:szCs w:val="20"/>
                <w14:textFill>
                  <w14:solidFill>
                    <w14:schemeClr w14:val="tx1"/>
                  </w14:solidFill>
                </w14:textFill>
              </w:rPr>
            </w:pPr>
            <w:r>
              <w:rPr>
                <w:rFonts w:ascii="Times New Roman" w:hAnsi="Times New Roman" w:eastAsia="宋体" w:cs="Times New Roman"/>
                <w:b/>
                <w:bCs/>
                <w:color w:val="000000" w:themeColor="text1"/>
                <w:kern w:val="0"/>
                <w:sz w:val="20"/>
                <w:szCs w:val="20"/>
                <w14:textFill>
                  <w14:solidFill>
                    <w14:schemeClr w14:val="tx1"/>
                  </w14:solidFill>
                </w14:textFill>
              </w:rPr>
              <w:t>（n=53）</w:t>
            </w:r>
          </w:p>
        </w:tc>
        <w:tc>
          <w:tcPr>
            <w:tcW w:w="994" w:type="dxa"/>
            <w:tcBorders>
              <w:top w:val="single" w:color="auto" w:sz="4" w:space="0"/>
              <w:bottom w:val="single" w:color="auto" w:sz="4" w:space="0"/>
            </w:tcBorders>
            <w:shd w:val="clear" w:color="auto" w:fill="auto"/>
            <w:vAlign w:val="center"/>
          </w:tcPr>
          <w:p>
            <w:pPr>
              <w:widowControl/>
              <w:rPr>
                <w:rFonts w:ascii="Times New Roman" w:hAnsi="Times New Roman" w:eastAsia="宋体" w:cs="Times New Roman"/>
                <w:b/>
                <w:bCs/>
                <w:color w:val="000000" w:themeColor="text1"/>
                <w:sz w:val="20"/>
                <w:szCs w:val="20"/>
                <w14:textFill>
                  <w14:solidFill>
                    <w14:schemeClr w14:val="tx1"/>
                  </w14:solidFill>
                </w14:textFill>
              </w:rPr>
            </w:pPr>
            <w:r>
              <w:rPr>
                <w:rFonts w:ascii="Times New Roman" w:hAnsi="Times New Roman" w:eastAsia="宋体" w:cs="Times New Roman"/>
                <w:b/>
                <w:bCs/>
                <w:color w:val="000000" w:themeColor="text1"/>
                <w:kern w:val="0"/>
                <w:sz w:val="20"/>
                <w:szCs w:val="20"/>
                <w14:textFill>
                  <w14:solidFill>
                    <w14:schemeClr w14:val="tx1"/>
                  </w14:solidFill>
                </w14:textFill>
              </w:rPr>
              <w:t>P-value</w:t>
            </w:r>
          </w:p>
        </w:tc>
      </w:tr>
      <w:tr>
        <w:tblPrEx>
          <w:tblCellMar>
            <w:top w:w="0" w:type="dxa"/>
            <w:left w:w="108" w:type="dxa"/>
            <w:bottom w:w="0" w:type="dxa"/>
            <w:right w:w="108" w:type="dxa"/>
          </w:tblCellMar>
        </w:tblPrEx>
        <w:trPr>
          <w:trHeight w:val="283" w:hRule="atLeast"/>
        </w:trPr>
        <w:tc>
          <w:tcPr>
            <w:tcW w:w="2711" w:type="dxa"/>
            <w:tcBorders>
              <w:top w:val="single" w:color="auto" w:sz="4" w:space="0"/>
              <w:left w:val="nil"/>
            </w:tcBorders>
            <w:shd w:val="clear" w:color="auto" w:fill="auto"/>
            <w:noWrap/>
            <w:vAlign w:val="center"/>
          </w:tcPr>
          <w:p>
            <w:pPr>
              <w:widowControl/>
              <w:jc w:val="left"/>
              <w:textAlignment w:val="center"/>
              <w:rPr>
                <w:rFonts w:ascii="Times New Roman" w:hAnsi="Times New Roman" w:eastAsia="Times New Roman Bold" w:cs="Times New Roman"/>
                <w:b/>
                <w:bCs/>
                <w:color w:val="000000" w:themeColor="text1"/>
                <w:sz w:val="20"/>
                <w:szCs w:val="20"/>
                <w14:textFill>
                  <w14:solidFill>
                    <w14:schemeClr w14:val="tx1"/>
                  </w14:solidFill>
                </w14:textFill>
              </w:rPr>
            </w:pPr>
            <w:r>
              <w:rPr>
                <w:rFonts w:ascii="Times New Roman" w:hAnsi="Times New Roman" w:eastAsia="Times New Roman Bold" w:cs="Times New Roman"/>
                <w:b/>
                <w:bCs/>
                <w:color w:val="000000" w:themeColor="text1"/>
                <w:kern w:val="0"/>
                <w:sz w:val="20"/>
                <w:szCs w:val="20"/>
                <w:lang w:bidi="ar"/>
                <w14:textFill>
                  <w14:solidFill>
                    <w14:schemeClr w14:val="tx1"/>
                  </w14:solidFill>
                </w14:textFill>
              </w:rPr>
              <w:t>General</w:t>
            </w:r>
          </w:p>
        </w:tc>
        <w:tc>
          <w:tcPr>
            <w:tcW w:w="1904" w:type="dxa"/>
            <w:tcBorders>
              <w:top w:val="single" w:color="auto" w:sz="4" w:space="0"/>
            </w:tcBorders>
            <w:shd w:val="clear" w:color="auto" w:fill="auto"/>
            <w:vAlign w:val="center"/>
          </w:tcPr>
          <w:p>
            <w:pPr>
              <w:widowControl/>
              <w:jc w:val="center"/>
              <w:textAlignment w:val="center"/>
              <w:rPr>
                <w:rFonts w:ascii="Times New Roman" w:hAnsi="Times New Roman" w:eastAsia="宋体" w:cs="Times New Roman"/>
                <w:color w:val="000000" w:themeColor="text1"/>
                <w:sz w:val="20"/>
                <w:szCs w:val="20"/>
                <w14:textFill>
                  <w14:solidFill>
                    <w14:schemeClr w14:val="tx1"/>
                  </w14:solidFill>
                </w14:textFill>
              </w:rPr>
            </w:pPr>
          </w:p>
        </w:tc>
        <w:tc>
          <w:tcPr>
            <w:tcW w:w="1871" w:type="dxa"/>
            <w:tcBorders>
              <w:top w:val="single" w:color="auto" w:sz="4" w:space="0"/>
            </w:tcBorders>
            <w:shd w:val="clear" w:color="auto" w:fill="auto"/>
            <w:vAlign w:val="center"/>
          </w:tcPr>
          <w:p>
            <w:pPr>
              <w:widowControl/>
              <w:jc w:val="center"/>
              <w:textAlignment w:val="center"/>
              <w:rPr>
                <w:rFonts w:ascii="Times New Roman" w:hAnsi="Times New Roman" w:eastAsia="宋体" w:cs="Times New Roman"/>
                <w:color w:val="000000" w:themeColor="text1"/>
                <w:sz w:val="20"/>
                <w:szCs w:val="20"/>
                <w14:textFill>
                  <w14:solidFill>
                    <w14:schemeClr w14:val="tx1"/>
                  </w14:solidFill>
                </w14:textFill>
              </w:rPr>
            </w:pPr>
            <w:bookmarkStart w:id="1" w:name="_GoBack"/>
            <w:bookmarkEnd w:id="1"/>
          </w:p>
        </w:tc>
        <w:tc>
          <w:tcPr>
            <w:tcW w:w="1611" w:type="dxa"/>
            <w:tcBorders>
              <w:top w:val="single" w:color="auto" w:sz="4" w:space="0"/>
            </w:tcBorders>
            <w:shd w:val="clear" w:color="auto" w:fill="auto"/>
            <w:vAlign w:val="center"/>
          </w:tcPr>
          <w:p>
            <w:pPr>
              <w:widowControl/>
              <w:jc w:val="center"/>
              <w:textAlignment w:val="center"/>
              <w:rPr>
                <w:rFonts w:ascii="Times New Roman" w:hAnsi="Times New Roman" w:eastAsia="宋体" w:cs="Times New Roman"/>
                <w:color w:val="000000" w:themeColor="text1"/>
                <w:sz w:val="20"/>
                <w:szCs w:val="20"/>
                <w14:textFill>
                  <w14:solidFill>
                    <w14:schemeClr w14:val="tx1"/>
                  </w14:solidFill>
                </w14:textFill>
              </w:rPr>
            </w:pPr>
          </w:p>
        </w:tc>
        <w:tc>
          <w:tcPr>
            <w:tcW w:w="994" w:type="dxa"/>
            <w:tcBorders>
              <w:top w:val="single" w:color="auto" w:sz="4" w:space="0"/>
            </w:tcBorders>
            <w:shd w:val="clear" w:color="auto" w:fill="auto"/>
            <w:vAlign w:val="center"/>
          </w:tcPr>
          <w:p>
            <w:pPr>
              <w:widowControl/>
              <w:jc w:val="center"/>
              <w:textAlignment w:val="center"/>
              <w:rPr>
                <w:rFonts w:ascii="Times New Roman" w:hAnsi="Times New Roman" w:eastAsia="宋体" w:cs="Times New Roman"/>
                <w:color w:val="000000" w:themeColor="text1"/>
                <w:sz w:val="20"/>
                <w:szCs w:val="20"/>
                <w14:textFill>
                  <w14:solidFill>
                    <w14:schemeClr w14:val="tx1"/>
                  </w14:solidFill>
                </w14:textFill>
              </w:rPr>
            </w:pP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 xml:space="preserve">Gender, </w:t>
            </w:r>
            <w:r>
              <w:rPr>
                <w:rFonts w:ascii="Times New Roman" w:hAnsi="Times New Roman" w:eastAsia="宋体" w:cs="Times New Roman"/>
                <w:color w:val="000000" w:themeColor="text1"/>
                <w:kern w:val="0"/>
                <w:sz w:val="20"/>
                <w:szCs w:val="20"/>
                <w14:textFill>
                  <w14:solidFill>
                    <w14:schemeClr w14:val="tx1"/>
                  </w14:solidFill>
                </w14:textFill>
              </w:rPr>
              <w:t>male (n, %)</w:t>
            </w:r>
            <w:r>
              <w:rPr>
                <w:rFonts w:ascii="Times New Roman" w:hAnsi="Times New Roman" w:eastAsia="宋体" w:cs="Times New Roman"/>
                <w:color w:val="000000" w:themeColor="text1"/>
                <w:kern w:val="0"/>
                <w:sz w:val="20"/>
                <w:szCs w:val="20"/>
                <w:lang w:bidi="ar"/>
                <w14:textFill>
                  <w14:solidFill>
                    <w14:schemeClr w14:val="tx1"/>
                  </w14:solidFill>
                </w14:textFill>
              </w:rPr>
              <w:t xml:space="preserve"> </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44 (55.7%)</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15 (57.7%)</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29 (54.7%)</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0.77</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Age(years)</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6</w:t>
            </w:r>
            <w:r>
              <w:rPr>
                <w:rFonts w:ascii="Times New Roman" w:hAnsi="Times New Roman" w:eastAsia="宋体" w:cs="Times New Roman"/>
                <w:color w:val="000000" w:themeColor="text1"/>
                <w:sz w:val="20"/>
                <w:szCs w:val="20"/>
                <w14:textFill>
                  <w14:solidFill>
                    <w14:schemeClr w14:val="tx1"/>
                  </w14:solidFill>
                </w14:textFill>
              </w:rPr>
              <w:t xml:space="preserve">4.1 </w:t>
            </w:r>
            <w:r>
              <w:rPr>
                <w:rFonts w:ascii="Times New Roman" w:hAnsi="Times New Roman" w:eastAsia="宋体" w:cs="Times New Roman"/>
                <w:color w:val="000000" w:themeColor="text1"/>
                <w:kern w:val="0"/>
                <w:sz w:val="20"/>
                <w:szCs w:val="20"/>
                <w14:textFill>
                  <w14:solidFill>
                    <w14:schemeClr w14:val="tx1"/>
                  </w14:solidFill>
                </w14:textFill>
              </w:rPr>
              <w:t>± 6.8</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65.8 ± 8.7</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63.6 ± 7.1</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.21</w:t>
            </w:r>
          </w:p>
        </w:tc>
      </w:tr>
      <w:tr>
        <w:tblPrEx>
          <w:tblCellMar>
            <w:top w:w="0" w:type="dxa"/>
            <w:left w:w="108" w:type="dxa"/>
            <w:bottom w:w="0" w:type="dxa"/>
            <w:right w:w="108" w:type="dxa"/>
          </w:tblCellMar>
        </w:tblPrEx>
        <w:trPr>
          <w:trHeight w:val="283" w:hRule="atLeast"/>
        </w:trPr>
        <w:tc>
          <w:tcPr>
            <w:tcW w:w="2711" w:type="dxa"/>
            <w:tcBorders>
              <w:left w:val="nil"/>
              <w:bottom w:val="single" w:color="auto" w:sz="4" w:space="0"/>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Time from initial symptoms to hospitalization(days)</w:t>
            </w:r>
          </w:p>
        </w:tc>
        <w:tc>
          <w:tcPr>
            <w:tcW w:w="1904"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sz w:val="20"/>
                <w:szCs w:val="20"/>
                <w14:textFill>
                  <w14:solidFill>
                    <w14:schemeClr w14:val="tx1"/>
                  </w14:solidFill>
                </w14:textFill>
              </w:rPr>
              <w:t xml:space="preserve">8.0 </w:t>
            </w:r>
            <w:r>
              <w:rPr>
                <w:rFonts w:ascii="Times New Roman" w:hAnsi="Times New Roman" w:eastAsia="宋体" w:cs="Times New Roman"/>
                <w:color w:val="000000" w:themeColor="text1"/>
                <w:kern w:val="0"/>
                <w:sz w:val="20"/>
                <w:szCs w:val="20"/>
                <w14:textFill>
                  <w14:solidFill>
                    <w14:schemeClr w14:val="tx1"/>
                  </w14:solidFill>
                </w14:textFill>
              </w:rPr>
              <w:t>± 1.5</w:t>
            </w:r>
          </w:p>
        </w:tc>
        <w:tc>
          <w:tcPr>
            <w:tcW w:w="1871"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7.2 ± 1.5</w:t>
            </w:r>
          </w:p>
        </w:tc>
        <w:tc>
          <w:tcPr>
            <w:tcW w:w="1611"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8.4 ± 1.5</w:t>
            </w:r>
          </w:p>
        </w:tc>
        <w:tc>
          <w:tcPr>
            <w:tcW w:w="994"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0.00</w:t>
            </w:r>
          </w:p>
        </w:tc>
      </w:tr>
      <w:tr>
        <w:tblPrEx>
          <w:tblCellMar>
            <w:top w:w="0" w:type="dxa"/>
            <w:left w:w="108" w:type="dxa"/>
            <w:bottom w:w="0" w:type="dxa"/>
            <w:right w:w="108" w:type="dxa"/>
          </w:tblCellMar>
        </w:tblPrEx>
        <w:trPr>
          <w:trHeight w:val="283" w:hRule="atLeast"/>
        </w:trPr>
        <w:tc>
          <w:tcPr>
            <w:tcW w:w="2711" w:type="dxa"/>
            <w:tcBorders>
              <w:top w:val="single" w:color="auto" w:sz="4" w:space="0"/>
              <w:left w:val="nil"/>
            </w:tcBorders>
            <w:shd w:val="clear" w:color="auto" w:fill="auto"/>
            <w:noWrap/>
            <w:vAlign w:val="center"/>
          </w:tcPr>
          <w:p>
            <w:pPr>
              <w:widowControl/>
              <w:jc w:val="left"/>
              <w:textAlignment w:val="center"/>
              <w:rPr>
                <w:rFonts w:ascii="Times New Roman" w:hAnsi="Times New Roman" w:eastAsia="Times New Roman Bold" w:cs="Times New Roman"/>
                <w:b/>
                <w:bCs/>
                <w:color w:val="000000" w:themeColor="text1"/>
                <w:sz w:val="20"/>
                <w:szCs w:val="20"/>
                <w14:textFill>
                  <w14:solidFill>
                    <w14:schemeClr w14:val="tx1"/>
                  </w14:solidFill>
                </w14:textFill>
              </w:rPr>
            </w:pPr>
            <w:r>
              <w:rPr>
                <w:rFonts w:ascii="Times New Roman" w:hAnsi="Times New Roman" w:eastAsia="Times New Roman Bold" w:cs="Times New Roman"/>
                <w:b/>
                <w:bCs/>
                <w:color w:val="000000" w:themeColor="text1"/>
                <w:kern w:val="0"/>
                <w:sz w:val="20"/>
                <w:szCs w:val="20"/>
                <w:lang w:bidi="ar"/>
                <w14:textFill>
                  <w14:solidFill>
                    <w14:schemeClr w14:val="tx1"/>
                  </w14:solidFill>
                </w14:textFill>
              </w:rPr>
              <w:t>Clinical parameters</w:t>
            </w:r>
          </w:p>
        </w:tc>
        <w:tc>
          <w:tcPr>
            <w:tcW w:w="1904" w:type="dxa"/>
            <w:tcBorders>
              <w:top w:val="single" w:color="auto" w:sz="4" w:space="0"/>
            </w:tcBorders>
            <w:shd w:val="clear" w:color="auto" w:fill="auto"/>
            <w:vAlign w:val="center"/>
          </w:tcPr>
          <w:p>
            <w:pPr>
              <w:jc w:val="center"/>
              <w:rPr>
                <w:rFonts w:ascii="Times New Roman" w:hAnsi="Times New Roman" w:eastAsia="宋体" w:cs="Times New Roman"/>
                <w:color w:val="000000" w:themeColor="text1"/>
                <w:sz w:val="20"/>
                <w:szCs w:val="20"/>
                <w14:textFill>
                  <w14:solidFill>
                    <w14:schemeClr w14:val="tx1"/>
                  </w14:solidFill>
                </w14:textFill>
              </w:rPr>
            </w:pPr>
          </w:p>
        </w:tc>
        <w:tc>
          <w:tcPr>
            <w:tcW w:w="1871" w:type="dxa"/>
            <w:tcBorders>
              <w:top w:val="single" w:color="auto" w:sz="4" w:space="0"/>
            </w:tcBorders>
            <w:shd w:val="clear" w:color="auto" w:fill="auto"/>
            <w:vAlign w:val="center"/>
          </w:tcPr>
          <w:p>
            <w:pPr>
              <w:jc w:val="center"/>
              <w:rPr>
                <w:rFonts w:ascii="Times New Roman" w:hAnsi="Times New Roman" w:eastAsia="宋体" w:cs="Times New Roman"/>
                <w:color w:val="000000" w:themeColor="text1"/>
                <w:sz w:val="20"/>
                <w:szCs w:val="20"/>
                <w14:textFill>
                  <w14:solidFill>
                    <w14:schemeClr w14:val="tx1"/>
                  </w14:solidFill>
                </w14:textFill>
              </w:rPr>
            </w:pPr>
          </w:p>
        </w:tc>
        <w:tc>
          <w:tcPr>
            <w:tcW w:w="1611" w:type="dxa"/>
            <w:tcBorders>
              <w:top w:val="single" w:color="auto" w:sz="4" w:space="0"/>
            </w:tcBorders>
            <w:shd w:val="clear" w:color="auto" w:fill="auto"/>
            <w:vAlign w:val="center"/>
          </w:tcPr>
          <w:p>
            <w:pPr>
              <w:jc w:val="center"/>
              <w:rPr>
                <w:rFonts w:ascii="Times New Roman" w:hAnsi="Times New Roman" w:eastAsia="宋体" w:cs="Times New Roman"/>
                <w:color w:val="000000" w:themeColor="text1"/>
                <w:sz w:val="20"/>
                <w:szCs w:val="20"/>
                <w14:textFill>
                  <w14:solidFill>
                    <w14:schemeClr w14:val="tx1"/>
                  </w14:solidFill>
                </w14:textFill>
              </w:rPr>
            </w:pPr>
          </w:p>
        </w:tc>
        <w:tc>
          <w:tcPr>
            <w:tcW w:w="994" w:type="dxa"/>
            <w:tcBorders>
              <w:top w:val="single" w:color="auto" w:sz="4" w:space="0"/>
            </w:tcBorders>
            <w:shd w:val="clear" w:color="auto" w:fill="auto"/>
            <w:vAlign w:val="center"/>
          </w:tcPr>
          <w:p>
            <w:pPr>
              <w:jc w:val="center"/>
              <w:rPr>
                <w:rFonts w:ascii="Times New Roman" w:hAnsi="Times New Roman" w:eastAsia="宋体" w:cs="Times New Roman"/>
                <w:color w:val="000000" w:themeColor="text1"/>
                <w:sz w:val="20"/>
                <w:szCs w:val="20"/>
                <w14:textFill>
                  <w14:solidFill>
                    <w14:schemeClr w14:val="tx1"/>
                  </w14:solidFill>
                </w14:textFill>
              </w:rPr>
            </w:pP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Body temperature (℃)</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3</w:t>
            </w:r>
            <w:r>
              <w:rPr>
                <w:rFonts w:ascii="Times New Roman" w:hAnsi="Times New Roman" w:eastAsia="宋体" w:cs="Times New Roman"/>
                <w:color w:val="000000" w:themeColor="text1"/>
                <w:sz w:val="20"/>
                <w:szCs w:val="20"/>
                <w14:textFill>
                  <w14:solidFill>
                    <w14:schemeClr w14:val="tx1"/>
                  </w14:solidFill>
                </w14:textFill>
              </w:rPr>
              <w:t xml:space="preserve">8.8 </w:t>
            </w:r>
            <w:r>
              <w:rPr>
                <w:rFonts w:ascii="Times New Roman" w:hAnsi="Times New Roman" w:eastAsia="宋体" w:cs="Times New Roman"/>
                <w:color w:val="000000" w:themeColor="text1"/>
                <w:kern w:val="0"/>
                <w:sz w:val="20"/>
                <w:szCs w:val="20"/>
                <w14:textFill>
                  <w14:solidFill>
                    <w14:schemeClr w14:val="tx1"/>
                  </w14:solidFill>
                </w14:textFill>
              </w:rPr>
              <w:t>± 0.6</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38.8 ± 0.5</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38.8 ± 0.6</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0.37</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Gastrointestinal symptoms</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26 (32.9%)</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8 (30.8%)</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18 (34.0%)</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.64</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Respiratory tract symptoms</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31 (39.2%)</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11 (42.3%)</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20 (37.7%)</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w:t>
            </w:r>
            <w:r>
              <w:rPr>
                <w:rFonts w:hint="eastAsia" w:ascii="Times New Roman" w:hAnsi="Times New Roman" w:eastAsia="宋体" w:cs="Times New Roman"/>
                <w:color w:val="000000" w:themeColor="text1"/>
                <w:sz w:val="20"/>
                <w:szCs w:val="20"/>
                <w14:textFill>
                  <w14:solidFill>
                    <w14:schemeClr w14:val="tx1"/>
                  </w14:solidFill>
                </w14:textFill>
              </w:rPr>
              <w:t>7</w:t>
            </w:r>
            <w:r>
              <w:rPr>
                <w:rFonts w:ascii="Times New Roman" w:hAnsi="Times New Roman" w:eastAsia="宋体" w:cs="Times New Roman"/>
                <w:color w:val="000000" w:themeColor="text1"/>
                <w:sz w:val="20"/>
                <w:szCs w:val="20"/>
                <w14:textFill>
                  <w14:solidFill>
                    <w14:schemeClr w14:val="tx1"/>
                  </w14:solidFill>
                </w14:textFill>
              </w:rPr>
              <w:t>3</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sz w:val="20"/>
                <w:szCs w:val="20"/>
                <w14:textFill>
                  <w14:solidFill>
                    <w14:schemeClr w14:val="tx1"/>
                  </w14:solidFill>
                </w14:textFill>
              </w:rPr>
              <w:t xml:space="preserve">Neurologic </w:t>
            </w:r>
            <w:r>
              <w:rPr>
                <w:rFonts w:ascii="Times New Roman" w:hAnsi="Times New Roman" w:eastAsia="宋体" w:cs="Times New Roman"/>
                <w:color w:val="000000" w:themeColor="text1"/>
                <w:kern w:val="0"/>
                <w:sz w:val="20"/>
                <w:szCs w:val="20"/>
                <w:lang w:bidi="ar"/>
                <w14:textFill>
                  <w14:solidFill>
                    <w14:schemeClr w14:val="tx1"/>
                  </w14:solidFill>
                </w14:textFill>
              </w:rPr>
              <w:t xml:space="preserve">symptoms </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77 (97.5%)</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kern w:val="0"/>
                <w:sz w:val="20"/>
                <w:szCs w:val="20"/>
              </w:rPr>
              <w:t>26 (100%)</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51 (96.2%)</w:t>
            </w:r>
          </w:p>
        </w:tc>
        <w:tc>
          <w:tcPr>
            <w:tcW w:w="994" w:type="dxa"/>
            <w:shd w:val="clear" w:color="auto" w:fill="auto"/>
            <w:vAlign w:val="center"/>
          </w:tcPr>
          <w:p>
            <w:pPr>
              <w:widowControl/>
              <w:spacing w:line="480" w:lineRule="auto"/>
              <w:jc w:val="center"/>
              <w:rPr>
                <w:rFonts w:hint="eastAsia" w:ascii="Times New Roman" w:hAnsi="Times New Roman" w:eastAsia="宋体" w:cs="Times New Roman"/>
                <w:color w:val="000000" w:themeColor="text1"/>
                <w:kern w:val="0"/>
                <w:sz w:val="20"/>
                <w:szCs w:val="20"/>
                <w14:textFill>
                  <w14:solidFill>
                    <w14:schemeClr w14:val="tx1"/>
                  </w14:solidFill>
                </w14:textFill>
              </w:rPr>
            </w:pPr>
            <w:r>
              <w:rPr>
                <w:rFonts w:hint="eastAsia" w:ascii="Times New Roman" w:hAnsi="Times New Roman" w:eastAsia="宋体" w:cs="Times New Roman"/>
                <w:color w:val="000000" w:themeColor="text1"/>
                <w:kern w:val="0"/>
                <w:sz w:val="20"/>
                <w:szCs w:val="20"/>
                <w14:textFill>
                  <w14:solidFill>
                    <w14:schemeClr w14:val="tx1"/>
                  </w14:solidFill>
                </w14:textFill>
              </w:rPr>
              <w:t>0</w:t>
            </w:r>
            <w:r>
              <w:rPr>
                <w:rFonts w:ascii="Times New Roman" w:hAnsi="Times New Roman" w:eastAsia="宋体" w:cs="Times New Roman"/>
                <w:color w:val="000000" w:themeColor="text1"/>
                <w:kern w:val="0"/>
                <w:sz w:val="20"/>
                <w:szCs w:val="20"/>
                <w14:textFill>
                  <w14:solidFill>
                    <w14:schemeClr w14:val="tx1"/>
                  </w14:solidFill>
                </w14:textFill>
              </w:rPr>
              <w:t>.</w:t>
            </w:r>
            <w:r>
              <w:rPr>
                <w:rFonts w:hint="eastAsia" w:ascii="Times New Roman" w:hAnsi="Times New Roman" w:eastAsia="宋体" w:cs="Times New Roman"/>
                <w:color w:val="000000" w:themeColor="text1"/>
                <w:kern w:val="0"/>
                <w:sz w:val="20"/>
                <w:szCs w:val="20"/>
                <w14:textFill>
                  <w14:solidFill>
                    <w14:schemeClr w14:val="tx1"/>
                  </w14:solidFill>
                </w14:textFill>
              </w:rPr>
              <w:t>81</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Hemorrhage symptoms</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21 (26.6%)</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6 (23.1%)</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15 (28.3%)</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w:t>
            </w:r>
            <w:r>
              <w:rPr>
                <w:rFonts w:hint="eastAsia" w:ascii="Times New Roman" w:hAnsi="Times New Roman" w:eastAsia="宋体" w:cs="Times New Roman"/>
                <w:color w:val="000000" w:themeColor="text1"/>
                <w:sz w:val="20"/>
                <w:szCs w:val="20"/>
                <w14:textFill>
                  <w14:solidFill>
                    <w14:schemeClr w14:val="tx1"/>
                  </w14:solidFill>
                </w14:textFill>
              </w:rPr>
              <w:t>6</w:t>
            </w:r>
            <w:r>
              <w:rPr>
                <w:rFonts w:ascii="Times New Roman" w:hAnsi="Times New Roman" w:eastAsia="宋体" w:cs="Times New Roman"/>
                <w:color w:val="000000" w:themeColor="text1"/>
                <w:sz w:val="20"/>
                <w:szCs w:val="20"/>
                <w14:textFill>
                  <w14:solidFill>
                    <w14:schemeClr w14:val="tx1"/>
                  </w14:solidFill>
                </w14:textFill>
              </w:rPr>
              <w:t>1</w:t>
            </w:r>
          </w:p>
        </w:tc>
      </w:tr>
      <w:tr>
        <w:tblPrEx>
          <w:tblCellMar>
            <w:top w:w="0" w:type="dxa"/>
            <w:left w:w="108" w:type="dxa"/>
            <w:bottom w:w="0" w:type="dxa"/>
            <w:right w:w="108" w:type="dxa"/>
          </w:tblCellMar>
        </w:tblPrEx>
        <w:trPr>
          <w:trHeight w:val="283" w:hRule="atLeast"/>
        </w:trPr>
        <w:tc>
          <w:tcPr>
            <w:tcW w:w="2711" w:type="dxa"/>
            <w:tcBorders>
              <w:left w:val="nil"/>
              <w:bottom w:val="single" w:color="auto" w:sz="4" w:space="0"/>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Clinical score within 6 days of onset</w:t>
            </w:r>
          </w:p>
        </w:tc>
        <w:tc>
          <w:tcPr>
            <w:tcW w:w="1904"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1</w:t>
            </w:r>
            <w:r>
              <w:rPr>
                <w:rFonts w:ascii="Times New Roman" w:hAnsi="Times New Roman" w:eastAsia="宋体" w:cs="Times New Roman"/>
                <w:color w:val="000000" w:themeColor="text1"/>
                <w:sz w:val="20"/>
                <w:szCs w:val="20"/>
                <w14:textFill>
                  <w14:solidFill>
                    <w14:schemeClr w14:val="tx1"/>
                  </w14:solidFill>
                </w14:textFill>
              </w:rPr>
              <w:t xml:space="preserve">2.9 </w:t>
            </w:r>
            <w:r>
              <w:rPr>
                <w:rFonts w:ascii="Times New Roman" w:hAnsi="Times New Roman" w:eastAsia="宋体" w:cs="Times New Roman"/>
                <w:color w:val="000000" w:themeColor="text1"/>
                <w:kern w:val="0"/>
                <w:sz w:val="20"/>
                <w:szCs w:val="20"/>
                <w14:textFill>
                  <w14:solidFill>
                    <w14:schemeClr w14:val="tx1"/>
                  </w14:solidFill>
                </w14:textFill>
              </w:rPr>
              <w:t>± 1.7</w:t>
            </w:r>
          </w:p>
        </w:tc>
        <w:tc>
          <w:tcPr>
            <w:tcW w:w="1871"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12.2 ± 1.7</w:t>
            </w:r>
          </w:p>
        </w:tc>
        <w:tc>
          <w:tcPr>
            <w:tcW w:w="1611"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12.9 ± 1.8</w:t>
            </w:r>
          </w:p>
        </w:tc>
        <w:tc>
          <w:tcPr>
            <w:tcW w:w="994"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0.41</w:t>
            </w:r>
          </w:p>
        </w:tc>
      </w:tr>
      <w:tr>
        <w:tblPrEx>
          <w:tblCellMar>
            <w:top w:w="0" w:type="dxa"/>
            <w:left w:w="108" w:type="dxa"/>
            <w:bottom w:w="0" w:type="dxa"/>
            <w:right w:w="108" w:type="dxa"/>
          </w:tblCellMar>
        </w:tblPrEx>
        <w:trPr>
          <w:trHeight w:val="283" w:hRule="atLeast"/>
        </w:trPr>
        <w:tc>
          <w:tcPr>
            <w:tcW w:w="2711" w:type="dxa"/>
            <w:tcBorders>
              <w:top w:val="single" w:color="auto" w:sz="4" w:space="0"/>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b/>
                <w:bCs/>
                <w:color w:val="000000" w:themeColor="text1"/>
                <w:kern w:val="0"/>
                <w:sz w:val="20"/>
                <w:szCs w:val="20"/>
                <w:lang w:bidi="ar"/>
                <w14:textFill>
                  <w14:solidFill>
                    <w14:schemeClr w14:val="tx1"/>
                  </w14:solidFill>
                </w14:textFill>
              </w:rPr>
              <w:t>Pre-existing comorbid</w:t>
            </w:r>
            <w:r>
              <w:rPr>
                <w:rFonts w:ascii="Times New Roman" w:hAnsi="Times New Roman" w:eastAsia="宋体" w:cs="Times New Roman"/>
                <w:b/>
                <w:bCs/>
                <w:color w:val="000000" w:themeColor="text1"/>
                <w:kern w:val="0"/>
                <w:sz w:val="20"/>
                <w:szCs w:val="20"/>
                <w:lang w:eastAsia="zh-Hans" w:bidi="ar"/>
                <w14:textFill>
                  <w14:solidFill>
                    <w14:schemeClr w14:val="tx1"/>
                  </w14:solidFill>
                </w14:textFill>
              </w:rPr>
              <w:t>ity</w:t>
            </w:r>
          </w:p>
        </w:tc>
        <w:tc>
          <w:tcPr>
            <w:tcW w:w="1904" w:type="dxa"/>
            <w:tcBorders>
              <w:top w:val="single" w:color="auto" w:sz="4" w:space="0"/>
            </w:tcBorders>
            <w:shd w:val="clear" w:color="auto" w:fill="auto"/>
            <w:vAlign w:val="center"/>
          </w:tcPr>
          <w:p>
            <w:pPr>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51 (64.6%)</w:t>
            </w:r>
          </w:p>
        </w:tc>
        <w:tc>
          <w:tcPr>
            <w:tcW w:w="1871" w:type="dxa"/>
            <w:tcBorders>
              <w:top w:val="single" w:color="auto" w:sz="4" w:space="0"/>
            </w:tcBorders>
            <w:shd w:val="clear" w:color="auto" w:fill="auto"/>
            <w:vAlign w:val="center"/>
          </w:tcPr>
          <w:p>
            <w:pPr>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cs="Times New Roman"/>
                <w:sz w:val="20"/>
                <w:szCs w:val="20"/>
              </w:rPr>
              <w:t>17 (65.4%)</w:t>
            </w:r>
          </w:p>
        </w:tc>
        <w:tc>
          <w:tcPr>
            <w:tcW w:w="1611" w:type="dxa"/>
            <w:tcBorders>
              <w:top w:val="single" w:color="auto" w:sz="4" w:space="0"/>
            </w:tcBorders>
            <w:shd w:val="clear" w:color="auto" w:fill="auto"/>
            <w:vAlign w:val="center"/>
          </w:tcPr>
          <w:p>
            <w:pPr>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34 (64.2%)</w:t>
            </w:r>
          </w:p>
        </w:tc>
        <w:tc>
          <w:tcPr>
            <w:tcW w:w="994" w:type="dxa"/>
            <w:tcBorders>
              <w:top w:val="single" w:color="auto" w:sz="4" w:space="0"/>
            </w:tcBorders>
            <w:shd w:val="clear" w:color="auto" w:fill="auto"/>
            <w:vAlign w:val="center"/>
          </w:tcPr>
          <w:p>
            <w:pPr>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.79</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b/>
                <w:bCs/>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Hypertension</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22 (27.8%)</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kern w:val="0"/>
                <w:sz w:val="20"/>
                <w:szCs w:val="20"/>
              </w:rPr>
              <w:t>6 (23.1%)</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16 (30.2%)</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hint="eastAsia" w:ascii="Times New Roman" w:hAnsi="Times New Roman" w:eastAsia="宋体" w:cs="Times New Roman"/>
                <w:color w:val="000000" w:themeColor="text1"/>
                <w:kern w:val="0"/>
                <w:sz w:val="20"/>
                <w:szCs w:val="20"/>
                <w14:textFill>
                  <w14:solidFill>
                    <w14:schemeClr w14:val="tx1"/>
                  </w14:solidFill>
                </w14:textFill>
              </w:rPr>
              <w:t>0</w:t>
            </w:r>
            <w:r>
              <w:rPr>
                <w:rFonts w:ascii="Times New Roman" w:hAnsi="Times New Roman" w:eastAsia="宋体" w:cs="Times New Roman"/>
                <w:color w:val="000000" w:themeColor="text1"/>
                <w:kern w:val="0"/>
                <w:sz w:val="20"/>
                <w:szCs w:val="20"/>
                <w14:textFill>
                  <w14:solidFill>
                    <w14:schemeClr w14:val="tx1"/>
                  </w14:solidFill>
                </w14:textFill>
              </w:rPr>
              <w:t>.</w:t>
            </w:r>
            <w:r>
              <w:rPr>
                <w:rFonts w:hint="eastAsia" w:ascii="Times New Roman" w:hAnsi="Times New Roman" w:eastAsia="宋体" w:cs="Times New Roman"/>
                <w:color w:val="000000" w:themeColor="text1"/>
                <w:kern w:val="0"/>
                <w:sz w:val="20"/>
                <w:szCs w:val="20"/>
                <w14:textFill>
                  <w14:solidFill>
                    <w14:schemeClr w14:val="tx1"/>
                  </w14:solidFill>
                </w14:textFill>
              </w:rPr>
              <w:t>5</w:t>
            </w:r>
            <w:r>
              <w:rPr>
                <w:rFonts w:ascii="Times New Roman" w:hAnsi="Times New Roman" w:eastAsia="宋体" w:cs="Times New Roman"/>
                <w:color w:val="000000" w:themeColor="text1"/>
                <w:kern w:val="0"/>
                <w:sz w:val="20"/>
                <w:szCs w:val="20"/>
                <w14:textFill>
                  <w14:solidFill>
                    <w14:schemeClr w14:val="tx1"/>
                  </w14:solidFill>
                </w14:textFill>
              </w:rPr>
              <w:t>7</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b/>
                <w:bCs/>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Diabetes</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20 (25.3%)</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kern w:val="0"/>
                <w:sz w:val="20"/>
                <w:szCs w:val="20"/>
              </w:rPr>
              <w:t>11 (42.3%)</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9 (17.0%)</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hint="eastAsia" w:ascii="Times New Roman" w:hAnsi="Times New Roman" w:eastAsia="宋体" w:cs="Times New Roman"/>
                <w:color w:val="000000" w:themeColor="text1"/>
                <w:kern w:val="0"/>
                <w:sz w:val="20"/>
                <w:szCs w:val="20"/>
                <w14:textFill>
                  <w14:solidFill>
                    <w14:schemeClr w14:val="tx1"/>
                  </w14:solidFill>
                </w14:textFill>
              </w:rPr>
              <w:t>0</w:t>
            </w:r>
            <w:r>
              <w:rPr>
                <w:rFonts w:ascii="Times New Roman" w:hAnsi="Times New Roman" w:eastAsia="宋体" w:cs="Times New Roman"/>
                <w:color w:val="000000" w:themeColor="text1"/>
                <w:kern w:val="0"/>
                <w:sz w:val="20"/>
                <w:szCs w:val="20"/>
                <w14:textFill>
                  <w14:solidFill>
                    <w14:schemeClr w14:val="tx1"/>
                  </w14:solidFill>
                </w14:textFill>
              </w:rPr>
              <w:t>.03</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b/>
                <w:bCs/>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Cardiovascular disease</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5 (6.3%)</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kern w:val="0"/>
                <w:sz w:val="20"/>
                <w:szCs w:val="20"/>
              </w:rPr>
              <w:t>1 (</w:t>
            </w:r>
            <w:r>
              <w:rPr>
                <w:rFonts w:hint="eastAsia" w:ascii="Times New Roman" w:hAnsi="Times New Roman" w:eastAsia="宋体" w:cs="Times New Roman"/>
                <w:kern w:val="0"/>
                <w:sz w:val="20"/>
                <w:szCs w:val="20"/>
              </w:rPr>
              <w:t>3.8</w:t>
            </w:r>
            <w:r>
              <w:rPr>
                <w:rFonts w:ascii="Times New Roman" w:hAnsi="Times New Roman" w:eastAsia="宋体" w:cs="Times New Roman"/>
                <w:kern w:val="0"/>
                <w:sz w:val="20"/>
                <w:szCs w:val="20"/>
              </w:rPr>
              <w:t>%)</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4 (7.5%)</w:t>
            </w:r>
          </w:p>
        </w:tc>
        <w:tc>
          <w:tcPr>
            <w:tcW w:w="994" w:type="dxa"/>
            <w:shd w:val="clear" w:color="auto" w:fill="auto"/>
            <w:vAlign w:val="center"/>
          </w:tcPr>
          <w:p>
            <w:pPr>
              <w:widowControl/>
              <w:spacing w:line="480" w:lineRule="auto"/>
              <w:jc w:val="center"/>
              <w:rPr>
                <w:rFonts w:hint="eastAsia" w:ascii="Times New Roman" w:hAnsi="Times New Roman" w:eastAsia="宋体" w:cs="Times New Roman"/>
                <w:color w:val="000000" w:themeColor="text1"/>
                <w:kern w:val="0"/>
                <w:sz w:val="20"/>
                <w:szCs w:val="20"/>
                <w14:textFill>
                  <w14:solidFill>
                    <w14:schemeClr w14:val="tx1"/>
                  </w14:solidFill>
                </w14:textFill>
              </w:rPr>
            </w:pPr>
            <w:r>
              <w:rPr>
                <w:rFonts w:hint="eastAsia" w:ascii="Times New Roman" w:hAnsi="Times New Roman" w:eastAsia="宋体" w:cs="Times New Roman"/>
                <w:color w:val="000000" w:themeColor="text1"/>
                <w:kern w:val="0"/>
                <w:sz w:val="20"/>
                <w:szCs w:val="20"/>
                <w14:textFill>
                  <w14:solidFill>
                    <w14:schemeClr w14:val="tx1"/>
                  </w14:solidFill>
                </w14:textFill>
              </w:rPr>
              <w:t>0</w:t>
            </w:r>
            <w:r>
              <w:rPr>
                <w:rFonts w:ascii="Times New Roman" w:hAnsi="Times New Roman" w:eastAsia="宋体" w:cs="Times New Roman"/>
                <w:color w:val="000000" w:themeColor="text1"/>
                <w:kern w:val="0"/>
                <w:sz w:val="20"/>
                <w:szCs w:val="20"/>
                <w14:textFill>
                  <w14:solidFill>
                    <w14:schemeClr w14:val="tx1"/>
                  </w14:solidFill>
                </w14:textFill>
              </w:rPr>
              <w:t>.</w:t>
            </w:r>
            <w:r>
              <w:rPr>
                <w:rFonts w:hint="eastAsia" w:ascii="Times New Roman" w:hAnsi="Times New Roman" w:eastAsia="宋体" w:cs="Times New Roman"/>
                <w:color w:val="000000" w:themeColor="text1"/>
                <w:kern w:val="0"/>
                <w:sz w:val="20"/>
                <w:szCs w:val="20"/>
                <w14:textFill>
                  <w14:solidFill>
                    <w14:schemeClr w14:val="tx1"/>
                  </w14:solidFill>
                </w14:textFill>
              </w:rPr>
              <w:t>42</w:t>
            </w:r>
          </w:p>
        </w:tc>
      </w:tr>
      <w:tr>
        <w:tblPrEx>
          <w:tblCellMar>
            <w:top w:w="0" w:type="dxa"/>
            <w:left w:w="108" w:type="dxa"/>
            <w:bottom w:w="0" w:type="dxa"/>
            <w:right w:w="108" w:type="dxa"/>
          </w:tblCellMar>
        </w:tblPrEx>
        <w:trPr>
          <w:trHeight w:val="283" w:hRule="atLeast"/>
        </w:trPr>
        <w:tc>
          <w:tcPr>
            <w:tcW w:w="2711" w:type="dxa"/>
            <w:tcBorders>
              <w:left w:val="nil"/>
              <w:bottom w:val="single" w:color="auto" w:sz="4" w:space="0"/>
            </w:tcBorders>
            <w:shd w:val="clear" w:color="auto" w:fill="auto"/>
            <w:noWrap/>
            <w:vAlign w:val="center"/>
          </w:tcPr>
          <w:p>
            <w:pPr>
              <w:widowControl/>
              <w:jc w:val="left"/>
              <w:textAlignment w:val="center"/>
              <w:rPr>
                <w:rFonts w:ascii="Times New Roman" w:hAnsi="Times New Roman" w:eastAsia="宋体" w:cs="Times New Roman"/>
                <w:b/>
                <w:bCs/>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Cerebrovascular diseases</w:t>
            </w:r>
          </w:p>
        </w:tc>
        <w:tc>
          <w:tcPr>
            <w:tcW w:w="1904"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5 (6.3%)</w:t>
            </w:r>
          </w:p>
        </w:tc>
        <w:tc>
          <w:tcPr>
            <w:tcW w:w="1871"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hint="eastAsia" w:ascii="Times New Roman" w:hAnsi="Times New Roman" w:eastAsia="宋体" w:cs="Times New Roman"/>
                <w:kern w:val="0"/>
                <w:sz w:val="20"/>
                <w:szCs w:val="20"/>
              </w:rPr>
              <w:t>1</w:t>
            </w:r>
            <w:r>
              <w:rPr>
                <w:rFonts w:ascii="Times New Roman" w:hAnsi="Times New Roman" w:eastAsia="宋体" w:cs="Times New Roman"/>
                <w:kern w:val="0"/>
                <w:sz w:val="20"/>
                <w:szCs w:val="20"/>
              </w:rPr>
              <w:t>(3.8%)</w:t>
            </w:r>
          </w:p>
        </w:tc>
        <w:tc>
          <w:tcPr>
            <w:tcW w:w="1611"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4 (7.5%)</w:t>
            </w:r>
          </w:p>
        </w:tc>
        <w:tc>
          <w:tcPr>
            <w:tcW w:w="994"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hint="eastAsia" w:ascii="Times New Roman" w:hAnsi="Times New Roman" w:eastAsia="宋体" w:cs="Times New Roman"/>
                <w:color w:val="000000" w:themeColor="text1"/>
                <w:kern w:val="0"/>
                <w:sz w:val="20"/>
                <w:szCs w:val="20"/>
                <w14:textFill>
                  <w14:solidFill>
                    <w14:schemeClr w14:val="tx1"/>
                  </w14:solidFill>
                </w14:textFill>
              </w:rPr>
              <w:t>0</w:t>
            </w:r>
            <w:r>
              <w:rPr>
                <w:rFonts w:ascii="Times New Roman" w:hAnsi="Times New Roman" w:eastAsia="宋体" w:cs="Times New Roman"/>
                <w:color w:val="000000" w:themeColor="text1"/>
                <w:kern w:val="0"/>
                <w:sz w:val="20"/>
                <w:szCs w:val="20"/>
                <w14:textFill>
                  <w14:solidFill>
                    <w14:schemeClr w14:val="tx1"/>
                  </w14:solidFill>
                </w14:textFill>
              </w:rPr>
              <w:t>.42</w:t>
            </w:r>
          </w:p>
        </w:tc>
      </w:tr>
      <w:tr>
        <w:tblPrEx>
          <w:tblCellMar>
            <w:top w:w="0" w:type="dxa"/>
            <w:left w:w="108" w:type="dxa"/>
            <w:bottom w:w="0" w:type="dxa"/>
            <w:right w:w="108" w:type="dxa"/>
          </w:tblCellMar>
        </w:tblPrEx>
        <w:trPr>
          <w:trHeight w:val="283" w:hRule="atLeast"/>
        </w:trPr>
        <w:tc>
          <w:tcPr>
            <w:tcW w:w="2711" w:type="dxa"/>
            <w:tcBorders>
              <w:top w:val="single" w:color="auto" w:sz="4" w:space="0"/>
              <w:left w:val="nil"/>
            </w:tcBorders>
            <w:shd w:val="clear" w:color="auto" w:fill="auto"/>
            <w:noWrap/>
            <w:vAlign w:val="center"/>
          </w:tcPr>
          <w:p>
            <w:pPr>
              <w:widowControl/>
              <w:jc w:val="left"/>
              <w:textAlignment w:val="center"/>
              <w:rPr>
                <w:rFonts w:ascii="Times New Roman" w:hAnsi="Times New Roman" w:eastAsia="宋体" w:cs="Times New Roman"/>
                <w:b/>
                <w:bCs/>
                <w:color w:val="000000" w:themeColor="text1"/>
                <w:sz w:val="20"/>
                <w:szCs w:val="20"/>
                <w14:textFill>
                  <w14:solidFill>
                    <w14:schemeClr w14:val="tx1"/>
                  </w14:solidFill>
                </w14:textFill>
              </w:rPr>
            </w:pPr>
            <w:r>
              <w:rPr>
                <w:rFonts w:ascii="Times New Roman" w:hAnsi="Times New Roman" w:eastAsia="Times New Roman Bold" w:cs="Times New Roman"/>
                <w:b/>
                <w:bCs/>
                <w:color w:val="000000" w:themeColor="text1"/>
                <w:kern w:val="0"/>
                <w:sz w:val="20"/>
                <w:szCs w:val="20"/>
                <w:lang w:bidi="ar"/>
                <w14:textFill>
                  <w14:solidFill>
                    <w14:schemeClr w14:val="tx1"/>
                  </w14:solidFill>
                </w14:textFill>
              </w:rPr>
              <w:t>Laboratory findings</w:t>
            </w:r>
          </w:p>
        </w:tc>
        <w:tc>
          <w:tcPr>
            <w:tcW w:w="1904" w:type="dxa"/>
            <w:tcBorders>
              <w:top w:val="single" w:color="auto" w:sz="4" w:space="0"/>
            </w:tcBorders>
            <w:shd w:val="clear" w:color="auto" w:fill="auto"/>
            <w:vAlign w:val="center"/>
          </w:tcPr>
          <w:p>
            <w:pPr>
              <w:jc w:val="center"/>
              <w:rPr>
                <w:rFonts w:ascii="Times New Roman" w:hAnsi="Times New Roman" w:eastAsia="宋体" w:cs="Times New Roman"/>
                <w:color w:val="000000" w:themeColor="text1"/>
                <w:sz w:val="20"/>
                <w:szCs w:val="20"/>
                <w14:textFill>
                  <w14:solidFill>
                    <w14:schemeClr w14:val="tx1"/>
                  </w14:solidFill>
                </w14:textFill>
              </w:rPr>
            </w:pPr>
          </w:p>
        </w:tc>
        <w:tc>
          <w:tcPr>
            <w:tcW w:w="1871" w:type="dxa"/>
            <w:tcBorders>
              <w:top w:val="single" w:color="auto" w:sz="4" w:space="0"/>
            </w:tcBorders>
            <w:shd w:val="clear" w:color="auto" w:fill="auto"/>
            <w:vAlign w:val="center"/>
          </w:tcPr>
          <w:p>
            <w:pPr>
              <w:jc w:val="center"/>
              <w:rPr>
                <w:rFonts w:ascii="Times New Roman" w:hAnsi="Times New Roman" w:eastAsia="宋体" w:cs="Times New Roman"/>
                <w:color w:val="000000" w:themeColor="text1"/>
                <w:sz w:val="20"/>
                <w:szCs w:val="20"/>
                <w14:textFill>
                  <w14:solidFill>
                    <w14:schemeClr w14:val="tx1"/>
                  </w14:solidFill>
                </w14:textFill>
              </w:rPr>
            </w:pPr>
          </w:p>
        </w:tc>
        <w:tc>
          <w:tcPr>
            <w:tcW w:w="1611" w:type="dxa"/>
            <w:tcBorders>
              <w:top w:val="single" w:color="auto" w:sz="4" w:space="0"/>
            </w:tcBorders>
            <w:shd w:val="clear" w:color="auto" w:fill="auto"/>
            <w:vAlign w:val="center"/>
          </w:tcPr>
          <w:p>
            <w:pPr>
              <w:jc w:val="center"/>
              <w:rPr>
                <w:rFonts w:ascii="Times New Roman" w:hAnsi="Times New Roman" w:eastAsia="宋体" w:cs="Times New Roman"/>
                <w:color w:val="000000" w:themeColor="text1"/>
                <w:sz w:val="20"/>
                <w:szCs w:val="20"/>
                <w14:textFill>
                  <w14:solidFill>
                    <w14:schemeClr w14:val="tx1"/>
                  </w14:solidFill>
                </w14:textFill>
              </w:rPr>
            </w:pPr>
          </w:p>
        </w:tc>
        <w:tc>
          <w:tcPr>
            <w:tcW w:w="994" w:type="dxa"/>
            <w:tcBorders>
              <w:top w:val="single" w:color="auto" w:sz="4" w:space="0"/>
            </w:tcBorders>
            <w:shd w:val="clear" w:color="auto" w:fill="auto"/>
            <w:vAlign w:val="center"/>
          </w:tcPr>
          <w:p>
            <w:pPr>
              <w:jc w:val="center"/>
              <w:rPr>
                <w:rFonts w:ascii="Times New Roman" w:hAnsi="Times New Roman" w:eastAsia="宋体" w:cs="Times New Roman"/>
                <w:color w:val="000000" w:themeColor="text1"/>
                <w:sz w:val="20"/>
                <w:szCs w:val="20"/>
                <w14:textFill>
                  <w14:solidFill>
                    <w14:schemeClr w14:val="tx1"/>
                  </w14:solidFill>
                </w14:textFill>
              </w:rPr>
            </w:pP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Absolute neutrophil count (×1000 cells per μL)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1</w:t>
            </w:r>
            <w:r>
              <w:rPr>
                <w:rFonts w:ascii="Times New Roman" w:hAnsi="Times New Roman" w:eastAsia="宋体" w:cs="Times New Roman"/>
                <w:color w:val="000000" w:themeColor="text1"/>
                <w:sz w:val="20"/>
                <w:szCs w:val="20"/>
                <w14:textFill>
                  <w14:solidFill>
                    <w14:schemeClr w14:val="tx1"/>
                  </w14:solidFill>
                </w14:textFill>
              </w:rPr>
              <w:t xml:space="preserve">.6 </w:t>
            </w:r>
            <w:r>
              <w:rPr>
                <w:rFonts w:hint="eastAsia" w:ascii="Times New Roman" w:hAnsi="Times New Roman" w:eastAsia="宋体" w:cs="Times New Roman"/>
                <w:color w:val="000000" w:themeColor="text1"/>
                <w:sz w:val="20"/>
                <w:szCs w:val="20"/>
                <w14:textFill>
                  <w14:solidFill>
                    <w14:schemeClr w14:val="tx1"/>
                  </w14:solidFill>
                </w14:textFill>
              </w:rPr>
              <w:t>(</w:t>
            </w:r>
            <w:r>
              <w:rPr>
                <w:rFonts w:ascii="Times New Roman" w:hAnsi="Times New Roman" w:eastAsia="宋体" w:cs="Times New Roman"/>
                <w:color w:val="000000" w:themeColor="text1"/>
                <w:sz w:val="20"/>
                <w:szCs w:val="20"/>
                <w14:textFill>
                  <w14:solidFill>
                    <w14:schemeClr w14:val="tx1"/>
                  </w14:solidFill>
                </w14:textFill>
              </w:rPr>
              <w:t>0.6, 4.3)</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2.8 (1.0, 6.7)</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1.2 (0.5, 2.4)</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0.01</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Lymphocytes count (×1000 cells per μL)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.8 (0.4, 1.5)</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1.2 ± 0.8</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0.9 ± 0.6</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0.14</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Platelet count (×1000 cells per μL)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3</w:t>
            </w:r>
            <w:r>
              <w:rPr>
                <w:rFonts w:ascii="Times New Roman" w:hAnsi="Times New Roman" w:eastAsia="宋体" w:cs="Times New Roman"/>
                <w:color w:val="000000" w:themeColor="text1"/>
                <w:sz w:val="20"/>
                <w:szCs w:val="20"/>
                <w14:textFill>
                  <w14:solidFill>
                    <w14:schemeClr w14:val="tx1"/>
                  </w14:solidFill>
                </w14:textFill>
              </w:rPr>
              <w:t>8.0 (27.0, 48.0)</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45.0 (40.3, 65.3)</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33.3 (27.0, 41.5)</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0.00</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Hemoglobin concentration(g/L)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1</w:t>
            </w:r>
            <w:r>
              <w:rPr>
                <w:rFonts w:ascii="Times New Roman" w:hAnsi="Times New Roman" w:eastAsia="宋体" w:cs="Times New Roman"/>
                <w:color w:val="000000" w:themeColor="text1"/>
                <w:sz w:val="20"/>
                <w:szCs w:val="20"/>
                <w14:textFill>
                  <w14:solidFill>
                    <w14:schemeClr w14:val="tx1"/>
                  </w14:solidFill>
                </w14:textFill>
              </w:rPr>
              <w:t xml:space="preserve">38.9 </w:t>
            </w:r>
            <w:r>
              <w:rPr>
                <w:rFonts w:ascii="Times New Roman" w:hAnsi="Times New Roman" w:eastAsia="宋体" w:cs="Times New Roman"/>
                <w:color w:val="000000" w:themeColor="text1"/>
                <w:kern w:val="0"/>
                <w:sz w:val="20"/>
                <w:szCs w:val="20"/>
                <w14:textFill>
                  <w14:solidFill>
                    <w14:schemeClr w14:val="tx1"/>
                  </w14:solidFill>
                </w14:textFill>
              </w:rPr>
              <w:t>± 20.4</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134.2 ± 27.5</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140.0 ± 18.9</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0.67</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Ferritin concentration(g/L)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9</w:t>
            </w:r>
            <w:r>
              <w:rPr>
                <w:rFonts w:ascii="Times New Roman" w:hAnsi="Times New Roman" w:eastAsia="宋体" w:cs="Times New Roman"/>
                <w:color w:val="000000" w:themeColor="text1"/>
                <w:sz w:val="20"/>
                <w:szCs w:val="20"/>
                <w14:textFill>
                  <w14:solidFill>
                    <w14:schemeClr w14:val="tx1"/>
                  </w14:solidFill>
                </w14:textFill>
              </w:rPr>
              <w:t>756.0 (5621.8, 16273.8)</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9442 (3584.3, 17969.3)</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9740 (5092.5, 17809.5)</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0.79</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C-reactive protein(mg/L)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hint="eastAsia" w:ascii="Times New Roman" w:hAnsi="Times New Roman" w:eastAsia="宋体" w:cs="Times New Roman"/>
                <w:color w:val="000000" w:themeColor="text1"/>
                <w:kern w:val="0"/>
                <w:sz w:val="20"/>
                <w:szCs w:val="20"/>
                <w14:textFill>
                  <w14:solidFill>
                    <w14:schemeClr w14:val="tx1"/>
                  </w14:solidFill>
                </w14:textFill>
              </w:rPr>
              <w:t>2</w:t>
            </w:r>
            <w:r>
              <w:rPr>
                <w:rFonts w:ascii="Times New Roman" w:hAnsi="Times New Roman" w:eastAsia="宋体" w:cs="Times New Roman"/>
                <w:color w:val="000000" w:themeColor="text1"/>
                <w:kern w:val="0"/>
                <w:sz w:val="20"/>
                <w:szCs w:val="20"/>
                <w14:textFill>
                  <w14:solidFill>
                    <w14:schemeClr w14:val="tx1"/>
                  </w14:solidFill>
                </w14:textFill>
              </w:rPr>
              <w:t>3.7 (8.0, 29.2)</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kern w:val="0"/>
                <w:sz w:val="20"/>
                <w:szCs w:val="20"/>
              </w:rPr>
              <w:t>14.8 (0.6, 38.0)</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24.3 (9.2, 28.4)</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0.47</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 xml:space="preserve">Alanine aminotransferase </w:t>
            </w:r>
            <w:r>
              <w:rPr>
                <w:rFonts w:ascii="Times New Roman" w:hAnsi="Times New Roman" w:eastAsia="宋体" w:cs="Times New Roman"/>
                <w:color w:val="000000" w:themeColor="text1"/>
                <w:kern w:val="0"/>
                <w:sz w:val="20"/>
                <w:szCs w:val="20"/>
                <w:lang w:bidi="ar"/>
                <w14:textFill>
                  <w14:solidFill>
                    <w14:schemeClr w14:val="tx1"/>
                  </w14:solidFill>
                </w14:textFill>
              </w:rPr>
              <w:t>(U/L)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hint="eastAsia" w:ascii="Times New Roman" w:hAnsi="Times New Roman" w:eastAsia="宋体" w:cs="Times New Roman"/>
                <w:color w:val="000000" w:themeColor="text1"/>
                <w:kern w:val="0"/>
                <w:sz w:val="20"/>
                <w:szCs w:val="20"/>
                <w:lang w:bidi="ar"/>
                <w14:textFill>
                  <w14:solidFill>
                    <w14:schemeClr w14:val="tx1"/>
                  </w14:solidFill>
                </w14:textFill>
              </w:rPr>
              <w:t>1</w:t>
            </w:r>
            <w:r>
              <w:rPr>
                <w:rFonts w:ascii="Times New Roman" w:hAnsi="Times New Roman" w:eastAsia="宋体" w:cs="Times New Roman"/>
                <w:color w:val="000000" w:themeColor="text1"/>
                <w:kern w:val="0"/>
                <w:sz w:val="20"/>
                <w:szCs w:val="20"/>
                <w:lang w:bidi="ar"/>
                <w14:textFill>
                  <w14:solidFill>
                    <w14:schemeClr w14:val="tx1"/>
                  </w14:solidFill>
                </w14:textFill>
              </w:rPr>
              <w:t>30.0 (68.0, 176.0)</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kern w:val="0"/>
                <w:sz w:val="20"/>
                <w:szCs w:val="20"/>
              </w:rPr>
              <w:t>127.0 (57.5, 156.8)</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130.0 (67.0, 194.0)</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0.61</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Aspartate aminotransferase (U/L)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2</w:t>
            </w:r>
            <w:r>
              <w:rPr>
                <w:rFonts w:ascii="Times New Roman" w:hAnsi="Times New Roman" w:eastAsia="宋体" w:cs="Times New Roman"/>
                <w:color w:val="000000" w:themeColor="text1"/>
                <w:sz w:val="20"/>
                <w:szCs w:val="20"/>
                <w14:textFill>
                  <w14:solidFill>
                    <w14:schemeClr w14:val="tx1"/>
                  </w14:solidFill>
                </w14:textFill>
              </w:rPr>
              <w:t>35.8 (122.0, 560.0)</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206.5 (104.3, 575.5)</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299.0 (120.0, 547.5)</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0.51</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B</w:t>
            </w:r>
            <w:r>
              <w:rPr>
                <w:rFonts w:ascii="Times New Roman" w:hAnsi="Times New Roman" w:eastAsia="宋体" w:cs="Times New Roman"/>
                <w:color w:val="000000" w:themeColor="text1"/>
                <w:kern w:val="0"/>
                <w:sz w:val="20"/>
                <w:szCs w:val="20"/>
                <w:lang w:eastAsia="zh-Hans" w:bidi="ar"/>
                <w14:textFill>
                  <w14:solidFill>
                    <w14:schemeClr w14:val="tx1"/>
                  </w14:solidFill>
                </w14:textFill>
              </w:rPr>
              <w:t>lood urea</w:t>
            </w:r>
            <w:r>
              <w:rPr>
                <w:rFonts w:ascii="Times New Roman" w:hAnsi="Times New Roman" w:eastAsia="宋体" w:cs="Times New Roman"/>
                <w:color w:val="000000" w:themeColor="text1"/>
                <w:kern w:val="0"/>
                <w:sz w:val="20"/>
                <w:szCs w:val="20"/>
                <w:lang w:bidi="ar"/>
                <w14:textFill>
                  <w14:solidFill>
                    <w14:schemeClr w14:val="tx1"/>
                  </w14:solidFill>
                </w14:textFill>
              </w:rPr>
              <w:t xml:space="preserve"> nitrogen(mmol/L)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5</w:t>
            </w:r>
            <w:r>
              <w:rPr>
                <w:rFonts w:ascii="Times New Roman" w:hAnsi="Times New Roman" w:eastAsia="宋体" w:cs="Times New Roman"/>
                <w:color w:val="000000" w:themeColor="text1"/>
                <w:sz w:val="20"/>
                <w:szCs w:val="20"/>
                <w14:textFill>
                  <w14:solidFill>
                    <w14:schemeClr w14:val="tx1"/>
                  </w14:solidFill>
                </w14:textFill>
              </w:rPr>
              <w:t>.3 (4.1, 7.9)</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5.0 (4.0, 7.7)</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5.3 (4.0, 7.9)</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0.96</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Creatinine(umol/L)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6</w:t>
            </w:r>
            <w:r>
              <w:rPr>
                <w:rFonts w:ascii="Times New Roman" w:hAnsi="Times New Roman" w:eastAsia="宋体" w:cs="Times New Roman"/>
                <w:color w:val="000000" w:themeColor="text1"/>
                <w:sz w:val="20"/>
                <w:szCs w:val="20"/>
                <w14:textFill>
                  <w14:solidFill>
                    <w14:schemeClr w14:val="tx1"/>
                  </w14:solidFill>
                </w14:textFill>
              </w:rPr>
              <w:t>3.0 (53.0, 81.0)</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59.5 (50.8, 76.0)</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66.0 (51.5, 83.5)</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0.44</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Lactate dehydrogenase concentration(U/L)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9</w:t>
            </w:r>
            <w:r>
              <w:rPr>
                <w:rFonts w:ascii="Times New Roman" w:hAnsi="Times New Roman" w:eastAsia="宋体" w:cs="Times New Roman"/>
                <w:color w:val="000000" w:themeColor="text1"/>
                <w:sz w:val="20"/>
                <w:szCs w:val="20"/>
                <w14:textFill>
                  <w14:solidFill>
                    <w14:schemeClr w14:val="tx1"/>
                  </w14:solidFill>
                </w14:textFill>
              </w:rPr>
              <w:t>65.0 (546.0, 1646.0)</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1168.5 (544.5, 1926.8)</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867.0 (564.0, 1368.5)</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.32</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vAlign w:val="center"/>
          </w:tcPr>
          <w:p>
            <w:pPr>
              <w:widowControl/>
              <w:jc w:val="left"/>
              <w:textAlignment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 xml:space="preserve">Activated partial thromboplastin </w:t>
            </w:r>
            <w:r>
              <w:rPr>
                <w:rFonts w:ascii="Times New Roman" w:hAnsi="Times New Roman" w:eastAsia="宋体" w:cs="Times New Roman"/>
                <w:color w:val="000000" w:themeColor="text1"/>
                <w:kern w:val="0"/>
                <w:sz w:val="20"/>
                <w:szCs w:val="20"/>
                <w:lang w:eastAsia="zh-Hans" w:bidi="ar"/>
                <w14:textFill>
                  <w14:solidFill>
                    <w14:schemeClr w14:val="tx1"/>
                  </w14:solidFill>
                </w14:textFill>
              </w:rPr>
              <w:t>time</w:t>
            </w:r>
            <w:r>
              <w:rPr>
                <w:rFonts w:ascii="Times New Roman" w:hAnsi="Times New Roman" w:eastAsia="宋体" w:cs="Times New Roman"/>
                <w:color w:val="000000" w:themeColor="text1"/>
                <w:kern w:val="0"/>
                <w:sz w:val="20"/>
                <w:szCs w:val="20"/>
                <w:lang w:bidi="ar"/>
                <w14:textFill>
                  <w14:solidFill>
                    <w14:schemeClr w14:val="tx1"/>
                  </w14:solidFill>
                </w14:textFill>
              </w:rPr>
              <w:t>(s)</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sz w:val="20"/>
                <w:szCs w:val="20"/>
                <w14:textFill>
                  <w14:solidFill>
                    <w14:schemeClr w14:val="tx1"/>
                  </w14:solidFill>
                </w14:textFill>
              </w:rPr>
              <w:t xml:space="preserve">54.3 </w:t>
            </w:r>
            <w:r>
              <w:rPr>
                <w:rFonts w:ascii="Times New Roman" w:hAnsi="Times New Roman" w:eastAsia="宋体" w:cs="Times New Roman"/>
                <w:kern w:val="0"/>
                <w:sz w:val="20"/>
                <w:szCs w:val="20"/>
              </w:rPr>
              <w:t>± 21.7</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57.2 ± 21.7</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52.0 ± 21.9</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.09</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vAlign w:val="center"/>
          </w:tcPr>
          <w:p>
            <w:pPr>
              <w:widowControl/>
              <w:spacing w:line="480" w:lineRule="auto"/>
              <w:jc w:val="left"/>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Galactomannan(pg/ml)</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1</w:t>
            </w:r>
            <w:r>
              <w:rPr>
                <w:rFonts w:ascii="Times New Roman" w:hAnsi="Times New Roman" w:eastAsia="宋体" w:cs="Times New Roman"/>
                <w:color w:val="000000" w:themeColor="text1"/>
                <w:sz w:val="20"/>
                <w:szCs w:val="20"/>
                <w14:textFill>
                  <w14:solidFill>
                    <w14:schemeClr w14:val="tx1"/>
                  </w14:solidFill>
                </w14:textFill>
              </w:rPr>
              <w:t>.6 (0.4, 4.6)</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1.9 (0.6, 4.9)</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1.3 (0.3, 3.6)</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.17</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lang w:bidi="ar"/>
                <w14:textFill>
                  <w14:solidFill>
                    <w14:schemeClr w14:val="tx1"/>
                  </w14:solidFill>
                </w14:textFill>
              </w:rPr>
              <w:t>SFTSV loads (log 10 copies/ml)</w:t>
            </w:r>
          </w:p>
        </w:tc>
        <w:tc>
          <w:tcPr>
            <w:tcW w:w="1904" w:type="dxa"/>
            <w:shd w:val="clear" w:color="auto" w:fill="auto"/>
            <w:noWrap/>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6</w:t>
            </w:r>
            <w:r>
              <w:rPr>
                <w:rFonts w:ascii="Times New Roman" w:hAnsi="Times New Roman" w:eastAsia="宋体" w:cs="Times New Roman"/>
                <w:color w:val="000000" w:themeColor="text1"/>
                <w:sz w:val="20"/>
                <w:szCs w:val="20"/>
                <w14:textFill>
                  <w14:solidFill>
                    <w14:schemeClr w14:val="tx1"/>
                  </w14:solidFill>
                </w14:textFill>
              </w:rPr>
              <w:t xml:space="preserve">.2 </w:t>
            </w:r>
            <w:r>
              <w:rPr>
                <w:rFonts w:ascii="Times New Roman" w:hAnsi="Times New Roman" w:eastAsia="宋体" w:cs="Times New Roman"/>
                <w:color w:val="000000" w:themeColor="text1"/>
                <w:kern w:val="0"/>
                <w:sz w:val="20"/>
                <w:szCs w:val="20"/>
                <w14:textFill>
                  <w14:solidFill>
                    <w14:schemeClr w14:val="tx1"/>
                  </w14:solidFill>
                </w14:textFill>
              </w:rPr>
              <w:t>± 1.7</w:t>
            </w:r>
          </w:p>
        </w:tc>
        <w:tc>
          <w:tcPr>
            <w:tcW w:w="1871" w:type="dxa"/>
            <w:shd w:val="clear" w:color="auto" w:fill="auto"/>
            <w:noWrap/>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6.2±1.5</w:t>
            </w:r>
          </w:p>
        </w:tc>
        <w:tc>
          <w:tcPr>
            <w:tcW w:w="1611" w:type="dxa"/>
            <w:shd w:val="clear" w:color="auto" w:fill="auto"/>
            <w:noWrap/>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6.1±1.8</w:t>
            </w:r>
          </w:p>
        </w:tc>
        <w:tc>
          <w:tcPr>
            <w:tcW w:w="994" w:type="dxa"/>
            <w:shd w:val="clear" w:color="auto" w:fill="auto"/>
            <w:noWrap/>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.76</w:t>
            </w:r>
          </w:p>
        </w:tc>
      </w:tr>
      <w:tr>
        <w:tblPrEx>
          <w:tblCellMar>
            <w:top w:w="0" w:type="dxa"/>
            <w:left w:w="108" w:type="dxa"/>
            <w:bottom w:w="0" w:type="dxa"/>
            <w:right w:w="108" w:type="dxa"/>
          </w:tblCellMar>
        </w:tblPrEx>
        <w:trPr>
          <w:trHeight w:val="283" w:hRule="atLeast"/>
        </w:trPr>
        <w:tc>
          <w:tcPr>
            <w:tcW w:w="2711" w:type="dxa"/>
            <w:tcBorders>
              <w:left w:val="nil"/>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sz w:val="20"/>
                <w:szCs w:val="20"/>
                <w14:textFill>
                  <w14:solidFill>
                    <w14:schemeClr w14:val="tx1"/>
                  </w14:solidFill>
                </w14:textFill>
              </w:rPr>
              <w:t>Pneumonia</w:t>
            </w:r>
          </w:p>
        </w:tc>
        <w:tc>
          <w:tcPr>
            <w:tcW w:w="190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74 (88.1%)</w:t>
            </w:r>
          </w:p>
        </w:tc>
        <w:tc>
          <w:tcPr>
            <w:tcW w:w="187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kern w:val="0"/>
                <w:sz w:val="20"/>
                <w:szCs w:val="20"/>
              </w:rPr>
              <w:t>24 (92.3%)</w:t>
            </w:r>
          </w:p>
        </w:tc>
        <w:tc>
          <w:tcPr>
            <w:tcW w:w="1611"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45 (84.9%)</w:t>
            </w:r>
          </w:p>
        </w:tc>
        <w:tc>
          <w:tcPr>
            <w:tcW w:w="994" w:type="dxa"/>
            <w:shd w:val="clear" w:color="auto" w:fill="auto"/>
            <w:vAlign w:val="center"/>
          </w:tcPr>
          <w:p>
            <w:pPr>
              <w:widowControl/>
              <w:spacing w:line="480" w:lineRule="auto"/>
              <w:jc w:val="center"/>
              <w:rPr>
                <w:rFonts w:ascii="Times New Roman" w:hAnsi="Times New Roman" w:eastAsia="宋体" w:cs="Times New Roman"/>
                <w:color w:val="000000" w:themeColor="text1"/>
                <w:kern w:val="0"/>
                <w:sz w:val="20"/>
                <w:szCs w:val="20"/>
                <w14:textFill>
                  <w14:solidFill>
                    <w14:schemeClr w14:val="tx1"/>
                  </w14:solidFill>
                </w14:textFill>
              </w:rPr>
            </w:pPr>
            <w:r>
              <w:rPr>
                <w:rFonts w:hint="eastAsia" w:ascii="Times New Roman" w:hAnsi="Times New Roman" w:eastAsia="宋体" w:cs="Times New Roman"/>
                <w:color w:val="000000" w:themeColor="text1"/>
                <w:kern w:val="0"/>
                <w:sz w:val="20"/>
                <w:szCs w:val="20"/>
                <w14:textFill>
                  <w14:solidFill>
                    <w14:schemeClr w14:val="tx1"/>
                  </w14:solidFill>
                </w14:textFill>
              </w:rPr>
              <w:t>0</w:t>
            </w:r>
            <w:r>
              <w:rPr>
                <w:rFonts w:ascii="Times New Roman" w:hAnsi="Times New Roman" w:eastAsia="宋体" w:cs="Times New Roman"/>
                <w:color w:val="000000" w:themeColor="text1"/>
                <w:kern w:val="0"/>
                <w:sz w:val="20"/>
                <w:szCs w:val="20"/>
                <w14:textFill>
                  <w14:solidFill>
                    <w14:schemeClr w14:val="tx1"/>
                  </w14:solidFill>
                </w14:textFill>
              </w:rPr>
              <w:t>.24</w:t>
            </w:r>
          </w:p>
        </w:tc>
      </w:tr>
      <w:tr>
        <w:tblPrEx>
          <w:tblCellMar>
            <w:top w:w="0" w:type="dxa"/>
            <w:left w:w="108" w:type="dxa"/>
            <w:bottom w:w="0" w:type="dxa"/>
            <w:right w:w="108" w:type="dxa"/>
          </w:tblCellMar>
        </w:tblPrEx>
        <w:trPr>
          <w:trHeight w:val="283" w:hRule="atLeast"/>
        </w:trPr>
        <w:tc>
          <w:tcPr>
            <w:tcW w:w="2711" w:type="dxa"/>
            <w:tcBorders>
              <w:left w:val="nil"/>
              <w:bottom w:val="single" w:color="auto" w:sz="4" w:space="0"/>
            </w:tcBorders>
            <w:shd w:val="clear" w:color="auto" w:fill="auto"/>
            <w:noWrap/>
            <w:vAlign w:val="center"/>
          </w:tcPr>
          <w:p>
            <w:pPr>
              <w:widowControl/>
              <w:jc w:val="left"/>
              <w:textAlignment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sz w:val="20"/>
                <w:szCs w:val="20"/>
                <w14:textFill>
                  <w14:solidFill>
                    <w14:schemeClr w14:val="tx1"/>
                  </w14:solidFill>
                </w14:textFill>
              </w:rPr>
              <w:t xml:space="preserve">Combined IPA </w:t>
            </w:r>
          </w:p>
        </w:tc>
        <w:tc>
          <w:tcPr>
            <w:tcW w:w="1904"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58 (69.0%)</w:t>
            </w:r>
          </w:p>
        </w:tc>
        <w:tc>
          <w:tcPr>
            <w:tcW w:w="1871"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kern w:val="0"/>
                <w:sz w:val="20"/>
                <w:szCs w:val="20"/>
              </w:rPr>
              <w:t>19 (73.1%)</w:t>
            </w:r>
          </w:p>
        </w:tc>
        <w:tc>
          <w:tcPr>
            <w:tcW w:w="1611"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36 (67.9%)</w:t>
            </w:r>
          </w:p>
        </w:tc>
        <w:tc>
          <w:tcPr>
            <w:tcW w:w="994" w:type="dxa"/>
            <w:tcBorders>
              <w:bottom w:val="single" w:color="auto" w:sz="4" w:space="0"/>
            </w:tcBorders>
            <w:shd w:val="clear" w:color="auto" w:fill="auto"/>
            <w:vAlign w:val="center"/>
          </w:tcPr>
          <w:p>
            <w:pPr>
              <w:widowControl/>
              <w:spacing w:line="480" w:lineRule="auto"/>
              <w:jc w:val="center"/>
              <w:rPr>
                <w:rFonts w:ascii="Times New Roman" w:hAnsi="Times New Roman" w:eastAsia="宋体" w:cs="Times New Roman"/>
                <w:color w:val="000000" w:themeColor="text1"/>
                <w:sz w:val="20"/>
                <w:szCs w:val="20"/>
                <w14:textFill>
                  <w14:solidFill>
                    <w14:schemeClr w14:val="tx1"/>
                  </w14:solidFill>
                </w14:textFill>
              </w:rPr>
            </w:pPr>
            <w:r>
              <w:rPr>
                <w:rFonts w:hint="eastAsia" w:ascii="Times New Roman" w:hAnsi="Times New Roman" w:eastAsia="宋体" w:cs="Times New Roman"/>
                <w:color w:val="000000" w:themeColor="text1"/>
                <w:sz w:val="20"/>
                <w:szCs w:val="20"/>
                <w14:textFill>
                  <w14:solidFill>
                    <w14:schemeClr w14:val="tx1"/>
                  </w14:solidFill>
                </w14:textFill>
              </w:rPr>
              <w:t>0</w:t>
            </w:r>
            <w:r>
              <w:rPr>
                <w:rFonts w:ascii="Times New Roman" w:hAnsi="Times New Roman" w:eastAsia="宋体" w:cs="Times New Roman"/>
                <w:color w:val="000000" w:themeColor="text1"/>
                <w:sz w:val="20"/>
                <w:szCs w:val="20"/>
                <w14:textFill>
                  <w14:solidFill>
                    <w14:schemeClr w14:val="tx1"/>
                  </w14:solidFill>
                </w14:textFill>
              </w:rPr>
              <w:t>.77</w:t>
            </w:r>
          </w:p>
        </w:tc>
      </w:tr>
    </w:tbl>
    <w:p>
      <w:r>
        <w:rPr>
          <w:rFonts w:ascii="Times New Roman" w:hAnsi="Times New Roman" w:cs="Times New Roman"/>
          <w:sz w:val="20"/>
          <w:szCs w:val="20"/>
        </w:rPr>
        <w:t>Abbreviations: RUX: ruxolitinib group;</w:t>
      </w:r>
      <w:r>
        <w:rPr>
          <w:rFonts w:ascii="Times New Roman" w:hAnsi="Times New Roman" w:eastAsia="宋体" w:cs="Times New Roman"/>
          <w:kern w:val="0"/>
          <w:sz w:val="20"/>
          <w:szCs w:val="20"/>
          <w:lang w:bidi="ar"/>
        </w:rPr>
        <w:t xml:space="preserve"> HC: history control group. IPA: </w:t>
      </w:r>
      <w:r>
        <w:rPr>
          <w:rFonts w:ascii="Times New Roman" w:hAnsi="Times New Roman" w:eastAsia="宋体" w:cs="Times New Roman"/>
          <w:color w:val="000000" w:themeColor="text1"/>
          <w:kern w:val="0"/>
          <w:sz w:val="20"/>
          <w:szCs w:val="20"/>
          <w:lang w:bidi="ar"/>
          <w14:textFill>
            <w14:solidFill>
              <w14:schemeClr w14:val="tx1"/>
            </w14:solidFill>
          </w14:textFill>
        </w:rPr>
        <w:t>invasive pulmonary aspergillosis.</w:t>
      </w:r>
    </w:p>
    <w:p>
      <w:pPr>
        <w:widowControl/>
        <w:jc w:val="left"/>
        <w:rPr>
          <w:rFonts w:ascii="Times New Roman" w:hAnsi="Times New Roman" w:eastAsia="TimesNewRomanPS-BoldMT" w:cs="Times New Roman"/>
          <w:b/>
          <w:bCs/>
          <w:color w:val="000000"/>
          <w:sz w:val="20"/>
          <w:szCs w:val="20"/>
          <w:lang w:bidi="ar"/>
        </w:rPr>
      </w:pPr>
      <w:r>
        <w:br w:type="page"/>
      </w:r>
    </w:p>
    <w:p>
      <w:pPr>
        <w:rPr>
          <w:rFonts w:ascii="Times New Roman" w:hAnsi="Times New Roman" w:cs="Times New Roman"/>
          <w:color w:val="000000"/>
          <w:sz w:val="20"/>
          <w:szCs w:val="20"/>
          <w:lang w:bidi="ar"/>
        </w:rPr>
      </w:pPr>
      <w:r>
        <w:rPr>
          <w:rFonts w:ascii="Times New Roman" w:hAnsi="Times New Roman" w:cs="Times New Roman"/>
          <w:b/>
          <w:bCs/>
          <w:color w:val="000000"/>
          <w:sz w:val="20"/>
          <w:szCs w:val="20"/>
          <w:lang w:bidi="ar"/>
        </w:rPr>
        <w:t>Table</w:t>
      </w:r>
      <w:r>
        <w:rPr>
          <w:rFonts w:ascii="Times New Roman" w:hAnsi="Times New Roman" w:eastAsia="TimesNewRomanPS-BoldMT" w:cs="Times New Roman"/>
          <w:b/>
          <w:bCs/>
          <w:color w:val="000000"/>
          <w:sz w:val="20"/>
          <w:szCs w:val="20"/>
          <w:lang w:bidi="ar"/>
        </w:rPr>
        <w:t xml:space="preserve"> </w:t>
      </w:r>
      <w:r>
        <w:rPr>
          <w:rFonts w:hint="eastAsia" w:ascii="Times New Roman" w:hAnsi="Times New Roman" w:cs="Times New Roman"/>
          <w:b/>
          <w:bCs/>
          <w:color w:val="000000"/>
          <w:sz w:val="20"/>
          <w:szCs w:val="20"/>
          <w:lang w:bidi="ar"/>
        </w:rPr>
        <w:t>S</w:t>
      </w:r>
      <w:r>
        <w:rPr>
          <w:rFonts w:ascii="Times New Roman" w:hAnsi="Times New Roman" w:eastAsia="TimesNewRomanPS-BoldMT" w:cs="Times New Roman"/>
          <w:b/>
          <w:bCs/>
          <w:color w:val="000000"/>
          <w:sz w:val="20"/>
          <w:szCs w:val="20"/>
          <w:lang w:bidi="ar"/>
        </w:rPr>
        <w:t xml:space="preserve">4. </w:t>
      </w:r>
      <w:r>
        <w:rPr>
          <w:rFonts w:ascii="Times New Roman" w:hAnsi="Times New Roman" w:cs="Times New Roman"/>
          <w:b/>
          <w:bCs/>
          <w:sz w:val="20"/>
          <w:szCs w:val="20"/>
          <w:lang w:bidi="ar"/>
        </w:rPr>
        <w:t>Combinations of standard of care in two groups.</w:t>
      </w:r>
    </w:p>
    <w:tbl>
      <w:tblPr>
        <w:tblStyle w:val="6"/>
        <w:tblpPr w:leftFromText="180" w:rightFromText="180" w:vertAnchor="text" w:horzAnchor="page" w:tblpX="1906" w:tblpY="286"/>
        <w:tblOverlap w:val="never"/>
        <w:tblW w:w="8072" w:type="dxa"/>
        <w:tblInd w:w="0" w:type="dxa"/>
        <w:tblLayout w:type="fixed"/>
        <w:tblCellMar>
          <w:top w:w="0" w:type="dxa"/>
          <w:left w:w="108" w:type="dxa"/>
          <w:bottom w:w="0" w:type="dxa"/>
          <w:right w:w="108" w:type="dxa"/>
        </w:tblCellMar>
      </w:tblPr>
      <w:tblGrid>
        <w:gridCol w:w="2042"/>
        <w:gridCol w:w="1507"/>
        <w:gridCol w:w="1507"/>
        <w:gridCol w:w="1507"/>
        <w:gridCol w:w="1509"/>
      </w:tblGrid>
      <w:tr>
        <w:tblPrEx>
          <w:tblCellMar>
            <w:top w:w="0" w:type="dxa"/>
            <w:left w:w="108" w:type="dxa"/>
            <w:bottom w:w="0" w:type="dxa"/>
            <w:right w:w="108" w:type="dxa"/>
          </w:tblCellMar>
        </w:tblPrEx>
        <w:trPr>
          <w:trHeight w:val="1252" w:hRule="atLeast"/>
        </w:trPr>
        <w:tc>
          <w:tcPr>
            <w:tcW w:w="2042"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b/>
                <w:bCs/>
                <w:sz w:val="20"/>
                <w:szCs w:val="20"/>
                <w:lang w:bidi="ar"/>
              </w:rPr>
            </w:pP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b/>
                <w:bCs/>
                <w:sz w:val="20"/>
                <w:szCs w:val="20"/>
              </w:rPr>
            </w:pPr>
            <w:r>
              <w:rPr>
                <w:rFonts w:ascii="Times New Roman" w:hAnsi="Times New Roman" w:cs="Times New Roman"/>
                <w:b/>
                <w:bCs/>
                <w:sz w:val="20"/>
                <w:szCs w:val="20"/>
              </w:rPr>
              <w:t>Total (n=52)</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b/>
                <w:bCs/>
                <w:sz w:val="20"/>
                <w:szCs w:val="20"/>
              </w:rPr>
            </w:pPr>
            <w:r>
              <w:rPr>
                <w:rFonts w:ascii="Times New Roman" w:hAnsi="Times New Roman" w:cs="Times New Roman"/>
                <w:b/>
                <w:bCs/>
                <w:sz w:val="20"/>
                <w:szCs w:val="20"/>
              </w:rPr>
              <w:t>RUX（n=26）</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b/>
                <w:bCs/>
                <w:sz w:val="20"/>
                <w:szCs w:val="20"/>
              </w:rPr>
            </w:pPr>
            <w:r>
              <w:rPr>
                <w:rFonts w:ascii="Times New Roman" w:hAnsi="Times New Roman" w:cs="Times New Roman"/>
                <w:b/>
                <w:bCs/>
                <w:sz w:val="20"/>
                <w:szCs w:val="20"/>
              </w:rPr>
              <w:t>HC（n=26）</w:t>
            </w:r>
          </w:p>
        </w:tc>
        <w:tc>
          <w:tcPr>
            <w:tcW w:w="1509"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b/>
                <w:bCs/>
                <w:sz w:val="20"/>
                <w:szCs w:val="20"/>
              </w:rPr>
            </w:pPr>
            <w:r>
              <w:rPr>
                <w:rFonts w:ascii="Times New Roman" w:hAnsi="Times New Roman" w:cs="Times New Roman"/>
                <w:b/>
                <w:bCs/>
                <w:sz w:val="20"/>
                <w:szCs w:val="20"/>
              </w:rPr>
              <w:t>P-value</w:t>
            </w:r>
          </w:p>
        </w:tc>
      </w:tr>
      <w:tr>
        <w:tblPrEx>
          <w:tblCellMar>
            <w:top w:w="0" w:type="dxa"/>
            <w:left w:w="108" w:type="dxa"/>
            <w:bottom w:w="0" w:type="dxa"/>
            <w:right w:w="108" w:type="dxa"/>
          </w:tblCellMar>
        </w:tblPrEx>
        <w:trPr>
          <w:trHeight w:val="321" w:hRule="atLeast"/>
        </w:trPr>
        <w:tc>
          <w:tcPr>
            <w:tcW w:w="2042" w:type="dxa"/>
            <w:tcBorders>
              <w:top w:val="single" w:color="auto" w:sz="4" w:space="0"/>
              <w:left w:val="nil"/>
              <w:bottom w:val="single" w:color="auto" w:sz="4" w:space="0"/>
              <w:right w:val="nil"/>
            </w:tcBorders>
            <w:shd w:val="clear" w:color="auto" w:fill="auto"/>
            <w:noWrap/>
            <w:vAlign w:val="center"/>
          </w:tcPr>
          <w:p>
            <w:pPr>
              <w:rPr>
                <w:rFonts w:ascii="Times New Roman" w:hAnsi="Times New Roman" w:eastAsia="Times New Roman Bold" w:cs="Times New Roman"/>
                <w:sz w:val="20"/>
                <w:szCs w:val="20"/>
              </w:rPr>
            </w:pPr>
            <w:r>
              <w:rPr>
                <w:rFonts w:ascii="Times New Roman" w:hAnsi="Times New Roman" w:cs="Times New Roman"/>
                <w:sz w:val="20"/>
                <w:szCs w:val="20"/>
              </w:rPr>
              <w:t>Corticosteroid</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32 (61.5%)</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17 (65.4%)</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15 (57.7%)</w:t>
            </w:r>
          </w:p>
        </w:tc>
        <w:tc>
          <w:tcPr>
            <w:tcW w:w="1509"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0.57</w:t>
            </w:r>
          </w:p>
        </w:tc>
      </w:tr>
      <w:tr>
        <w:tblPrEx>
          <w:tblCellMar>
            <w:top w:w="0" w:type="dxa"/>
            <w:left w:w="108" w:type="dxa"/>
            <w:bottom w:w="0" w:type="dxa"/>
            <w:right w:w="108" w:type="dxa"/>
          </w:tblCellMar>
        </w:tblPrEx>
        <w:trPr>
          <w:trHeight w:val="1252" w:hRule="atLeast"/>
        </w:trPr>
        <w:tc>
          <w:tcPr>
            <w:tcW w:w="2042"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color w:val="000000"/>
                <w:sz w:val="20"/>
                <w:szCs w:val="20"/>
              </w:rPr>
            </w:pPr>
            <w:r>
              <w:rPr>
                <w:rFonts w:ascii="Times New Roman" w:hAnsi="Times New Roman" w:cs="Times New Roman"/>
                <w:sz w:val="20"/>
                <w:szCs w:val="20"/>
              </w:rPr>
              <w:t>Immunoglobulin</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5(9.6%)</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1 (3.8%)</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4 (15.4%)</w:t>
            </w:r>
          </w:p>
        </w:tc>
        <w:tc>
          <w:tcPr>
            <w:tcW w:w="1509"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0.09</w:t>
            </w:r>
          </w:p>
        </w:tc>
      </w:tr>
      <w:tr>
        <w:tblPrEx>
          <w:tblCellMar>
            <w:top w:w="0" w:type="dxa"/>
            <w:left w:w="108" w:type="dxa"/>
            <w:bottom w:w="0" w:type="dxa"/>
            <w:right w:w="108" w:type="dxa"/>
          </w:tblCellMar>
        </w:tblPrEx>
        <w:trPr>
          <w:trHeight w:val="1252" w:hRule="atLeast"/>
        </w:trPr>
        <w:tc>
          <w:tcPr>
            <w:tcW w:w="2042"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color w:val="000000"/>
                <w:sz w:val="20"/>
                <w:szCs w:val="20"/>
              </w:rPr>
            </w:pPr>
            <w:r>
              <w:rPr>
                <w:rFonts w:ascii="Times New Roman" w:hAnsi="Times New Roman" w:cs="Times New Roman"/>
                <w:sz w:val="20"/>
                <w:szCs w:val="20"/>
              </w:rPr>
              <w:t>Antibacterial drugs</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38 (73.1%)</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14 (53.8%)</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24 (92.3%)</w:t>
            </w:r>
          </w:p>
        </w:tc>
        <w:tc>
          <w:tcPr>
            <w:tcW w:w="1509"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0.002</w:t>
            </w:r>
          </w:p>
        </w:tc>
      </w:tr>
      <w:tr>
        <w:tblPrEx>
          <w:tblCellMar>
            <w:top w:w="0" w:type="dxa"/>
            <w:left w:w="108" w:type="dxa"/>
            <w:bottom w:w="0" w:type="dxa"/>
            <w:right w:w="108" w:type="dxa"/>
          </w:tblCellMar>
        </w:tblPrEx>
        <w:trPr>
          <w:trHeight w:val="1262" w:hRule="atLeast"/>
        </w:trPr>
        <w:tc>
          <w:tcPr>
            <w:tcW w:w="2042"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rPr>
            </w:pPr>
            <w:r>
              <w:rPr>
                <w:rFonts w:ascii="Times New Roman" w:hAnsi="Times New Roman" w:cs="Times New Roman"/>
                <w:sz w:val="20"/>
                <w:szCs w:val="20"/>
              </w:rPr>
              <w:t>Antifungal drugs</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46 (88.5%)</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24 (92.3%)</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22 (84.6%)</w:t>
            </w:r>
          </w:p>
        </w:tc>
        <w:tc>
          <w:tcPr>
            <w:tcW w:w="1509"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eastAsia="宋体" w:cs="Times New Roman"/>
                <w:sz w:val="20"/>
                <w:szCs w:val="20"/>
              </w:rPr>
            </w:pPr>
            <w:r>
              <w:rPr>
                <w:rFonts w:ascii="Times New Roman" w:hAnsi="Times New Roman" w:cs="Times New Roman"/>
                <w:sz w:val="20"/>
                <w:szCs w:val="20"/>
              </w:rPr>
              <w:t>0.39</w:t>
            </w:r>
          </w:p>
        </w:tc>
      </w:tr>
      <w:tr>
        <w:tblPrEx>
          <w:tblCellMar>
            <w:top w:w="0" w:type="dxa"/>
            <w:left w:w="108" w:type="dxa"/>
            <w:bottom w:w="0" w:type="dxa"/>
            <w:right w:w="108" w:type="dxa"/>
          </w:tblCellMar>
        </w:tblPrEx>
        <w:trPr>
          <w:trHeight w:val="1262" w:hRule="atLeast"/>
        </w:trPr>
        <w:tc>
          <w:tcPr>
            <w:tcW w:w="2042" w:type="dxa"/>
            <w:tcBorders>
              <w:top w:val="single" w:color="auto" w:sz="4" w:space="0"/>
              <w:left w:val="nil"/>
              <w:bottom w:val="single" w:color="auto" w:sz="4" w:space="0"/>
              <w:right w:val="nil"/>
            </w:tcBorders>
            <w:shd w:val="clear" w:color="auto" w:fill="auto"/>
            <w:noWrap/>
            <w:vAlign w:val="center"/>
          </w:tcPr>
          <w:p>
            <w:pPr>
              <w:rPr>
                <w:rFonts w:ascii="Times New Roman" w:hAnsi="Times New Roman" w:cs="Times New Roman"/>
                <w:sz w:val="20"/>
                <w:szCs w:val="20"/>
              </w:rPr>
            </w:pPr>
            <w:r>
              <w:rPr>
                <w:rFonts w:ascii="Times New Roman" w:hAnsi="Times New Roman" w:cs="Times New Roman"/>
                <w:sz w:val="20"/>
                <w:szCs w:val="20"/>
              </w:rPr>
              <w:t>Blood components transfusion</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17 (32.7%)</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7 (26.9%)</w:t>
            </w:r>
          </w:p>
        </w:tc>
        <w:tc>
          <w:tcPr>
            <w:tcW w:w="1507"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10 (38.5%)</w:t>
            </w:r>
          </w:p>
        </w:tc>
        <w:tc>
          <w:tcPr>
            <w:tcW w:w="1509" w:type="dxa"/>
            <w:tcBorders>
              <w:top w:val="single" w:color="auto" w:sz="4" w:space="0"/>
              <w:left w:val="nil"/>
              <w:bottom w:val="single" w:color="auto" w:sz="4" w:space="0"/>
              <w:right w:val="nil"/>
            </w:tcBorders>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0.38</w:t>
            </w:r>
          </w:p>
        </w:tc>
      </w:tr>
    </w:tbl>
    <w:p>
      <w:pPr>
        <w:rPr>
          <w:rFonts w:ascii="Times New Roman" w:hAnsi="Times New Roman" w:cs="Times New Roman"/>
          <w:sz w:val="20"/>
          <w:szCs w:val="20"/>
        </w:rPr>
      </w:pPr>
      <w:r>
        <w:rPr>
          <w:rFonts w:ascii="Times New Roman" w:hAnsi="Times New Roman" w:cs="Times New Roman"/>
          <w:sz w:val="20"/>
          <w:szCs w:val="20"/>
        </w:rPr>
        <w:t xml:space="preserve">Data are n (%); n is number of participants. Data were assessed from days 1 to 28. </w:t>
      </w:r>
    </w:p>
    <w:p>
      <w:pPr>
        <w:rPr>
          <w:rFonts w:ascii="Times New Roman" w:hAnsi="Times New Roman" w:eastAsia="宋体" w:cs="Times New Roman"/>
          <w:kern w:val="0"/>
          <w:sz w:val="20"/>
          <w:szCs w:val="20"/>
          <w:lang w:bidi="ar"/>
        </w:rPr>
      </w:pPr>
      <w:r>
        <w:rPr>
          <w:rFonts w:ascii="Times New Roman" w:hAnsi="Times New Roman" w:cs="Times New Roman"/>
          <w:sz w:val="20"/>
          <w:szCs w:val="20"/>
        </w:rPr>
        <w:t>Abbreviations: RUX: ruxolitinib group;</w:t>
      </w:r>
      <w:r>
        <w:rPr>
          <w:rFonts w:ascii="Times New Roman" w:hAnsi="Times New Roman" w:eastAsia="宋体" w:cs="Times New Roman"/>
          <w:kern w:val="0"/>
          <w:sz w:val="20"/>
          <w:szCs w:val="20"/>
          <w:lang w:bidi="ar"/>
        </w:rPr>
        <w:t xml:space="preserve"> HC: history control group.</w:t>
      </w: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eastAsia="宋体" w:cs="Times New Roman"/>
          <w:kern w:val="0"/>
          <w:sz w:val="20"/>
          <w:szCs w:val="20"/>
          <w:lang w:bidi="ar"/>
        </w:rPr>
      </w:pPr>
    </w:p>
    <w:p>
      <w:pPr>
        <w:rPr>
          <w:rFonts w:ascii="Times New Roman" w:hAnsi="Times New Roman" w:cs="Times New Roman"/>
          <w:sz w:val="20"/>
          <w:szCs w:val="20"/>
        </w:rPr>
      </w:pP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imesNewRomanPS-BoldMT">
    <w:altName w:val="Times New Roman"/>
    <w:panose1 w:val="00000000000000000000"/>
    <w:charset w:val="00"/>
    <w:family w:val="auto"/>
    <w:pitch w:val="default"/>
    <w:sig w:usb0="00000000" w:usb1="00000000" w:usb2="00000009" w:usb3="00000000" w:csb0="400001FF" w:csb1="FFFF0000"/>
  </w:font>
  <w:font w:name="Times New Roman Bold">
    <w:altName w:val="Times New Roman"/>
    <w:panose1 w:val="020208030705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9"/>
      </w:rPr>
      <w:id w:val="-1"/>
    </w:sdtPr>
    <w:sdtEndPr>
      <w:rPr>
        <w:rStyle w:val="9"/>
      </w:rPr>
    </w:sdtEndPr>
    <w:sdtContent>
      <w:p>
        <w:pPr>
          <w:pStyle w:val="4"/>
          <w:framePr w:wrap="auto" w:vAnchor="text" w:hAnchor="margin" w:xAlign="right" w:y="1"/>
          <w:rPr>
            <w:rStyle w:val="9"/>
          </w:rPr>
        </w:pPr>
        <w:r>
          <w:rPr>
            <w:rStyle w:val="9"/>
          </w:rPr>
          <w:fldChar w:fldCharType="begin"/>
        </w:r>
        <w:r>
          <w:rPr>
            <w:rStyle w:val="9"/>
          </w:rPr>
          <w:instrText xml:space="preserve"> PAGE </w:instrText>
        </w:r>
        <w:r>
          <w:rPr>
            <w:rStyle w:val="9"/>
          </w:rPr>
          <w:fldChar w:fldCharType="separate"/>
        </w:r>
        <w:r>
          <w:rPr>
            <w:rStyle w:val="9"/>
          </w:rPr>
          <w:t>1</w:t>
        </w:r>
        <w:r>
          <w:rPr>
            <w:rStyle w:val="9"/>
          </w:rPr>
          <w:fldChar w:fldCharType="end"/>
        </w:r>
      </w:p>
    </w:sdtContent>
  </w:sdt>
  <w:p>
    <w:pPr>
      <w:pStyle w:val="4"/>
      <w:ind w:right="360"/>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9"/>
      </w:rPr>
      <w:id w:val="512414729"/>
    </w:sdtPr>
    <w:sdtEndPr>
      <w:rPr>
        <w:rStyle w:val="9"/>
      </w:rPr>
    </w:sdtEndPr>
    <w:sdtContent>
      <w:p>
        <w:pPr>
          <w:pStyle w:val="4"/>
          <w:framePr w:wrap="auto" w:vAnchor="text" w:hAnchor="margin" w:xAlign="right" w:y="1"/>
          <w:rPr>
            <w:rStyle w:val="9"/>
          </w:rPr>
        </w:pPr>
        <w:r>
          <w:rPr>
            <w:rStyle w:val="9"/>
          </w:rPr>
          <w:fldChar w:fldCharType="begin"/>
        </w:r>
        <w:r>
          <w:rPr>
            <w:rStyle w:val="9"/>
          </w:rPr>
          <w:instrText xml:space="preserve"> PAGE </w:instrText>
        </w:r>
        <w:r>
          <w:rPr>
            <w:rStyle w:val="9"/>
          </w:rPr>
          <w:fldChar w:fldCharType="end"/>
        </w:r>
      </w:p>
    </w:sdtContent>
  </w:sdt>
  <w:p>
    <w:pPr>
      <w:pStyle w:val="4"/>
      <w:ind w:right="360"/>
    </w:pPr>
  </w:p>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9F3253"/>
    <w:multiLevelType w:val="multilevel"/>
    <w:tmpl w:val="249F3253"/>
    <w:lvl w:ilvl="0" w:tentative="0">
      <w:start w:val="1"/>
      <w:numFmt w:val="upperLetter"/>
      <w:pStyle w:val="13"/>
      <w:lvlText w:val="%1."/>
      <w:lvlJc w:val="left"/>
      <w:pPr>
        <w:ind w:left="540" w:hanging="360"/>
      </w:pPr>
      <w:rPr>
        <w:rFonts w:hint="default"/>
        <w:b/>
      </w:rPr>
    </w:lvl>
    <w:lvl w:ilvl="1" w:tentative="0">
      <w:start w:val="1"/>
      <w:numFmt w:val="lowerLetter"/>
      <w:lvlText w:val="%2)"/>
      <w:lvlJc w:val="left"/>
      <w:pPr>
        <w:ind w:left="1020" w:hanging="420"/>
      </w:pPr>
    </w:lvl>
    <w:lvl w:ilvl="2" w:tentative="0">
      <w:start w:val="1"/>
      <w:numFmt w:val="lowerRoman"/>
      <w:lvlText w:val="%3."/>
      <w:lvlJc w:val="right"/>
      <w:pPr>
        <w:ind w:left="1440" w:hanging="420"/>
      </w:pPr>
    </w:lvl>
    <w:lvl w:ilvl="3" w:tentative="0">
      <w:start w:val="1"/>
      <w:numFmt w:val="decimal"/>
      <w:lvlText w:val="%4."/>
      <w:lvlJc w:val="left"/>
      <w:pPr>
        <w:ind w:left="1860" w:hanging="420"/>
      </w:pPr>
    </w:lvl>
    <w:lvl w:ilvl="4" w:tentative="0">
      <w:start w:val="1"/>
      <w:numFmt w:val="lowerLetter"/>
      <w:lvlText w:val="%5)"/>
      <w:lvlJc w:val="left"/>
      <w:pPr>
        <w:ind w:left="2280" w:hanging="420"/>
      </w:pPr>
    </w:lvl>
    <w:lvl w:ilvl="5" w:tentative="0">
      <w:start w:val="1"/>
      <w:numFmt w:val="lowerRoman"/>
      <w:lvlText w:val="%6."/>
      <w:lvlJc w:val="right"/>
      <w:pPr>
        <w:ind w:left="2700" w:hanging="420"/>
      </w:pPr>
    </w:lvl>
    <w:lvl w:ilvl="6" w:tentative="0">
      <w:start w:val="1"/>
      <w:numFmt w:val="decimal"/>
      <w:lvlText w:val="%7."/>
      <w:lvlJc w:val="left"/>
      <w:pPr>
        <w:ind w:left="3120" w:hanging="420"/>
      </w:pPr>
    </w:lvl>
    <w:lvl w:ilvl="7" w:tentative="0">
      <w:start w:val="1"/>
      <w:numFmt w:val="lowerLetter"/>
      <w:lvlText w:val="%8)"/>
      <w:lvlJc w:val="left"/>
      <w:pPr>
        <w:ind w:left="3540" w:hanging="420"/>
      </w:pPr>
    </w:lvl>
    <w:lvl w:ilvl="8" w:tentative="0">
      <w:start w:val="1"/>
      <w:numFmt w:val="lowerRoman"/>
      <w:lvlText w:val="%9."/>
      <w:lvlJc w:val="right"/>
      <w:pPr>
        <w:ind w:left="3960" w:hanging="420"/>
      </w:pPr>
    </w:lvl>
  </w:abstractNum>
  <w:abstractNum w:abstractNumId="1">
    <w:nsid w:val="63766F3C"/>
    <w:multiLevelType w:val="singleLevel"/>
    <w:tmpl w:val="63766F3C"/>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EN.InstantFormat" w:val="&lt;ENInstantFormat&gt;&lt;Enabled&gt;1&lt;/Enabled&gt;&lt;ScanUnformatted&gt;1&lt;/ScanUnformatted&gt;&lt;ScanChanges&gt;1&lt;/ScanChanges&gt;&lt;Suspended&gt;0&lt;/Suspended&gt;&lt;/ENInstantFormat&gt;"/>
    <w:docVar w:name="EN.Layout" w:val="&lt;ENLayout&gt;&lt;Style&gt;BMC Biolog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5zf5etq9tz02ewe9cxdfxgp590fe59dpar&quot;&gt;布病国青&lt;record-ids&gt;&lt;item&gt;58&lt;/item&gt;&lt;item&gt;64&lt;/item&gt;&lt;/record-ids&gt;&lt;/item&gt;&lt;/Libraries&gt;"/>
    <w:docVar w:name="KY_MEDREF_DOCUID" w:val="{B2BDFD1B-13C0-4777-9322-29282157801F}"/>
    <w:docVar w:name="KY_MEDREF_VERSION" w:val="3"/>
  </w:docVars>
  <w:rsids>
    <w:rsidRoot w:val="74E556B8"/>
    <w:rsid w:val="00010863"/>
    <w:rsid w:val="00040D1F"/>
    <w:rsid w:val="00067766"/>
    <w:rsid w:val="00144CEF"/>
    <w:rsid w:val="001835B0"/>
    <w:rsid w:val="002B1875"/>
    <w:rsid w:val="002C0B45"/>
    <w:rsid w:val="00341F57"/>
    <w:rsid w:val="0041608A"/>
    <w:rsid w:val="004A4320"/>
    <w:rsid w:val="00651FD8"/>
    <w:rsid w:val="00715183"/>
    <w:rsid w:val="00721F8D"/>
    <w:rsid w:val="007651A0"/>
    <w:rsid w:val="00767E84"/>
    <w:rsid w:val="00786518"/>
    <w:rsid w:val="00830525"/>
    <w:rsid w:val="00840329"/>
    <w:rsid w:val="008772A4"/>
    <w:rsid w:val="00886B26"/>
    <w:rsid w:val="008919A5"/>
    <w:rsid w:val="009A6935"/>
    <w:rsid w:val="009B094C"/>
    <w:rsid w:val="009B64EA"/>
    <w:rsid w:val="00A01A99"/>
    <w:rsid w:val="00A44207"/>
    <w:rsid w:val="00A53075"/>
    <w:rsid w:val="00AD0E02"/>
    <w:rsid w:val="00AD131E"/>
    <w:rsid w:val="00B3418C"/>
    <w:rsid w:val="00C10CEC"/>
    <w:rsid w:val="00C66409"/>
    <w:rsid w:val="00CB4532"/>
    <w:rsid w:val="00CF48D9"/>
    <w:rsid w:val="00E01DDB"/>
    <w:rsid w:val="00E04B52"/>
    <w:rsid w:val="00E54FF8"/>
    <w:rsid w:val="00F335EE"/>
    <w:rsid w:val="00F468F2"/>
    <w:rsid w:val="00F50584"/>
    <w:rsid w:val="0C631B27"/>
    <w:rsid w:val="0CB657C6"/>
    <w:rsid w:val="13BD63B1"/>
    <w:rsid w:val="1BD43F5F"/>
    <w:rsid w:val="1D4E37F9"/>
    <w:rsid w:val="1E3F8AA4"/>
    <w:rsid w:val="22AD7794"/>
    <w:rsid w:val="28061EBC"/>
    <w:rsid w:val="2866697E"/>
    <w:rsid w:val="29845900"/>
    <w:rsid w:val="2D016192"/>
    <w:rsid w:val="2DDC509F"/>
    <w:rsid w:val="2E7460DD"/>
    <w:rsid w:val="2F0B4072"/>
    <w:rsid w:val="336D6224"/>
    <w:rsid w:val="37DCEB84"/>
    <w:rsid w:val="3B303238"/>
    <w:rsid w:val="3D6834DB"/>
    <w:rsid w:val="3DF72590"/>
    <w:rsid w:val="477F9C38"/>
    <w:rsid w:val="4C8B2099"/>
    <w:rsid w:val="4E002804"/>
    <w:rsid w:val="502A6052"/>
    <w:rsid w:val="51745C6E"/>
    <w:rsid w:val="534A6576"/>
    <w:rsid w:val="56C500AD"/>
    <w:rsid w:val="5A7164B6"/>
    <w:rsid w:val="5B41398D"/>
    <w:rsid w:val="5DBFAF81"/>
    <w:rsid w:val="5F4ECFE2"/>
    <w:rsid w:val="62387151"/>
    <w:rsid w:val="64383C33"/>
    <w:rsid w:val="67D652A3"/>
    <w:rsid w:val="69A6600E"/>
    <w:rsid w:val="6ADD0163"/>
    <w:rsid w:val="6AFE3411"/>
    <w:rsid w:val="6D4937BB"/>
    <w:rsid w:val="6E5A4D94"/>
    <w:rsid w:val="6FB83F96"/>
    <w:rsid w:val="72FFABDD"/>
    <w:rsid w:val="74E556B8"/>
    <w:rsid w:val="77A362D1"/>
    <w:rsid w:val="77EFEFFE"/>
    <w:rsid w:val="78BE4859"/>
    <w:rsid w:val="79BF1576"/>
    <w:rsid w:val="7B7CBA87"/>
    <w:rsid w:val="7CFB7A70"/>
    <w:rsid w:val="7F9F51DB"/>
    <w:rsid w:val="7FED4102"/>
    <w:rsid w:val="7FEEC87C"/>
    <w:rsid w:val="AFB7FF76"/>
    <w:rsid w:val="DBDFD28A"/>
    <w:rsid w:val="DF6F1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rPr>
      <w:rFonts w:eastAsia="黑体" w:asciiTheme="majorHAnsi" w:hAnsiTheme="majorHAnsi" w:cstheme="majorBidi"/>
      <w:sz w:val="20"/>
      <w:szCs w:val="20"/>
    </w:rPr>
  </w:style>
  <w:style w:type="paragraph" w:styleId="3">
    <w:name w:val="Balloon Text"/>
    <w:basedOn w:val="1"/>
    <w:link w:val="14"/>
    <w:autoRedefine/>
    <w:qFormat/>
    <w:uiPriority w:val="0"/>
    <w:rPr>
      <w:sz w:val="18"/>
      <w:szCs w:val="18"/>
    </w:rPr>
  </w:style>
  <w:style w:type="paragraph" w:styleId="4">
    <w:name w:val="footer"/>
    <w:basedOn w:val="1"/>
    <w:link w:val="11"/>
    <w:autoRedefine/>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autoRedefine/>
    <w:qFormat/>
    <w:uiPriority w:val="0"/>
  </w:style>
  <w:style w:type="character" w:customStyle="1" w:styleId="10">
    <w:name w:val="页眉 字符"/>
    <w:basedOn w:val="8"/>
    <w:link w:val="5"/>
    <w:qFormat/>
    <w:uiPriority w:val="0"/>
    <w:rPr>
      <w:rFonts w:asciiTheme="minorHAnsi" w:hAnsiTheme="minorHAnsi" w:eastAsiaTheme="minorEastAsia" w:cstheme="minorBidi"/>
      <w:kern w:val="2"/>
      <w:sz w:val="18"/>
      <w:szCs w:val="18"/>
    </w:rPr>
  </w:style>
  <w:style w:type="character" w:customStyle="1" w:styleId="11">
    <w:name w:val="页脚 字符"/>
    <w:basedOn w:val="8"/>
    <w:link w:val="4"/>
    <w:autoRedefine/>
    <w:qFormat/>
    <w:uiPriority w:val="0"/>
    <w:rPr>
      <w:rFonts w:asciiTheme="minorHAnsi" w:hAnsiTheme="minorHAnsi" w:eastAsiaTheme="minorEastAsia" w:cstheme="minorBidi"/>
      <w:kern w:val="2"/>
      <w:sz w:val="18"/>
      <w:szCs w:val="18"/>
    </w:rPr>
  </w:style>
  <w:style w:type="paragraph" w:customStyle="1" w:styleId="12">
    <w:name w:val="修订1"/>
    <w:autoRedefine/>
    <w:hidden/>
    <w:semiHidden/>
    <w:qFormat/>
    <w:uiPriority w:val="99"/>
    <w:rPr>
      <w:rFonts w:asciiTheme="minorHAnsi" w:hAnsiTheme="minorHAnsi" w:eastAsiaTheme="minorEastAsia" w:cstheme="minorBidi"/>
      <w:kern w:val="2"/>
      <w:sz w:val="21"/>
      <w:szCs w:val="24"/>
      <w:lang w:val="en-US" w:eastAsia="zh-CN" w:bidi="ar-SA"/>
    </w:rPr>
  </w:style>
  <w:style w:type="paragraph" w:styleId="13">
    <w:name w:val="List Paragraph"/>
    <w:basedOn w:val="1"/>
    <w:autoRedefine/>
    <w:unhideWhenUsed/>
    <w:qFormat/>
    <w:uiPriority w:val="99"/>
    <w:pPr>
      <w:widowControl/>
      <w:numPr>
        <w:ilvl w:val="0"/>
        <w:numId w:val="1"/>
      </w:numPr>
      <w:spacing w:line="360" w:lineRule="auto"/>
      <w:jc w:val="left"/>
    </w:pPr>
  </w:style>
  <w:style w:type="character" w:customStyle="1" w:styleId="14">
    <w:name w:val="批注框文本 字符"/>
    <w:basedOn w:val="8"/>
    <w:link w:val="3"/>
    <w:autoRedefine/>
    <w:qFormat/>
    <w:uiPriority w:val="0"/>
    <w:rPr>
      <w:rFonts w:asciiTheme="minorHAnsi" w:hAnsiTheme="minorHAnsi" w:eastAsiaTheme="minorEastAsia" w:cstheme="minorBidi"/>
      <w:kern w:val="2"/>
      <w:sz w:val="18"/>
      <w:szCs w:val="18"/>
    </w:rPr>
  </w:style>
  <w:style w:type="paragraph" w:customStyle="1" w:styleId="15">
    <w:name w:val="EndNote Bibliography Title"/>
    <w:basedOn w:val="1"/>
    <w:link w:val="16"/>
    <w:qFormat/>
    <w:uiPriority w:val="0"/>
    <w:pPr>
      <w:jc w:val="center"/>
    </w:pPr>
    <w:rPr>
      <w:rFonts w:ascii="Calibri" w:hAnsi="Calibri" w:cs="Calibri"/>
      <w:sz w:val="20"/>
    </w:rPr>
  </w:style>
  <w:style w:type="character" w:customStyle="1" w:styleId="16">
    <w:name w:val="EndNote Bibliography Title Char"/>
    <w:basedOn w:val="8"/>
    <w:link w:val="15"/>
    <w:autoRedefine/>
    <w:qFormat/>
    <w:uiPriority w:val="0"/>
    <w:rPr>
      <w:rFonts w:ascii="Calibri" w:hAnsi="Calibri" w:cs="Calibri" w:eastAsiaTheme="minorEastAsia"/>
      <w:kern w:val="2"/>
      <w:szCs w:val="24"/>
    </w:rPr>
  </w:style>
  <w:style w:type="paragraph" w:customStyle="1" w:styleId="17">
    <w:name w:val="EndNote Bibliography"/>
    <w:basedOn w:val="1"/>
    <w:link w:val="18"/>
    <w:qFormat/>
    <w:uiPriority w:val="0"/>
    <w:rPr>
      <w:rFonts w:ascii="Calibri" w:hAnsi="Calibri" w:cs="Calibri"/>
      <w:sz w:val="20"/>
    </w:rPr>
  </w:style>
  <w:style w:type="character" w:customStyle="1" w:styleId="18">
    <w:name w:val="EndNote Bibliography Char"/>
    <w:basedOn w:val="8"/>
    <w:link w:val="17"/>
    <w:autoRedefine/>
    <w:qFormat/>
    <w:uiPriority w:val="0"/>
    <w:rPr>
      <w:rFonts w:ascii="Calibri" w:hAnsi="Calibri" w:cs="Calibri" w:eastAsiaTheme="minorEastAsia"/>
      <w:kern w:val="2"/>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1498</Words>
  <Characters>8540</Characters>
  <Lines>71</Lines>
  <Paragraphs>20</Paragraphs>
  <TotalTime>83</TotalTime>
  <ScaleCrop>false</ScaleCrop>
  <LinksUpToDate>false</LinksUpToDate>
  <CharactersWithSpaces>10018</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2023-04-02T21:13:00Z</dcterms:created>
  <dc:creator>sai</dc:creator>
  <cp:lastModifiedBy>sai</cp:lastModifiedBy>
  <dcterms:modified xsi:type="dcterms:W3CDTF">2024-05-05T23:38:43Z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4326314246BD4454AF18A3EFB3B6D953_13</vt:lpwstr>
  </property>
</Properties>
</file>