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9EA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leftChars="0" w:right="0" w:firstLine="0" w:firstLineChars="0"/>
        <w:jc w:val="both"/>
      </w:pP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</w:rPr>
        <w:t>Additional File 1</w:t>
      </w:r>
    </w:p>
    <w:p w14:paraId="6DBF3F9A">
      <w:p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S1. Baseline characteristics in all patients (heparin and bivalirudin pooled) by bail-out GPI use</w:t>
      </w:r>
    </w:p>
    <w:p w14:paraId="0468FA20">
      <w:p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S2. Procedures and treatments characteristics in all patients (heparin and bivalirudin pooled) by bail-out GPI use</w:t>
      </w:r>
    </w:p>
    <w:p w14:paraId="5C18F6FE">
      <w:pPr>
        <w:ind w:left="0" w:leftChars="0" w:firstLine="0" w:firstLineChars="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3. The unadjusted clinical outcomes at 30 days by bail-out GPI use and anticoagulation type</w:t>
      </w:r>
    </w:p>
    <w:p w14:paraId="576B584A">
      <w:p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. Primary and secondary outcomes according to the anticoagulation strategies and the route of bail-out GPI use</w:t>
      </w:r>
      <w:bookmarkStart w:id="0" w:name="_GoBack"/>
      <w:bookmarkEnd w:id="0"/>
    </w:p>
    <w:p w14:paraId="7F961E70">
      <w:pPr>
        <w:ind w:left="0" w:leftChars="0" w:firstLine="0" w:firstLineChars="0"/>
        <w:rPr>
          <w:rFonts w:hint="eastAsia"/>
        </w:rPr>
      </w:pPr>
      <w:r>
        <w:rPr>
          <w:rFonts w:hint="default" w:ascii="Times New Roman" w:hAnsi="Times New Roman" w:cs="Times New Roman"/>
          <w:sz w:val="24"/>
          <w:szCs w:val="24"/>
        </w:rPr>
        <w:t>Fig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S1. Interaction between treatment and the route of bail-out GPI use on 30-day outcomes </w:t>
      </w:r>
    </w:p>
    <w:p w14:paraId="70FF0AFD">
      <w:r>
        <w:br w:type="page"/>
      </w:r>
    </w:p>
    <w:p w14:paraId="7435472F">
      <w:pPr>
        <w:rPr>
          <w:rFonts w:hint="default" w:ascii="Times New Roman" w:hAnsi="Times New Roman" w:cs="Times New Roman"/>
          <w:sz w:val="24"/>
          <w:szCs w:val="24"/>
        </w:rPr>
        <w:sectPr>
          <w:pgSz w:w="11905" w:h="16838"/>
          <w:pgMar w:top="1292" w:right="1440" w:bottom="1803" w:left="1440" w:header="851" w:footer="992" w:gutter="0"/>
          <w:cols w:space="0" w:num="1"/>
          <w:rtlGutter w:val="0"/>
          <w:docGrid w:type="lines" w:linePitch="322" w:charSpace="0"/>
        </w:sectPr>
      </w:pPr>
    </w:p>
    <w:p w14:paraId="2B2C18FE">
      <w:pPr>
        <w:spacing w:line="360" w:lineRule="auto"/>
        <w:ind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</w:rPr>
        <w:t xml:space="preserve">1. Baseline characteristics in all patients (heparin and bivalirudin pooled) by bail-out GPI use  </w:t>
      </w:r>
    </w:p>
    <w:tbl>
      <w:tblPr>
        <w:tblStyle w:val="7"/>
        <w:tblW w:w="1285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6"/>
        <w:gridCol w:w="2637"/>
        <w:gridCol w:w="2637"/>
        <w:gridCol w:w="2200"/>
      </w:tblGrid>
      <w:tr w14:paraId="7182F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3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D7D81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5AB9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right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ithout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bail-out</w:t>
            </w:r>
          </w:p>
          <w:p w14:paraId="21F791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GPI use</w:t>
            </w:r>
          </w:p>
          <w:p w14:paraId="018893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(N=5250)</w:t>
            </w:r>
          </w:p>
        </w:tc>
        <w:tc>
          <w:tcPr>
            <w:tcW w:w="26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E56E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ith bail-out </w:t>
            </w:r>
          </w:p>
          <w:p w14:paraId="7948F1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GPI use</w:t>
            </w:r>
          </w:p>
          <w:p w14:paraId="57DE8C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(N=758)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327F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 value</w:t>
            </w:r>
          </w:p>
        </w:tc>
      </w:tr>
      <w:tr w14:paraId="5B890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3C12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Age, years</w:t>
            </w:r>
          </w:p>
        </w:tc>
        <w:tc>
          <w:tcPr>
            <w:tcW w:w="26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95BE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60.6±12.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6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B6ED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59.8±12.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408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0.08</w:t>
            </w:r>
          </w:p>
        </w:tc>
      </w:tr>
      <w:tr w14:paraId="023C4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E59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Male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520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4114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(78.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6C1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606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D0F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0.32</w:t>
            </w:r>
          </w:p>
        </w:tc>
      </w:tr>
      <w:tr w14:paraId="174B5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A5C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Body mass index, kg/m</w:t>
            </w:r>
            <w:r>
              <w:rPr>
                <w:rStyle w:val="15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AA8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±3.6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E41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24.8±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4.0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2B2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0.93</w:t>
            </w:r>
          </w:p>
        </w:tc>
      </w:tr>
      <w:tr w14:paraId="77C38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950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Hypertension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11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2709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(51.6%)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DEEE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370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(48.8%)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D3C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0.15</w:t>
            </w:r>
          </w:p>
        </w:tc>
      </w:tr>
      <w:tr w14:paraId="0EB5C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3D1D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Diabetes mellitus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ED1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1204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(22.9%)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CE1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157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(20.7%)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30F0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0.17</w:t>
            </w:r>
          </w:p>
        </w:tc>
      </w:tr>
      <w:tr w14:paraId="2C8CD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63D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Smoking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53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B7D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85C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20</w:t>
            </w:r>
          </w:p>
        </w:tc>
      </w:tr>
      <w:tr w14:paraId="4BE9A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43E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00" w:firstLineChars="2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Active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DF2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2410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(45.9%)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FAF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C59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2E45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6EA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00" w:firstLineChars="2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Former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C9A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E97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8F76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BF04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E64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00" w:firstLineChars="2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Never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2A4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2428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(46.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9E2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642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2E4F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D14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Previous myocardial infarction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158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(6.6%)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D40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3C9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0.048</w:t>
            </w:r>
          </w:p>
        </w:tc>
      </w:tr>
      <w:tr w14:paraId="523DD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D75C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Previous percutaneous coronary intervention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C9D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327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(6.2%)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C53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(5.8%)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A2A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0.65</w:t>
            </w:r>
          </w:p>
        </w:tc>
      </w:tr>
      <w:tr w14:paraId="33B64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4383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Previous stroke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9B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635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(12.1%)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123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64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0.0005</w:t>
            </w:r>
          </w:p>
        </w:tc>
      </w:tr>
      <w:tr w14:paraId="23849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2F41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Killip class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8DD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B1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07F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0.20</w:t>
            </w:r>
          </w:p>
        </w:tc>
      </w:tr>
      <w:tr w14:paraId="2F218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8BB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I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F172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3209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(61.1%)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8B6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462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223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8735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6D2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II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E2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1503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(28.6%)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E4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206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3E0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02F2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EC80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III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FC6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388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0651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EA3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1181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3326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IV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4226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150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D406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(4.2%)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DD0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C00B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B841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Hemoglobin, g/dL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2DA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140.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±18.0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EB4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138.6±18.5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5D4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0.01</w:t>
            </w:r>
          </w:p>
        </w:tc>
      </w:tr>
      <w:tr w14:paraId="5CCBF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473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Anemia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60EC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1043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09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179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(23.6%)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677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7413D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C44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Platelet count, 10</w:t>
            </w:r>
            <w:r>
              <w:rPr>
                <w:rStyle w:val="15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9</w:t>
            </w:r>
            <w:r>
              <w:rPr>
                <w:rStyle w:val="14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/L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EB6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228.9±69.4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BFF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225.6±68.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F7A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3D848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6A4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Estimated glomerular filtration rate</w:t>
            </w:r>
            <w:r>
              <w:rPr>
                <w:rStyle w:val="15"/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c</w:t>
            </w:r>
            <w:r>
              <w:rPr>
                <w:rStyle w:val="14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, ml/min/1.73m</w:t>
            </w:r>
            <w:r>
              <w:rPr>
                <w:rStyle w:val="15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9F5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105.8±33.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6C7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101.1±3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3.0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0F6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0.0003</w:t>
            </w:r>
          </w:p>
        </w:tc>
      </w:tr>
      <w:tr w14:paraId="39976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C58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  </w:t>
            </w:r>
            <w:r>
              <w:rPr>
                <w:rStyle w:val="14"/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14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&lt;60 ml/min/1.73m</w:t>
            </w:r>
            <w:r>
              <w:rPr>
                <w:rStyle w:val="15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A2B9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(6.5%)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53B7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(9.2%)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345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0.006</w:t>
            </w:r>
          </w:p>
        </w:tc>
      </w:tr>
      <w:tr w14:paraId="67DCD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A11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Symptom onset-to-first medical contact, hours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CCE9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(1.0-4.6)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FAC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(1.0-5.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F52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</w:tr>
      <w:tr w14:paraId="7D10C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E6D9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Patients transferred from a non-tertiary hospital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11B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1840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(35.5%)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A21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279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(36.9%)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798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0.46</w:t>
            </w:r>
          </w:p>
        </w:tc>
      </w:tr>
      <w:tr w14:paraId="24066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9168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Symptom onset-to-tertiary hospital arrival, hours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E19E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(1.7-6.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)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B399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(1.6-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E7F6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</w:tr>
    </w:tbl>
    <w:p w14:paraId="6BC39323">
      <w:pPr>
        <w:spacing w:line="360" w:lineRule="auto"/>
        <w:rPr>
          <w:rFonts w:hint="default" w:ascii="Times New Roman" w:hAnsi="Times New Roman" w:cs="Times New Roman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sz w:val="24"/>
          <w:szCs w:val="24"/>
          <w:lang w:bidi="ar"/>
        </w:rPr>
        <w:t xml:space="preserve">Data are shown as n (%), mean (SD), or median (IQR). </w:t>
      </w:r>
    </w:p>
    <w:p w14:paraId="5A9598F6">
      <w:pPr>
        <w:spacing w:line="36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4"/>
          <w:szCs w:val="24"/>
          <w:lang w:bidi="ar"/>
        </w:rPr>
        <w:t xml:space="preserve">Defined as follows: class I, no clinical signs of heart failure; class II, rales or crackles in the lungs, a third heart sound, or an elevated jugular venous pressure; class III, pulmonary oedema; and class IV, cardiogenic shock or hypotension with evidence of peripheral vasoconstriction. 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 w:bidi="ar"/>
        </w:rPr>
        <w:t>b</w:t>
      </w:r>
      <w:r>
        <w:rPr>
          <w:rFonts w:hint="default" w:ascii="Times New Roman" w:hAnsi="Times New Roman" w:cs="Times New Roman"/>
          <w:sz w:val="24"/>
          <w:szCs w:val="24"/>
          <w:lang w:bidi="ar"/>
        </w:rPr>
        <w:t xml:space="preserve">Defined as a haemoglobin concentration of less than 13 g/dL in men and less than 12 g/dL in women. 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 w:bidi="ar"/>
        </w:rPr>
        <w:t>c</w:t>
      </w:r>
      <w:r>
        <w:rPr>
          <w:rFonts w:hint="default" w:ascii="Times New Roman" w:hAnsi="Times New Roman" w:cs="Times New Roman"/>
          <w:sz w:val="24"/>
          <w:szCs w:val="24"/>
          <w:lang w:bidi="ar"/>
        </w:rPr>
        <w:t>Calculated by the formula: 186× (serum creatinine [mg/dL])-1·154×(age)-0·203×(0·742 if female).</w:t>
      </w:r>
    </w:p>
    <w:p w14:paraId="26271168">
      <w:pPr>
        <w:spacing w:line="360" w:lineRule="auto"/>
        <w:rPr>
          <w:rFonts w:hint="default" w:ascii="Times New Roman" w:hAnsi="Times New Roman" w:cs="Times New Roman"/>
          <w:sz w:val="24"/>
          <w:szCs w:val="24"/>
          <w:lang w:bidi="ar"/>
        </w:rPr>
        <w:sectPr>
          <w:pgSz w:w="16441" w:h="17575"/>
          <w:pgMar w:top="1440" w:right="1293" w:bottom="1440" w:left="1803" w:header="851" w:footer="992" w:gutter="0"/>
          <w:cols w:space="0" w:num="1"/>
          <w:rtlGutter w:val="0"/>
          <w:docGrid w:type="lines" w:linePitch="313" w:charSpace="0"/>
        </w:sectPr>
      </w:pPr>
    </w:p>
    <w:p w14:paraId="0ABECDB3">
      <w:pPr>
        <w:spacing w:line="360" w:lineRule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bidi="ar"/>
        </w:rPr>
        <w:t>Table S2. Procedures and treatments characteristics in all patients (heparin and bivalirudin pooled) by bail-out GPI use</w:t>
      </w:r>
    </w:p>
    <w:tbl>
      <w:tblPr>
        <w:tblStyle w:val="7"/>
        <w:tblW w:w="12936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4"/>
        <w:gridCol w:w="3037"/>
        <w:gridCol w:w="3013"/>
        <w:gridCol w:w="1562"/>
      </w:tblGrid>
      <w:tr w14:paraId="5D395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3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7D8DF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1C6D76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73AB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ithout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bail-out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GPI use</w:t>
            </w:r>
          </w:p>
          <w:p w14:paraId="7E9F2E9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(N=5250)</w:t>
            </w:r>
          </w:p>
        </w:tc>
        <w:tc>
          <w:tcPr>
            <w:tcW w:w="30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FF6A2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ith bail-out GPI use</w:t>
            </w:r>
          </w:p>
          <w:p w14:paraId="1FF3731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00" w:firstLineChars="2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(N=758)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B4D8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 value</w:t>
            </w:r>
          </w:p>
        </w:tc>
      </w:tr>
      <w:tr w14:paraId="3A478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3AC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ar"/>
              </w:rPr>
              <w:t>Study medications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169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510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726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6F2C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FE5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Heparin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448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2575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91DC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(54.2%)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0C9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</w:p>
        </w:tc>
      </w:tr>
      <w:tr w14:paraId="670A7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61B1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Total dose during PCI, U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0370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5600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(4830-6810)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BA01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5500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(4800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6500)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4EE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0.357</w:t>
            </w:r>
          </w:p>
        </w:tc>
      </w:tr>
      <w:tr w14:paraId="0597F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881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Bivalirudin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C890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2675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B88C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AD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</w:p>
        </w:tc>
      </w:tr>
      <w:tr w14:paraId="400BB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E47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Post-PCI infusion administered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EA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2607/2607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(100.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755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346/346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(100.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2E4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60" w:firstLineChars="1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BFFA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8E7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Post-PCI infusion duration, hours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762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(2.1-4.0)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A050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(2.3-4.0)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0B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</w:tr>
      <w:tr w14:paraId="0A855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C2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Additional bolus of study medications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1D1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975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(18.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F7E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185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(24.4%)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73D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0.0001</w:t>
            </w:r>
          </w:p>
        </w:tc>
      </w:tr>
      <w:tr w14:paraId="41A58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B890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Peak activated clotting time, sec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D01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294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(252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348)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CC8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299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(260-360)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AE72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</w:p>
        </w:tc>
      </w:tr>
      <w:tr w14:paraId="65DA9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73E1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Dual antiplatelet therapy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1A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D8D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A05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1333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222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right="0"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Aspirin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D49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5216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C4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755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(99.6%)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2A5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66EA5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382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right="0"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P2Y12 inhibitor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8828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9EA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42DA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&lt;0.0001</w:t>
            </w:r>
          </w:p>
        </w:tc>
      </w:tr>
      <w:tr w14:paraId="7ED0F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2E4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Clopidogrel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B10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1855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(35.3%)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401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185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(24.4%)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76B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2189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A36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Ticagrelor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92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3395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218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573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57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BB3F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EDB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bidi="ar"/>
              </w:rPr>
              <w:t>Procedural data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29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CA0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E998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ACE6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744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Arterial access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73D9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6B0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1435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</w:p>
        </w:tc>
      </w:tr>
      <w:tr w14:paraId="5B76B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EE3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Transradial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2B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4890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(93.1%)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B089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703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(92.7%)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B4F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5ADC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95D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Transfemoral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289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360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567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59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315E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A37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Invasive procedures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E898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B1A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BFF4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BCD4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D80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right="0"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Revascularization, any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BB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5157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(98.2%)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34B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756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(99.7%)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007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32CF5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9EB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110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   Coronary arteries treated</w:t>
            </w:r>
            <w:r>
              <w:rPr>
                <w:rStyle w:val="17"/>
                <w:rFonts w:hint="default" w:ascii="Times New Roman" w:hAnsi="Times New Roman" w:eastAsia="宋体" w:cs="Times New Roman"/>
                <w:sz w:val="24"/>
                <w:szCs w:val="24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943E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749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04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8EDD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7C0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Left main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B09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44E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(1.7%)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815B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</w:p>
        </w:tc>
      </w:tr>
      <w:tr w14:paraId="6FAD2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BEE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Left anterior descending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0C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2548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(49.4%)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4F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358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3E78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0.29</w:t>
            </w:r>
          </w:p>
        </w:tc>
      </w:tr>
      <w:tr w14:paraId="1B527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09E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Left circumflex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1B1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672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(13.0%)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697B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(9.9%)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5618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2F00F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1A84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Right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23D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2103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(40.8%)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97F0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3716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4279E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27C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Multivessel intervention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D14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392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328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0.88</w:t>
            </w:r>
          </w:p>
        </w:tc>
      </w:tr>
      <w:tr w14:paraId="4EBD2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4D6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Percutaneous coronary intervention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30F5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5135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(97.8%)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4A2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756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(99.7%)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B08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0.0003</w:t>
            </w:r>
          </w:p>
        </w:tc>
      </w:tr>
      <w:tr w14:paraId="46453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B50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Drug-eluting stent implantation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376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4649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(88.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A2B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690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(91.0%)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58F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0.04</w:t>
            </w:r>
          </w:p>
        </w:tc>
      </w:tr>
      <w:tr w14:paraId="7B913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591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Number of stents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F29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±0.5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6E3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±0.6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DE5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0.0006</w:t>
            </w:r>
          </w:p>
        </w:tc>
      </w:tr>
      <w:tr w14:paraId="0E4F1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08C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Total length of stents, mm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EB6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32.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±16.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6FB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34.9±17.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82D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</w:p>
        </w:tc>
      </w:tr>
      <w:tr w14:paraId="34977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F54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Balloon angioplasty only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4B9C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486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32C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(8.7%)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FC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0.62</w:t>
            </w:r>
          </w:p>
        </w:tc>
      </w:tr>
      <w:tr w14:paraId="13A46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F8A0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Thrombus aspiration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A838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877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DF2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183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(24.2%)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7B0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&lt;0.0001</w:t>
            </w:r>
          </w:p>
        </w:tc>
      </w:tr>
      <w:tr w14:paraId="0C619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08D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PCI time intervals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4CF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E16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EC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007F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00B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Symptom onset-to-wire time, hours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E70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-7.9)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8E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(2.8-8.4)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CA82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0.47</w:t>
            </w:r>
          </w:p>
        </w:tc>
      </w:tr>
      <w:tr w14:paraId="30462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0BD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First medical contact-to-wire time, hours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AFC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(1.1-3.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1F9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-2.9)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A66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0.75</w:t>
            </w:r>
          </w:p>
        </w:tc>
      </w:tr>
      <w:tr w14:paraId="52D2F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71A8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Tertiary hospital door-to-wire time, hours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36F9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-1.6)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69D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(0.8-1.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30B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0.04</w:t>
            </w:r>
          </w:p>
        </w:tc>
      </w:tr>
      <w:tr w14:paraId="29E43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FDE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110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      </w:t>
            </w:r>
            <w:r>
              <w:rPr>
                <w:rStyle w:val="13"/>
                <w:rFonts w:hint="eastAsia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Procedure duration</w:t>
            </w:r>
            <w:r>
              <w:rPr>
                <w:rStyle w:val="17"/>
                <w:rFonts w:hint="default" w:ascii="Times New Roman" w:hAnsi="Times New Roman" w:eastAsia="宋体" w:cs="Times New Roman"/>
                <w:sz w:val="24"/>
                <w:szCs w:val="24"/>
                <w:vertAlign w:val="superscript"/>
                <w:lang w:val="en-US" w:eastAsia="zh-CN" w:bidi="ar"/>
              </w:rPr>
              <w:t>b</w:t>
            </w:r>
            <w:r>
              <w:rPr>
                <w:rStyle w:val="13"/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, min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429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 w:bidi="ar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0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-40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AE8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33.5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(24.0-47.0)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B64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&lt;0.0001</w:t>
            </w:r>
          </w:p>
        </w:tc>
      </w:tr>
      <w:tr w14:paraId="3852B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D4E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PCI TIMI flow, site-assessed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6F3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A983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1E8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851E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9C7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Pre-PCI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ED7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77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848A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&lt;0.0001</w:t>
            </w:r>
          </w:p>
        </w:tc>
      </w:tr>
      <w:tr w14:paraId="57253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378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F60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3831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(75.0%)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8350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623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(82.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C2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507F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BB0C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7A4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362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E0B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5E4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4C0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106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C08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384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(7.5%)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B33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(6.1%)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A5E5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701C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FE8C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4113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530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B0D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AE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6E61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7D7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 Post-PCI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5A9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3DD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5391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&lt;0.0001</w:t>
            </w:r>
          </w:p>
        </w:tc>
      </w:tr>
      <w:tr w14:paraId="3EBBC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6E39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55C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(0.5%)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519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B95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E72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2980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5E3C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(0.1%)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0C3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(0.4%)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BDB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9B16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5AA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4A8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(0.9%)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A3D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(3.3%)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9D7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BF80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36B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FB49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5029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(98.4%)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3D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718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(95.2%)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260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5393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837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Staged PCI within 30 days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BB1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405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(7.7%)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7E2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C63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0.95</w:t>
            </w:r>
          </w:p>
        </w:tc>
      </w:tr>
      <w:tr w14:paraId="1F631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CDCC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Coronary artery bypass graft surgery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C90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(0.4%)</w:t>
            </w: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42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(0.0%)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AC2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0.10</w:t>
            </w:r>
          </w:p>
        </w:tc>
      </w:tr>
      <w:tr w14:paraId="7FC6D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3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787D1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 Coronary angiography only</w:t>
            </w:r>
          </w:p>
        </w:tc>
        <w:tc>
          <w:tcPr>
            <w:tcW w:w="30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23EC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30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7403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%)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C8B1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</w:tbl>
    <w:p w14:paraId="3326A553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Data are shown as n (%), mean (SD), or median (IQR). NA=not applicable. PCI=percutaneous coronary intervention. </w:t>
      </w:r>
    </w:p>
    <w:p w14:paraId="3DFA20E6">
      <w:p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Per patient; some patients had more than one epicardial coronary artery treated during the index percutaneous coronary intervention or bypass graft procedure, so the total is more than 100%. </w:t>
      </w:r>
    </w:p>
    <w:p w14:paraId="6E4776A5">
      <w:p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>Defined as the time from guiding catheter insertion to its withdrawal.</w:t>
      </w:r>
    </w:p>
    <w:p w14:paraId="457E5DC7">
      <w:pPr>
        <w:ind w:left="0" w:leftChars="0" w:firstLine="0" w:firstLineChars="0"/>
        <w:sectPr>
          <w:pgSz w:w="16441" w:h="27212"/>
          <w:pgMar w:top="1440" w:right="1293" w:bottom="1440" w:left="1803" w:header="851" w:footer="992" w:gutter="0"/>
          <w:cols w:space="0" w:num="1"/>
          <w:rtlGutter w:val="0"/>
          <w:docGrid w:type="lines" w:linePitch="313" w:charSpace="0"/>
        </w:sectPr>
      </w:pPr>
    </w:p>
    <w:p w14:paraId="0443D927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3. The unadjusted clinical outcomes at 30 days by bail-out GPI use and anticoagulation type</w:t>
      </w:r>
    </w:p>
    <w:tbl>
      <w:tblPr>
        <w:tblStyle w:val="7"/>
        <w:tblW w:w="17439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4"/>
        <w:gridCol w:w="1610"/>
        <w:gridCol w:w="1572"/>
        <w:gridCol w:w="2131"/>
        <w:gridCol w:w="559"/>
        <w:gridCol w:w="784"/>
        <w:gridCol w:w="1514"/>
        <w:gridCol w:w="1421"/>
        <w:gridCol w:w="2065"/>
        <w:gridCol w:w="1129"/>
      </w:tblGrid>
      <w:tr w14:paraId="42B32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46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D7CCD1E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596EA3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Patients without bail-out GPI use</w:t>
            </w:r>
          </w:p>
          <w:p w14:paraId="39B7A90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(N=5250)</w:t>
            </w:r>
          </w:p>
        </w:tc>
        <w:tc>
          <w:tcPr>
            <w:tcW w:w="691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3D5FAC3">
            <w:pPr>
              <w:spacing w:line="360" w:lineRule="auto"/>
              <w:ind w:left="0" w:leftChars="0" w:firstLine="2640" w:firstLineChars="110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Patients with bail-out GPI use</w:t>
            </w:r>
          </w:p>
          <w:p w14:paraId="6B4BADDC">
            <w:pPr>
              <w:spacing w:line="360" w:lineRule="auto"/>
              <w:ind w:firstLine="3720" w:firstLineChars="15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(N=758)</w:t>
            </w:r>
          </w:p>
        </w:tc>
      </w:tr>
      <w:tr w14:paraId="5E315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6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628BE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4A501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Bivalirudin</w:t>
            </w:r>
          </w:p>
          <w:p w14:paraId="26BC912A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(N=2659)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5C4AEB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Heparin (N=2591)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4EC4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Un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ad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justed HR (95%CI)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F4F7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 value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8C1B4F">
            <w:pPr>
              <w:spacing w:line="360" w:lineRule="auto"/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Bivalirudin (N=347)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4C35D6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Heparin (N=411)</w:t>
            </w:r>
          </w:p>
        </w:tc>
        <w:tc>
          <w:tcPr>
            <w:tcW w:w="20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3BC4D1">
            <w:pPr>
              <w:spacing w:line="360" w:lineRule="auto"/>
              <w:ind w:firstLine="360" w:firstLineChars="1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Un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ad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justed HR (95%CI)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F17B78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 value</w:t>
            </w:r>
          </w:p>
        </w:tc>
      </w:tr>
      <w:tr w14:paraId="060A8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7908F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Primary endpoint: All-cause death or BARC types 3-5 bleeding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D867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70 (2.63%)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369C1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109 (4.21%)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6D67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0.62 (0.46-0.84)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B33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2DE5A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20 (5.76%)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D0CB0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20 (4.87%)</w:t>
            </w:r>
          </w:p>
        </w:tc>
        <w:tc>
          <w:tcPr>
            <w:tcW w:w="20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BDD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1.20 (0.64-2.22)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F2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0.57</w:t>
            </w:r>
          </w:p>
        </w:tc>
      </w:tr>
      <w:tr w14:paraId="568A8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F7F87">
            <w:pPr>
              <w:spacing w:line="360" w:lineRule="auto"/>
              <w:ind w:left="0" w:leftChars="0" w:firstLine="240" w:firstLineChars="1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Death from any cause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F5D25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67 (2.52%)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A4282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97 (3.74%)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0137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0.67 (0.49-0.91)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273E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0.01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398DA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20 (5.76%)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1ADE7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18 (4.38%)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E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1.33 (0.70-2.52)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7AC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</w:p>
        </w:tc>
      </w:tr>
      <w:tr w14:paraId="24452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D1E6C">
            <w:pPr>
              <w:spacing w:line="360" w:lineRule="auto"/>
              <w:ind w:firstLine="600" w:firstLineChars="2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From cardiovascular causes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47CB2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65 (2.44%)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5DD12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93 (3.59%)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B00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0.68 (0.49-0.93)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D79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F08FD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20 (5.76%)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BB568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17 (4.14%)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3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1.41 (0.74-2.69)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AB3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30</w:t>
            </w:r>
          </w:p>
        </w:tc>
      </w:tr>
      <w:tr w14:paraId="303F6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42394">
            <w:pPr>
              <w:spacing w:line="360" w:lineRule="auto"/>
              <w:ind w:left="0" w:leftChars="0" w:firstLine="240" w:firstLineChars="1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BARC types 3-5 bleeding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C164F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 (0.15%)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5C2C2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21 (0.81%)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8993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0.19 (0.06-0.54)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D8E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0.002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867B4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 (0.29%)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43913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 (0.73%)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C61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0.39 (0.04-3.79)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7B5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0.42</w:t>
            </w:r>
          </w:p>
        </w:tc>
      </w:tr>
      <w:tr w14:paraId="0028C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40CB3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Reinfarction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6D6FB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13 (0.49%)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167F8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20 (0.77%)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BF0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0.63 (0.31-1.27)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4739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6C1E2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 (1.15%)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A7E8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 (1.22%)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337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0.95 (0.25-3.53)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E5E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57522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CF562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Ischemia-driven TVR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AE2C7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 (0.26%)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7C9E0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15 (0.58%)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594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0.45 (0.19-1.11)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5334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0.08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DF442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 (0.58%)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3D8FB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 (0.73%)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5AA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0.79 (0.13-4.72)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C50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80</w:t>
            </w:r>
          </w:p>
        </w:tc>
      </w:tr>
      <w:tr w14:paraId="3A6DA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9969A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Stroke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1C217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14 (0.53%)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AB45A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14 (0.54%)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710B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0.97 (0.46-2.04)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673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4101D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 (0.29%)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57414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 (0.00%)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F7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47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</w:tr>
      <w:tr w14:paraId="6A618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01F0D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Stent thrombosis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434DF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8 (0.30%)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03BF5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28 (1.08%)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9DA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0.28 (0.13-0.61)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C1B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0.001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9ECAB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 (0.86%)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D249C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 (1.22%)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B21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0.71 (0.17-2.97)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CC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2E60F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4F034">
            <w:pPr>
              <w:spacing w:line="360" w:lineRule="auto"/>
              <w:ind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Acute (&lt;24 hours)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02811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 (0.11%)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D4556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11 (0.42%)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622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0.27 (0.07-0.95)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C29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0.04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A5676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 (0.29%)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1F24E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 (0.73%)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CB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0.39 (0.04-3.80)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65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0.42</w:t>
            </w:r>
          </w:p>
        </w:tc>
      </w:tr>
      <w:tr w14:paraId="6D5ED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7660E">
            <w:pPr>
              <w:spacing w:line="360" w:lineRule="auto"/>
              <w:ind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Subacute (1-30 days)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EECA3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 (0.19%)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CD943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17 (0.66%)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671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0.29 (0.11-0.77)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B66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0.01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9D675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 (0.58%)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9AE31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 (0.49%)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48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1.18 (0.17-8.38)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B08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7</w:t>
            </w:r>
          </w:p>
        </w:tc>
      </w:tr>
      <w:tr w14:paraId="620ED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87964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MACCE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30726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95 (3.57%)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49AD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129 (4.98%)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1EE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0.71 (0.55-0.93)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6E0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0.01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0B003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26 (7.49%)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061DF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23 (5.60%)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FAC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1.36 (0.77-2.38)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1B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9</w:t>
            </w:r>
          </w:p>
        </w:tc>
      </w:tr>
      <w:tr w14:paraId="18444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A44BF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BARC types 2-5 bleeding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36E61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55 (2.07%)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AAA5A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60 (2.32%)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984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0.89 (0.62-1.29)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D73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8F2DC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8 (2.31%)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BC949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17 (4.14%)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88B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0.56 (0.24-1.29)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CD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0.17</w:t>
            </w:r>
          </w:p>
        </w:tc>
      </w:tr>
      <w:tr w14:paraId="448B1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6A86A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All-cause death or BARC types 2-5 bleeding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97BA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119 (4.48%)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A0029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146 (5.63%)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A39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0.79 (0.62-1.01)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E3A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11EBD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26 (7.49%)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FCE3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34 (8.27%)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5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0.91 (0.55-1.52)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AB5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0.72</w:t>
            </w:r>
          </w:p>
        </w:tc>
      </w:tr>
      <w:tr w14:paraId="71A94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F7A86">
            <w:pPr>
              <w:spacing w:line="360" w:lineRule="auto"/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Acquired thrombocytopenia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3A9B2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90 (3.47%)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D0297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107 (4.21%)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5E78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0.82 (0.62-1.09)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1EA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0.17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4C1CF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 (2.02%)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43F7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16 (3.90%)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C6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0.51 (0.21-1.25)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267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0.14</w:t>
            </w:r>
          </w:p>
        </w:tc>
      </w:tr>
      <w:tr w14:paraId="768F2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A25AAD">
            <w:pPr>
              <w:spacing w:line="360" w:lineRule="auto"/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NACE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607D0A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97 (3.65%)</w:t>
            </w:r>
          </w:p>
        </w:tc>
        <w:tc>
          <w:tcPr>
            <w:tcW w:w="15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805434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139 (5.36%)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5E36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0.67 (0.52-0.87)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8B4B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 w:firstLine="120" w:firstLineChars="5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D0A500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26 (7.49%)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552801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25 (6.08%)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7053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1.25 (0.72-2.16)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61B2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0.43</w:t>
            </w:r>
          </w:p>
        </w:tc>
      </w:tr>
    </w:tbl>
    <w:p w14:paraId="09E98877">
      <w:pPr>
        <w:spacing w:line="360" w:lineRule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Event rates are number of events (Kaplan-Meier estimated percentages). BARC=Bleeding Academic Research Consortium,</w:t>
      </w:r>
    </w:p>
    <w:p w14:paraId="3D70AFDB"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Major adverse cardiac or cerebral events included all-cause death, myocardial infarction, ischaemia-driven target vessel revascularisation, or stroke. 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>Defined as nadir platelet count of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less than 150×10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hint="default" w:ascii="Times New Roman" w:hAnsi="Times New Roman" w:cs="Times New Roman"/>
          <w:sz w:val="24"/>
          <w:szCs w:val="24"/>
        </w:rPr>
        <w:t>/L after the index procedure in patients in whom the baseline platelet count was more than 150×10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hint="default" w:ascii="Times New Roman" w:hAnsi="Times New Roman" w:cs="Times New Roman"/>
          <w:sz w:val="24"/>
          <w:szCs w:val="24"/>
        </w:rPr>
        <w:t>/L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Net adverse clinical events included major adverse cardiac or cerebral events or BARC types 3-5 bleeding.</w:t>
      </w:r>
    </w:p>
    <w:p w14:paraId="746ED5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 w14:paraId="146B92D7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. Primary and secondary outcomes according to</w:t>
      </w:r>
      <w:r>
        <w:rPr>
          <w:rFonts w:hint="default" w:ascii="Times New Roman" w:hAnsi="Times New Roman" w:cs="Times New Roman"/>
          <w:sz w:val="24"/>
          <w:szCs w:val="24"/>
        </w:rPr>
        <w:t xml:space="preserve"> the anticoagulation strategies and the route of bail-out GPI use</w:t>
      </w:r>
    </w:p>
    <w:tbl>
      <w:tblPr>
        <w:tblStyle w:val="7"/>
        <w:tblW w:w="17439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4"/>
        <w:gridCol w:w="1610"/>
        <w:gridCol w:w="1572"/>
        <w:gridCol w:w="2131"/>
        <w:gridCol w:w="559"/>
        <w:gridCol w:w="784"/>
        <w:gridCol w:w="1514"/>
        <w:gridCol w:w="1421"/>
        <w:gridCol w:w="2065"/>
        <w:gridCol w:w="1129"/>
      </w:tblGrid>
      <w:tr w14:paraId="27FFA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46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EB69ABB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7BA34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Intracoronary GPI use with no post-PCI infusion</w:t>
            </w:r>
          </w:p>
          <w:p w14:paraId="686B827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(N=492)</w:t>
            </w:r>
          </w:p>
        </w:tc>
        <w:tc>
          <w:tcPr>
            <w:tcW w:w="691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2E5891">
            <w:pPr>
              <w:spacing w:line="360" w:lineRule="auto"/>
              <w:ind w:firstLine="1560" w:firstLineChars="65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Intravenous GPI use with a post-PCI infusion</w:t>
            </w:r>
          </w:p>
          <w:p w14:paraId="1CA039D2">
            <w:pPr>
              <w:spacing w:line="360" w:lineRule="auto"/>
              <w:ind w:firstLine="3720" w:firstLineChars="15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(N=266)</w:t>
            </w:r>
          </w:p>
        </w:tc>
      </w:tr>
      <w:tr w14:paraId="0DF1E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6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4BB53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76BBD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Bivalirudin</w:t>
            </w:r>
          </w:p>
          <w:p w14:paraId="4BEF9D9F">
            <w:pPr>
              <w:spacing w:line="360" w:lineRule="auto"/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(N=223)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610B23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Heparin</w:t>
            </w:r>
          </w:p>
          <w:p w14:paraId="15E73C75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(N=269)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8F83B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HR (95%CI)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D36A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 value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A6CD35">
            <w:p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Bivalirudin</w:t>
            </w:r>
          </w:p>
          <w:p w14:paraId="0ECD46F7">
            <w:pPr>
              <w:spacing w:line="360" w:lineRule="auto"/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(N=124)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792BD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Heparin</w:t>
            </w:r>
          </w:p>
          <w:p w14:paraId="32E868DB">
            <w:pPr>
              <w:ind w:firstLine="120" w:firstLineChars="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(N=142)</w:t>
            </w:r>
          </w:p>
        </w:tc>
        <w:tc>
          <w:tcPr>
            <w:tcW w:w="20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42D35C">
            <w:pPr>
              <w:spacing w:line="360" w:lineRule="auto"/>
              <w:ind w:firstLine="360" w:firstLineChars="15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HR (95%CI)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4A69DE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 value</w:t>
            </w:r>
          </w:p>
        </w:tc>
      </w:tr>
      <w:tr w14:paraId="1A534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72CE8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Primary endpoint: All-cause death or BARC types 3-5 bleeding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B32E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(7.17%)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464F3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(4.46%)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49A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1.64 (0.78-3.47)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DB04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0.19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DE921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(3.23%)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309B2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(5.63%)</w:t>
            </w:r>
          </w:p>
        </w:tc>
        <w:tc>
          <w:tcPr>
            <w:tcW w:w="20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B69B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0.57 (0.17-1.90)</w:t>
            </w:r>
          </w:p>
        </w:tc>
        <w:tc>
          <w:tcPr>
            <w:tcW w:w="11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A29E0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0.36</w:t>
            </w:r>
          </w:p>
        </w:tc>
      </w:tr>
      <w:tr w14:paraId="3BE54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D0D50">
            <w:pPr>
              <w:spacing w:line="360" w:lineRule="auto"/>
              <w:ind w:left="0" w:leftChars="0" w:firstLine="240" w:firstLineChars="1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Death from any cause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436B6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(7.17%)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46F0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(4.09%)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BE3D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1.79 (0.83-3.87)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AC447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E2D03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(3.23%)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7BB38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(4.93%)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8F91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0.65 (0.19-2.24)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D945E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50</w:t>
            </w:r>
          </w:p>
        </w:tc>
      </w:tr>
      <w:tr w14:paraId="78D8E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6C441">
            <w:pPr>
              <w:spacing w:line="360" w:lineRule="auto"/>
              <w:ind w:firstLine="600" w:firstLineChars="2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From cardiovascular causes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69333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(7.17%)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A123B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(3.72%)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D9AB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1.97 (0.90-4.35)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F600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0.09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C73FE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(3.23%)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0431F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(4.93%)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F51A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0.65 (0.19-2.24)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F102D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50</w:t>
            </w:r>
          </w:p>
        </w:tc>
      </w:tr>
      <w:tr w14:paraId="21F07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DAEE7">
            <w:pPr>
              <w:spacing w:line="360" w:lineRule="auto"/>
              <w:ind w:left="0" w:leftChars="0" w:firstLine="240" w:firstLineChars="1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BARC types 3-5 bleeding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58D78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(0.45%)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6AC81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(0.74%)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FAD5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0.60 (0.05-6.66)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7B7C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0.68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9D1DC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5B38D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68D3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F597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</w:tr>
      <w:tr w14:paraId="1343A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CA17F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Reinfarction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28B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(0.90%)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293C3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(1.86%)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C3AA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0.48 (0.09-2.47)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EDBAC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DBD0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(1.61%)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14FA8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3D5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AFC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</w:tr>
      <w:tr w14:paraId="608ED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19B99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Ischemia-driven TVR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5FBC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(0.45%)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1CEF6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(0.74%)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ABBB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0.60 (0.05-6.65)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E76CC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509D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(0.81%)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9B475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7C21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1.15 (0.07-18.32)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A2D52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0.92</w:t>
            </w:r>
          </w:p>
        </w:tc>
      </w:tr>
      <w:tr w14:paraId="0FDB3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A7FC2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Stroke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E7DC6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(0.45%)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6A6FB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C256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7BB2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10764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B39A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2C1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62F1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</w:tr>
      <w:tr w14:paraId="22234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45CD2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Stent thrombosis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BC670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(0.90%)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1A642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(1.49%)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7FC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0.60 (0.11-3.28)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D8A3F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E4F2C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(0.81%)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EE22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C8D7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1.15 (0.07-18.32)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0D272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0.92</w:t>
            </w:r>
          </w:p>
        </w:tc>
      </w:tr>
      <w:tr w14:paraId="7198F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90772">
            <w:pPr>
              <w:spacing w:line="360" w:lineRule="auto"/>
              <w:ind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Acute (&lt;24 hours)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DBFF5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3DC5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(0.74%)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16E8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8DB0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7707C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(0.81%)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4097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EB47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1.15 (0.07-18.32)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6CAAA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0.92</w:t>
            </w:r>
          </w:p>
        </w:tc>
      </w:tr>
      <w:tr w14:paraId="0816D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7EE89">
            <w:pPr>
              <w:spacing w:line="360" w:lineRule="auto"/>
              <w:ind w:firstLine="360" w:firstLineChars="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Subacute (1-30 days)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6BD4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(0.90%)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8E3DC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(0.74%)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792A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1.20 (0.17-8.51)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4BCB3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975B8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452F6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(0.00%)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7E68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9C1E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-</w:t>
            </w:r>
          </w:p>
        </w:tc>
      </w:tr>
      <w:tr w14:paraId="77023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82D09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MACCE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A953A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(8.52%)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248A1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(5.58%)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5BA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1.56 (0.79-3.07)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36E2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D8C74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(5.65%)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2F7DF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(5.63%)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3989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1.00 (0.36-2.77)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78040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0.99</w:t>
            </w:r>
          </w:p>
        </w:tc>
      </w:tr>
      <w:tr w14:paraId="6DF29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08DD3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BARC types 2-5 bleeding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1460F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(2.69%)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3095A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(4.09%)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9018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0.66 (0.24-1.78)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4823B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457EE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(1.61%)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911C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(4.23%)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7591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0.38 (0.08-1.88)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0797F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0.23</w:t>
            </w:r>
          </w:p>
        </w:tc>
      </w:tr>
      <w:tr w14:paraId="6FB85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BF2C9">
            <w:pPr>
              <w:spacing w:line="36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All-cause death or BARC types 2-5 bleeding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F8B4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(8.97%)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76AF3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21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(7.81%)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9C9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1.17 (0.63-2.15)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222A3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69CB7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(4.84%)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897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(9.15%)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E9D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0.52 (0.20-1.38)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0194">
            <w:pPr>
              <w:spacing w:line="36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0.19</w:t>
            </w:r>
          </w:p>
        </w:tc>
      </w:tr>
      <w:tr w14:paraId="24588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E8437">
            <w:pPr>
              <w:spacing w:line="360" w:lineRule="auto"/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Acquired thrombocytopenia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612B3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(0.45%)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93125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(1.87%)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D84B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0.24 (0.03-2.06)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CB3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0.19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47729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(4.84%)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A123E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(7.75%)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D9C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0.61 (0.23-1.66)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6CF45"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00508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54F39B2">
            <w:pPr>
              <w:spacing w:line="360" w:lineRule="auto"/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NACE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EC647D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(8.52%)</w:t>
            </w:r>
          </w:p>
        </w:tc>
        <w:tc>
          <w:tcPr>
            <w:tcW w:w="15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739BDC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(5.95%)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ED0D7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1.46 (0.75-2.84)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63A0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0.26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13E3D7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(5.65%)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672D18">
            <w:pPr>
              <w:spacing w:line="36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(6.34%)</w:t>
            </w:r>
          </w:p>
        </w:tc>
        <w:tc>
          <w:tcPr>
            <w:tcW w:w="20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5255B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0.89 (0.33-2.39)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3BF26B"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ar"/>
              </w:rPr>
              <w:t>0.8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</w:tbl>
    <w:p w14:paraId="1638B0A8">
      <w:pPr>
        <w:spacing w:line="360" w:lineRule="auto"/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vertAlign w:val="baseline"/>
          <w:lang w:val="en-US" w:eastAsia="zh-CN"/>
        </w:rPr>
        <w:t>Event rates are number of events (Kaplan-Meier estimated percentages). BARC=Bleeding Academic Research Consortium,</w:t>
      </w:r>
    </w:p>
    <w:p w14:paraId="09BDE511"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Major adverse cardiac or cerebral events included all-cause death, myocardial infarction, ischaemia-driven target vessel revascularisation, or stroke. 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>Defined as nadir platelet count of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less than 150×10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hint="default" w:ascii="Times New Roman" w:hAnsi="Times New Roman" w:cs="Times New Roman"/>
          <w:sz w:val="24"/>
          <w:szCs w:val="24"/>
        </w:rPr>
        <w:t>/L after the index procedure in patients in whom the baseline platelet count was more than 150×10</w:t>
      </w:r>
      <w:r>
        <w:rPr>
          <w:rFonts w:hint="default"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hint="default" w:ascii="Times New Roman" w:hAnsi="Times New Roman" w:cs="Times New Roman"/>
          <w:sz w:val="24"/>
          <w:szCs w:val="24"/>
        </w:rPr>
        <w:t>/L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Net adverse clinical events included major adverse cardiac or cerebral events or BARC types 3-5 bleeding.</w:t>
      </w:r>
    </w:p>
    <w:p w14:paraId="3E5017CD">
      <w:pPr>
        <w:ind w:left="0" w:leftChars="0" w:firstLine="0" w:firstLineChars="0"/>
        <w:rPr>
          <w:lang w:bidi="ar"/>
        </w:rPr>
      </w:pPr>
    </w:p>
    <w:p w14:paraId="6610B302">
      <w:pPr>
        <w:rPr>
          <w:lang w:bidi="ar"/>
        </w:rPr>
        <w:sectPr>
          <w:pgSz w:w="20693" w:h="14173" w:orient="landscape"/>
          <w:pgMar w:top="1440" w:right="1293" w:bottom="1440" w:left="1803" w:header="851" w:footer="992" w:gutter="0"/>
          <w:cols w:space="0" w:num="1"/>
          <w:rtlGutter w:val="0"/>
          <w:docGrid w:type="lines" w:linePitch="313" w:charSpace="0"/>
        </w:sectPr>
      </w:pPr>
    </w:p>
    <w:p w14:paraId="3B257D9F">
      <w:pPr>
        <w:spacing w:line="360" w:lineRule="auto"/>
        <w:rPr>
          <w:rFonts w:hint="default" w:ascii="Times New Roman" w:hAnsi="Times New Roman" w:cs="Times New Roman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sz w:val="24"/>
          <w:szCs w:val="24"/>
          <w:lang w:bidi="ar"/>
        </w:rPr>
        <w:t>Figure S1. Interaction between treatment and the route of bail-out GPI use on 30-day outcomes</w:t>
      </w:r>
    </w:p>
    <w:p w14:paraId="64263B55">
      <w:r>
        <w:rPr>
          <w:rFonts w:hint="eastAsia"/>
          <w:lang w:bidi="ar"/>
        </w:rPr>
        <w:drawing>
          <wp:inline distT="0" distB="0" distL="114300" distR="114300">
            <wp:extent cx="5927725" cy="5680710"/>
            <wp:effectExtent l="0" t="0" r="3175" b="8890"/>
            <wp:docPr id="1" name="图片 1" descr="Forest_plot_GPI intra-coronary or venous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orest_plot_GPI intra-coronary or venous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7725" cy="568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E2BE"/>
    <w:p w14:paraId="64596B4C"/>
    <w:sectPr>
      <w:pgSz w:w="11905" w:h="16838"/>
      <w:pgMar w:top="1293" w:right="1440" w:bottom="1803" w:left="1440" w:header="851" w:footer="992" w:gutter="0"/>
      <w:cols w:space="0" w:num="1"/>
      <w:rtlGutter w:val="0"/>
      <w:docGrid w:type="lines" w:linePitch="32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105"/>
      </w:pPr>
      <w:r>
        <w:separator/>
      </w:r>
    </w:p>
  </w:endnote>
  <w:endnote w:type="continuationSeparator" w:id="1">
    <w:p>
      <w:pPr>
        <w:spacing w:line="240" w:lineRule="auto"/>
        <w:ind w:firstLine="10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105"/>
      </w:pPr>
      <w:r>
        <w:separator/>
      </w:r>
    </w:p>
  </w:footnote>
  <w:footnote w:type="continuationSeparator" w:id="1">
    <w:p>
      <w:pPr>
        <w:spacing w:line="360" w:lineRule="auto"/>
        <w:ind w:firstLine="105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17AE50"/>
    <w:multiLevelType w:val="multilevel"/>
    <w:tmpl w:val="5117AE50"/>
    <w:lvl w:ilvl="0" w:tentative="0">
      <w:start w:val="2"/>
      <w:numFmt w:val="decimal"/>
      <w:pStyle w:val="19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284" w:firstLine="0"/>
      </w:pPr>
      <w:rPr>
        <w:rFonts w:hint="default"/>
        <w:b/>
        <w:bCs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2ODY3YjY1YzgwNmQ5OTQ0Mzg4ZjI3MWZlODA5ODgifQ=="/>
  </w:docVars>
  <w:rsids>
    <w:rsidRoot w:val="00BA6D39"/>
    <w:rsid w:val="00211F9D"/>
    <w:rsid w:val="00BA6D39"/>
    <w:rsid w:val="00CF263D"/>
    <w:rsid w:val="06D75271"/>
    <w:rsid w:val="0C9856A5"/>
    <w:rsid w:val="1B48007F"/>
    <w:rsid w:val="1D70572B"/>
    <w:rsid w:val="1D7414B2"/>
    <w:rsid w:val="1DF61D2F"/>
    <w:rsid w:val="21B87493"/>
    <w:rsid w:val="23910B28"/>
    <w:rsid w:val="278F3177"/>
    <w:rsid w:val="2A0F226D"/>
    <w:rsid w:val="32B85545"/>
    <w:rsid w:val="342E66DD"/>
    <w:rsid w:val="348F026A"/>
    <w:rsid w:val="40BA7BF7"/>
    <w:rsid w:val="43F0701F"/>
    <w:rsid w:val="47F5010D"/>
    <w:rsid w:val="4C0E1CA8"/>
    <w:rsid w:val="53F73CC7"/>
    <w:rsid w:val="57995095"/>
    <w:rsid w:val="58934F4E"/>
    <w:rsid w:val="5ED73AF1"/>
    <w:rsid w:val="5F550975"/>
    <w:rsid w:val="645C2560"/>
    <w:rsid w:val="6AB06526"/>
    <w:rsid w:val="73F9155B"/>
    <w:rsid w:val="7715465A"/>
    <w:rsid w:val="7CEC1B37"/>
    <w:rsid w:val="7D63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105" w:firstLineChars="50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autoRedefine/>
    <w:qFormat/>
    <w:uiPriority w:val="0"/>
    <w:pPr>
      <w:ind w:firstLine="0" w:firstLineChars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5">
    <w:name w:val="Normal (Web)"/>
    <w:basedOn w:val="1"/>
    <w:semiHidden/>
    <w:unhideWhenUsed/>
    <w:uiPriority w:val="99"/>
    <w:rPr>
      <w:sz w:val="24"/>
    </w:rPr>
  </w:style>
  <w:style w:type="paragraph" w:styleId="6">
    <w:name w:val="annotation subject"/>
    <w:basedOn w:val="2"/>
    <w:next w:val="2"/>
    <w:link w:val="12"/>
    <w:autoRedefine/>
    <w:qFormat/>
    <w:uiPriority w:val="0"/>
    <w:rPr>
      <w:b/>
      <w:bCs/>
    </w:rPr>
  </w:style>
  <w:style w:type="character" w:styleId="9">
    <w:name w:val="Hyperlink"/>
    <w:basedOn w:val="8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autoRedefine/>
    <w:qFormat/>
    <w:uiPriority w:val="0"/>
    <w:rPr>
      <w:sz w:val="21"/>
      <w:szCs w:val="21"/>
    </w:rPr>
  </w:style>
  <w:style w:type="character" w:customStyle="1" w:styleId="11">
    <w:name w:val="批注文字 字符"/>
    <w:basedOn w:val="8"/>
    <w:link w:val="2"/>
    <w:autoRedefine/>
    <w:qFormat/>
    <w:uiPriority w:val="0"/>
    <w:rPr>
      <w:szCs w:val="24"/>
    </w:rPr>
  </w:style>
  <w:style w:type="character" w:customStyle="1" w:styleId="12">
    <w:name w:val="批注主题 字符"/>
    <w:basedOn w:val="11"/>
    <w:link w:val="6"/>
    <w:autoRedefine/>
    <w:qFormat/>
    <w:uiPriority w:val="0"/>
    <w:rPr>
      <w:b/>
      <w:bCs/>
      <w:szCs w:val="24"/>
    </w:rPr>
  </w:style>
  <w:style w:type="character" w:customStyle="1" w:styleId="13">
    <w:name w:val="font41"/>
    <w:basedOn w:val="8"/>
    <w:autoRedefine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5">
    <w:name w:val="font01"/>
    <w:basedOn w:val="8"/>
    <w:autoRedefine/>
    <w:qFormat/>
    <w:uiPriority w:val="0"/>
    <w:rPr>
      <w:rFonts w:hint="default" w:ascii="Calibri" w:hAnsi="Calibri" w:cs="Calibri"/>
      <w:color w:val="000000"/>
      <w:sz w:val="22"/>
      <w:szCs w:val="22"/>
      <w:u w:val="none"/>
      <w:vertAlign w:val="superscript"/>
    </w:rPr>
  </w:style>
  <w:style w:type="character" w:customStyle="1" w:styleId="16">
    <w:name w:val="font21"/>
    <w:basedOn w:val="8"/>
    <w:autoRedefine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7">
    <w:name w:val="font11"/>
    <w:basedOn w:val="8"/>
    <w:autoRedefine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paragraph" w:customStyle="1" w:styleId="18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19">
    <w:name w:val="List Paragraph"/>
    <w:basedOn w:val="1"/>
    <w:link w:val="20"/>
    <w:autoRedefine/>
    <w:unhideWhenUsed/>
    <w:qFormat/>
    <w:uiPriority w:val="99"/>
    <w:pPr>
      <w:numPr>
        <w:ilvl w:val="0"/>
        <w:numId w:val="1"/>
      </w:numPr>
    </w:pPr>
  </w:style>
  <w:style w:type="character" w:customStyle="1" w:styleId="20">
    <w:name w:val="列表段落 字符"/>
    <w:link w:val="19"/>
    <w:autoRedefine/>
    <w:qFormat/>
    <w:uiPriority w:val="99"/>
    <w:rPr>
      <w:szCs w:val="24"/>
    </w:rPr>
  </w:style>
  <w:style w:type="paragraph" w:customStyle="1" w:styleId="21">
    <w:name w:val="修订2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customStyle="1" w:styleId="22">
    <w:name w:val="未处理的提及1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styleId="23">
    <w:name w:val="Placeholder Text"/>
    <w:basedOn w:val="8"/>
    <w:autoRedefine/>
    <w:unhideWhenUsed/>
    <w:qFormat/>
    <w:uiPriority w:val="99"/>
    <w:rPr>
      <w:color w:val="666666"/>
    </w:rPr>
  </w:style>
  <w:style w:type="paragraph" w:customStyle="1" w:styleId="24">
    <w:name w:val="修订3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1507</Words>
  <Characters>8462</Characters>
  <Lines>61</Lines>
  <Paragraphs>17</Paragraphs>
  <TotalTime>25</TotalTime>
  <ScaleCrop>false</ScaleCrop>
  <LinksUpToDate>false</LinksUpToDate>
  <CharactersWithSpaces>9587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2024-03-10T14:08:00Z</dcterms:created>
  <dc:creator>jia liao</dc:creator>
  <cp:lastModifiedBy>-Rosinelegar</cp:lastModifiedBy>
  <dcterms:modified xsi:type="dcterms:W3CDTF">2024-09-06T04:12:43Z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0668C42FAAAF40A896D405385D48E7BA_13</vt:lpwstr>
  </property>
</Properties>
</file>