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BA7D0A" w14:textId="7E77CEA0" w:rsidR="00885C76" w:rsidRPr="005F29E3" w:rsidRDefault="00885C76" w:rsidP="00885C76">
      <w:pPr>
        <w:spacing w:line="360" w:lineRule="auto"/>
        <w:rPr>
          <w:rFonts w:ascii="Candara" w:hAnsi="Candara"/>
          <w:b/>
          <w:bCs/>
          <w:color w:val="000000" w:themeColor="text1"/>
          <w:sz w:val="24"/>
          <w:u w:val="single"/>
        </w:rPr>
      </w:pPr>
      <w:bookmarkStart w:id="0" w:name="OLE_LINK18"/>
      <w:bookmarkStart w:id="1" w:name="OLE_LINK19"/>
      <w:r w:rsidRPr="005F29E3">
        <w:rPr>
          <w:rFonts w:ascii="Candara" w:hAnsi="Candara"/>
          <w:b/>
          <w:bCs/>
          <w:color w:val="000000" w:themeColor="text1"/>
          <w:sz w:val="24"/>
          <w:u w:val="single"/>
        </w:rPr>
        <w:t>Additional file</w:t>
      </w:r>
      <w:r w:rsidR="00912150">
        <w:rPr>
          <w:rFonts w:ascii="Candara" w:hAnsi="Candara" w:hint="eastAsia"/>
          <w:b/>
          <w:bCs/>
          <w:color w:val="000000" w:themeColor="text1"/>
          <w:sz w:val="24"/>
          <w:u w:val="single"/>
        </w:rPr>
        <w:t xml:space="preserve"> 1</w:t>
      </w:r>
    </w:p>
    <w:bookmarkEnd w:id="0"/>
    <w:bookmarkEnd w:id="1"/>
    <w:p w14:paraId="2A9DA447" w14:textId="77777777" w:rsidR="005F29E3" w:rsidRDefault="005F29E3" w:rsidP="005F29E3">
      <w:pPr>
        <w:spacing w:line="360" w:lineRule="auto"/>
        <w:rPr>
          <w:rFonts w:ascii="Candara" w:hAnsi="Candara"/>
          <w:b/>
          <w:bCs/>
          <w:color w:val="000000" w:themeColor="text1"/>
          <w:sz w:val="24"/>
        </w:rPr>
      </w:pPr>
    </w:p>
    <w:p w14:paraId="7CB40D95" w14:textId="596C0A15" w:rsidR="00885C76" w:rsidRPr="000B3800" w:rsidRDefault="005017B7" w:rsidP="00885C76">
      <w:pPr>
        <w:spacing w:line="276" w:lineRule="auto"/>
        <w:rPr>
          <w:rFonts w:ascii="Candara" w:hAnsi="Candara"/>
          <w:color w:val="000000" w:themeColor="text1"/>
        </w:rPr>
      </w:pPr>
      <w:r>
        <w:rPr>
          <w:rFonts w:ascii="Candara" w:hAnsi="Candara"/>
          <w:b/>
          <w:bCs/>
          <w:color w:val="000000" w:themeColor="text1"/>
          <w:sz w:val="22"/>
          <w:szCs w:val="28"/>
        </w:rPr>
        <w:t>S</w:t>
      </w:r>
      <w:r w:rsidRPr="005017B7">
        <w:rPr>
          <w:rFonts w:ascii="Candara" w:hAnsi="Candara"/>
          <w:b/>
          <w:bCs/>
          <w:color w:val="000000" w:themeColor="text1"/>
          <w:sz w:val="22"/>
          <w:szCs w:val="28"/>
        </w:rPr>
        <w:t>upplementary Methods. Search Strategy</w:t>
      </w:r>
      <w:r w:rsidR="00885C76" w:rsidRPr="00F97878">
        <w:rPr>
          <w:rFonts w:ascii="Candara" w:hAnsi="Candara"/>
          <w:b/>
          <w:bCs/>
          <w:color w:val="000000" w:themeColor="text1"/>
          <w:sz w:val="22"/>
          <w:szCs w:val="28"/>
        </w:rPr>
        <w:t xml:space="preserve"> </w:t>
      </w:r>
      <w:r w:rsidR="00885C76" w:rsidRPr="00F97878">
        <w:rPr>
          <w:rFonts w:ascii="Candara" w:hAnsi="Candara"/>
          <w:color w:val="000000" w:themeColor="text1"/>
          <w:sz w:val="22"/>
          <w:szCs w:val="28"/>
        </w:rPr>
        <w:t>(PubMed, conducted on 9</w:t>
      </w:r>
      <w:r w:rsidR="00885C76" w:rsidRPr="00F97878">
        <w:rPr>
          <w:rFonts w:ascii="Candara" w:hAnsi="Candara" w:hint="eastAsia"/>
          <w:color w:val="000000" w:themeColor="text1"/>
          <w:sz w:val="22"/>
          <w:szCs w:val="28"/>
          <w:vertAlign w:val="superscript"/>
        </w:rPr>
        <w:t>th</w:t>
      </w:r>
      <w:r w:rsidR="00885C76" w:rsidRPr="00F97878">
        <w:rPr>
          <w:rFonts w:ascii="Candara" w:hAnsi="Candara"/>
          <w:color w:val="000000" w:themeColor="text1"/>
          <w:sz w:val="22"/>
          <w:szCs w:val="28"/>
        </w:rPr>
        <w:t>-December 2022)</w:t>
      </w:r>
    </w:p>
    <w:p w14:paraId="227A0C82" w14:textId="77777777" w:rsidR="00885C76" w:rsidRDefault="00885C76" w:rsidP="00885C76">
      <w:pPr>
        <w:rPr>
          <w:rFonts w:ascii="Times New Roman" w:hAnsi="Times New Roman" w:cs="Times New Roman"/>
          <w:b/>
          <w:bCs/>
        </w:rPr>
      </w:pPr>
      <w:r w:rsidRPr="000B3800">
        <w:rPr>
          <w:rFonts w:ascii="Candara" w:hAnsi="Candara"/>
          <w:b/>
          <w:bCs/>
          <w:noProof/>
          <w:color w:val="000000" w:themeColor="text1"/>
        </w:rPr>
        <mc:AlternateContent>
          <mc:Choice Requires="wps">
            <w:drawing>
              <wp:anchor distT="0" distB="0" distL="114300" distR="114300" simplePos="0" relativeHeight="251659264" behindDoc="0" locked="0" layoutInCell="1" allowOverlap="1" wp14:anchorId="1D688B26" wp14:editId="4EAEE421">
                <wp:simplePos x="0" y="0"/>
                <wp:positionH relativeFrom="column">
                  <wp:posOffset>3748</wp:posOffset>
                </wp:positionH>
                <wp:positionV relativeFrom="paragraph">
                  <wp:posOffset>41858</wp:posOffset>
                </wp:positionV>
                <wp:extent cx="5396459" cy="6513226"/>
                <wp:effectExtent l="0" t="0" r="1270" b="1905"/>
                <wp:wrapNone/>
                <wp:docPr id="1411291418" name="矩形 1"/>
                <wp:cNvGraphicFramePr/>
                <a:graphic xmlns:a="http://schemas.openxmlformats.org/drawingml/2006/main">
                  <a:graphicData uri="http://schemas.microsoft.com/office/word/2010/wordprocessingShape">
                    <wps:wsp>
                      <wps:cNvSpPr/>
                      <wps:spPr>
                        <a:xfrm>
                          <a:off x="0" y="0"/>
                          <a:ext cx="5396459" cy="6513226"/>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8DA1DA0"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sidRPr="000B3800">
                              <w:rPr>
                                <w:rFonts w:ascii="Candara" w:hAnsi="Candara"/>
                                <w:color w:val="000000" w:themeColor="text1"/>
                              </w:rPr>
                              <w:tab/>
                              <w:t xml:space="preserve">"Randomized Controlled Trials as Topic"[Mesh] OR </w:t>
                            </w:r>
                            <w:proofErr w:type="spellStart"/>
                            <w:r w:rsidRPr="000B3800">
                              <w:rPr>
                                <w:rFonts w:ascii="Candara" w:hAnsi="Candara"/>
                                <w:color w:val="000000" w:themeColor="text1"/>
                              </w:rPr>
                              <w:t>randomi</w:t>
                            </w:r>
                            <w:proofErr w:type="spellEnd"/>
                            <w:r w:rsidRPr="000B3800">
                              <w:rPr>
                                <w:rFonts w:ascii="Candara" w:hAnsi="Candara"/>
                                <w:color w:val="000000" w:themeColor="text1"/>
                              </w:rPr>
                              <w:t>* [</w:t>
                            </w:r>
                            <w:proofErr w:type="spellStart"/>
                            <w:r w:rsidRPr="000B3800">
                              <w:rPr>
                                <w:rFonts w:ascii="Candara" w:hAnsi="Candara"/>
                                <w:color w:val="000000" w:themeColor="text1"/>
                              </w:rPr>
                              <w:t>tiab</w:t>
                            </w:r>
                            <w:proofErr w:type="spellEnd"/>
                            <w:r w:rsidRPr="000B3800">
                              <w:rPr>
                                <w:rFonts w:ascii="Candara" w:hAnsi="Candara"/>
                                <w:color w:val="000000" w:themeColor="text1"/>
                              </w:rPr>
                              <w:t>] OR RCT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02AF509B"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#2</w:t>
                            </w:r>
                            <w:r w:rsidRPr="000B3800">
                              <w:rPr>
                                <w:rFonts w:ascii="Candara" w:hAnsi="Candara"/>
                                <w:color w:val="000000" w:themeColor="text1"/>
                              </w:rPr>
                              <w:tab/>
                              <w:t>"Controlled Clinical Trials as Topic"[Mesh] OR "controlled trial*"[</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1AB3F6BE"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#3</w:t>
                            </w:r>
                            <w:r w:rsidRPr="000B3800">
                              <w:rPr>
                                <w:rFonts w:ascii="Candara" w:hAnsi="Candara"/>
                                <w:color w:val="000000" w:themeColor="text1"/>
                              </w:rPr>
                              <w:tab/>
                              <w:t>"Clinical Trials as Topic"[</w:t>
                            </w:r>
                            <w:proofErr w:type="spellStart"/>
                            <w:r w:rsidRPr="000B3800">
                              <w:rPr>
                                <w:rFonts w:ascii="Candara" w:hAnsi="Candara"/>
                                <w:color w:val="000000" w:themeColor="text1"/>
                              </w:rPr>
                              <w:t>MeSH</w:t>
                            </w:r>
                            <w:proofErr w:type="spellEnd"/>
                            <w:r w:rsidRPr="000B3800">
                              <w:rPr>
                                <w:rFonts w:ascii="Candara" w:hAnsi="Candara"/>
                                <w:color w:val="000000" w:themeColor="text1"/>
                              </w:rPr>
                              <w:t>] OR "clinical trial*"[</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050DA5DB"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#4</w:t>
                            </w:r>
                            <w:r w:rsidRPr="000B3800">
                              <w:rPr>
                                <w:rFonts w:ascii="Candara" w:hAnsi="Candara"/>
                                <w:color w:val="000000" w:themeColor="text1"/>
                              </w:rPr>
                              <w:tab/>
                              <w:t>#1 OR #2 OR #3</w:t>
                            </w:r>
                          </w:p>
                          <w:p w14:paraId="77A069F8"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#5</w:t>
                            </w:r>
                            <w:r w:rsidRPr="000B3800">
                              <w:rPr>
                                <w:rFonts w:ascii="Candara" w:hAnsi="Candara"/>
                                <w:color w:val="000000" w:themeColor="text1"/>
                              </w:rPr>
                              <w:tab/>
                              <w:t xml:space="preserve">"Non-Randomized Controlled Trials as Topic"[Mesh] OR Non </w:t>
                            </w:r>
                            <w:proofErr w:type="spellStart"/>
                            <w:r w:rsidRPr="000B3800">
                              <w:rPr>
                                <w:rFonts w:ascii="Candara" w:hAnsi="Candara"/>
                                <w:color w:val="000000" w:themeColor="text1"/>
                              </w:rPr>
                              <w:t>randomi</w:t>
                            </w:r>
                            <w:proofErr w:type="spellEnd"/>
                            <w:r w:rsidRPr="000B3800">
                              <w:rPr>
                                <w:rFonts w:ascii="Candara" w:hAnsi="Candara"/>
                                <w:color w:val="000000" w:themeColor="text1"/>
                              </w:rPr>
                              <w:t>* [</w:t>
                            </w:r>
                            <w:proofErr w:type="spellStart"/>
                            <w:r w:rsidRPr="000B3800">
                              <w:rPr>
                                <w:rFonts w:ascii="Candara" w:hAnsi="Candara"/>
                                <w:color w:val="000000" w:themeColor="text1"/>
                              </w:rPr>
                              <w:t>tiab</w:t>
                            </w:r>
                            <w:proofErr w:type="spellEnd"/>
                            <w:r w:rsidRPr="000B3800">
                              <w:rPr>
                                <w:rFonts w:ascii="Candara" w:hAnsi="Candara"/>
                                <w:color w:val="000000" w:themeColor="text1"/>
                              </w:rPr>
                              <w:t xml:space="preserve">] OR </w:t>
                            </w:r>
                            <w:proofErr w:type="spellStart"/>
                            <w:r w:rsidRPr="000B3800">
                              <w:rPr>
                                <w:rFonts w:ascii="Candara" w:hAnsi="Candara"/>
                                <w:color w:val="000000" w:themeColor="text1"/>
                              </w:rPr>
                              <w:t>Nonrandomi</w:t>
                            </w:r>
                            <w:proofErr w:type="spellEnd"/>
                            <w:r w:rsidRPr="000B3800">
                              <w:rPr>
                                <w:rFonts w:ascii="Candara" w:hAnsi="Candara"/>
                                <w:color w:val="000000" w:themeColor="text1"/>
                              </w:rPr>
                              <w:t>* [</w:t>
                            </w:r>
                            <w:proofErr w:type="spellStart"/>
                            <w:r w:rsidRPr="000B3800">
                              <w:rPr>
                                <w:rFonts w:ascii="Candara" w:hAnsi="Candara"/>
                                <w:color w:val="000000" w:themeColor="text1"/>
                              </w:rPr>
                              <w:t>tiab</w:t>
                            </w:r>
                            <w:proofErr w:type="spellEnd"/>
                            <w:r w:rsidRPr="000B3800">
                              <w:rPr>
                                <w:rFonts w:ascii="Candara" w:hAnsi="Candara"/>
                                <w:color w:val="000000" w:themeColor="text1"/>
                              </w:rPr>
                              <w:t>] OR Non-RCT* [</w:t>
                            </w:r>
                            <w:proofErr w:type="spellStart"/>
                            <w:r w:rsidRPr="000B3800">
                              <w:rPr>
                                <w:rFonts w:ascii="Candara" w:hAnsi="Candara"/>
                                <w:color w:val="000000" w:themeColor="text1"/>
                              </w:rPr>
                              <w:t>tiab</w:t>
                            </w:r>
                            <w:proofErr w:type="spellEnd"/>
                            <w:r w:rsidRPr="000B3800">
                              <w:rPr>
                                <w:rFonts w:ascii="Candara" w:hAnsi="Candara"/>
                                <w:color w:val="000000" w:themeColor="text1"/>
                              </w:rPr>
                              <w:t>] OR NRCT*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600E3DC3"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#6</w:t>
                            </w:r>
                            <w:r w:rsidRPr="000B3800">
                              <w:rPr>
                                <w:rFonts w:ascii="Candara" w:hAnsi="Candara"/>
                                <w:color w:val="000000" w:themeColor="text1"/>
                              </w:rPr>
                              <w:tab/>
                              <w:t xml:space="preserve">Quasi </w:t>
                            </w:r>
                            <w:proofErr w:type="spellStart"/>
                            <w:r w:rsidRPr="000B3800">
                              <w:rPr>
                                <w:rFonts w:ascii="Candara" w:hAnsi="Candara"/>
                                <w:color w:val="000000" w:themeColor="text1"/>
                              </w:rPr>
                              <w:t>randomi</w:t>
                            </w:r>
                            <w:proofErr w:type="spellEnd"/>
                            <w:r w:rsidRPr="000B3800">
                              <w:rPr>
                                <w:rFonts w:ascii="Candara" w:hAnsi="Candara"/>
                                <w:color w:val="000000" w:themeColor="text1"/>
                              </w:rPr>
                              <w:t>* [</w:t>
                            </w:r>
                            <w:proofErr w:type="spellStart"/>
                            <w:r w:rsidRPr="000B3800">
                              <w:rPr>
                                <w:rFonts w:ascii="Candara" w:hAnsi="Candara"/>
                                <w:color w:val="000000" w:themeColor="text1"/>
                              </w:rPr>
                              <w:t>tiab</w:t>
                            </w:r>
                            <w:proofErr w:type="spellEnd"/>
                            <w:r w:rsidRPr="000B3800">
                              <w:rPr>
                                <w:rFonts w:ascii="Candara" w:hAnsi="Candara"/>
                                <w:color w:val="000000" w:themeColor="text1"/>
                              </w:rPr>
                              <w:t>] OR Quasi experiment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1D64469F"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#7</w:t>
                            </w:r>
                            <w:r w:rsidRPr="000B3800">
                              <w:rPr>
                                <w:rFonts w:ascii="Candara" w:hAnsi="Candara"/>
                                <w:color w:val="000000" w:themeColor="text1"/>
                              </w:rPr>
                              <w:tab/>
                              <w:t>"Cohort Studies"[Mesh] OR Cohort stud*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2AF60101"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#8</w:t>
                            </w:r>
                            <w:r w:rsidRPr="000B3800">
                              <w:rPr>
                                <w:rFonts w:ascii="Candara" w:hAnsi="Candara"/>
                                <w:color w:val="000000" w:themeColor="text1"/>
                              </w:rPr>
                              <w:tab/>
                              <w:t>"Case-Control Studies"[Mesh] OR Case control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3A914287" w14:textId="77777777" w:rsidR="00885C76" w:rsidRPr="0054359C" w:rsidRDefault="00885C76" w:rsidP="00885C76">
                            <w:pPr>
                              <w:spacing w:line="360" w:lineRule="auto"/>
                              <w:jc w:val="left"/>
                              <w:rPr>
                                <w:rFonts w:ascii="Candara" w:hAnsi="Candara"/>
                                <w:color w:val="FF0000"/>
                              </w:rPr>
                            </w:pPr>
                            <w:r w:rsidRPr="000B3800">
                              <w:rPr>
                                <w:rFonts w:ascii="Candara" w:hAnsi="Candara"/>
                                <w:color w:val="000000" w:themeColor="text1"/>
                              </w:rPr>
                              <w:t>#9</w:t>
                            </w:r>
                            <w:r w:rsidRPr="000B3800">
                              <w:rPr>
                                <w:rFonts w:ascii="Candara" w:hAnsi="Candara"/>
                                <w:color w:val="000000" w:themeColor="text1"/>
                              </w:rPr>
                              <w:tab/>
                              <w:t>"Observational Studies as Topic"[Mesh] OR "Observation"[Mesh] OR Observation*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71B2139A"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0</w:t>
                            </w:r>
                            <w:r w:rsidRPr="000B3800">
                              <w:rPr>
                                <w:rFonts w:ascii="Candara" w:hAnsi="Candara"/>
                                <w:color w:val="000000" w:themeColor="text1"/>
                              </w:rPr>
                              <w:tab/>
                              <w:t>"Prospective Studies" [Mesh] OR "prospective"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57A6DDA0"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1</w:t>
                            </w:r>
                            <w:r w:rsidRPr="000B3800">
                              <w:rPr>
                                <w:rFonts w:ascii="Candara" w:hAnsi="Candara"/>
                                <w:color w:val="000000" w:themeColor="text1"/>
                              </w:rPr>
                              <w:tab/>
                              <w:t>"Retrospective Studies" [Mesh] OR "retrospective"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37912582"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2</w:t>
                            </w:r>
                            <w:r w:rsidRPr="000B3800">
                              <w:rPr>
                                <w:rFonts w:ascii="Candara" w:hAnsi="Candara"/>
                                <w:color w:val="000000" w:themeColor="text1"/>
                              </w:rPr>
                              <w:tab/>
                            </w:r>
                            <w:bookmarkStart w:id="2" w:name="OLE_LINK45"/>
                            <w:r w:rsidRPr="000B3800">
                              <w:rPr>
                                <w:rFonts w:ascii="Candara" w:hAnsi="Candara"/>
                                <w:color w:val="000000" w:themeColor="text1"/>
                              </w:rPr>
                              <w:t>#5 OR #6 OR #7 OR #8 OR #9 OR #10 OR #11</w:t>
                            </w:r>
                            <w:bookmarkEnd w:id="2"/>
                          </w:p>
                          <w:p w14:paraId="5658B2A8"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3</w:t>
                            </w:r>
                            <w:r w:rsidRPr="000B3800">
                              <w:rPr>
                                <w:rFonts w:ascii="Candara" w:hAnsi="Candara"/>
                                <w:color w:val="000000" w:themeColor="text1"/>
                              </w:rPr>
                              <w:tab/>
                              <w:t>"Systematic Reviews as Topic"[Mesh] OR "Systematic Review"</w:t>
                            </w:r>
                            <w:bookmarkStart w:id="3" w:name="OLE_LINK48"/>
                            <w:r>
                              <w:rPr>
                                <w:rFonts w:ascii="Candara" w:hAnsi="Candara"/>
                                <w:color w:val="000000" w:themeColor="text1"/>
                              </w:rPr>
                              <w:t>[</w:t>
                            </w:r>
                            <w:r>
                              <w:rPr>
                                <w:rFonts w:ascii="Candara" w:hAnsi="Candara"/>
                                <w:noProof/>
                                <w:color w:val="000000" w:themeColor="text1"/>
                              </w:rPr>
                              <w:t>pt</w:t>
                            </w:r>
                            <w:r>
                              <w:rPr>
                                <w:rFonts w:ascii="Candara" w:hAnsi="Candara"/>
                                <w:color w:val="000000" w:themeColor="text1"/>
                              </w:rPr>
                              <w:t>]</w:t>
                            </w:r>
                            <w:bookmarkEnd w:id="3"/>
                            <w:r w:rsidRPr="000B3800">
                              <w:rPr>
                                <w:rFonts w:ascii="Candara" w:hAnsi="Candara"/>
                                <w:color w:val="000000" w:themeColor="text1"/>
                              </w:rPr>
                              <w:t xml:space="preserve"> OR "systematic review"[Filter] OR Systematic Review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23CACD58"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4</w:t>
                            </w:r>
                            <w:r w:rsidRPr="000B3800">
                              <w:rPr>
                                <w:rFonts w:ascii="Candara" w:hAnsi="Candara"/>
                                <w:color w:val="000000" w:themeColor="text1"/>
                              </w:rPr>
                              <w:tab/>
                            </w:r>
                            <w:bookmarkStart w:id="4" w:name="OLE_LINK46"/>
                            <w:r w:rsidRPr="000B3800">
                              <w:rPr>
                                <w:rFonts w:ascii="Candara" w:hAnsi="Candara"/>
                                <w:color w:val="000000" w:themeColor="text1"/>
                              </w:rPr>
                              <w:t>"Meta-Analysis as Topic"[Mesh] OR "Meta-Analysis"</w:t>
                            </w:r>
                            <w:r>
                              <w:rPr>
                                <w:rFonts w:ascii="Candara" w:hAnsi="Candara"/>
                                <w:color w:val="000000" w:themeColor="text1"/>
                              </w:rPr>
                              <w:t>[</w:t>
                            </w:r>
                            <w:r>
                              <w:rPr>
                                <w:rFonts w:ascii="Candara" w:hAnsi="Candara"/>
                                <w:noProof/>
                                <w:color w:val="000000" w:themeColor="text1"/>
                              </w:rPr>
                              <w:t>pt</w:t>
                            </w:r>
                            <w:r>
                              <w:rPr>
                                <w:rFonts w:ascii="Candara" w:hAnsi="Candara"/>
                                <w:color w:val="000000" w:themeColor="text1"/>
                              </w:rPr>
                              <w:t>]</w:t>
                            </w:r>
                            <w:r w:rsidRPr="000B3800">
                              <w:rPr>
                                <w:rFonts w:ascii="Candara" w:hAnsi="Candara"/>
                                <w:color w:val="000000" w:themeColor="text1"/>
                              </w:rPr>
                              <w:t xml:space="preserve"> OR meta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bookmarkEnd w:id="4"/>
                          <w:p w14:paraId="36347B8A"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5</w:t>
                            </w:r>
                            <w:r w:rsidRPr="000B3800">
                              <w:rPr>
                                <w:rFonts w:ascii="Candara" w:hAnsi="Candara"/>
                                <w:color w:val="000000" w:themeColor="text1"/>
                              </w:rPr>
                              <w:tab/>
                            </w:r>
                            <w:bookmarkStart w:id="5" w:name="OLE_LINK47"/>
                            <w:r w:rsidRPr="000B3800">
                              <w:rPr>
                                <w:rFonts w:ascii="Candara" w:hAnsi="Candara"/>
                                <w:color w:val="000000" w:themeColor="text1"/>
                              </w:rPr>
                              <w:t>Evidence synthesis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bookmarkEnd w:id="5"/>
                          </w:p>
                          <w:p w14:paraId="16743D6B"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6</w:t>
                            </w:r>
                            <w:r w:rsidRPr="000B3800">
                              <w:rPr>
                                <w:rFonts w:ascii="Candara" w:hAnsi="Candara"/>
                                <w:color w:val="000000" w:themeColor="text1"/>
                              </w:rPr>
                              <w:tab/>
                              <w:t>#1</w:t>
                            </w:r>
                            <w:r>
                              <w:rPr>
                                <w:rFonts w:ascii="Candara" w:hAnsi="Candara"/>
                                <w:color w:val="000000" w:themeColor="text1"/>
                              </w:rPr>
                              <w:t>3</w:t>
                            </w:r>
                            <w:r w:rsidRPr="000B3800">
                              <w:rPr>
                                <w:rFonts w:ascii="Candara" w:hAnsi="Candara"/>
                                <w:color w:val="000000" w:themeColor="text1"/>
                              </w:rPr>
                              <w:t xml:space="preserve"> OR #1</w:t>
                            </w:r>
                            <w:r>
                              <w:rPr>
                                <w:rFonts w:ascii="Candara" w:hAnsi="Candara"/>
                                <w:color w:val="000000" w:themeColor="text1"/>
                              </w:rPr>
                              <w:t>4</w:t>
                            </w:r>
                            <w:r w:rsidRPr="000B3800">
                              <w:rPr>
                                <w:rFonts w:ascii="Candara" w:hAnsi="Candara"/>
                                <w:color w:val="000000" w:themeColor="text1"/>
                              </w:rPr>
                              <w:t xml:space="preserve"> OR #1</w:t>
                            </w:r>
                            <w:r>
                              <w:rPr>
                                <w:rFonts w:ascii="Candara" w:hAnsi="Candara"/>
                                <w:color w:val="000000" w:themeColor="text1"/>
                              </w:rPr>
                              <w:t>5</w:t>
                            </w:r>
                          </w:p>
                          <w:p w14:paraId="0464F503"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7</w:t>
                            </w:r>
                            <w:r w:rsidRPr="000B3800">
                              <w:rPr>
                                <w:rFonts w:ascii="Candara" w:hAnsi="Candara"/>
                                <w:color w:val="000000" w:themeColor="text1"/>
                              </w:rPr>
                              <w:tab/>
                              <w:t>("humans"[Filter]) AND (</w:t>
                            </w:r>
                            <w:proofErr w:type="gramStart"/>
                            <w:r w:rsidRPr="000B3800">
                              <w:rPr>
                                <w:rFonts w:ascii="Candara" w:hAnsi="Candara"/>
                                <w:color w:val="000000" w:themeColor="text1"/>
                              </w:rPr>
                              <w:t>English[</w:t>
                            </w:r>
                            <w:proofErr w:type="gramEnd"/>
                            <w:r w:rsidRPr="000B3800">
                              <w:rPr>
                                <w:rFonts w:ascii="Candara" w:hAnsi="Candara"/>
                                <w:color w:val="000000" w:themeColor="text1"/>
                              </w:rPr>
                              <w:t>LA]) AND (“2017/12/09”[</w:t>
                            </w:r>
                            <w:proofErr w:type="spellStart"/>
                            <w:r w:rsidRPr="000B3800">
                              <w:rPr>
                                <w:rFonts w:ascii="Candara" w:hAnsi="Candara"/>
                                <w:color w:val="000000" w:themeColor="text1"/>
                              </w:rPr>
                              <w:t>dp</w:t>
                            </w:r>
                            <w:proofErr w:type="spellEnd"/>
                            <w:r w:rsidRPr="000B3800">
                              <w:rPr>
                                <w:rFonts w:ascii="Candara" w:hAnsi="Candara"/>
                                <w:color w:val="000000" w:themeColor="text1"/>
                              </w:rPr>
                              <w:t>]: “2022/12/09”[</w:t>
                            </w:r>
                            <w:proofErr w:type="spellStart"/>
                            <w:r w:rsidRPr="000B3800">
                              <w:rPr>
                                <w:rFonts w:ascii="Candara" w:hAnsi="Candara"/>
                                <w:color w:val="000000" w:themeColor="text1"/>
                              </w:rPr>
                              <w:t>dp</w:t>
                            </w:r>
                            <w:proofErr w:type="spellEnd"/>
                            <w:r w:rsidRPr="000B3800">
                              <w:rPr>
                                <w:rFonts w:ascii="Candara" w:hAnsi="Candara"/>
                                <w:color w:val="000000" w:themeColor="text1"/>
                              </w:rPr>
                              <w:t>])</w:t>
                            </w:r>
                          </w:p>
                          <w:p w14:paraId="30181DFA" w14:textId="4542C442" w:rsidR="00885C76" w:rsidRPr="003B4C06" w:rsidRDefault="00885C76" w:rsidP="00885C76">
                            <w:pPr>
                              <w:spacing w:line="360" w:lineRule="auto"/>
                              <w:jc w:val="left"/>
                              <w:rPr>
                                <w:rFonts w:ascii="Candara" w:hAnsi="Candara"/>
                                <w:color w:val="000000" w:themeColor="text1"/>
                              </w:rPr>
                            </w:pPr>
                            <w:r w:rsidRPr="000B3800">
                              <w:rPr>
                                <w:rFonts w:ascii="Candara" w:hAnsi="Candara"/>
                                <w:color w:val="000000" w:themeColor="text1"/>
                              </w:rPr>
                              <w:t>#</w:t>
                            </w:r>
                            <w:r>
                              <w:rPr>
                                <w:rFonts w:ascii="Candara" w:hAnsi="Candara"/>
                                <w:color w:val="000000" w:themeColor="text1"/>
                              </w:rPr>
                              <w:t xml:space="preserve">18 </w:t>
                            </w:r>
                            <w:r w:rsidRPr="000B3800">
                              <w:rPr>
                                <w:rFonts w:ascii="Candara" w:hAnsi="Candara"/>
                                <w:color w:val="000000" w:themeColor="text1"/>
                              </w:rPr>
                              <w:t>#4 AND #1</w:t>
                            </w:r>
                            <w:r>
                              <w:rPr>
                                <w:rFonts w:ascii="Candara" w:hAnsi="Candara"/>
                                <w:color w:val="000000" w:themeColor="text1"/>
                              </w:rPr>
                              <w:t>2</w:t>
                            </w:r>
                            <w:r w:rsidRPr="000B3800">
                              <w:rPr>
                                <w:rFonts w:ascii="Candara" w:hAnsi="Candara"/>
                                <w:color w:val="000000" w:themeColor="text1"/>
                              </w:rPr>
                              <w:t xml:space="preserve"> AND #1</w:t>
                            </w:r>
                            <w:r>
                              <w:rPr>
                                <w:rFonts w:ascii="Candara" w:hAnsi="Candara"/>
                                <w:color w:val="000000" w:themeColor="text1"/>
                              </w:rPr>
                              <w:t>6</w:t>
                            </w:r>
                            <w:r w:rsidRPr="00E14138">
                              <w:rPr>
                                <w:rFonts w:ascii="Candara" w:hAnsi="Candara"/>
                                <w:color w:val="000000" w:themeColor="text1"/>
                              </w:rPr>
                              <w:t xml:space="preserve"> </w:t>
                            </w:r>
                            <w:r w:rsidRPr="000B3800">
                              <w:rPr>
                                <w:rFonts w:ascii="Candara" w:hAnsi="Candara"/>
                                <w:color w:val="000000" w:themeColor="text1"/>
                              </w:rPr>
                              <w:t>AND #1</w:t>
                            </w:r>
                            <w:r>
                              <w:rPr>
                                <w:rFonts w:ascii="Candara" w:hAnsi="Candara"/>
                                <w:color w:val="000000" w:themeColor="text1"/>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88B26" id="矩形 1" o:spid="_x0000_s1026" style="position:absolute;left:0;text-align:left;margin-left:.3pt;margin-top:3.3pt;width:424.9pt;height:51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" fillcolor="#f2f2f2 [3052]" stroked="f" strokeweight="1pt">
                <v:textbox>
                  <w:txbxContent>
                    <w:p w14:paraId="18DA1DA0"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sidRPr="000B3800">
                        <w:rPr>
                          <w:rFonts w:ascii="Candara" w:hAnsi="Candara"/>
                          <w:color w:val="000000" w:themeColor="text1"/>
                        </w:rPr>
                        <w:tab/>
                        <w:t xml:space="preserve">"Randomized Controlled Trials as Topic"[Mesh] OR </w:t>
                      </w:r>
                      <w:proofErr w:type="spellStart"/>
                      <w:r w:rsidRPr="000B3800">
                        <w:rPr>
                          <w:rFonts w:ascii="Candara" w:hAnsi="Candara"/>
                          <w:color w:val="000000" w:themeColor="text1"/>
                        </w:rPr>
                        <w:t>randomi</w:t>
                      </w:r>
                      <w:proofErr w:type="spellEnd"/>
                      <w:r w:rsidRPr="000B3800">
                        <w:rPr>
                          <w:rFonts w:ascii="Candara" w:hAnsi="Candara"/>
                          <w:color w:val="000000" w:themeColor="text1"/>
                        </w:rPr>
                        <w:t>* [</w:t>
                      </w:r>
                      <w:proofErr w:type="spellStart"/>
                      <w:r w:rsidRPr="000B3800">
                        <w:rPr>
                          <w:rFonts w:ascii="Candara" w:hAnsi="Candara"/>
                          <w:color w:val="000000" w:themeColor="text1"/>
                        </w:rPr>
                        <w:t>tiab</w:t>
                      </w:r>
                      <w:proofErr w:type="spellEnd"/>
                      <w:r w:rsidRPr="000B3800">
                        <w:rPr>
                          <w:rFonts w:ascii="Candara" w:hAnsi="Candara"/>
                          <w:color w:val="000000" w:themeColor="text1"/>
                        </w:rPr>
                        <w:t>] OR RCT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02AF509B"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#2</w:t>
                      </w:r>
                      <w:r w:rsidRPr="000B3800">
                        <w:rPr>
                          <w:rFonts w:ascii="Candara" w:hAnsi="Candara"/>
                          <w:color w:val="000000" w:themeColor="text1"/>
                        </w:rPr>
                        <w:tab/>
                        <w:t>"Controlled Clinical Trials as Topic"[Mesh] OR "controlled trial*"[</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1AB3F6BE"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#3</w:t>
                      </w:r>
                      <w:r w:rsidRPr="000B3800">
                        <w:rPr>
                          <w:rFonts w:ascii="Candara" w:hAnsi="Candara"/>
                          <w:color w:val="000000" w:themeColor="text1"/>
                        </w:rPr>
                        <w:tab/>
                        <w:t>"Clinical Trials as Topic"[</w:t>
                      </w:r>
                      <w:proofErr w:type="spellStart"/>
                      <w:r w:rsidRPr="000B3800">
                        <w:rPr>
                          <w:rFonts w:ascii="Candara" w:hAnsi="Candara"/>
                          <w:color w:val="000000" w:themeColor="text1"/>
                        </w:rPr>
                        <w:t>MeSH</w:t>
                      </w:r>
                      <w:proofErr w:type="spellEnd"/>
                      <w:r w:rsidRPr="000B3800">
                        <w:rPr>
                          <w:rFonts w:ascii="Candara" w:hAnsi="Candara"/>
                          <w:color w:val="000000" w:themeColor="text1"/>
                        </w:rPr>
                        <w:t>] OR "clinical trial*"[</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050DA5DB"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#4</w:t>
                      </w:r>
                      <w:r w:rsidRPr="000B3800">
                        <w:rPr>
                          <w:rFonts w:ascii="Candara" w:hAnsi="Candara"/>
                          <w:color w:val="000000" w:themeColor="text1"/>
                        </w:rPr>
                        <w:tab/>
                        <w:t>#1 OR #2 OR #3</w:t>
                      </w:r>
                    </w:p>
                    <w:p w14:paraId="77A069F8"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#5</w:t>
                      </w:r>
                      <w:r w:rsidRPr="000B3800">
                        <w:rPr>
                          <w:rFonts w:ascii="Candara" w:hAnsi="Candara"/>
                          <w:color w:val="000000" w:themeColor="text1"/>
                        </w:rPr>
                        <w:tab/>
                        <w:t xml:space="preserve">"Non-Randomized Controlled Trials as Topic"[Mesh] OR Non </w:t>
                      </w:r>
                      <w:proofErr w:type="spellStart"/>
                      <w:r w:rsidRPr="000B3800">
                        <w:rPr>
                          <w:rFonts w:ascii="Candara" w:hAnsi="Candara"/>
                          <w:color w:val="000000" w:themeColor="text1"/>
                        </w:rPr>
                        <w:t>randomi</w:t>
                      </w:r>
                      <w:proofErr w:type="spellEnd"/>
                      <w:r w:rsidRPr="000B3800">
                        <w:rPr>
                          <w:rFonts w:ascii="Candara" w:hAnsi="Candara"/>
                          <w:color w:val="000000" w:themeColor="text1"/>
                        </w:rPr>
                        <w:t>* [</w:t>
                      </w:r>
                      <w:proofErr w:type="spellStart"/>
                      <w:r w:rsidRPr="000B3800">
                        <w:rPr>
                          <w:rFonts w:ascii="Candara" w:hAnsi="Candara"/>
                          <w:color w:val="000000" w:themeColor="text1"/>
                        </w:rPr>
                        <w:t>tiab</w:t>
                      </w:r>
                      <w:proofErr w:type="spellEnd"/>
                      <w:r w:rsidRPr="000B3800">
                        <w:rPr>
                          <w:rFonts w:ascii="Candara" w:hAnsi="Candara"/>
                          <w:color w:val="000000" w:themeColor="text1"/>
                        </w:rPr>
                        <w:t xml:space="preserve">] OR </w:t>
                      </w:r>
                      <w:proofErr w:type="spellStart"/>
                      <w:r w:rsidRPr="000B3800">
                        <w:rPr>
                          <w:rFonts w:ascii="Candara" w:hAnsi="Candara"/>
                          <w:color w:val="000000" w:themeColor="text1"/>
                        </w:rPr>
                        <w:t>Nonrandomi</w:t>
                      </w:r>
                      <w:proofErr w:type="spellEnd"/>
                      <w:r w:rsidRPr="000B3800">
                        <w:rPr>
                          <w:rFonts w:ascii="Candara" w:hAnsi="Candara"/>
                          <w:color w:val="000000" w:themeColor="text1"/>
                        </w:rPr>
                        <w:t>* [</w:t>
                      </w:r>
                      <w:proofErr w:type="spellStart"/>
                      <w:r w:rsidRPr="000B3800">
                        <w:rPr>
                          <w:rFonts w:ascii="Candara" w:hAnsi="Candara"/>
                          <w:color w:val="000000" w:themeColor="text1"/>
                        </w:rPr>
                        <w:t>tiab</w:t>
                      </w:r>
                      <w:proofErr w:type="spellEnd"/>
                      <w:r w:rsidRPr="000B3800">
                        <w:rPr>
                          <w:rFonts w:ascii="Candara" w:hAnsi="Candara"/>
                          <w:color w:val="000000" w:themeColor="text1"/>
                        </w:rPr>
                        <w:t>] OR Non-RCT* [</w:t>
                      </w:r>
                      <w:proofErr w:type="spellStart"/>
                      <w:r w:rsidRPr="000B3800">
                        <w:rPr>
                          <w:rFonts w:ascii="Candara" w:hAnsi="Candara"/>
                          <w:color w:val="000000" w:themeColor="text1"/>
                        </w:rPr>
                        <w:t>tiab</w:t>
                      </w:r>
                      <w:proofErr w:type="spellEnd"/>
                      <w:r w:rsidRPr="000B3800">
                        <w:rPr>
                          <w:rFonts w:ascii="Candara" w:hAnsi="Candara"/>
                          <w:color w:val="000000" w:themeColor="text1"/>
                        </w:rPr>
                        <w:t>] OR NRCT*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600E3DC3"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#6</w:t>
                      </w:r>
                      <w:r w:rsidRPr="000B3800">
                        <w:rPr>
                          <w:rFonts w:ascii="Candara" w:hAnsi="Candara"/>
                          <w:color w:val="000000" w:themeColor="text1"/>
                        </w:rPr>
                        <w:tab/>
                        <w:t xml:space="preserve">Quasi </w:t>
                      </w:r>
                      <w:proofErr w:type="spellStart"/>
                      <w:r w:rsidRPr="000B3800">
                        <w:rPr>
                          <w:rFonts w:ascii="Candara" w:hAnsi="Candara"/>
                          <w:color w:val="000000" w:themeColor="text1"/>
                        </w:rPr>
                        <w:t>randomi</w:t>
                      </w:r>
                      <w:proofErr w:type="spellEnd"/>
                      <w:r w:rsidRPr="000B3800">
                        <w:rPr>
                          <w:rFonts w:ascii="Candara" w:hAnsi="Candara"/>
                          <w:color w:val="000000" w:themeColor="text1"/>
                        </w:rPr>
                        <w:t>* [</w:t>
                      </w:r>
                      <w:proofErr w:type="spellStart"/>
                      <w:r w:rsidRPr="000B3800">
                        <w:rPr>
                          <w:rFonts w:ascii="Candara" w:hAnsi="Candara"/>
                          <w:color w:val="000000" w:themeColor="text1"/>
                        </w:rPr>
                        <w:t>tiab</w:t>
                      </w:r>
                      <w:proofErr w:type="spellEnd"/>
                      <w:r w:rsidRPr="000B3800">
                        <w:rPr>
                          <w:rFonts w:ascii="Candara" w:hAnsi="Candara"/>
                          <w:color w:val="000000" w:themeColor="text1"/>
                        </w:rPr>
                        <w:t>] OR Quasi experiment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1D64469F"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#7</w:t>
                      </w:r>
                      <w:r w:rsidRPr="000B3800">
                        <w:rPr>
                          <w:rFonts w:ascii="Candara" w:hAnsi="Candara"/>
                          <w:color w:val="000000" w:themeColor="text1"/>
                        </w:rPr>
                        <w:tab/>
                        <w:t>"Cohort Studies"[Mesh] OR Cohort stud*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2AF60101"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#8</w:t>
                      </w:r>
                      <w:r w:rsidRPr="000B3800">
                        <w:rPr>
                          <w:rFonts w:ascii="Candara" w:hAnsi="Candara"/>
                          <w:color w:val="000000" w:themeColor="text1"/>
                        </w:rPr>
                        <w:tab/>
                        <w:t>"Case-Control Studies"[Mesh] OR Case control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3A914287" w14:textId="77777777" w:rsidR="00885C76" w:rsidRPr="0054359C" w:rsidRDefault="00885C76" w:rsidP="00885C76">
                      <w:pPr>
                        <w:spacing w:line="360" w:lineRule="auto"/>
                        <w:jc w:val="left"/>
                        <w:rPr>
                          <w:rFonts w:ascii="Candara" w:hAnsi="Candara"/>
                          <w:color w:val="FF0000"/>
                        </w:rPr>
                      </w:pPr>
                      <w:r w:rsidRPr="000B3800">
                        <w:rPr>
                          <w:rFonts w:ascii="Candara" w:hAnsi="Candara"/>
                          <w:color w:val="000000" w:themeColor="text1"/>
                        </w:rPr>
                        <w:t>#9</w:t>
                      </w:r>
                      <w:r w:rsidRPr="000B3800">
                        <w:rPr>
                          <w:rFonts w:ascii="Candara" w:hAnsi="Candara"/>
                          <w:color w:val="000000" w:themeColor="text1"/>
                        </w:rPr>
                        <w:tab/>
                        <w:t>"Observational Studies as Topic"[Mesh] OR "Observation"[Mesh] OR Observation*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71B2139A"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0</w:t>
                      </w:r>
                      <w:r w:rsidRPr="000B3800">
                        <w:rPr>
                          <w:rFonts w:ascii="Candara" w:hAnsi="Candara"/>
                          <w:color w:val="000000" w:themeColor="text1"/>
                        </w:rPr>
                        <w:tab/>
                        <w:t>"Prospective Studies" [Mesh] OR "prospective"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57A6DDA0"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1</w:t>
                      </w:r>
                      <w:r w:rsidRPr="000B3800">
                        <w:rPr>
                          <w:rFonts w:ascii="Candara" w:hAnsi="Candara"/>
                          <w:color w:val="000000" w:themeColor="text1"/>
                        </w:rPr>
                        <w:tab/>
                        <w:t>"Retrospective Studies" [Mesh] OR "retrospective"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37912582"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2</w:t>
                      </w:r>
                      <w:r w:rsidRPr="000B3800">
                        <w:rPr>
                          <w:rFonts w:ascii="Candara" w:hAnsi="Candara"/>
                          <w:color w:val="000000" w:themeColor="text1"/>
                        </w:rPr>
                        <w:tab/>
                      </w:r>
                      <w:bookmarkStart w:id="6" w:name="OLE_LINK45"/>
                      <w:r w:rsidRPr="000B3800">
                        <w:rPr>
                          <w:rFonts w:ascii="Candara" w:hAnsi="Candara"/>
                          <w:color w:val="000000" w:themeColor="text1"/>
                        </w:rPr>
                        <w:t>#5 OR #6 OR #7 OR #8 OR #9 OR #10 OR #11</w:t>
                      </w:r>
                      <w:bookmarkEnd w:id="6"/>
                    </w:p>
                    <w:p w14:paraId="5658B2A8"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3</w:t>
                      </w:r>
                      <w:r w:rsidRPr="000B3800">
                        <w:rPr>
                          <w:rFonts w:ascii="Candara" w:hAnsi="Candara"/>
                          <w:color w:val="000000" w:themeColor="text1"/>
                        </w:rPr>
                        <w:tab/>
                        <w:t>"Systematic Reviews as Topic"[Mesh] OR "Systematic Review"</w:t>
                      </w:r>
                      <w:bookmarkStart w:id="7" w:name="OLE_LINK48"/>
                      <w:r>
                        <w:rPr>
                          <w:rFonts w:ascii="Candara" w:hAnsi="Candara"/>
                          <w:color w:val="000000" w:themeColor="text1"/>
                        </w:rPr>
                        <w:t>[</w:t>
                      </w:r>
                      <w:r>
                        <w:rPr>
                          <w:rFonts w:ascii="Candara" w:hAnsi="Candara"/>
                          <w:noProof/>
                          <w:color w:val="000000" w:themeColor="text1"/>
                        </w:rPr>
                        <w:t>pt</w:t>
                      </w:r>
                      <w:r>
                        <w:rPr>
                          <w:rFonts w:ascii="Candara" w:hAnsi="Candara"/>
                          <w:color w:val="000000" w:themeColor="text1"/>
                        </w:rPr>
                        <w:t>]</w:t>
                      </w:r>
                      <w:bookmarkEnd w:id="7"/>
                      <w:r w:rsidRPr="000B3800">
                        <w:rPr>
                          <w:rFonts w:ascii="Candara" w:hAnsi="Candara"/>
                          <w:color w:val="000000" w:themeColor="text1"/>
                        </w:rPr>
                        <w:t xml:space="preserve"> OR "systematic review"[Filter] OR Systematic Review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p w14:paraId="23CACD58"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4</w:t>
                      </w:r>
                      <w:r w:rsidRPr="000B3800">
                        <w:rPr>
                          <w:rFonts w:ascii="Candara" w:hAnsi="Candara"/>
                          <w:color w:val="000000" w:themeColor="text1"/>
                        </w:rPr>
                        <w:tab/>
                      </w:r>
                      <w:bookmarkStart w:id="8" w:name="OLE_LINK46"/>
                      <w:r w:rsidRPr="000B3800">
                        <w:rPr>
                          <w:rFonts w:ascii="Candara" w:hAnsi="Candara"/>
                          <w:color w:val="000000" w:themeColor="text1"/>
                        </w:rPr>
                        <w:t>"Meta-Analysis as Topic"[Mesh] OR "Meta-Analysis"</w:t>
                      </w:r>
                      <w:r>
                        <w:rPr>
                          <w:rFonts w:ascii="Candara" w:hAnsi="Candara"/>
                          <w:color w:val="000000" w:themeColor="text1"/>
                        </w:rPr>
                        <w:t>[</w:t>
                      </w:r>
                      <w:r>
                        <w:rPr>
                          <w:rFonts w:ascii="Candara" w:hAnsi="Candara"/>
                          <w:noProof/>
                          <w:color w:val="000000" w:themeColor="text1"/>
                        </w:rPr>
                        <w:t>pt</w:t>
                      </w:r>
                      <w:r>
                        <w:rPr>
                          <w:rFonts w:ascii="Candara" w:hAnsi="Candara"/>
                          <w:color w:val="000000" w:themeColor="text1"/>
                        </w:rPr>
                        <w:t>]</w:t>
                      </w:r>
                      <w:r w:rsidRPr="000B3800">
                        <w:rPr>
                          <w:rFonts w:ascii="Candara" w:hAnsi="Candara"/>
                          <w:color w:val="000000" w:themeColor="text1"/>
                        </w:rPr>
                        <w:t xml:space="preserve"> OR meta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p>
                    <w:bookmarkEnd w:id="8"/>
                    <w:p w14:paraId="36347B8A"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5</w:t>
                      </w:r>
                      <w:r w:rsidRPr="000B3800">
                        <w:rPr>
                          <w:rFonts w:ascii="Candara" w:hAnsi="Candara"/>
                          <w:color w:val="000000" w:themeColor="text1"/>
                        </w:rPr>
                        <w:tab/>
                      </w:r>
                      <w:bookmarkStart w:id="9" w:name="OLE_LINK47"/>
                      <w:r w:rsidRPr="000B3800">
                        <w:rPr>
                          <w:rFonts w:ascii="Candara" w:hAnsi="Candara"/>
                          <w:color w:val="000000" w:themeColor="text1"/>
                        </w:rPr>
                        <w:t>Evidence synthesis [</w:t>
                      </w:r>
                      <w:proofErr w:type="spellStart"/>
                      <w:r w:rsidRPr="000B3800">
                        <w:rPr>
                          <w:rFonts w:ascii="Candara" w:hAnsi="Candara"/>
                          <w:color w:val="000000" w:themeColor="text1"/>
                        </w:rPr>
                        <w:t>tiab</w:t>
                      </w:r>
                      <w:proofErr w:type="spellEnd"/>
                      <w:r w:rsidRPr="000B3800">
                        <w:rPr>
                          <w:rFonts w:ascii="Candara" w:hAnsi="Candara"/>
                          <w:color w:val="000000" w:themeColor="text1"/>
                        </w:rPr>
                        <w:t>]</w:t>
                      </w:r>
                      <w:bookmarkEnd w:id="9"/>
                    </w:p>
                    <w:p w14:paraId="16743D6B"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6</w:t>
                      </w:r>
                      <w:r w:rsidRPr="000B3800">
                        <w:rPr>
                          <w:rFonts w:ascii="Candara" w:hAnsi="Candara"/>
                          <w:color w:val="000000" w:themeColor="text1"/>
                        </w:rPr>
                        <w:tab/>
                        <w:t>#1</w:t>
                      </w:r>
                      <w:r>
                        <w:rPr>
                          <w:rFonts w:ascii="Candara" w:hAnsi="Candara"/>
                          <w:color w:val="000000" w:themeColor="text1"/>
                        </w:rPr>
                        <w:t>3</w:t>
                      </w:r>
                      <w:r w:rsidRPr="000B3800">
                        <w:rPr>
                          <w:rFonts w:ascii="Candara" w:hAnsi="Candara"/>
                          <w:color w:val="000000" w:themeColor="text1"/>
                        </w:rPr>
                        <w:t xml:space="preserve"> OR #1</w:t>
                      </w:r>
                      <w:r>
                        <w:rPr>
                          <w:rFonts w:ascii="Candara" w:hAnsi="Candara"/>
                          <w:color w:val="000000" w:themeColor="text1"/>
                        </w:rPr>
                        <w:t>4</w:t>
                      </w:r>
                      <w:r w:rsidRPr="000B3800">
                        <w:rPr>
                          <w:rFonts w:ascii="Candara" w:hAnsi="Candara"/>
                          <w:color w:val="000000" w:themeColor="text1"/>
                        </w:rPr>
                        <w:t xml:space="preserve"> OR #1</w:t>
                      </w:r>
                      <w:r>
                        <w:rPr>
                          <w:rFonts w:ascii="Candara" w:hAnsi="Candara"/>
                          <w:color w:val="000000" w:themeColor="text1"/>
                        </w:rPr>
                        <w:t>5</w:t>
                      </w:r>
                    </w:p>
                    <w:p w14:paraId="0464F503" w14:textId="77777777" w:rsidR="00885C76" w:rsidRPr="000B3800" w:rsidRDefault="00885C76" w:rsidP="00885C76">
                      <w:pPr>
                        <w:spacing w:line="360" w:lineRule="auto"/>
                        <w:jc w:val="left"/>
                        <w:rPr>
                          <w:rFonts w:ascii="Candara" w:hAnsi="Candara"/>
                          <w:color w:val="000000" w:themeColor="text1"/>
                        </w:rPr>
                      </w:pPr>
                      <w:r w:rsidRPr="000B3800">
                        <w:rPr>
                          <w:rFonts w:ascii="Candara" w:hAnsi="Candara"/>
                          <w:color w:val="000000" w:themeColor="text1"/>
                        </w:rPr>
                        <w:t>#1</w:t>
                      </w:r>
                      <w:r>
                        <w:rPr>
                          <w:rFonts w:ascii="Candara" w:hAnsi="Candara"/>
                          <w:color w:val="000000" w:themeColor="text1"/>
                        </w:rPr>
                        <w:t>7</w:t>
                      </w:r>
                      <w:r w:rsidRPr="000B3800">
                        <w:rPr>
                          <w:rFonts w:ascii="Candara" w:hAnsi="Candara"/>
                          <w:color w:val="000000" w:themeColor="text1"/>
                        </w:rPr>
                        <w:tab/>
                        <w:t>("humans"[Filter]) AND (</w:t>
                      </w:r>
                      <w:proofErr w:type="gramStart"/>
                      <w:r w:rsidRPr="000B3800">
                        <w:rPr>
                          <w:rFonts w:ascii="Candara" w:hAnsi="Candara"/>
                          <w:color w:val="000000" w:themeColor="text1"/>
                        </w:rPr>
                        <w:t>English[</w:t>
                      </w:r>
                      <w:proofErr w:type="gramEnd"/>
                      <w:r w:rsidRPr="000B3800">
                        <w:rPr>
                          <w:rFonts w:ascii="Candara" w:hAnsi="Candara"/>
                          <w:color w:val="000000" w:themeColor="text1"/>
                        </w:rPr>
                        <w:t>LA]) AND (“2017/12/09”[</w:t>
                      </w:r>
                      <w:proofErr w:type="spellStart"/>
                      <w:r w:rsidRPr="000B3800">
                        <w:rPr>
                          <w:rFonts w:ascii="Candara" w:hAnsi="Candara"/>
                          <w:color w:val="000000" w:themeColor="text1"/>
                        </w:rPr>
                        <w:t>dp</w:t>
                      </w:r>
                      <w:proofErr w:type="spellEnd"/>
                      <w:r w:rsidRPr="000B3800">
                        <w:rPr>
                          <w:rFonts w:ascii="Candara" w:hAnsi="Candara"/>
                          <w:color w:val="000000" w:themeColor="text1"/>
                        </w:rPr>
                        <w:t>]: “2022/12/09”[</w:t>
                      </w:r>
                      <w:proofErr w:type="spellStart"/>
                      <w:r w:rsidRPr="000B3800">
                        <w:rPr>
                          <w:rFonts w:ascii="Candara" w:hAnsi="Candara"/>
                          <w:color w:val="000000" w:themeColor="text1"/>
                        </w:rPr>
                        <w:t>dp</w:t>
                      </w:r>
                      <w:proofErr w:type="spellEnd"/>
                      <w:r w:rsidRPr="000B3800">
                        <w:rPr>
                          <w:rFonts w:ascii="Candara" w:hAnsi="Candara"/>
                          <w:color w:val="000000" w:themeColor="text1"/>
                        </w:rPr>
                        <w:t>])</w:t>
                      </w:r>
                    </w:p>
                    <w:p w14:paraId="30181DFA" w14:textId="4542C442" w:rsidR="00885C76" w:rsidRPr="003B4C06" w:rsidRDefault="00885C76" w:rsidP="00885C76">
                      <w:pPr>
                        <w:spacing w:line="360" w:lineRule="auto"/>
                        <w:jc w:val="left"/>
                        <w:rPr>
                          <w:rFonts w:ascii="Candara" w:hAnsi="Candara"/>
                          <w:color w:val="000000" w:themeColor="text1"/>
                        </w:rPr>
                      </w:pPr>
                      <w:r w:rsidRPr="000B3800">
                        <w:rPr>
                          <w:rFonts w:ascii="Candara" w:hAnsi="Candara"/>
                          <w:color w:val="000000" w:themeColor="text1"/>
                        </w:rPr>
                        <w:t>#</w:t>
                      </w:r>
                      <w:r>
                        <w:rPr>
                          <w:rFonts w:ascii="Candara" w:hAnsi="Candara"/>
                          <w:color w:val="000000" w:themeColor="text1"/>
                        </w:rPr>
                        <w:t xml:space="preserve">18 </w:t>
                      </w:r>
                      <w:r w:rsidRPr="000B3800">
                        <w:rPr>
                          <w:rFonts w:ascii="Candara" w:hAnsi="Candara"/>
                          <w:color w:val="000000" w:themeColor="text1"/>
                        </w:rPr>
                        <w:t>#4 AND #1</w:t>
                      </w:r>
                      <w:r>
                        <w:rPr>
                          <w:rFonts w:ascii="Candara" w:hAnsi="Candara"/>
                          <w:color w:val="000000" w:themeColor="text1"/>
                        </w:rPr>
                        <w:t>2</w:t>
                      </w:r>
                      <w:r w:rsidRPr="000B3800">
                        <w:rPr>
                          <w:rFonts w:ascii="Candara" w:hAnsi="Candara"/>
                          <w:color w:val="000000" w:themeColor="text1"/>
                        </w:rPr>
                        <w:t xml:space="preserve"> AND #1</w:t>
                      </w:r>
                      <w:r>
                        <w:rPr>
                          <w:rFonts w:ascii="Candara" w:hAnsi="Candara"/>
                          <w:color w:val="000000" w:themeColor="text1"/>
                        </w:rPr>
                        <w:t>6</w:t>
                      </w:r>
                      <w:r w:rsidRPr="00E14138">
                        <w:rPr>
                          <w:rFonts w:ascii="Candara" w:hAnsi="Candara"/>
                          <w:color w:val="000000" w:themeColor="text1"/>
                        </w:rPr>
                        <w:t xml:space="preserve"> </w:t>
                      </w:r>
                      <w:r w:rsidRPr="000B3800">
                        <w:rPr>
                          <w:rFonts w:ascii="Candara" w:hAnsi="Candara"/>
                          <w:color w:val="000000" w:themeColor="text1"/>
                        </w:rPr>
                        <w:t>AND #1</w:t>
                      </w:r>
                      <w:r>
                        <w:rPr>
                          <w:rFonts w:ascii="Candara" w:hAnsi="Candara"/>
                          <w:color w:val="000000" w:themeColor="text1"/>
                        </w:rPr>
                        <w:t>7</w:t>
                      </w:r>
                    </w:p>
                  </w:txbxContent>
                </v:textbox>
              </v:rect>
            </w:pict>
          </mc:Fallback>
        </mc:AlternateContent>
      </w:r>
    </w:p>
    <w:p w14:paraId="3F3EA8F9" w14:textId="77777777" w:rsidR="00885C76" w:rsidRDefault="00885C76" w:rsidP="00885C76">
      <w:pPr>
        <w:rPr>
          <w:rFonts w:ascii="Times New Roman" w:hAnsi="Times New Roman" w:cs="Times New Roman"/>
          <w:b/>
          <w:bCs/>
        </w:rPr>
      </w:pPr>
    </w:p>
    <w:p w14:paraId="61E538D0" w14:textId="77777777" w:rsidR="00885C76" w:rsidRDefault="00885C76" w:rsidP="00885C76">
      <w:pPr>
        <w:rPr>
          <w:rFonts w:ascii="Times New Roman" w:hAnsi="Times New Roman" w:cs="Times New Roman"/>
          <w:b/>
          <w:bCs/>
        </w:rPr>
      </w:pPr>
    </w:p>
    <w:p w14:paraId="31C17408" w14:textId="77777777" w:rsidR="00885C76" w:rsidRDefault="00885C76" w:rsidP="00885C76">
      <w:pPr>
        <w:rPr>
          <w:rFonts w:ascii="Times New Roman" w:hAnsi="Times New Roman" w:cs="Times New Roman"/>
          <w:b/>
          <w:bCs/>
        </w:rPr>
      </w:pPr>
    </w:p>
    <w:p w14:paraId="658D2308" w14:textId="77777777" w:rsidR="00885C76" w:rsidRDefault="00885C76" w:rsidP="00885C76">
      <w:pPr>
        <w:rPr>
          <w:rFonts w:ascii="Times New Roman" w:hAnsi="Times New Roman" w:cs="Times New Roman"/>
          <w:b/>
          <w:bCs/>
        </w:rPr>
      </w:pPr>
    </w:p>
    <w:p w14:paraId="7285D8B9" w14:textId="77777777" w:rsidR="00885C76" w:rsidRDefault="00885C76" w:rsidP="00885C76">
      <w:pPr>
        <w:rPr>
          <w:rFonts w:ascii="Times New Roman" w:hAnsi="Times New Roman" w:cs="Times New Roman"/>
          <w:b/>
          <w:bCs/>
        </w:rPr>
      </w:pPr>
    </w:p>
    <w:p w14:paraId="13D823DA" w14:textId="77777777" w:rsidR="00885C76" w:rsidRDefault="00885C76" w:rsidP="00885C76">
      <w:pPr>
        <w:rPr>
          <w:rFonts w:ascii="Times New Roman" w:hAnsi="Times New Roman" w:cs="Times New Roman"/>
          <w:b/>
          <w:bCs/>
        </w:rPr>
      </w:pPr>
    </w:p>
    <w:p w14:paraId="65E4125F" w14:textId="77777777" w:rsidR="00885C76" w:rsidRDefault="00885C76" w:rsidP="00885C76">
      <w:pPr>
        <w:rPr>
          <w:rFonts w:ascii="Times New Roman" w:hAnsi="Times New Roman" w:cs="Times New Roman"/>
          <w:b/>
          <w:bCs/>
        </w:rPr>
      </w:pPr>
    </w:p>
    <w:p w14:paraId="79A1BED8" w14:textId="77777777" w:rsidR="00885C76" w:rsidRDefault="00885C76" w:rsidP="00885C76">
      <w:pPr>
        <w:rPr>
          <w:rFonts w:ascii="Times New Roman" w:hAnsi="Times New Roman" w:cs="Times New Roman"/>
          <w:b/>
          <w:bCs/>
        </w:rPr>
      </w:pPr>
    </w:p>
    <w:p w14:paraId="4D2359BB" w14:textId="77777777" w:rsidR="00885C76" w:rsidRDefault="00885C76" w:rsidP="00885C76">
      <w:pPr>
        <w:rPr>
          <w:rFonts w:ascii="Times New Roman" w:hAnsi="Times New Roman" w:cs="Times New Roman"/>
          <w:b/>
          <w:bCs/>
        </w:rPr>
      </w:pPr>
    </w:p>
    <w:p w14:paraId="60363F1C" w14:textId="77777777" w:rsidR="00885C76" w:rsidRDefault="00885C76" w:rsidP="00885C76">
      <w:pPr>
        <w:rPr>
          <w:rFonts w:ascii="Times New Roman" w:hAnsi="Times New Roman" w:cs="Times New Roman"/>
          <w:b/>
          <w:bCs/>
        </w:rPr>
      </w:pPr>
    </w:p>
    <w:p w14:paraId="1C200FC2" w14:textId="77777777" w:rsidR="00885C76" w:rsidRDefault="00885C76" w:rsidP="00885C76">
      <w:pPr>
        <w:rPr>
          <w:rFonts w:ascii="Times New Roman" w:hAnsi="Times New Roman" w:cs="Times New Roman"/>
          <w:b/>
          <w:bCs/>
        </w:rPr>
      </w:pPr>
    </w:p>
    <w:p w14:paraId="15093F40" w14:textId="77777777" w:rsidR="00885C76" w:rsidRDefault="00885C76" w:rsidP="00885C76">
      <w:pPr>
        <w:rPr>
          <w:rFonts w:ascii="Times New Roman" w:hAnsi="Times New Roman" w:cs="Times New Roman"/>
          <w:b/>
          <w:bCs/>
        </w:rPr>
      </w:pPr>
    </w:p>
    <w:p w14:paraId="1ECC2F74" w14:textId="77777777" w:rsidR="00885C76" w:rsidRDefault="00885C76" w:rsidP="00885C76">
      <w:pPr>
        <w:rPr>
          <w:rFonts w:ascii="Times New Roman" w:hAnsi="Times New Roman" w:cs="Times New Roman"/>
          <w:b/>
          <w:bCs/>
        </w:rPr>
      </w:pPr>
    </w:p>
    <w:p w14:paraId="1A452745" w14:textId="77777777" w:rsidR="00885C76" w:rsidRDefault="00885C76" w:rsidP="00885C76">
      <w:pPr>
        <w:rPr>
          <w:rFonts w:ascii="Times New Roman" w:hAnsi="Times New Roman" w:cs="Times New Roman"/>
          <w:b/>
          <w:bCs/>
        </w:rPr>
      </w:pPr>
    </w:p>
    <w:p w14:paraId="6A004965" w14:textId="77777777" w:rsidR="00885C76" w:rsidRDefault="00885C76" w:rsidP="00885C76">
      <w:pPr>
        <w:rPr>
          <w:rFonts w:ascii="Times New Roman" w:hAnsi="Times New Roman" w:cs="Times New Roman"/>
          <w:b/>
          <w:bCs/>
        </w:rPr>
      </w:pPr>
    </w:p>
    <w:p w14:paraId="280CA4E6" w14:textId="77777777" w:rsidR="00885C76" w:rsidRDefault="00885C76" w:rsidP="00885C76">
      <w:pPr>
        <w:rPr>
          <w:rFonts w:ascii="Times New Roman" w:hAnsi="Times New Roman" w:cs="Times New Roman"/>
          <w:b/>
          <w:bCs/>
        </w:rPr>
      </w:pPr>
    </w:p>
    <w:p w14:paraId="081ED30A" w14:textId="77777777" w:rsidR="00885C76" w:rsidRDefault="00885C76" w:rsidP="00885C76">
      <w:pPr>
        <w:rPr>
          <w:rFonts w:ascii="Times New Roman" w:hAnsi="Times New Roman" w:cs="Times New Roman"/>
          <w:b/>
          <w:bCs/>
        </w:rPr>
      </w:pPr>
    </w:p>
    <w:p w14:paraId="2192E50D" w14:textId="77777777" w:rsidR="00885C76" w:rsidRDefault="00885C76" w:rsidP="00885C76">
      <w:pPr>
        <w:rPr>
          <w:rFonts w:ascii="Times New Roman" w:hAnsi="Times New Roman" w:cs="Times New Roman"/>
          <w:b/>
          <w:bCs/>
        </w:rPr>
      </w:pPr>
    </w:p>
    <w:p w14:paraId="1B69E2F7" w14:textId="77777777" w:rsidR="00885C76" w:rsidRDefault="00885C76" w:rsidP="00885C76">
      <w:pPr>
        <w:rPr>
          <w:rFonts w:ascii="Times New Roman" w:hAnsi="Times New Roman" w:cs="Times New Roman"/>
          <w:b/>
          <w:bCs/>
        </w:rPr>
      </w:pPr>
    </w:p>
    <w:p w14:paraId="4834DCE5" w14:textId="77777777" w:rsidR="00885C76" w:rsidRDefault="00885C76" w:rsidP="00885C76">
      <w:pPr>
        <w:rPr>
          <w:rFonts w:ascii="Times New Roman" w:hAnsi="Times New Roman" w:cs="Times New Roman"/>
          <w:b/>
          <w:bCs/>
        </w:rPr>
      </w:pPr>
    </w:p>
    <w:p w14:paraId="2F0B1BC1" w14:textId="77777777" w:rsidR="00885C76" w:rsidRDefault="00885C76" w:rsidP="00885C76">
      <w:pPr>
        <w:rPr>
          <w:rFonts w:ascii="Times New Roman" w:hAnsi="Times New Roman" w:cs="Times New Roman"/>
          <w:b/>
          <w:bCs/>
        </w:rPr>
      </w:pPr>
    </w:p>
    <w:p w14:paraId="5834776E" w14:textId="77777777" w:rsidR="00885C76" w:rsidRDefault="00885C76" w:rsidP="00885C76">
      <w:pPr>
        <w:rPr>
          <w:rFonts w:ascii="Times New Roman" w:hAnsi="Times New Roman" w:cs="Times New Roman"/>
          <w:b/>
          <w:bCs/>
        </w:rPr>
      </w:pPr>
    </w:p>
    <w:p w14:paraId="6FD69944" w14:textId="77777777" w:rsidR="00885C76" w:rsidRDefault="00885C76" w:rsidP="00885C76">
      <w:pPr>
        <w:rPr>
          <w:rFonts w:ascii="Times New Roman" w:hAnsi="Times New Roman" w:cs="Times New Roman"/>
          <w:b/>
          <w:bCs/>
        </w:rPr>
      </w:pPr>
    </w:p>
    <w:p w14:paraId="16C2AB89" w14:textId="77777777" w:rsidR="00885C76" w:rsidRDefault="00885C76" w:rsidP="00885C76">
      <w:pPr>
        <w:rPr>
          <w:rFonts w:ascii="Times New Roman" w:hAnsi="Times New Roman" w:cs="Times New Roman"/>
          <w:b/>
          <w:bCs/>
        </w:rPr>
      </w:pPr>
    </w:p>
    <w:p w14:paraId="453B548D" w14:textId="77777777" w:rsidR="00885C76" w:rsidRDefault="00885C76" w:rsidP="00885C76">
      <w:pPr>
        <w:rPr>
          <w:rFonts w:ascii="Times New Roman" w:hAnsi="Times New Roman" w:cs="Times New Roman"/>
          <w:b/>
          <w:bCs/>
        </w:rPr>
      </w:pPr>
    </w:p>
    <w:p w14:paraId="10277E64" w14:textId="77777777" w:rsidR="00885C76" w:rsidRDefault="00885C76" w:rsidP="00885C76">
      <w:pPr>
        <w:rPr>
          <w:rFonts w:ascii="Times New Roman" w:hAnsi="Times New Roman" w:cs="Times New Roman"/>
          <w:b/>
          <w:bCs/>
        </w:rPr>
      </w:pPr>
    </w:p>
    <w:p w14:paraId="56287BA6" w14:textId="77777777" w:rsidR="00885C76" w:rsidRDefault="00885C76" w:rsidP="00885C76">
      <w:pPr>
        <w:rPr>
          <w:rFonts w:ascii="Times New Roman" w:hAnsi="Times New Roman" w:cs="Times New Roman"/>
          <w:b/>
          <w:bCs/>
        </w:rPr>
      </w:pPr>
    </w:p>
    <w:p w14:paraId="6A1C676B" w14:textId="77777777" w:rsidR="00885C76" w:rsidRDefault="00885C76" w:rsidP="00885C76">
      <w:pPr>
        <w:rPr>
          <w:rFonts w:ascii="Times New Roman" w:hAnsi="Times New Roman" w:cs="Times New Roman"/>
          <w:b/>
          <w:bCs/>
        </w:rPr>
      </w:pPr>
    </w:p>
    <w:p w14:paraId="5EB86516" w14:textId="77777777" w:rsidR="00885C76" w:rsidRDefault="00885C76" w:rsidP="00885C76">
      <w:pPr>
        <w:rPr>
          <w:rFonts w:ascii="Times New Roman" w:hAnsi="Times New Roman" w:cs="Times New Roman"/>
          <w:b/>
          <w:bCs/>
        </w:rPr>
      </w:pPr>
    </w:p>
    <w:p w14:paraId="630AE870" w14:textId="77777777" w:rsidR="00885C76" w:rsidRDefault="00885C76" w:rsidP="00885C76">
      <w:pPr>
        <w:rPr>
          <w:rFonts w:ascii="Times New Roman" w:hAnsi="Times New Roman" w:cs="Times New Roman"/>
          <w:b/>
          <w:bCs/>
        </w:rPr>
      </w:pPr>
    </w:p>
    <w:p w14:paraId="3483FCA9" w14:textId="77777777" w:rsidR="00885C76" w:rsidRDefault="00885C76" w:rsidP="00885C76">
      <w:pPr>
        <w:rPr>
          <w:rFonts w:ascii="Times New Roman" w:hAnsi="Times New Roman" w:cs="Times New Roman"/>
          <w:b/>
          <w:bCs/>
        </w:rPr>
      </w:pPr>
    </w:p>
    <w:p w14:paraId="4680AF6B" w14:textId="77777777" w:rsidR="00885C76" w:rsidRDefault="00885C76" w:rsidP="00885C76">
      <w:pPr>
        <w:rPr>
          <w:rFonts w:ascii="Times New Roman" w:hAnsi="Times New Roman" w:cs="Times New Roman"/>
          <w:b/>
          <w:bCs/>
        </w:rPr>
      </w:pPr>
    </w:p>
    <w:p w14:paraId="51D67569" w14:textId="77777777" w:rsidR="00885C76" w:rsidRDefault="00885C76" w:rsidP="00885C76">
      <w:pPr>
        <w:rPr>
          <w:rFonts w:ascii="Times New Roman" w:hAnsi="Times New Roman" w:cs="Times New Roman"/>
          <w:b/>
          <w:bCs/>
        </w:rPr>
      </w:pPr>
    </w:p>
    <w:p w14:paraId="0237C62F" w14:textId="77777777" w:rsidR="005017B7" w:rsidRDefault="005017B7" w:rsidP="00885C76">
      <w:pPr>
        <w:pStyle w:val="EndNoteBibliography"/>
        <w:spacing w:line="360" w:lineRule="auto"/>
        <w:ind w:left="426" w:hanging="426"/>
        <w:rPr>
          <w:rFonts w:ascii="Candara" w:eastAsiaTheme="minorEastAsia" w:hAnsi="Candara"/>
          <w:b/>
          <w:bCs/>
          <w:color w:val="000000" w:themeColor="text1"/>
          <w:sz w:val="22"/>
          <w:szCs w:val="28"/>
        </w:rPr>
      </w:pPr>
      <w:r w:rsidRPr="005017B7">
        <w:rPr>
          <w:rFonts w:ascii="Candara" w:eastAsiaTheme="minorEastAsia" w:hAnsi="Candara"/>
          <w:b/>
          <w:bCs/>
          <w:color w:val="000000" w:themeColor="text1"/>
          <w:sz w:val="22"/>
          <w:szCs w:val="28"/>
        </w:rPr>
        <w:t>Supplementary Results. Lists of 220 systematic reviews included.</w:t>
      </w:r>
    </w:p>
    <w:p w14:paraId="13CEAF36" w14:textId="1B46B26D" w:rsidR="00885C76" w:rsidRPr="00BD5018" w:rsidRDefault="00885C76" w:rsidP="00885C76">
      <w:pPr>
        <w:pStyle w:val="EndNoteBibliography"/>
        <w:spacing w:line="360" w:lineRule="auto"/>
        <w:ind w:left="426" w:hanging="426"/>
        <w:rPr>
          <w:rFonts w:ascii="Candara" w:hAnsi="Candara"/>
          <w:noProof/>
        </w:rPr>
      </w:pPr>
      <w:r>
        <w:rPr>
          <w:rFonts w:ascii="Candara" w:hAnsi="Candara" w:cs="Times New Roman"/>
          <w:b/>
          <w:bCs/>
        </w:rPr>
        <w:fldChar w:fldCharType="begin"/>
      </w:r>
      <w:r>
        <w:rPr>
          <w:rFonts w:ascii="Candara" w:hAnsi="Candara" w:cs="Times New Roman"/>
          <w:b/>
          <w:bCs/>
        </w:rPr>
        <w:instrText xml:space="preserve"> ADDIN EN.REFLIST </w:instrText>
      </w:r>
      <w:r>
        <w:rPr>
          <w:rFonts w:ascii="Candara" w:hAnsi="Candara" w:cs="Times New Roman"/>
          <w:b/>
          <w:bCs/>
        </w:rPr>
        <w:fldChar w:fldCharType="separate"/>
      </w:r>
      <w:r w:rsidRPr="00BD5018">
        <w:rPr>
          <w:rFonts w:ascii="Candara" w:hAnsi="Candara"/>
          <w:noProof/>
        </w:rPr>
        <w:t>1.</w:t>
      </w:r>
      <w:r w:rsidRPr="00BD5018">
        <w:rPr>
          <w:rFonts w:ascii="Candara" w:hAnsi="Candara"/>
          <w:noProof/>
        </w:rPr>
        <w:tab/>
        <w:t>Ai F, Wang Y, Wang J, et al. Effect of estrogen on vaginal complications of pessary use: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Climacteric</w:t>
      </w:r>
      <w:r w:rsidRPr="00BD5018">
        <w:rPr>
          <w:rFonts w:ascii="Candara" w:hAnsi="Candara"/>
          <w:noProof/>
        </w:rPr>
        <w:t>, 2022. 25(6): p. 533-542.</w:t>
      </w:r>
    </w:p>
    <w:p w14:paraId="7B247757"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w:t>
      </w:r>
      <w:r w:rsidRPr="00BD5018">
        <w:rPr>
          <w:rFonts w:ascii="Candara" w:hAnsi="Candara"/>
          <w:noProof/>
        </w:rPr>
        <w:tab/>
        <w:t xml:space="preserve">Alkhatib N, Salameh M, Ahmed A F, et al. Platelet-Rich Plasma Versus Corticosteroids in the </w:t>
      </w:r>
      <w:r w:rsidRPr="00BD5018">
        <w:rPr>
          <w:rFonts w:ascii="Candara" w:hAnsi="Candara"/>
          <w:noProof/>
        </w:rPr>
        <w:lastRenderedPageBreak/>
        <w:t>Treatment of Chronic Plantar Fasciitis: A Systematic Review and Meta-analysis of Prospective Comparative Studies</w:t>
      </w:r>
      <w:r w:rsidRPr="00BD5018">
        <w:rPr>
          <w:rFonts w:ascii="Candara" w:hAnsi="Candara"/>
          <w:i/>
          <w:noProof/>
        </w:rPr>
        <w:t>.</w:t>
      </w:r>
      <w:r w:rsidRPr="00BD5018">
        <w:rPr>
          <w:rFonts w:ascii="Candara" w:hAnsi="Candara"/>
          <w:noProof/>
        </w:rPr>
        <w:t xml:space="preserve"> </w:t>
      </w:r>
      <w:r w:rsidRPr="00BD5018">
        <w:rPr>
          <w:rFonts w:ascii="Candara" w:hAnsi="Candara"/>
          <w:i/>
          <w:noProof/>
        </w:rPr>
        <w:t>J Foot Ankle Surg</w:t>
      </w:r>
      <w:r w:rsidRPr="00BD5018">
        <w:rPr>
          <w:rFonts w:ascii="Candara" w:hAnsi="Candara"/>
          <w:noProof/>
        </w:rPr>
        <w:t>, 2020. 59(3): p. 546-552.</w:t>
      </w:r>
    </w:p>
    <w:p w14:paraId="410344CF"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3.</w:t>
      </w:r>
      <w:r w:rsidRPr="00BD5018">
        <w:rPr>
          <w:rFonts w:ascii="Candara" w:hAnsi="Candara"/>
          <w:noProof/>
        </w:rPr>
        <w:tab/>
        <w:t>Almuwallad A, Cole E, Ross J, et al. The impact of prehospital TXA on mortality among bleeding trauma patients: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Trauma Acute Care Surg</w:t>
      </w:r>
      <w:r w:rsidRPr="00BD5018">
        <w:rPr>
          <w:rFonts w:ascii="Candara" w:hAnsi="Candara"/>
          <w:noProof/>
        </w:rPr>
        <w:t>, 2021. 90(5): p. 901-907.</w:t>
      </w:r>
    </w:p>
    <w:p w14:paraId="35738AF2"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4.</w:t>
      </w:r>
      <w:r w:rsidRPr="00BD5018">
        <w:rPr>
          <w:rFonts w:ascii="Candara" w:hAnsi="Candara"/>
          <w:noProof/>
        </w:rPr>
        <w:tab/>
        <w:t>Archibugi L, Arcidiacono P G, and Capurso G. Statin use is associated to a reduced risk of pancreatic cancer: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Dig Liver Dis</w:t>
      </w:r>
      <w:r w:rsidRPr="00BD5018">
        <w:rPr>
          <w:rFonts w:ascii="Candara" w:hAnsi="Candara"/>
          <w:noProof/>
        </w:rPr>
        <w:t>, 2019. 51(1): p. 28-37.</w:t>
      </w:r>
    </w:p>
    <w:p w14:paraId="2CA6464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5.</w:t>
      </w:r>
      <w:r w:rsidRPr="00BD5018">
        <w:rPr>
          <w:rFonts w:ascii="Candara" w:hAnsi="Candara"/>
          <w:noProof/>
        </w:rPr>
        <w:tab/>
        <w:t>Bai X, Lian Y, Wang J, et al. Percutaneous endoscopic lumbar discectomy compared with other surgeries for lumbar disc herniation: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2021. 100(9): p. e24747.</w:t>
      </w:r>
    </w:p>
    <w:p w14:paraId="01E2B58A"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6.</w:t>
      </w:r>
      <w:r w:rsidRPr="00BD5018">
        <w:rPr>
          <w:rFonts w:ascii="Candara" w:hAnsi="Candara"/>
          <w:noProof/>
        </w:rPr>
        <w:tab/>
        <w:t>Bai Z, Yang Y, Chen S, et al. Clinical effectiveness of arthroscopic vs open ankle arthrodesis for advanced ankle arthritis: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2021. 100(10): p. e24998.</w:t>
      </w:r>
    </w:p>
    <w:p w14:paraId="715B14E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7.</w:t>
      </w:r>
      <w:r w:rsidRPr="00BD5018">
        <w:rPr>
          <w:rFonts w:ascii="Candara" w:hAnsi="Candara"/>
          <w:noProof/>
        </w:rPr>
        <w:tab/>
        <w:t>Bausch K, Halbeisen F S, Aghlmandi S, et al. Antimicrobial Prophylaxis for Postoperative Urinary Tract Infections in Transurethral Resection of Bladder Tumors: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Urol</w:t>
      </w:r>
      <w:r w:rsidRPr="00BD5018">
        <w:rPr>
          <w:rFonts w:ascii="Candara" w:hAnsi="Candara"/>
          <w:noProof/>
        </w:rPr>
        <w:t>, 2021. 205(4): p. 987-998.</w:t>
      </w:r>
    </w:p>
    <w:p w14:paraId="4E3D8403"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8.</w:t>
      </w:r>
      <w:r w:rsidRPr="00BD5018">
        <w:rPr>
          <w:rFonts w:ascii="Candara" w:hAnsi="Candara"/>
          <w:noProof/>
        </w:rPr>
        <w:tab/>
        <w:t>Becerra-Tomas N, Blanco Mejia S, Viguiliouk E, et al. Mediterranean diet, cardiovascular disease and mortality in diabetes: A systematic review and meta-analysis of prospective cohort studies and randomized clinical trials</w:t>
      </w:r>
      <w:r w:rsidRPr="00BD5018">
        <w:rPr>
          <w:rFonts w:ascii="Candara" w:hAnsi="Candara"/>
          <w:i/>
          <w:noProof/>
        </w:rPr>
        <w:t>.</w:t>
      </w:r>
      <w:r w:rsidRPr="00BD5018">
        <w:rPr>
          <w:rFonts w:ascii="Candara" w:hAnsi="Candara"/>
          <w:noProof/>
        </w:rPr>
        <w:t xml:space="preserve"> </w:t>
      </w:r>
      <w:r w:rsidRPr="00BD5018">
        <w:rPr>
          <w:rFonts w:ascii="Candara" w:hAnsi="Candara"/>
          <w:i/>
          <w:noProof/>
        </w:rPr>
        <w:t>Crit Rev Food Sci Nutr</w:t>
      </w:r>
      <w:r w:rsidRPr="00BD5018">
        <w:rPr>
          <w:rFonts w:ascii="Candara" w:hAnsi="Candara"/>
          <w:noProof/>
        </w:rPr>
        <w:t>, 2020. 60(7): p. 1207-1227.</w:t>
      </w:r>
    </w:p>
    <w:p w14:paraId="28FE4A5F"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9.</w:t>
      </w:r>
      <w:r w:rsidRPr="00BD5018">
        <w:rPr>
          <w:rFonts w:ascii="Candara" w:hAnsi="Candara"/>
          <w:noProof/>
        </w:rPr>
        <w:tab/>
        <w:t>Beks R B, Peek J, de Jong M B, et al. Fixation of flail chest or multiple rib fractures: current evidence and how to proceed.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Eur J Trauma Emerg Surg</w:t>
      </w:r>
      <w:r w:rsidRPr="00BD5018">
        <w:rPr>
          <w:rFonts w:ascii="Candara" w:hAnsi="Candara"/>
          <w:noProof/>
        </w:rPr>
        <w:t>, 2019. 45(4): p. 631-644.</w:t>
      </w:r>
    </w:p>
    <w:p w14:paraId="3E77EBD7"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10.</w:t>
      </w:r>
      <w:r w:rsidRPr="00BD5018">
        <w:rPr>
          <w:rFonts w:ascii="Candara" w:hAnsi="Candara"/>
          <w:noProof/>
        </w:rPr>
        <w:tab/>
        <w:t>Beran A, Mhanna M, Srour O, et al. Clinical significance of micronutrient supplements in patients with coronavirus disease 2019: A comprehensive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Clin Nutr ESPEN</w:t>
      </w:r>
      <w:r w:rsidRPr="00BD5018">
        <w:rPr>
          <w:rFonts w:ascii="Candara" w:hAnsi="Candara"/>
          <w:noProof/>
        </w:rPr>
        <w:t>, 2022. 48: p. 167-177.</w:t>
      </w:r>
    </w:p>
    <w:p w14:paraId="199F5BF8"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11.</w:t>
      </w:r>
      <w:r w:rsidRPr="00BD5018">
        <w:rPr>
          <w:rFonts w:ascii="Candara" w:hAnsi="Candara"/>
          <w:noProof/>
        </w:rPr>
        <w:tab/>
        <w:t>Bi L W, Yan B L, Yang Q Y, et al. Peritoneal irrigation vs suction alone during pediatric appendectomy for perforated appendicitis: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98(50): p. e18047.</w:t>
      </w:r>
    </w:p>
    <w:p w14:paraId="1197E9C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12.</w:t>
      </w:r>
      <w:r w:rsidRPr="00BD5018">
        <w:rPr>
          <w:rFonts w:ascii="Candara" w:hAnsi="Candara"/>
          <w:noProof/>
        </w:rPr>
        <w:tab/>
        <w:t>Bitterman R, Eliakim-Raz N, Vinograd I, et al. Influenza vaccines in immunosuppressed adults with cancer</w:t>
      </w:r>
      <w:r w:rsidRPr="00BD5018">
        <w:rPr>
          <w:rFonts w:ascii="Candara" w:hAnsi="Candara"/>
          <w:i/>
          <w:noProof/>
        </w:rPr>
        <w:t>.</w:t>
      </w:r>
      <w:r w:rsidRPr="00BD5018">
        <w:rPr>
          <w:rFonts w:ascii="Candara" w:hAnsi="Candara"/>
          <w:noProof/>
        </w:rPr>
        <w:t xml:space="preserve"> </w:t>
      </w:r>
      <w:r w:rsidRPr="00BD5018">
        <w:rPr>
          <w:rFonts w:ascii="Candara" w:hAnsi="Candara"/>
          <w:i/>
          <w:noProof/>
        </w:rPr>
        <w:t>Cochrane Database Syst Rev</w:t>
      </w:r>
      <w:r w:rsidRPr="00BD5018">
        <w:rPr>
          <w:rFonts w:ascii="Candara" w:hAnsi="Candara"/>
          <w:noProof/>
        </w:rPr>
        <w:t>, 2018. 2(2): p. CD008983.</w:t>
      </w:r>
    </w:p>
    <w:p w14:paraId="0BF1138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lastRenderedPageBreak/>
        <w:t>13.</w:t>
      </w:r>
      <w:r w:rsidRPr="00BD5018">
        <w:rPr>
          <w:rFonts w:ascii="Candara" w:hAnsi="Candara"/>
          <w:noProof/>
        </w:rPr>
        <w:tab/>
        <w:t>Bose G, Graveline J, Yogendrakumar V, et al. Direct oral anticoagulants in treatment of cerebral venous thrombosis: a systematic review</w:t>
      </w:r>
      <w:r w:rsidRPr="00BD5018">
        <w:rPr>
          <w:rFonts w:ascii="Candara" w:hAnsi="Candara"/>
          <w:i/>
          <w:noProof/>
        </w:rPr>
        <w:t>.</w:t>
      </w:r>
      <w:r w:rsidRPr="00BD5018">
        <w:rPr>
          <w:rFonts w:ascii="Candara" w:hAnsi="Candara"/>
          <w:noProof/>
        </w:rPr>
        <w:t xml:space="preserve"> </w:t>
      </w:r>
      <w:r w:rsidRPr="00BD5018">
        <w:rPr>
          <w:rFonts w:ascii="Candara" w:hAnsi="Candara"/>
          <w:i/>
          <w:noProof/>
        </w:rPr>
        <w:t>BMJ Open</w:t>
      </w:r>
      <w:r w:rsidRPr="00BD5018">
        <w:rPr>
          <w:rFonts w:ascii="Candara" w:hAnsi="Candara"/>
          <w:noProof/>
        </w:rPr>
        <w:t>, 2021. 11(2): p. e040212.</w:t>
      </w:r>
    </w:p>
    <w:p w14:paraId="3A85C78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14.</w:t>
      </w:r>
      <w:r w:rsidRPr="00BD5018">
        <w:rPr>
          <w:rFonts w:ascii="Candara" w:hAnsi="Candara"/>
          <w:noProof/>
        </w:rPr>
        <w:tab/>
        <w:t>Braungart S and Siminas S. Early Enteral Nutrition Following Gastrointestinal Surgery in Children: A Systematic Review of the Literature</w:t>
      </w:r>
      <w:r w:rsidRPr="00BD5018">
        <w:rPr>
          <w:rFonts w:ascii="Candara" w:hAnsi="Candara"/>
          <w:i/>
          <w:noProof/>
        </w:rPr>
        <w:t>.</w:t>
      </w:r>
      <w:r w:rsidRPr="00BD5018">
        <w:rPr>
          <w:rFonts w:ascii="Candara" w:hAnsi="Candara"/>
          <w:noProof/>
        </w:rPr>
        <w:t xml:space="preserve"> </w:t>
      </w:r>
      <w:r w:rsidRPr="00BD5018">
        <w:rPr>
          <w:rFonts w:ascii="Candara" w:hAnsi="Candara"/>
          <w:i/>
          <w:noProof/>
        </w:rPr>
        <w:t>Ann Surg</w:t>
      </w:r>
      <w:r w:rsidRPr="00BD5018">
        <w:rPr>
          <w:rFonts w:ascii="Candara" w:hAnsi="Candara"/>
          <w:noProof/>
        </w:rPr>
        <w:t>, 2020. 272(2): p. 377-383.</w:t>
      </w:r>
    </w:p>
    <w:p w14:paraId="394552F3"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15.</w:t>
      </w:r>
      <w:r w:rsidRPr="00BD5018">
        <w:rPr>
          <w:rFonts w:ascii="Candara" w:hAnsi="Candara"/>
          <w:noProof/>
        </w:rPr>
        <w:tab/>
        <w:t>Brown L C, Stanton J D, Bharthi K, et al. Pharmacogenomic Testing and Depressive Symptom Remission: A Systematic Review and Meta-Analysis of Prospective, Controlled Clinical Trials</w:t>
      </w:r>
      <w:r w:rsidRPr="00BD5018">
        <w:rPr>
          <w:rFonts w:ascii="Candara" w:hAnsi="Candara"/>
          <w:i/>
          <w:noProof/>
        </w:rPr>
        <w:t>.</w:t>
      </w:r>
      <w:r w:rsidRPr="00BD5018">
        <w:rPr>
          <w:rFonts w:ascii="Candara" w:hAnsi="Candara"/>
          <w:noProof/>
        </w:rPr>
        <w:t xml:space="preserve"> </w:t>
      </w:r>
      <w:r w:rsidRPr="00BD5018">
        <w:rPr>
          <w:rFonts w:ascii="Candara" w:hAnsi="Candara"/>
          <w:i/>
          <w:noProof/>
        </w:rPr>
        <w:t>Clin Pharmacol Ther</w:t>
      </w:r>
      <w:r w:rsidRPr="00BD5018">
        <w:rPr>
          <w:rFonts w:ascii="Candara" w:hAnsi="Candara"/>
          <w:noProof/>
        </w:rPr>
        <w:t>, 2022. 112(6): p. 1303-1317.</w:t>
      </w:r>
    </w:p>
    <w:p w14:paraId="338C0F3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16.</w:t>
      </w:r>
      <w:r w:rsidRPr="00BD5018">
        <w:rPr>
          <w:rFonts w:ascii="Candara" w:hAnsi="Candara"/>
          <w:noProof/>
        </w:rPr>
        <w:tab/>
        <w:t>Bu N, Zhao E, Gao Y, et al. Association between perioperative hypothermia and surgical site infection: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98(6): p. e14392.</w:t>
      </w:r>
    </w:p>
    <w:p w14:paraId="1F3184A2"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17.</w:t>
      </w:r>
      <w:r w:rsidRPr="00BD5018">
        <w:rPr>
          <w:rFonts w:ascii="Candara" w:hAnsi="Candara"/>
          <w:noProof/>
        </w:rPr>
        <w:tab/>
        <w:t>Cao X, Chang H Y, Xu J Y, et al. The effectiveness of different down-regulating protocols on in vitro fertilization-embryo transfer in endometriosis: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Reprod Biol Endocrinol</w:t>
      </w:r>
      <w:r w:rsidRPr="00BD5018">
        <w:rPr>
          <w:rFonts w:ascii="Candara" w:hAnsi="Candara"/>
          <w:noProof/>
        </w:rPr>
        <w:t>, 2020. 18(1): p. 16.</w:t>
      </w:r>
    </w:p>
    <w:p w14:paraId="49B9FCCA"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18.</w:t>
      </w:r>
      <w:r w:rsidRPr="00BD5018">
        <w:rPr>
          <w:rFonts w:ascii="Candara" w:hAnsi="Candara"/>
          <w:noProof/>
        </w:rPr>
        <w:tab/>
        <w:t>Cha Y H, Yoo J I, Kim J T, et al. Dual mobility total hip arthroplasty in the treatment of femoral neck fractures</w:t>
      </w:r>
      <w:r w:rsidRPr="00BD5018">
        <w:rPr>
          <w:rFonts w:ascii="Candara" w:hAnsi="Candara"/>
          <w:i/>
          <w:noProof/>
        </w:rPr>
        <w:t>.</w:t>
      </w:r>
      <w:r w:rsidRPr="00BD5018">
        <w:rPr>
          <w:rFonts w:ascii="Candara" w:hAnsi="Candara"/>
          <w:noProof/>
        </w:rPr>
        <w:t xml:space="preserve"> </w:t>
      </w:r>
      <w:r w:rsidRPr="00BD5018">
        <w:rPr>
          <w:rFonts w:ascii="Candara" w:hAnsi="Candara"/>
          <w:i/>
          <w:noProof/>
        </w:rPr>
        <w:t>Bone Joint J</w:t>
      </w:r>
      <w:r w:rsidRPr="00BD5018">
        <w:rPr>
          <w:rFonts w:ascii="Candara" w:hAnsi="Candara"/>
          <w:noProof/>
        </w:rPr>
        <w:t>, 2020. 102-B(11): p. 1457-1466.</w:t>
      </w:r>
    </w:p>
    <w:p w14:paraId="7F23A53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19.</w:t>
      </w:r>
      <w:r w:rsidRPr="00BD5018">
        <w:rPr>
          <w:rFonts w:ascii="Candara" w:hAnsi="Candara"/>
          <w:noProof/>
        </w:rPr>
        <w:tab/>
        <w:t>Chang Y J, Hung K C, Chen I W, et al. Efficacy of greater occipital nerve block for pain relief in patients with postdural puncture headache: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2021. 100(51): p. e28438.</w:t>
      </w:r>
    </w:p>
    <w:p w14:paraId="158685BA"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20.</w:t>
      </w:r>
      <w:r w:rsidRPr="00BD5018">
        <w:rPr>
          <w:rFonts w:ascii="Candara" w:hAnsi="Candara"/>
          <w:noProof/>
        </w:rPr>
        <w:tab/>
        <w:t>Chang Y M, Liang C M, Weng T H, et al. Mitomycin C for the prevention of corneal haze in photorefractive keratectomy: a meta-analysis and trial sequential 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Acta Ophthalmol</w:t>
      </w:r>
      <w:r w:rsidRPr="00BD5018">
        <w:rPr>
          <w:rFonts w:ascii="Candara" w:hAnsi="Candara"/>
          <w:noProof/>
        </w:rPr>
        <w:t>, 2021. 99(6): p. 652-662.</w:t>
      </w:r>
    </w:p>
    <w:p w14:paraId="64C4FA8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21.</w:t>
      </w:r>
      <w:r w:rsidRPr="00BD5018">
        <w:rPr>
          <w:rFonts w:ascii="Candara" w:hAnsi="Candara"/>
          <w:noProof/>
        </w:rPr>
        <w:tab/>
        <w:t>Chen J, Yue C, He P, et al. Comparison of clinical outcomes with hip replacement versus PFNA in the treatment of intertrochanteric fractures in the elderly: A systematic review and meta-analysis (PRISMA)</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2021. 100(9): p. e24166.</w:t>
      </w:r>
    </w:p>
    <w:p w14:paraId="73CBCB3B"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22.</w:t>
      </w:r>
      <w:r w:rsidRPr="00BD5018">
        <w:rPr>
          <w:rFonts w:ascii="Candara" w:hAnsi="Candara"/>
          <w:noProof/>
        </w:rPr>
        <w:tab/>
        <w:t>Cheng Q H, Li P B, Lu T T, et al. Computer-assisted cannulated screw internal fixation versus conventional cannulated screw internal fixation for femoral neck fractures: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Orthop Surg Res</w:t>
      </w:r>
      <w:r w:rsidRPr="00BD5018">
        <w:rPr>
          <w:rFonts w:ascii="Candara" w:hAnsi="Candara"/>
          <w:noProof/>
        </w:rPr>
        <w:t>, 2021. 16(1): p. 687.</w:t>
      </w:r>
    </w:p>
    <w:p w14:paraId="6C408D7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23.</w:t>
      </w:r>
      <w:r w:rsidRPr="00BD5018">
        <w:rPr>
          <w:rFonts w:ascii="Candara" w:hAnsi="Candara"/>
          <w:noProof/>
        </w:rPr>
        <w:tab/>
        <w:t>Cheng W, Luo Y, Wang H, et al. Survival Outcomes of Hemoperfusion and Hemodialysis versus Hemodialysis in Patients with End-Stage Renal Disease: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Blood Purif</w:t>
      </w:r>
      <w:r w:rsidRPr="00BD5018">
        <w:rPr>
          <w:rFonts w:ascii="Candara" w:hAnsi="Candara"/>
          <w:noProof/>
        </w:rPr>
        <w:t>, 2022. 51(3): p. 213-225.</w:t>
      </w:r>
    </w:p>
    <w:p w14:paraId="03810CB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24.</w:t>
      </w:r>
      <w:r w:rsidRPr="00BD5018">
        <w:rPr>
          <w:rFonts w:ascii="Candara" w:hAnsi="Candara"/>
          <w:noProof/>
        </w:rPr>
        <w:tab/>
        <w:t xml:space="preserve">Ching C, Eslick G D, and Poulton A S. Evaluation of Methylphenidate Safety and Maximum-Dose </w:t>
      </w:r>
      <w:r w:rsidRPr="00BD5018">
        <w:rPr>
          <w:rFonts w:ascii="Candara" w:hAnsi="Candara"/>
          <w:noProof/>
        </w:rPr>
        <w:lastRenderedPageBreak/>
        <w:t>Titration Rationale in Attention-Deficit/Hyperactivity Disorder: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JAMA Pediatr</w:t>
      </w:r>
      <w:r w:rsidRPr="00BD5018">
        <w:rPr>
          <w:rFonts w:ascii="Candara" w:hAnsi="Candara"/>
          <w:noProof/>
        </w:rPr>
        <w:t>, 2019. 173(7): p. 630-639.</w:t>
      </w:r>
    </w:p>
    <w:p w14:paraId="08D2932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25.</w:t>
      </w:r>
      <w:r w:rsidRPr="00BD5018">
        <w:rPr>
          <w:rFonts w:ascii="Candara" w:hAnsi="Candara"/>
          <w:noProof/>
        </w:rPr>
        <w:tab/>
        <w:t>Chiu H T, Jhou H J, Chen P H, et al. Comparing Single- and Dual-Antiplatelet Therapies After Transcatheter Aortic Valve Implantation</w:t>
      </w:r>
      <w:r w:rsidRPr="00BD5018">
        <w:rPr>
          <w:rFonts w:ascii="Candara" w:hAnsi="Candara"/>
          <w:i/>
          <w:noProof/>
        </w:rPr>
        <w:t>.</w:t>
      </w:r>
      <w:r w:rsidRPr="00BD5018">
        <w:rPr>
          <w:rFonts w:ascii="Candara" w:hAnsi="Candara"/>
          <w:noProof/>
        </w:rPr>
        <w:t xml:space="preserve"> </w:t>
      </w:r>
      <w:r w:rsidRPr="00BD5018">
        <w:rPr>
          <w:rFonts w:ascii="Candara" w:hAnsi="Candara"/>
          <w:i/>
          <w:noProof/>
        </w:rPr>
        <w:t>Ann Thorac Surg</w:t>
      </w:r>
      <w:r w:rsidRPr="00BD5018">
        <w:rPr>
          <w:rFonts w:ascii="Candara" w:hAnsi="Candara"/>
          <w:noProof/>
        </w:rPr>
        <w:t>, 2022. 114(5): p. 1951-1964.</w:t>
      </w:r>
    </w:p>
    <w:p w14:paraId="116395D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26.</w:t>
      </w:r>
      <w:r w:rsidRPr="00BD5018">
        <w:rPr>
          <w:rFonts w:ascii="Candara" w:hAnsi="Candara"/>
          <w:noProof/>
        </w:rPr>
        <w:tab/>
        <w:t>Chudner A, Gachabayov M, Dyatlov A, et al. The influence of diverting loop ileostomy vs. colostomy on postoperative morbidity in restorative anterior resection for rectal cancer: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Langenbeck's Archives of Surgery</w:t>
      </w:r>
      <w:r w:rsidRPr="00BD5018">
        <w:rPr>
          <w:rFonts w:ascii="Candara" w:hAnsi="Candara"/>
          <w:noProof/>
        </w:rPr>
        <w:t>, 2019. 404(2): p. 129-139.</w:t>
      </w:r>
    </w:p>
    <w:p w14:paraId="3476F5D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27.</w:t>
      </w:r>
      <w:r w:rsidRPr="00BD5018">
        <w:rPr>
          <w:rFonts w:ascii="Candara" w:hAnsi="Candara"/>
          <w:noProof/>
        </w:rPr>
        <w:tab/>
        <w:t>Cui R, Wei C, Li X, et al. A meta-analysis of adjuvant EGFR-TKIs for patients with EGFR mutation of resected non-small cell lung cancer</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2022. 101(47): p. e31894.</w:t>
      </w:r>
    </w:p>
    <w:p w14:paraId="52C262E4"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28.</w:t>
      </w:r>
      <w:r w:rsidRPr="00BD5018">
        <w:rPr>
          <w:rFonts w:ascii="Candara" w:hAnsi="Candara"/>
          <w:noProof/>
        </w:rPr>
        <w:tab/>
        <w:t>Dai W, Leng X, Wang J, et al. Quadriceps Tendon Autograft Versus Bone-Patellar Tendon-Bone and Hamstring Tendon Autografts for Anterior Cruciate Ligament Reconstruction: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Am J Sports Med</w:t>
      </w:r>
      <w:r w:rsidRPr="00BD5018">
        <w:rPr>
          <w:rFonts w:ascii="Candara" w:hAnsi="Candara"/>
          <w:noProof/>
        </w:rPr>
        <w:t>, 2022. 50(12): p. 3425-3439.</w:t>
      </w:r>
    </w:p>
    <w:p w14:paraId="0658B59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29.</w:t>
      </w:r>
      <w:r w:rsidRPr="00BD5018">
        <w:rPr>
          <w:rFonts w:ascii="Candara" w:hAnsi="Candara"/>
          <w:noProof/>
        </w:rPr>
        <w:tab/>
        <w:t>Demetriou G and Chapman M. Primary closure versus Graham patch omentopexy in perforated peptic ulcer: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Surgeon</w:t>
      </w:r>
      <w:r w:rsidRPr="00BD5018">
        <w:rPr>
          <w:rFonts w:ascii="Candara" w:hAnsi="Candara"/>
          <w:noProof/>
        </w:rPr>
        <w:t>, 2022. 20(3): p. e61-e67.</w:t>
      </w:r>
    </w:p>
    <w:p w14:paraId="143B703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30.</w:t>
      </w:r>
      <w:r w:rsidRPr="00BD5018">
        <w:rPr>
          <w:rFonts w:ascii="Candara" w:hAnsi="Candara"/>
          <w:noProof/>
        </w:rPr>
        <w:tab/>
        <w:t>Desai M, Nutalapati V, Srinivasan S, et al. Proton pump inhibitors do not increase the risk of dementia: a systematic review and meta-analysis of prospective studies</w:t>
      </w:r>
      <w:r w:rsidRPr="00BD5018">
        <w:rPr>
          <w:rFonts w:ascii="Candara" w:hAnsi="Candara"/>
          <w:i/>
          <w:noProof/>
        </w:rPr>
        <w:t>.</w:t>
      </w:r>
      <w:r w:rsidRPr="00BD5018">
        <w:rPr>
          <w:rFonts w:ascii="Candara" w:hAnsi="Candara"/>
          <w:noProof/>
        </w:rPr>
        <w:t xml:space="preserve"> </w:t>
      </w:r>
      <w:r w:rsidRPr="00BD5018">
        <w:rPr>
          <w:rFonts w:ascii="Candara" w:hAnsi="Candara"/>
          <w:i/>
          <w:noProof/>
        </w:rPr>
        <w:t>Dis Esophagus</w:t>
      </w:r>
      <w:r w:rsidRPr="00BD5018">
        <w:rPr>
          <w:rFonts w:ascii="Candara" w:hAnsi="Candara"/>
          <w:noProof/>
        </w:rPr>
        <w:t>, 2020. 33(10).</w:t>
      </w:r>
    </w:p>
    <w:p w14:paraId="474CF2A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31.</w:t>
      </w:r>
      <w:r w:rsidRPr="00BD5018">
        <w:rPr>
          <w:rFonts w:ascii="Candara" w:hAnsi="Candara"/>
          <w:noProof/>
        </w:rPr>
        <w:tab/>
        <w:t>Diaz-Arocutipa C, Branez-Condorena A, and Hernandez A V. QTc prolongation in COVID-19 patients treated with hydroxychloroquine, chloroquine, azithromycin, or lopinavir/ritonavir: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Pharmacoepidemiol Drug Saf</w:t>
      </w:r>
      <w:r w:rsidRPr="00BD5018">
        <w:rPr>
          <w:rFonts w:ascii="Candara" w:hAnsi="Candara"/>
          <w:noProof/>
        </w:rPr>
        <w:t>, 2021. 30(6): p. 694-706.</w:t>
      </w:r>
    </w:p>
    <w:p w14:paraId="6E06CAFC"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32.</w:t>
      </w:r>
      <w:r w:rsidRPr="00BD5018">
        <w:rPr>
          <w:rFonts w:ascii="Candara" w:hAnsi="Candara"/>
          <w:noProof/>
        </w:rPr>
        <w:tab/>
        <w:t>Dickman M M, Spekreijse L S, Winkens B, et al. Immediate sequential bilateral surgery versus delayed sequential bilateral surgery for cataracts</w:t>
      </w:r>
      <w:r w:rsidRPr="00BD5018">
        <w:rPr>
          <w:rFonts w:ascii="Candara" w:hAnsi="Candara"/>
          <w:i/>
          <w:noProof/>
        </w:rPr>
        <w:t>.</w:t>
      </w:r>
      <w:r w:rsidRPr="00BD5018">
        <w:rPr>
          <w:rFonts w:ascii="Candara" w:hAnsi="Candara"/>
          <w:noProof/>
        </w:rPr>
        <w:t xml:space="preserve"> </w:t>
      </w:r>
      <w:r w:rsidRPr="00BD5018">
        <w:rPr>
          <w:rFonts w:ascii="Candara" w:hAnsi="Candara"/>
          <w:i/>
          <w:noProof/>
        </w:rPr>
        <w:t>Cochrane Database Syst Rev</w:t>
      </w:r>
      <w:r w:rsidRPr="00BD5018">
        <w:rPr>
          <w:rFonts w:ascii="Candara" w:hAnsi="Candara"/>
          <w:noProof/>
        </w:rPr>
        <w:t>, 2022. 4(4): p. CD013270.</w:t>
      </w:r>
    </w:p>
    <w:p w14:paraId="15A61438"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33.</w:t>
      </w:r>
      <w:r w:rsidRPr="00BD5018">
        <w:rPr>
          <w:rFonts w:ascii="Candara" w:hAnsi="Candara"/>
          <w:noProof/>
        </w:rPr>
        <w:tab/>
        <w:t>Eke A C, Sheffield J, and Graham E M. 17alpha-Hydroxyprogesterone Caproate and the Risk of Glucose Intolerance in Pregnancy: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Obstet Gynecol</w:t>
      </w:r>
      <w:r w:rsidRPr="00BD5018">
        <w:rPr>
          <w:rFonts w:ascii="Candara" w:hAnsi="Candara"/>
          <w:noProof/>
        </w:rPr>
        <w:t>, 2019. 133(3): p. 468-475.</w:t>
      </w:r>
    </w:p>
    <w:p w14:paraId="1F6266C3"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34.</w:t>
      </w:r>
      <w:r w:rsidRPr="00BD5018">
        <w:rPr>
          <w:rFonts w:ascii="Candara" w:hAnsi="Candara"/>
          <w:noProof/>
        </w:rPr>
        <w:tab/>
        <w:t>Espiritu A I and Pasco P M D. Efficacy and tolerability of azathioprine for neuromyelitis optica spectrum disorder: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Mult Scler Relat Disord</w:t>
      </w:r>
      <w:r w:rsidRPr="00BD5018">
        <w:rPr>
          <w:rFonts w:ascii="Candara" w:hAnsi="Candara"/>
          <w:noProof/>
        </w:rPr>
        <w:t>, 2019. 33: p. 22-32.</w:t>
      </w:r>
    </w:p>
    <w:p w14:paraId="1D0D061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35.</w:t>
      </w:r>
      <w:r w:rsidRPr="00BD5018">
        <w:rPr>
          <w:rFonts w:ascii="Candara" w:hAnsi="Candara"/>
          <w:noProof/>
        </w:rPr>
        <w:tab/>
        <w:t xml:space="preserve">Fei Q, Chen H B, Zhang C M, et al. The efficacy and safety of gemcitabine-based induction </w:t>
      </w:r>
      <w:r w:rsidRPr="00BD5018">
        <w:rPr>
          <w:rFonts w:ascii="Candara" w:hAnsi="Candara"/>
          <w:noProof/>
        </w:rPr>
        <w:lastRenderedPageBreak/>
        <w:t>chemotherapy for locally advanced nasopharyngeal carcinoma treated with concurrent chemoradiation: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2021. 100(14): p. e25398.</w:t>
      </w:r>
    </w:p>
    <w:p w14:paraId="17AF12CC"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36.</w:t>
      </w:r>
      <w:r w:rsidRPr="00BD5018">
        <w:rPr>
          <w:rFonts w:ascii="Candara" w:hAnsi="Candara"/>
          <w:noProof/>
        </w:rPr>
        <w:tab/>
        <w:t>Flannery A H, Bissell B D, Bastin M T, et al. Continuous Versus Intermittent Infusion of Vancomycin and the Risk of Acute Kidney Injury in Critically Ill Adults: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Crit Care Med</w:t>
      </w:r>
      <w:r w:rsidRPr="00BD5018">
        <w:rPr>
          <w:rFonts w:ascii="Candara" w:hAnsi="Candara"/>
          <w:noProof/>
        </w:rPr>
        <w:t>, 2020. 48(6): p. 912-918.</w:t>
      </w:r>
    </w:p>
    <w:p w14:paraId="3270D44F"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37.</w:t>
      </w:r>
      <w:r w:rsidRPr="00BD5018">
        <w:rPr>
          <w:rFonts w:ascii="Candara" w:hAnsi="Candara"/>
          <w:noProof/>
        </w:rPr>
        <w:tab/>
        <w:t>Flores S, Loomba R S, Elhoff J J, et al. Peritoneal Dialysis Vs Diuretics in Children After Congenital Heart Surgery</w:t>
      </w:r>
      <w:r w:rsidRPr="00BD5018">
        <w:rPr>
          <w:rFonts w:ascii="Candara" w:hAnsi="Candara"/>
          <w:i/>
          <w:noProof/>
        </w:rPr>
        <w:t>.</w:t>
      </w:r>
      <w:r w:rsidRPr="00BD5018">
        <w:rPr>
          <w:rFonts w:ascii="Candara" w:hAnsi="Candara"/>
          <w:noProof/>
        </w:rPr>
        <w:t xml:space="preserve"> </w:t>
      </w:r>
      <w:r w:rsidRPr="00BD5018">
        <w:rPr>
          <w:rFonts w:ascii="Candara" w:hAnsi="Candara"/>
          <w:i/>
          <w:noProof/>
        </w:rPr>
        <w:t>Ann Thorac Surg</w:t>
      </w:r>
      <w:r w:rsidRPr="00BD5018">
        <w:rPr>
          <w:rFonts w:ascii="Candara" w:hAnsi="Candara"/>
          <w:noProof/>
        </w:rPr>
        <w:t>, 2019. 108(3): p. 806-812.</w:t>
      </w:r>
    </w:p>
    <w:p w14:paraId="2D8D970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38.</w:t>
      </w:r>
      <w:r w:rsidRPr="00BD5018">
        <w:rPr>
          <w:rFonts w:ascii="Candara" w:hAnsi="Candara"/>
          <w:noProof/>
        </w:rPr>
        <w:tab/>
        <w:t>Fu J, Wang Y, Li X, et al. Robot-assisted vs. conventional unicompartmental knee arthroplasty :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Orthopade</w:t>
      </w:r>
      <w:r w:rsidRPr="00BD5018">
        <w:rPr>
          <w:rFonts w:ascii="Candara" w:hAnsi="Candara"/>
          <w:noProof/>
        </w:rPr>
        <w:t>, 2018. 47(12): p. 1009-1017.</w:t>
      </w:r>
    </w:p>
    <w:p w14:paraId="2BE756C3"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39.</w:t>
      </w:r>
      <w:r w:rsidRPr="00BD5018">
        <w:rPr>
          <w:rFonts w:ascii="Candara" w:hAnsi="Candara"/>
          <w:noProof/>
        </w:rPr>
        <w:tab/>
        <w:t>Fujii T, Tanaka A, Katami H, et al. Stapled versus hand-sewn intestinal anastomosis in pediatric patients: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BMC Pediatr</w:t>
      </w:r>
      <w:r w:rsidRPr="00BD5018">
        <w:rPr>
          <w:rFonts w:ascii="Candara" w:hAnsi="Candara"/>
          <w:noProof/>
        </w:rPr>
        <w:t>, 2021. 21(1): p. 435.</w:t>
      </w:r>
    </w:p>
    <w:p w14:paraId="64F8364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40.</w:t>
      </w:r>
      <w:r w:rsidRPr="00BD5018">
        <w:rPr>
          <w:rFonts w:ascii="Candara" w:hAnsi="Candara"/>
          <w:noProof/>
        </w:rPr>
        <w:tab/>
        <w:t>Gao R, Li Y, Cao Y, et al. Glucocorticoid versus traditional therapy for hepatitis B virus-related acute-on-chronic liver failure: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2020. 99(25): p. e20604.</w:t>
      </w:r>
    </w:p>
    <w:p w14:paraId="21482268"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41.</w:t>
      </w:r>
      <w:r w:rsidRPr="00BD5018">
        <w:rPr>
          <w:rFonts w:ascii="Candara" w:hAnsi="Candara"/>
          <w:noProof/>
        </w:rPr>
        <w:tab/>
        <w:t>Giannarini G, Crestani A, Inferrera A, et al. Impact of enhanced recovery after surgery protocols versus standard of care on perioperative outcomes of radical cystectomy: a systematic review and meta-analysis of comparative studies</w:t>
      </w:r>
      <w:r w:rsidRPr="00BD5018">
        <w:rPr>
          <w:rFonts w:ascii="Candara" w:hAnsi="Candara"/>
          <w:i/>
          <w:noProof/>
        </w:rPr>
        <w:t>.</w:t>
      </w:r>
      <w:r w:rsidRPr="00BD5018">
        <w:rPr>
          <w:rFonts w:ascii="Candara" w:hAnsi="Candara"/>
          <w:noProof/>
        </w:rPr>
        <w:t xml:space="preserve"> </w:t>
      </w:r>
      <w:r w:rsidRPr="00BD5018">
        <w:rPr>
          <w:rFonts w:ascii="Candara" w:hAnsi="Candara"/>
          <w:i/>
          <w:noProof/>
        </w:rPr>
        <w:t>Minerva Urol Nefrol</w:t>
      </w:r>
      <w:r w:rsidRPr="00BD5018">
        <w:rPr>
          <w:rFonts w:ascii="Candara" w:hAnsi="Candara"/>
          <w:noProof/>
        </w:rPr>
        <w:t>, 2019. 71(4): p. 309-323.</w:t>
      </w:r>
    </w:p>
    <w:p w14:paraId="675CC1FA"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42.</w:t>
      </w:r>
      <w:r w:rsidRPr="00BD5018">
        <w:rPr>
          <w:rFonts w:ascii="Candara" w:hAnsi="Candara"/>
          <w:noProof/>
        </w:rPr>
        <w:tab/>
        <w:t>Gong L, Xu M, Xu W, et al. Efficacy and safety of tacrolimus monotherapy versus cyclophosphamide-corticosteroid combination therapy for idiopathic membranous nephropathy: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2021. 100(28): p. e26628.</w:t>
      </w:r>
    </w:p>
    <w:p w14:paraId="6C8A779F"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43.</w:t>
      </w:r>
      <w:r w:rsidRPr="00BD5018">
        <w:rPr>
          <w:rFonts w:ascii="Candara" w:hAnsi="Candara"/>
          <w:noProof/>
        </w:rPr>
        <w:tab/>
        <w:t>Gong L, Xu M, Xu W, et al. Efficacy and safety of tacrolimus monotherapy versus tacrolimus-corticosteroid combination therapy for idiopathic membranous nephropathy: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2021. 100(51): p. e28225.</w:t>
      </w:r>
    </w:p>
    <w:p w14:paraId="171C0CD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44.</w:t>
      </w:r>
      <w:r w:rsidRPr="00BD5018">
        <w:rPr>
          <w:rFonts w:ascii="Candara" w:hAnsi="Candara"/>
          <w:noProof/>
        </w:rPr>
        <w:tab/>
        <w:t>Gong L, Xu W, Tang W, et al. Low-site versus traditional peritoneal dialysis catheterization: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2020. 99(48): p. e23311.</w:t>
      </w:r>
    </w:p>
    <w:p w14:paraId="2A266F1A"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45.</w:t>
      </w:r>
      <w:r w:rsidRPr="00BD5018">
        <w:rPr>
          <w:rFonts w:ascii="Candara" w:hAnsi="Candara"/>
          <w:noProof/>
        </w:rPr>
        <w:tab/>
        <w:t>Gong M, Liu G, Chen L, et al. The Efficacy and Safety of Intravenous Tranexamic Acid in Reducing Surgical Blood Loss in Posterior Lumbar Interbody Fusion for the Adult: A Systematic Review and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World Neurosurg</w:t>
      </w:r>
      <w:r w:rsidRPr="00BD5018">
        <w:rPr>
          <w:rFonts w:ascii="Candara" w:hAnsi="Candara"/>
          <w:noProof/>
        </w:rPr>
        <w:t>, 2019. 122: p. 559-568.</w:t>
      </w:r>
    </w:p>
    <w:p w14:paraId="1F80F2B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46.</w:t>
      </w:r>
      <w:r w:rsidRPr="00BD5018">
        <w:rPr>
          <w:rFonts w:ascii="Candara" w:hAnsi="Candara"/>
          <w:noProof/>
        </w:rPr>
        <w:tab/>
        <w:t>Guan Y and Liu Y. Meta-analysis on Effectiveness and Safety of Moxifloxacin in Treatment of Multidrug Resistant Tuberculosis in Adults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2020. 99(25): p. e20648.</w:t>
      </w:r>
    </w:p>
    <w:p w14:paraId="30ED22A4"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lastRenderedPageBreak/>
        <w:t>47.</w:t>
      </w:r>
      <w:r w:rsidRPr="00BD5018">
        <w:rPr>
          <w:rFonts w:ascii="Candara" w:hAnsi="Candara"/>
          <w:noProof/>
        </w:rPr>
        <w:tab/>
        <w:t>Guo Y, Zhu Q, Chen S, et al. Effect of sodium hyaluronate-arboxycellulose membrane (Seprafilm(R)) on postoperative small bowel obstruction: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Surgery</w:t>
      </w:r>
      <w:r w:rsidRPr="00BD5018">
        <w:rPr>
          <w:rFonts w:ascii="Candara" w:hAnsi="Candara"/>
          <w:noProof/>
        </w:rPr>
        <w:t>, 2021. 169(6): p. 1333-1339.</w:t>
      </w:r>
    </w:p>
    <w:p w14:paraId="1456A93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48.</w:t>
      </w:r>
      <w:r w:rsidRPr="00BD5018">
        <w:rPr>
          <w:rFonts w:ascii="Candara" w:hAnsi="Candara"/>
          <w:noProof/>
        </w:rPr>
        <w:tab/>
        <w:t>Hagrass A I, Almaghary B K, Mostafa M A, et al. Antiplatelets Versus Anticoagulation in Cervical Artery Dissection: A Systematic Review and Meta-analysis of 2064 Patients</w:t>
      </w:r>
      <w:r w:rsidRPr="00BD5018">
        <w:rPr>
          <w:rFonts w:ascii="Candara" w:hAnsi="Candara"/>
          <w:i/>
          <w:noProof/>
        </w:rPr>
        <w:t>.</w:t>
      </w:r>
      <w:r w:rsidRPr="00BD5018">
        <w:rPr>
          <w:rFonts w:ascii="Candara" w:hAnsi="Candara"/>
          <w:noProof/>
        </w:rPr>
        <w:t xml:space="preserve"> </w:t>
      </w:r>
      <w:r w:rsidRPr="00BD5018">
        <w:rPr>
          <w:rFonts w:ascii="Candara" w:hAnsi="Candara"/>
          <w:i/>
          <w:noProof/>
        </w:rPr>
        <w:t>Drugs R D</w:t>
      </w:r>
      <w:r w:rsidRPr="00BD5018">
        <w:rPr>
          <w:rFonts w:ascii="Candara" w:hAnsi="Candara"/>
          <w:noProof/>
        </w:rPr>
        <w:t>, 2022. 22(3): p. 187-203.</w:t>
      </w:r>
    </w:p>
    <w:p w14:paraId="5BA6B9A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49.</w:t>
      </w:r>
      <w:r w:rsidRPr="00BD5018">
        <w:rPr>
          <w:rFonts w:ascii="Candara" w:hAnsi="Candara"/>
          <w:noProof/>
        </w:rPr>
        <w:tab/>
        <w:t>Hajibandeh S, Hajibandeh S, Matthews J, et al. Meta-analysis of survival and functional outcomes after total mesorectal excision with or without lateral pelvic lymph node dissection in rectal cancer surgery</w:t>
      </w:r>
      <w:r w:rsidRPr="00BD5018">
        <w:rPr>
          <w:rFonts w:ascii="Candara" w:hAnsi="Candara"/>
          <w:i/>
          <w:noProof/>
        </w:rPr>
        <w:t>.</w:t>
      </w:r>
      <w:r w:rsidRPr="00BD5018">
        <w:rPr>
          <w:rFonts w:ascii="Candara" w:hAnsi="Candara"/>
          <w:noProof/>
        </w:rPr>
        <w:t xml:space="preserve"> </w:t>
      </w:r>
      <w:r w:rsidRPr="00BD5018">
        <w:rPr>
          <w:rFonts w:ascii="Candara" w:hAnsi="Candara"/>
          <w:i/>
          <w:noProof/>
        </w:rPr>
        <w:t>Surgery</w:t>
      </w:r>
      <w:r w:rsidRPr="00BD5018">
        <w:rPr>
          <w:rFonts w:ascii="Candara" w:hAnsi="Candara"/>
          <w:noProof/>
        </w:rPr>
        <w:t>, 2020. 168(3): p. 486-496.</w:t>
      </w:r>
    </w:p>
    <w:p w14:paraId="262D6CF3"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50.</w:t>
      </w:r>
      <w:r w:rsidRPr="00BD5018">
        <w:rPr>
          <w:rFonts w:ascii="Candara" w:hAnsi="Candara"/>
          <w:noProof/>
        </w:rPr>
        <w:tab/>
        <w:t>Hajibandeh S, Hajibandeh S, and Maw A. Diathermy versus scalpel for skin incision in patients undergoing open inguinal hernia repair: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Int J Surg</w:t>
      </w:r>
      <w:r w:rsidRPr="00BD5018">
        <w:rPr>
          <w:rFonts w:ascii="Candara" w:hAnsi="Candara"/>
          <w:noProof/>
        </w:rPr>
        <w:t>, 2020. 75: p. 35-43.</w:t>
      </w:r>
    </w:p>
    <w:p w14:paraId="37B976FA"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51.</w:t>
      </w:r>
      <w:r w:rsidRPr="00BD5018">
        <w:rPr>
          <w:rFonts w:ascii="Candara" w:hAnsi="Candara"/>
          <w:noProof/>
        </w:rPr>
        <w:tab/>
        <w:t>Han J, Guo Z, Wang Z, et al. Comparison of the complications of mandibular reconstruction using fibula versus iliac crest flaps: an updated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Int J Oral Maxillofac Surg</w:t>
      </w:r>
      <w:r w:rsidRPr="00BD5018">
        <w:rPr>
          <w:rFonts w:ascii="Candara" w:hAnsi="Candara"/>
          <w:noProof/>
        </w:rPr>
        <w:t>, 2022. 51(9): p. 1149-1156.</w:t>
      </w:r>
    </w:p>
    <w:p w14:paraId="6116205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52.</w:t>
      </w:r>
      <w:r w:rsidRPr="00BD5018">
        <w:rPr>
          <w:rFonts w:ascii="Candara" w:hAnsi="Candara"/>
          <w:noProof/>
        </w:rPr>
        <w:tab/>
        <w:t>Hariyanto T I, Halim D A, Jodhinata C, et al. Colchicine treatment can improve outcomes of coronavirus disease 2019 (COVID-19):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Clin Exp Pharmacol Physiol</w:t>
      </w:r>
      <w:r w:rsidRPr="00BD5018">
        <w:rPr>
          <w:rFonts w:ascii="Candara" w:hAnsi="Candara"/>
          <w:noProof/>
        </w:rPr>
        <w:t>, 2021. 48(6): p. 823-830.</w:t>
      </w:r>
    </w:p>
    <w:p w14:paraId="28E3D3C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53.</w:t>
      </w:r>
      <w:r w:rsidRPr="00BD5018">
        <w:rPr>
          <w:rFonts w:ascii="Candara" w:hAnsi="Candara"/>
          <w:noProof/>
        </w:rPr>
        <w:tab/>
        <w:t>Hartog F, Sneiders D, Darwish E F, et al. Favorable Outcomes After Retro-Rectus (Rives-Stoppa) Mesh Repair as Treatment for Noncomplex Ventral Abdominal Wall Hernia,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Ann Surg</w:t>
      </w:r>
      <w:r w:rsidRPr="00BD5018">
        <w:rPr>
          <w:rFonts w:ascii="Candara" w:hAnsi="Candara"/>
          <w:noProof/>
        </w:rPr>
        <w:t>, 2022. 276(1): p. 55-65.</w:t>
      </w:r>
    </w:p>
    <w:p w14:paraId="473FF373"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54.</w:t>
      </w:r>
      <w:r w:rsidRPr="00BD5018">
        <w:rPr>
          <w:rFonts w:ascii="Candara" w:hAnsi="Candara"/>
          <w:noProof/>
        </w:rPr>
        <w:tab/>
        <w:t>Hayes K, Fernando M C, and Jordan V. Prothrombin complex concentrate in cardiac surgery for the treatment of coagulopathic bleeding</w:t>
      </w:r>
      <w:r w:rsidRPr="00BD5018">
        <w:rPr>
          <w:rFonts w:ascii="Candara" w:hAnsi="Candara"/>
          <w:i/>
          <w:noProof/>
        </w:rPr>
        <w:t>.</w:t>
      </w:r>
      <w:r w:rsidRPr="00BD5018">
        <w:rPr>
          <w:rFonts w:ascii="Candara" w:hAnsi="Candara"/>
          <w:noProof/>
        </w:rPr>
        <w:t xml:space="preserve"> </w:t>
      </w:r>
      <w:r w:rsidRPr="00BD5018">
        <w:rPr>
          <w:rFonts w:ascii="Candara" w:hAnsi="Candara"/>
          <w:i/>
          <w:noProof/>
        </w:rPr>
        <w:t>Cochrane Database Syst Rev</w:t>
      </w:r>
      <w:r w:rsidRPr="00BD5018">
        <w:rPr>
          <w:rFonts w:ascii="Candara" w:hAnsi="Candara"/>
          <w:noProof/>
        </w:rPr>
        <w:t>, 2022. 11(11): p. CD013551.</w:t>
      </w:r>
    </w:p>
    <w:p w14:paraId="7B6B562B"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55.</w:t>
      </w:r>
      <w:r w:rsidRPr="00BD5018">
        <w:rPr>
          <w:rFonts w:ascii="Candara" w:hAnsi="Candara"/>
          <w:noProof/>
        </w:rPr>
        <w:tab/>
        <w:t>He L and Zhao Y. Is Roux-en-Y or Billroth-II reconstruction the preferred choice for gastric cancer patients undergoing distal gastrectomy when Billroth I reconstruction is not applicable?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98(48): p. e17093.</w:t>
      </w:r>
    </w:p>
    <w:p w14:paraId="5FD5B631"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56.</w:t>
      </w:r>
      <w:r w:rsidRPr="00BD5018">
        <w:rPr>
          <w:rFonts w:ascii="Candara" w:hAnsi="Candara"/>
          <w:noProof/>
        </w:rPr>
        <w:tab/>
        <w:t>He R, Zhao X, Liu J, et al. PD-1 and CTLA-4 inhibitors in combination vs. alone for the treatment of advanced melanoma: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2022. 101(41): p. e30561.</w:t>
      </w:r>
    </w:p>
    <w:p w14:paraId="24BB585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57.</w:t>
      </w:r>
      <w:r w:rsidRPr="00BD5018">
        <w:rPr>
          <w:rFonts w:ascii="Candara" w:hAnsi="Candara"/>
          <w:noProof/>
        </w:rPr>
        <w:tab/>
        <w:t xml:space="preserve">Henderson J T, Senger C A, Henninger M, et al. Behavioral Counseling Interventions to Prevent </w:t>
      </w:r>
      <w:r w:rsidRPr="00BD5018">
        <w:rPr>
          <w:rFonts w:ascii="Candara" w:hAnsi="Candara"/>
          <w:noProof/>
        </w:rPr>
        <w:lastRenderedPageBreak/>
        <w:t>Sexually Transmitted Infections: Updated Evidence Report and Systematic Review for the US Preventive Services Task Force</w:t>
      </w:r>
      <w:r w:rsidRPr="00BD5018">
        <w:rPr>
          <w:rFonts w:ascii="Candara" w:hAnsi="Candara"/>
          <w:i/>
          <w:noProof/>
        </w:rPr>
        <w:t>.</w:t>
      </w:r>
      <w:r w:rsidRPr="00BD5018">
        <w:rPr>
          <w:rFonts w:ascii="Candara" w:hAnsi="Candara"/>
          <w:noProof/>
        </w:rPr>
        <w:t xml:space="preserve"> </w:t>
      </w:r>
      <w:r w:rsidRPr="00BD5018">
        <w:rPr>
          <w:rFonts w:ascii="Candara" w:hAnsi="Candara"/>
          <w:i/>
          <w:noProof/>
        </w:rPr>
        <w:t>JAMA</w:t>
      </w:r>
      <w:r w:rsidRPr="00BD5018">
        <w:rPr>
          <w:rFonts w:ascii="Candara" w:hAnsi="Candara"/>
          <w:noProof/>
        </w:rPr>
        <w:t>, 2020. 324(7): p. 682-699.</w:t>
      </w:r>
    </w:p>
    <w:p w14:paraId="4238894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58.</w:t>
      </w:r>
      <w:r w:rsidRPr="00BD5018">
        <w:rPr>
          <w:rFonts w:ascii="Candara" w:hAnsi="Candara"/>
          <w:noProof/>
        </w:rPr>
        <w:tab/>
        <w:t>Hollmann C, Fernandes N L, and Biccard B M. A Systematic Review of Outcomes Associated With Withholding or Continuing Angiotensin-Converting Enzyme Inhibitors and Angiotensin Receptor Blockers Before Noncardiac Surgery</w:t>
      </w:r>
      <w:r w:rsidRPr="00BD5018">
        <w:rPr>
          <w:rFonts w:ascii="Candara" w:hAnsi="Candara"/>
          <w:i/>
          <w:noProof/>
        </w:rPr>
        <w:t>.</w:t>
      </w:r>
      <w:r w:rsidRPr="00BD5018">
        <w:rPr>
          <w:rFonts w:ascii="Candara" w:hAnsi="Candara"/>
          <w:noProof/>
        </w:rPr>
        <w:t xml:space="preserve"> </w:t>
      </w:r>
      <w:r w:rsidRPr="00BD5018">
        <w:rPr>
          <w:rFonts w:ascii="Candara" w:hAnsi="Candara"/>
          <w:i/>
          <w:noProof/>
        </w:rPr>
        <w:t>Anesth Analg</w:t>
      </w:r>
      <w:r w:rsidRPr="00BD5018">
        <w:rPr>
          <w:rFonts w:ascii="Candara" w:hAnsi="Candara"/>
          <w:noProof/>
        </w:rPr>
        <w:t>, 2018. 127(3): p. 678-687.</w:t>
      </w:r>
    </w:p>
    <w:p w14:paraId="0DF623F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59.</w:t>
      </w:r>
      <w:r w:rsidRPr="00BD5018">
        <w:rPr>
          <w:rFonts w:ascii="Candara" w:hAnsi="Candara"/>
          <w:noProof/>
        </w:rPr>
        <w:tab/>
        <w:t>Hong K, Hwang H, Han H, et al. Perspectives on antenatal education associated with pregnancy outcomes: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Women Birth</w:t>
      </w:r>
      <w:r w:rsidRPr="00BD5018">
        <w:rPr>
          <w:rFonts w:ascii="Candara" w:hAnsi="Candara"/>
          <w:noProof/>
        </w:rPr>
        <w:t>, 2021. 34(3): p. 219-230.</w:t>
      </w:r>
    </w:p>
    <w:p w14:paraId="36CE4153"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60.</w:t>
      </w:r>
      <w:r w:rsidRPr="00BD5018">
        <w:rPr>
          <w:rFonts w:ascii="Candara" w:hAnsi="Candara"/>
          <w:noProof/>
        </w:rPr>
        <w:tab/>
        <w:t>Htay H, Johnson D W, Craig J C, et al. Urgent-start peritoneal dialysis versus conventional-start peritoneal dialysis for people with chronic kidney disease</w:t>
      </w:r>
      <w:r w:rsidRPr="00BD5018">
        <w:rPr>
          <w:rFonts w:ascii="Candara" w:hAnsi="Candara"/>
          <w:i/>
          <w:noProof/>
        </w:rPr>
        <w:t>.</w:t>
      </w:r>
      <w:r w:rsidRPr="00BD5018">
        <w:rPr>
          <w:rFonts w:ascii="Candara" w:hAnsi="Candara"/>
          <w:noProof/>
        </w:rPr>
        <w:t xml:space="preserve"> </w:t>
      </w:r>
      <w:r w:rsidRPr="00BD5018">
        <w:rPr>
          <w:rFonts w:ascii="Candara" w:hAnsi="Candara"/>
          <w:i/>
          <w:noProof/>
        </w:rPr>
        <w:t>Cochrane Database Syst Rev</w:t>
      </w:r>
      <w:r w:rsidRPr="00BD5018">
        <w:rPr>
          <w:rFonts w:ascii="Candara" w:hAnsi="Candara"/>
          <w:noProof/>
        </w:rPr>
        <w:t>, 2020. 12(12): p. CD012913.</w:t>
      </w:r>
    </w:p>
    <w:p w14:paraId="21ACE66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61.</w:t>
      </w:r>
      <w:r w:rsidRPr="00BD5018">
        <w:rPr>
          <w:rFonts w:ascii="Candara" w:hAnsi="Candara"/>
          <w:noProof/>
        </w:rPr>
        <w:tab/>
        <w:t>Hu Y, Xiong W, Li C, et al. Continuous blood purification for severe acute pancreatitis: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98(12): p. e14873.</w:t>
      </w:r>
    </w:p>
    <w:p w14:paraId="010F70FC"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62.</w:t>
      </w:r>
      <w:r w:rsidRPr="00BD5018">
        <w:rPr>
          <w:rFonts w:ascii="Candara" w:hAnsi="Candara"/>
          <w:noProof/>
        </w:rPr>
        <w:tab/>
        <w:t>Huang H, Wu C, Shen Q, et al. The effect of early vasopressin use on patients with septic shock: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Am J Emerg Med</w:t>
      </w:r>
      <w:r w:rsidRPr="00BD5018">
        <w:rPr>
          <w:rFonts w:ascii="Candara" w:hAnsi="Candara"/>
          <w:noProof/>
        </w:rPr>
        <w:t>, 2021. 48: p. 203-208.</w:t>
      </w:r>
    </w:p>
    <w:p w14:paraId="486E212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63.</w:t>
      </w:r>
      <w:r w:rsidRPr="00BD5018">
        <w:rPr>
          <w:rFonts w:ascii="Candara" w:hAnsi="Candara"/>
          <w:noProof/>
        </w:rPr>
        <w:tab/>
        <w:t>Huang J, Zhang L, Tang J, et al. Human milk as a protective factor for bronchopulmonary dysplasia: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Arch Dis Child Fetal Neonatal Ed</w:t>
      </w:r>
      <w:r w:rsidRPr="00BD5018">
        <w:rPr>
          <w:rFonts w:ascii="Candara" w:hAnsi="Candara"/>
          <w:noProof/>
        </w:rPr>
        <w:t>, 2019. 104(2): p. F128-F136.</w:t>
      </w:r>
    </w:p>
    <w:p w14:paraId="43FBACF1"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64.</w:t>
      </w:r>
      <w:r w:rsidRPr="00BD5018">
        <w:rPr>
          <w:rFonts w:ascii="Candara" w:hAnsi="Candara"/>
          <w:noProof/>
        </w:rPr>
        <w:tab/>
        <w:t>Huang Y, Wu K, Shi H, et al. Kirscner wire fixation versus suture anchor technique for mallet finger: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2021. 100(11): p. e24996.</w:t>
      </w:r>
    </w:p>
    <w:p w14:paraId="29266694"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65.</w:t>
      </w:r>
      <w:r w:rsidRPr="00BD5018">
        <w:rPr>
          <w:rFonts w:ascii="Candara" w:hAnsi="Candara"/>
          <w:noProof/>
        </w:rPr>
        <w:tab/>
        <w:t>Ironside N, Barreto S G, Loveday B, et al. Meta-analysis of an artery-first approach versus standard pancreatoduodenectomy on perioperative outcomes and survival</w:t>
      </w:r>
      <w:r w:rsidRPr="00BD5018">
        <w:rPr>
          <w:rFonts w:ascii="Candara" w:hAnsi="Candara"/>
          <w:i/>
          <w:noProof/>
        </w:rPr>
        <w:t>.</w:t>
      </w:r>
      <w:r w:rsidRPr="00BD5018">
        <w:rPr>
          <w:rFonts w:ascii="Candara" w:hAnsi="Candara"/>
          <w:noProof/>
        </w:rPr>
        <w:t xml:space="preserve"> </w:t>
      </w:r>
      <w:r w:rsidRPr="00BD5018">
        <w:rPr>
          <w:rFonts w:ascii="Candara" w:hAnsi="Candara"/>
          <w:i/>
          <w:noProof/>
        </w:rPr>
        <w:t>Br J Surg</w:t>
      </w:r>
      <w:r w:rsidRPr="00BD5018">
        <w:rPr>
          <w:rFonts w:ascii="Candara" w:hAnsi="Candara"/>
          <w:noProof/>
        </w:rPr>
        <w:t>, 2018. 105(6): p. 628-636.</w:t>
      </w:r>
    </w:p>
    <w:p w14:paraId="413A0B1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66.</w:t>
      </w:r>
      <w:r w:rsidRPr="00BD5018">
        <w:rPr>
          <w:rFonts w:ascii="Candara" w:hAnsi="Candara"/>
          <w:noProof/>
        </w:rPr>
        <w:tab/>
        <w:t>James D L, Ryan E J, Davey M G, et al. Radioiodine Remnant Ablation for Differentiated Thyroid Cancer: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JAMA Otolaryngol Head Neck Surg</w:t>
      </w:r>
      <w:r w:rsidRPr="00BD5018">
        <w:rPr>
          <w:rFonts w:ascii="Candara" w:hAnsi="Candara"/>
          <w:noProof/>
        </w:rPr>
        <w:t>, 2021. 147(6): p. 544-552.</w:t>
      </w:r>
    </w:p>
    <w:p w14:paraId="6AC93F1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67.</w:t>
      </w:r>
      <w:r w:rsidRPr="00BD5018">
        <w:rPr>
          <w:rFonts w:ascii="Candara" w:hAnsi="Candara"/>
          <w:noProof/>
        </w:rPr>
        <w:tab/>
        <w:t>Jeong S H, Lee S U, and Kim J S. Prevention of recurrent benign paroxysmal positional vertigo with vitamin D supplementation: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Neurol</w:t>
      </w:r>
      <w:r w:rsidRPr="00BD5018">
        <w:rPr>
          <w:rFonts w:ascii="Candara" w:hAnsi="Candara"/>
          <w:noProof/>
        </w:rPr>
        <w:t>, 2022. 269(2): p. 619-626.</w:t>
      </w:r>
    </w:p>
    <w:p w14:paraId="458609E1"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68.</w:t>
      </w:r>
      <w:r w:rsidRPr="00BD5018">
        <w:rPr>
          <w:rFonts w:ascii="Candara" w:hAnsi="Candara"/>
          <w:noProof/>
        </w:rPr>
        <w:tab/>
        <w:t>Kale-Pradhan P B, Giuliano C, Jongekrijg A, et al. Combination of Vancomycin or Daptomycin and Beta-lactam Antibiotics: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Pharmacotherapy</w:t>
      </w:r>
      <w:r w:rsidRPr="00BD5018">
        <w:rPr>
          <w:rFonts w:ascii="Candara" w:hAnsi="Candara"/>
          <w:noProof/>
        </w:rPr>
        <w:t>, 2020. 40(7): p. 648-658.</w:t>
      </w:r>
    </w:p>
    <w:p w14:paraId="4235E351"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69.</w:t>
      </w:r>
      <w:r w:rsidRPr="00BD5018">
        <w:rPr>
          <w:rFonts w:ascii="Candara" w:hAnsi="Candara"/>
          <w:noProof/>
        </w:rPr>
        <w:tab/>
        <w:t xml:space="preserve">Kanellopoulou A, Riza E, Samoli E, et al. Dietary Supplement Use after Cancer Diagnosis in </w:t>
      </w:r>
      <w:r w:rsidRPr="00BD5018">
        <w:rPr>
          <w:rFonts w:ascii="Candara" w:hAnsi="Candara"/>
          <w:noProof/>
        </w:rPr>
        <w:lastRenderedPageBreak/>
        <w:t>Relation to Total Mortality, Cancer Mortality and Recurrence: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Nutr Cancer</w:t>
      </w:r>
      <w:r w:rsidRPr="00BD5018">
        <w:rPr>
          <w:rFonts w:ascii="Candara" w:hAnsi="Candara"/>
          <w:noProof/>
        </w:rPr>
        <w:t>, 2021. 73(1): p. 16-30.</w:t>
      </w:r>
    </w:p>
    <w:p w14:paraId="285E6774"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70.</w:t>
      </w:r>
      <w:r w:rsidRPr="00BD5018">
        <w:rPr>
          <w:rFonts w:ascii="Candara" w:hAnsi="Candara"/>
          <w:noProof/>
        </w:rPr>
        <w:tab/>
        <w:t>Kang H, Kim B J, Choi G, et al. Vonoprazan versus proton pump inhibitors for the management of gastric endoscopic submucosal dissection-induced artificial ulcer: A systematic review with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98(24): p. e15860.</w:t>
      </w:r>
    </w:p>
    <w:p w14:paraId="48B39C7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71.</w:t>
      </w:r>
      <w:r w:rsidRPr="00BD5018">
        <w:rPr>
          <w:rFonts w:ascii="Candara" w:hAnsi="Candara"/>
          <w:noProof/>
        </w:rPr>
        <w:tab/>
        <w:t>Khandkar C, Vaidya K, and Patel S. Colchicine for Stroke Prevention: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Clin Ther</w:t>
      </w:r>
      <w:r w:rsidRPr="00BD5018">
        <w:rPr>
          <w:rFonts w:ascii="Candara" w:hAnsi="Candara"/>
          <w:noProof/>
        </w:rPr>
        <w:t>, 2019. 41(3): p. 582-590 e3.</w:t>
      </w:r>
    </w:p>
    <w:p w14:paraId="2D874EF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72.</w:t>
      </w:r>
      <w:r w:rsidRPr="00BD5018">
        <w:rPr>
          <w:rFonts w:ascii="Candara" w:hAnsi="Candara"/>
          <w:noProof/>
        </w:rPr>
        <w:tab/>
        <w:t>Kim S I, Cho J, Lee E J, et al. Selection of patients with ovarian cancer who may show survival benefit from hyperthermic intraperitoneal chemotherapy: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98(50): p. e18355.</w:t>
      </w:r>
    </w:p>
    <w:p w14:paraId="3AED0E41"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73.</w:t>
      </w:r>
      <w:r w:rsidRPr="00BD5018">
        <w:rPr>
          <w:rFonts w:ascii="Candara" w:hAnsi="Candara"/>
          <w:noProof/>
        </w:rPr>
        <w:tab/>
        <w:t>Kirkland S W, Ghalab A, Kruhlak M, et al. An Assessment of Emergency Department-Based Interventions for Patients with Advanced or End-Stage Illness: A Systematic Review</w:t>
      </w:r>
      <w:r w:rsidRPr="00BD5018">
        <w:rPr>
          <w:rFonts w:ascii="Candara" w:hAnsi="Candara"/>
          <w:i/>
          <w:noProof/>
        </w:rPr>
        <w:t>.</w:t>
      </w:r>
      <w:r w:rsidRPr="00BD5018">
        <w:rPr>
          <w:rFonts w:ascii="Candara" w:hAnsi="Candara"/>
          <w:noProof/>
        </w:rPr>
        <w:t xml:space="preserve"> </w:t>
      </w:r>
      <w:r w:rsidRPr="00BD5018">
        <w:rPr>
          <w:rFonts w:ascii="Candara" w:hAnsi="Candara"/>
          <w:i/>
          <w:noProof/>
        </w:rPr>
        <w:t>J Palliat Med</w:t>
      </w:r>
      <w:r w:rsidRPr="00BD5018">
        <w:rPr>
          <w:rFonts w:ascii="Candara" w:hAnsi="Candara"/>
          <w:noProof/>
        </w:rPr>
        <w:t>, 2021. 24(4): p. 605-618.</w:t>
      </w:r>
    </w:p>
    <w:p w14:paraId="3348BA1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74.</w:t>
      </w:r>
      <w:r w:rsidRPr="00BD5018">
        <w:rPr>
          <w:rFonts w:ascii="Candara" w:hAnsi="Candara"/>
          <w:noProof/>
        </w:rPr>
        <w:tab/>
        <w:t>Kokotovic D, Berkfors A, Gogenur I, et al. The effect of postoperative respiratory and mobilization interventions on postoperative complications following abdominal surgery: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Eur J Trauma Emerg Surg</w:t>
      </w:r>
      <w:r w:rsidRPr="00BD5018">
        <w:rPr>
          <w:rFonts w:ascii="Candara" w:hAnsi="Candara"/>
          <w:noProof/>
        </w:rPr>
        <w:t>, 2021. 47(4): p. 975-990.</w:t>
      </w:r>
    </w:p>
    <w:p w14:paraId="0818D6F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75.</w:t>
      </w:r>
      <w:r w:rsidRPr="00BD5018">
        <w:rPr>
          <w:rFonts w:ascii="Candara" w:hAnsi="Candara"/>
          <w:noProof/>
        </w:rPr>
        <w:tab/>
        <w:t>Kunkel S T, Sabatino M J, Kang R, et al. A systematic review and meta-analysis of the direct anterior approach for hemiarthroplasty for femoral neck fracture</w:t>
      </w:r>
      <w:r w:rsidRPr="00BD5018">
        <w:rPr>
          <w:rFonts w:ascii="Candara" w:hAnsi="Candara"/>
          <w:i/>
          <w:noProof/>
        </w:rPr>
        <w:t>.</w:t>
      </w:r>
      <w:r w:rsidRPr="00BD5018">
        <w:rPr>
          <w:rFonts w:ascii="Candara" w:hAnsi="Candara"/>
          <w:noProof/>
        </w:rPr>
        <w:t xml:space="preserve"> </w:t>
      </w:r>
      <w:r w:rsidRPr="00BD5018">
        <w:rPr>
          <w:rFonts w:ascii="Candara" w:hAnsi="Candara"/>
          <w:i/>
          <w:noProof/>
        </w:rPr>
        <w:t>Eur J Orthop Surg Traumatol</w:t>
      </w:r>
      <w:r w:rsidRPr="00BD5018">
        <w:rPr>
          <w:rFonts w:ascii="Candara" w:hAnsi="Candara"/>
          <w:noProof/>
        </w:rPr>
        <w:t>, 2018. 28(2): p. 217-232.</w:t>
      </w:r>
    </w:p>
    <w:p w14:paraId="3BFB487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76.</w:t>
      </w:r>
      <w:r w:rsidRPr="00BD5018">
        <w:rPr>
          <w:rFonts w:ascii="Candara" w:hAnsi="Candara"/>
          <w:noProof/>
        </w:rPr>
        <w:tab/>
        <w:t>Kuria A, Tian H, Li M, et al. Selenium status in the body and cardiovascular disease: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Crit Rev Food Sci Nutr</w:t>
      </w:r>
      <w:r w:rsidRPr="00BD5018">
        <w:rPr>
          <w:rFonts w:ascii="Candara" w:hAnsi="Candara"/>
          <w:noProof/>
        </w:rPr>
        <w:t>, 2021. 61(21): p. 3616-3625.</w:t>
      </w:r>
    </w:p>
    <w:p w14:paraId="32183122"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77.</w:t>
      </w:r>
      <w:r w:rsidRPr="00BD5018">
        <w:rPr>
          <w:rFonts w:ascii="Candara" w:hAnsi="Candara"/>
          <w:noProof/>
        </w:rPr>
        <w:tab/>
        <w:t>Kurlander J E, Barnes G D, Fisher A, et al. Association of Antisecretory Drugs with Upper Gastrointestinal Bleeding in Patients Using Oral Anticoagulants: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Am J Med</w:t>
      </w:r>
      <w:r w:rsidRPr="00BD5018">
        <w:rPr>
          <w:rFonts w:ascii="Candara" w:hAnsi="Candara"/>
          <w:noProof/>
        </w:rPr>
        <w:t>, 2022. 135(10): p. 1231-1243 e8.</w:t>
      </w:r>
    </w:p>
    <w:p w14:paraId="6521C3C2"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78.</w:t>
      </w:r>
      <w:r w:rsidRPr="00BD5018">
        <w:rPr>
          <w:rFonts w:ascii="Candara" w:hAnsi="Candara"/>
          <w:noProof/>
        </w:rPr>
        <w:tab/>
        <w:t>Lan S H, Chang S P, Lai C C, et al. Efficacy and safety of cefoperazone-sulbactam in empiric therapy for febrile neutropenia: A systemic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2020. 99(8): p. e19321.</w:t>
      </w:r>
    </w:p>
    <w:p w14:paraId="5B5FE49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79.</w:t>
      </w:r>
      <w:r w:rsidRPr="00BD5018">
        <w:rPr>
          <w:rFonts w:ascii="Candara" w:hAnsi="Candara"/>
          <w:noProof/>
        </w:rPr>
        <w:tab/>
        <w:t>Le Tourneau N, Germann A, Thompson R R, et al. Evaluation of HIV treatment outcomes with reduced frequency of clinical encounters and antiretroviral treatment refills: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PLoS Med</w:t>
      </w:r>
      <w:r w:rsidRPr="00BD5018">
        <w:rPr>
          <w:rFonts w:ascii="Candara" w:hAnsi="Candara"/>
          <w:noProof/>
        </w:rPr>
        <w:t>, 2022. 19(3): p. e1003959.</w:t>
      </w:r>
    </w:p>
    <w:p w14:paraId="08D112A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lastRenderedPageBreak/>
        <w:t>80.</w:t>
      </w:r>
      <w:r w:rsidRPr="00BD5018">
        <w:rPr>
          <w:rFonts w:ascii="Candara" w:hAnsi="Candara"/>
          <w:noProof/>
        </w:rPr>
        <w:tab/>
        <w:t>Lee S R, Rhee T M, Kang D Y, et al. Meta-Analysis of Oral Anticoagulant Monotherapy as an Antithrombotic Strategy in Patients With Stable Coronary Artery Disease and Nonvalvular Atrial Fibrillation</w:t>
      </w:r>
      <w:r w:rsidRPr="00BD5018">
        <w:rPr>
          <w:rFonts w:ascii="Candara" w:hAnsi="Candara"/>
          <w:i/>
          <w:noProof/>
        </w:rPr>
        <w:t>.</w:t>
      </w:r>
      <w:r w:rsidRPr="00BD5018">
        <w:rPr>
          <w:rFonts w:ascii="Candara" w:hAnsi="Candara"/>
          <w:noProof/>
        </w:rPr>
        <w:t xml:space="preserve"> </w:t>
      </w:r>
      <w:r w:rsidRPr="00BD5018">
        <w:rPr>
          <w:rFonts w:ascii="Candara" w:hAnsi="Candara"/>
          <w:i/>
          <w:noProof/>
        </w:rPr>
        <w:t>Am J Cardiol</w:t>
      </w:r>
      <w:r w:rsidRPr="00BD5018">
        <w:rPr>
          <w:rFonts w:ascii="Candara" w:hAnsi="Candara"/>
          <w:noProof/>
        </w:rPr>
        <w:t>, 2019. 124(6): p. 879-885.</w:t>
      </w:r>
    </w:p>
    <w:p w14:paraId="57C65BE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81.</w:t>
      </w:r>
      <w:r w:rsidRPr="00BD5018">
        <w:rPr>
          <w:rFonts w:ascii="Candara" w:hAnsi="Candara"/>
          <w:noProof/>
        </w:rPr>
        <w:tab/>
        <w:t>Lenger S M, Bradley M S, Thomas D A, et al. D-mannose vs other agents for recurrent urinary tract infection prevention in adult women: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Am J Obstet Gynecol</w:t>
      </w:r>
      <w:r w:rsidRPr="00BD5018">
        <w:rPr>
          <w:rFonts w:ascii="Candara" w:hAnsi="Candara"/>
          <w:noProof/>
        </w:rPr>
        <w:t>, 2020. 223(2): p. 265 e1-265 e13.</w:t>
      </w:r>
    </w:p>
    <w:p w14:paraId="6FC16E3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82.</w:t>
      </w:r>
      <w:r w:rsidRPr="00BD5018">
        <w:rPr>
          <w:rFonts w:ascii="Candara" w:hAnsi="Candara"/>
          <w:noProof/>
        </w:rPr>
        <w:tab/>
        <w:t>Lenza M, Buchbinder R, Johnston R V, et al. Surgical versus conservative interventions for treating fractures of the middle third of the clavicle</w:t>
      </w:r>
      <w:r w:rsidRPr="00BD5018">
        <w:rPr>
          <w:rFonts w:ascii="Candara" w:hAnsi="Candara"/>
          <w:i/>
          <w:noProof/>
        </w:rPr>
        <w:t>.</w:t>
      </w:r>
      <w:r w:rsidRPr="00BD5018">
        <w:rPr>
          <w:rFonts w:ascii="Candara" w:hAnsi="Candara"/>
          <w:noProof/>
        </w:rPr>
        <w:t xml:space="preserve"> </w:t>
      </w:r>
      <w:r w:rsidRPr="00BD5018">
        <w:rPr>
          <w:rFonts w:ascii="Candara" w:hAnsi="Candara"/>
          <w:i/>
          <w:noProof/>
        </w:rPr>
        <w:t>Cochrane Database Syst Rev</w:t>
      </w:r>
      <w:r w:rsidRPr="00BD5018">
        <w:rPr>
          <w:rFonts w:ascii="Candara" w:hAnsi="Candara"/>
          <w:noProof/>
        </w:rPr>
        <w:t>, 2019. 1(1): p. CD009363.</w:t>
      </w:r>
    </w:p>
    <w:p w14:paraId="6AADE2A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83.</w:t>
      </w:r>
      <w:r w:rsidRPr="00BD5018">
        <w:rPr>
          <w:rFonts w:ascii="Candara" w:hAnsi="Candara"/>
          <w:noProof/>
        </w:rPr>
        <w:tab/>
        <w:t>Leone M A, Giussani G, Nevitt S J, et al. Immediate antiepileptic drug treatment, versus placebo, deferred, or no treatment for first unprovoked seizure</w:t>
      </w:r>
      <w:r w:rsidRPr="00BD5018">
        <w:rPr>
          <w:rFonts w:ascii="Candara" w:hAnsi="Candara"/>
          <w:i/>
          <w:noProof/>
        </w:rPr>
        <w:t>.</w:t>
      </w:r>
      <w:r w:rsidRPr="00BD5018">
        <w:rPr>
          <w:rFonts w:ascii="Candara" w:hAnsi="Candara"/>
          <w:noProof/>
        </w:rPr>
        <w:t xml:space="preserve"> </w:t>
      </w:r>
      <w:r w:rsidRPr="00BD5018">
        <w:rPr>
          <w:rFonts w:ascii="Candara" w:hAnsi="Candara"/>
          <w:i/>
          <w:noProof/>
        </w:rPr>
        <w:t>Cochrane Database Syst Rev</w:t>
      </w:r>
      <w:r w:rsidRPr="00BD5018">
        <w:rPr>
          <w:rFonts w:ascii="Candara" w:hAnsi="Candara"/>
          <w:noProof/>
        </w:rPr>
        <w:t>, 2021. 5(5): p. CD007144.</w:t>
      </w:r>
    </w:p>
    <w:p w14:paraId="2BDD4D87"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84.</w:t>
      </w:r>
      <w:r w:rsidRPr="00BD5018">
        <w:rPr>
          <w:rFonts w:ascii="Candara" w:hAnsi="Candara"/>
          <w:noProof/>
        </w:rPr>
        <w:tab/>
        <w:t>Lewis S R, Pritchard M W, Fawcett L J, et al. Bispectral index for improving intraoperative awareness and early postoperative recovery in adults</w:t>
      </w:r>
      <w:r w:rsidRPr="00BD5018">
        <w:rPr>
          <w:rFonts w:ascii="Candara" w:hAnsi="Candara"/>
          <w:i/>
          <w:noProof/>
        </w:rPr>
        <w:t>.</w:t>
      </w:r>
      <w:r w:rsidRPr="00BD5018">
        <w:rPr>
          <w:rFonts w:ascii="Candara" w:hAnsi="Candara"/>
          <w:noProof/>
        </w:rPr>
        <w:t xml:space="preserve"> </w:t>
      </w:r>
      <w:r w:rsidRPr="00BD5018">
        <w:rPr>
          <w:rFonts w:ascii="Candara" w:hAnsi="Candara"/>
          <w:i/>
          <w:noProof/>
        </w:rPr>
        <w:t>Cochrane Database of Systematic Reviews</w:t>
      </w:r>
      <w:r w:rsidRPr="00BD5018">
        <w:rPr>
          <w:rFonts w:ascii="Candara" w:hAnsi="Candara"/>
          <w:noProof/>
        </w:rPr>
        <w:t>, 2019. 2020(7).</w:t>
      </w:r>
    </w:p>
    <w:p w14:paraId="63F40F9A"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85.</w:t>
      </w:r>
      <w:r w:rsidRPr="00BD5018">
        <w:rPr>
          <w:rFonts w:ascii="Candara" w:hAnsi="Candara"/>
          <w:noProof/>
        </w:rPr>
        <w:tab/>
        <w:t>Li H, Guo W, Guo S, et al. Surgical versus nonsurgical treatment for scaphoid waist fracture with slight or no displacement: A meta-analysis and systematic review</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2018. 97(48): p. e13266.</w:t>
      </w:r>
    </w:p>
    <w:p w14:paraId="250785C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86.</w:t>
      </w:r>
      <w:r w:rsidRPr="00BD5018">
        <w:rPr>
          <w:rFonts w:ascii="Candara" w:hAnsi="Candara"/>
          <w:noProof/>
        </w:rPr>
        <w:tab/>
        <w:t>Li M, Guo C, Lv Y H, et al. Drug-coated balloon versus drug-eluting stent in de novo small coronary vessel disease: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98(21): p. e15622.</w:t>
      </w:r>
    </w:p>
    <w:p w14:paraId="2CA4D0C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87.</w:t>
      </w:r>
      <w:r w:rsidRPr="00BD5018">
        <w:rPr>
          <w:rFonts w:ascii="Candara" w:hAnsi="Candara"/>
          <w:noProof/>
        </w:rPr>
        <w:tab/>
        <w:t>Li X, Zhang C, Dai D, et al. Efficacy of dexmedetomidine in prevention of junctional ectopic tachycardia and acute kidney injury after pediatric cardiac surgery: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Congenit Heart Dis</w:t>
      </w:r>
      <w:r w:rsidRPr="00BD5018">
        <w:rPr>
          <w:rFonts w:ascii="Candara" w:hAnsi="Candara"/>
          <w:noProof/>
        </w:rPr>
        <w:t>, 2018. 13(5): p. 799-807.</w:t>
      </w:r>
    </w:p>
    <w:p w14:paraId="49EB45A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88.</w:t>
      </w:r>
      <w:r w:rsidRPr="00BD5018">
        <w:rPr>
          <w:rFonts w:ascii="Candara" w:hAnsi="Candara"/>
          <w:noProof/>
        </w:rPr>
        <w:tab/>
        <w:t>Li Y H, Yu T, Shao W, et al. Distal locked versus unlocked intramedullary nailing for stable intertrochanteric fractures,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BMC Musculoskelet Disord</w:t>
      </w:r>
      <w:r w:rsidRPr="00BD5018">
        <w:rPr>
          <w:rFonts w:ascii="Candara" w:hAnsi="Candara"/>
          <w:noProof/>
        </w:rPr>
        <w:t>, 2020. 21(1): p. 461.</w:t>
      </w:r>
    </w:p>
    <w:p w14:paraId="61DCEBB1"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89.</w:t>
      </w:r>
      <w:r w:rsidRPr="00BD5018">
        <w:rPr>
          <w:rFonts w:ascii="Candara" w:hAnsi="Candara"/>
          <w:noProof/>
        </w:rPr>
        <w:tab/>
        <w:t>Li Z, Bai B, Xie F, et al. Distal versus total gastrectomy for middle and lower-third gastric cancer: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Int J Surg</w:t>
      </w:r>
      <w:r w:rsidRPr="00BD5018">
        <w:rPr>
          <w:rFonts w:ascii="Candara" w:hAnsi="Candara"/>
          <w:noProof/>
        </w:rPr>
        <w:t>, 2018. 53: p. 163-170.</w:t>
      </w:r>
    </w:p>
    <w:p w14:paraId="734ACA14"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90.</w:t>
      </w:r>
      <w:r w:rsidRPr="00BD5018">
        <w:rPr>
          <w:rFonts w:ascii="Candara" w:hAnsi="Candara"/>
          <w:noProof/>
        </w:rPr>
        <w:tab/>
        <w:t xml:space="preserve">Li Z, Lian B, Chen J, et al. Systematic review and meta-analysis of splenectomy in gastrectomy </w:t>
      </w:r>
      <w:r w:rsidRPr="00BD5018">
        <w:rPr>
          <w:rFonts w:ascii="Candara" w:hAnsi="Candara"/>
          <w:noProof/>
        </w:rPr>
        <w:lastRenderedPageBreak/>
        <w:t>for gastric carcinoma</w:t>
      </w:r>
      <w:r w:rsidRPr="00BD5018">
        <w:rPr>
          <w:rFonts w:ascii="Candara" w:hAnsi="Candara"/>
          <w:i/>
          <w:noProof/>
        </w:rPr>
        <w:t>.</w:t>
      </w:r>
      <w:r w:rsidRPr="00BD5018">
        <w:rPr>
          <w:rFonts w:ascii="Candara" w:hAnsi="Candara"/>
          <w:noProof/>
        </w:rPr>
        <w:t xml:space="preserve"> </w:t>
      </w:r>
      <w:r w:rsidRPr="00BD5018">
        <w:rPr>
          <w:rFonts w:ascii="Candara" w:hAnsi="Candara"/>
          <w:i/>
          <w:noProof/>
        </w:rPr>
        <w:t>Int J Surg</w:t>
      </w:r>
      <w:r w:rsidRPr="00BD5018">
        <w:rPr>
          <w:rFonts w:ascii="Candara" w:hAnsi="Candara"/>
          <w:noProof/>
        </w:rPr>
        <w:t>, 2019. 68: p. 104-113.</w:t>
      </w:r>
    </w:p>
    <w:p w14:paraId="173746DF"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91.</w:t>
      </w:r>
      <w:r w:rsidRPr="00BD5018">
        <w:rPr>
          <w:rFonts w:ascii="Candara" w:hAnsi="Candara"/>
          <w:noProof/>
        </w:rPr>
        <w:tab/>
        <w:t>Lin H, Jin Z, Zhu Y, et al. Anal fistula plug vs rectal advancement flap for the treatment of complex cryptoglandular anal fistulas: a systematic review and meta-analysis of studies with long-term follow-up</w:t>
      </w:r>
      <w:r w:rsidRPr="00BD5018">
        <w:rPr>
          <w:rFonts w:ascii="Candara" w:hAnsi="Candara"/>
          <w:i/>
          <w:noProof/>
        </w:rPr>
        <w:t>.</w:t>
      </w:r>
      <w:r w:rsidRPr="00BD5018">
        <w:rPr>
          <w:rFonts w:ascii="Candara" w:hAnsi="Candara"/>
          <w:noProof/>
        </w:rPr>
        <w:t xml:space="preserve"> </w:t>
      </w:r>
      <w:r w:rsidRPr="00BD5018">
        <w:rPr>
          <w:rFonts w:ascii="Candara" w:hAnsi="Candara"/>
          <w:i/>
          <w:noProof/>
        </w:rPr>
        <w:t>Colorectal Dis</w:t>
      </w:r>
      <w:r w:rsidRPr="00BD5018">
        <w:rPr>
          <w:rFonts w:ascii="Candara" w:hAnsi="Candara"/>
          <w:noProof/>
        </w:rPr>
        <w:t>, 2019. 21(5): p. 502-515.</w:t>
      </w:r>
    </w:p>
    <w:p w14:paraId="3EA6982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92.</w:t>
      </w:r>
      <w:r w:rsidRPr="00BD5018">
        <w:rPr>
          <w:rFonts w:ascii="Candara" w:hAnsi="Candara"/>
          <w:noProof/>
        </w:rPr>
        <w:tab/>
        <w:t>Lin Y, Liu M, Ye H, et al. Laparoendoscopic single-site surgery compared with conventional laparoscopic surgery for benign ovarian masses: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BMJ Open</w:t>
      </w:r>
      <w:r w:rsidRPr="00BD5018">
        <w:rPr>
          <w:rFonts w:ascii="Candara" w:hAnsi="Candara"/>
          <w:noProof/>
        </w:rPr>
        <w:t>, 2020. 10(2): p. e032331.</w:t>
      </w:r>
    </w:p>
    <w:p w14:paraId="1828D4E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93.</w:t>
      </w:r>
      <w:r w:rsidRPr="00BD5018">
        <w:rPr>
          <w:rFonts w:ascii="Candara" w:hAnsi="Candara"/>
          <w:noProof/>
        </w:rPr>
        <w:tab/>
        <w:t>Liu C, Liu C, Wang Q, et al. Supplementation of folic acid in pregnancy and the risk of preeclampsia and gestational hypertension: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Arch Gynecol Obstet</w:t>
      </w:r>
      <w:r w:rsidRPr="00BD5018">
        <w:rPr>
          <w:rFonts w:ascii="Candara" w:hAnsi="Candara"/>
          <w:noProof/>
        </w:rPr>
        <w:t>, 2018. 298(4): p. 697-704.</w:t>
      </w:r>
    </w:p>
    <w:p w14:paraId="717CAAF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94.</w:t>
      </w:r>
      <w:r w:rsidRPr="00BD5018">
        <w:rPr>
          <w:rFonts w:ascii="Candara" w:hAnsi="Candara"/>
          <w:noProof/>
        </w:rPr>
        <w:tab/>
        <w:t>Liu J, Yang Y, and Liu H. Efficacy outcomes and safety measures of intravenous tirofiban or eptifibatide for patients with acute ischemic stroke: a systematic review and meta-analysis of prospective studies</w:t>
      </w:r>
      <w:r w:rsidRPr="00BD5018">
        <w:rPr>
          <w:rFonts w:ascii="Candara" w:hAnsi="Candara"/>
          <w:i/>
          <w:noProof/>
        </w:rPr>
        <w:t>.</w:t>
      </w:r>
      <w:r w:rsidRPr="00BD5018">
        <w:rPr>
          <w:rFonts w:ascii="Candara" w:hAnsi="Candara"/>
          <w:noProof/>
        </w:rPr>
        <w:t xml:space="preserve"> </w:t>
      </w:r>
      <w:r w:rsidRPr="00BD5018">
        <w:rPr>
          <w:rFonts w:ascii="Candara" w:hAnsi="Candara"/>
          <w:i/>
          <w:noProof/>
        </w:rPr>
        <w:t>J Thromb Thrombolysis</w:t>
      </w:r>
      <w:r w:rsidRPr="00BD5018">
        <w:rPr>
          <w:rFonts w:ascii="Candara" w:hAnsi="Candara"/>
          <w:noProof/>
        </w:rPr>
        <w:t>, 2022. 53(4): p. 898-910.</w:t>
      </w:r>
    </w:p>
    <w:p w14:paraId="56B781AC"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95.</w:t>
      </w:r>
      <w:r w:rsidRPr="00BD5018">
        <w:rPr>
          <w:rFonts w:ascii="Candara" w:hAnsi="Candara"/>
          <w:noProof/>
        </w:rPr>
        <w:tab/>
        <w:t>Liu M, Shuai Z, Ai J, et al. Mechanical chest compression with LUCAS device does not improve clinical outcome in out-of-hospital cardiac arrest patients: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98(44): p. e17550.</w:t>
      </w:r>
    </w:p>
    <w:p w14:paraId="58F6895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96.</w:t>
      </w:r>
      <w:r w:rsidRPr="00BD5018">
        <w:rPr>
          <w:rFonts w:ascii="Candara" w:hAnsi="Candara"/>
          <w:noProof/>
        </w:rPr>
        <w:tab/>
        <w:t>Liu X, Wang Z, Chen Z, et al. Efficacy and Safety of Transcatheter Arterial Chemoembolization and Transcatheter Arterial Chemotherapy Infusion in Hepatocellular Carcinoma: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Oncol Res</w:t>
      </w:r>
      <w:r w:rsidRPr="00BD5018">
        <w:rPr>
          <w:rFonts w:ascii="Candara" w:hAnsi="Candara"/>
          <w:noProof/>
        </w:rPr>
        <w:t>, 2018. 26(2): p. 231-239.</w:t>
      </w:r>
    </w:p>
    <w:p w14:paraId="04FE9623"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97.</w:t>
      </w:r>
      <w:r w:rsidRPr="00BD5018">
        <w:rPr>
          <w:rFonts w:ascii="Candara" w:hAnsi="Candara"/>
          <w:noProof/>
        </w:rPr>
        <w:tab/>
        <w:t>Liu Z, Liu B, Yang H, et al. Staples versus sutures for skin closure in hip arthroplasty: a meta-analysis and systematic review</w:t>
      </w:r>
      <w:r w:rsidRPr="00BD5018">
        <w:rPr>
          <w:rFonts w:ascii="Candara" w:hAnsi="Candara"/>
          <w:i/>
          <w:noProof/>
        </w:rPr>
        <w:t>.</w:t>
      </w:r>
      <w:r w:rsidRPr="00BD5018">
        <w:rPr>
          <w:rFonts w:ascii="Candara" w:hAnsi="Candara"/>
          <w:noProof/>
        </w:rPr>
        <w:t xml:space="preserve"> </w:t>
      </w:r>
      <w:r w:rsidRPr="00BD5018">
        <w:rPr>
          <w:rFonts w:ascii="Candara" w:hAnsi="Candara"/>
          <w:i/>
          <w:noProof/>
        </w:rPr>
        <w:t>J Orthop Surg Res</w:t>
      </w:r>
      <w:r w:rsidRPr="00BD5018">
        <w:rPr>
          <w:rFonts w:ascii="Candara" w:hAnsi="Candara"/>
          <w:noProof/>
        </w:rPr>
        <w:t>, 2021. 16(1): p. 735.</w:t>
      </w:r>
    </w:p>
    <w:p w14:paraId="35D2688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98.</w:t>
      </w:r>
      <w:r w:rsidRPr="00BD5018">
        <w:rPr>
          <w:rFonts w:ascii="Candara" w:hAnsi="Candara"/>
          <w:noProof/>
        </w:rPr>
        <w:tab/>
        <w:t>Low Z X, Bonney G K, So J B Y, et al. Laparoscopic versus open appendectomy in pediatric patients with complicated appendicitis: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Surg Endosc</w:t>
      </w:r>
      <w:r w:rsidRPr="00BD5018">
        <w:rPr>
          <w:rFonts w:ascii="Candara" w:hAnsi="Candara"/>
          <w:noProof/>
        </w:rPr>
        <w:t>, 2019. 33(12): p. 4066-4077.</w:t>
      </w:r>
    </w:p>
    <w:p w14:paraId="6401A6A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99.</w:t>
      </w:r>
      <w:r w:rsidRPr="00BD5018">
        <w:rPr>
          <w:rFonts w:ascii="Candara" w:hAnsi="Candara"/>
          <w:noProof/>
        </w:rPr>
        <w:tab/>
        <w:t>Lu W, Gong S, Li J, et al. Efficacy and safety of rituximab in the treatment of membranous nephropathy: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2020. 99(16): p. e19804.</w:t>
      </w:r>
    </w:p>
    <w:p w14:paraId="2E639F8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100.</w:t>
      </w:r>
      <w:r w:rsidRPr="00BD5018">
        <w:rPr>
          <w:rFonts w:ascii="Candara" w:hAnsi="Candara"/>
          <w:noProof/>
        </w:rPr>
        <w:tab/>
        <w:t>Luni F K, Khan A R, Singh H, et al. Identification and Ablation of Dormant Conduction in Atrial Fibrillation Using Adenosine</w:t>
      </w:r>
      <w:r w:rsidRPr="00BD5018">
        <w:rPr>
          <w:rFonts w:ascii="Candara" w:hAnsi="Candara"/>
          <w:i/>
          <w:noProof/>
        </w:rPr>
        <w:t>.</w:t>
      </w:r>
      <w:r w:rsidRPr="00BD5018">
        <w:rPr>
          <w:rFonts w:ascii="Candara" w:hAnsi="Candara"/>
          <w:noProof/>
        </w:rPr>
        <w:t xml:space="preserve"> </w:t>
      </w:r>
      <w:r w:rsidRPr="00BD5018">
        <w:rPr>
          <w:rFonts w:ascii="Candara" w:hAnsi="Candara"/>
          <w:i/>
          <w:noProof/>
        </w:rPr>
        <w:t>Am J Med Sci</w:t>
      </w:r>
      <w:r w:rsidRPr="00BD5018">
        <w:rPr>
          <w:rFonts w:ascii="Candara" w:hAnsi="Candara"/>
          <w:noProof/>
        </w:rPr>
        <w:t>, 2018. 355(1): p. 27-36.</w:t>
      </w:r>
    </w:p>
    <w:p w14:paraId="3EEABFE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101.</w:t>
      </w:r>
      <w:r w:rsidRPr="00BD5018">
        <w:rPr>
          <w:rFonts w:ascii="Candara" w:hAnsi="Candara"/>
          <w:noProof/>
        </w:rPr>
        <w:tab/>
        <w:t>Luo X, Ni X, Lin J, et al. The add-on effect of Chinese herbal medicine on COVID-19: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Phytomedicine</w:t>
      </w:r>
      <w:r w:rsidRPr="00BD5018">
        <w:rPr>
          <w:rFonts w:ascii="Candara" w:hAnsi="Candara"/>
          <w:noProof/>
        </w:rPr>
        <w:t>, 2021. 85: p. 153282.</w:t>
      </w:r>
    </w:p>
    <w:p w14:paraId="4ECFCE1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lastRenderedPageBreak/>
        <w:t>102.</w:t>
      </w:r>
      <w:r w:rsidRPr="00BD5018">
        <w:rPr>
          <w:rFonts w:ascii="Candara" w:hAnsi="Candara"/>
          <w:noProof/>
        </w:rPr>
        <w:tab/>
        <w:t>Ma G G, Fang Q, and Wang F X. The effect of beta-blockers on mortality in patients with heart failure and atrial fibrillation: A meta-analysis of observational cohort and randomized controlled studies</w:t>
      </w:r>
      <w:r w:rsidRPr="00BD5018">
        <w:rPr>
          <w:rFonts w:ascii="Candara" w:hAnsi="Candara"/>
          <w:i/>
          <w:noProof/>
        </w:rPr>
        <w:t>.</w:t>
      </w:r>
      <w:r w:rsidRPr="00BD5018">
        <w:rPr>
          <w:rFonts w:ascii="Candara" w:hAnsi="Candara"/>
          <w:noProof/>
        </w:rPr>
        <w:t xml:space="preserve"> </w:t>
      </w:r>
      <w:r w:rsidRPr="00BD5018">
        <w:rPr>
          <w:rFonts w:ascii="Candara" w:hAnsi="Candara"/>
          <w:i/>
          <w:noProof/>
        </w:rPr>
        <w:t>Cardiol J</w:t>
      </w:r>
      <w:r w:rsidRPr="00BD5018">
        <w:rPr>
          <w:rFonts w:ascii="Candara" w:hAnsi="Candara"/>
          <w:noProof/>
        </w:rPr>
        <w:t>, 2019. 26(6): p. 744-752.</w:t>
      </w:r>
    </w:p>
    <w:p w14:paraId="152125EA"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103.</w:t>
      </w:r>
      <w:r w:rsidRPr="00BD5018">
        <w:rPr>
          <w:rFonts w:ascii="Candara" w:hAnsi="Candara"/>
          <w:noProof/>
        </w:rPr>
        <w:tab/>
        <w:t>Magill H H P, Hajibandeh S, Bennett J, et al. Open Reduction and Internal Fixation Versus Primary Arthrodesis for the Treatment of Acute Lisfranc Injuries: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Foot Ankle Surg</w:t>
      </w:r>
      <w:r w:rsidRPr="00BD5018">
        <w:rPr>
          <w:rFonts w:ascii="Candara" w:hAnsi="Candara"/>
          <w:noProof/>
        </w:rPr>
        <w:t>, 2019. 58(2): p. 328-332.</w:t>
      </w:r>
    </w:p>
    <w:p w14:paraId="33B83D47"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104.</w:t>
      </w:r>
      <w:r w:rsidRPr="00BD5018">
        <w:rPr>
          <w:rFonts w:ascii="Candara" w:hAnsi="Candara"/>
          <w:noProof/>
        </w:rPr>
        <w:tab/>
        <w:t>Malladi S, Hamid K, Pendyala N C, et al. Management of stable coronary artery disease and atrial fibrillation with anti-thrombotic therapy: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2021. 100(48): p. e27498.</w:t>
      </w:r>
    </w:p>
    <w:p w14:paraId="3E139A4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105.</w:t>
      </w:r>
      <w:r w:rsidRPr="00BD5018">
        <w:rPr>
          <w:rFonts w:ascii="Candara" w:hAnsi="Candara"/>
          <w:noProof/>
        </w:rPr>
        <w:tab/>
        <w:t>Mao X, Wu L, Chen Q, et al. Effect of hysteroscopy before starting in-vitro fertilization for women with recurrent implantation failure: A meta-analysis and systematic review</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98(7): p. e14075.</w:t>
      </w:r>
    </w:p>
    <w:p w14:paraId="11121BD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106.</w:t>
      </w:r>
      <w:r w:rsidRPr="00BD5018">
        <w:rPr>
          <w:rFonts w:ascii="Candara" w:hAnsi="Candara"/>
          <w:noProof/>
        </w:rPr>
        <w:tab/>
        <w:t>Martin, Zhou Y, Meng C X, et al. Vonoprazan vs proton pump inhibitors in treating post-endoscopic submucosal dissection ulcers and preventing bleeding: A meta-analysis of randomized controlled trials and observational studies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2020. 99(9): p. e19357.</w:t>
      </w:r>
    </w:p>
    <w:p w14:paraId="7EC3BC1B"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107.</w:t>
      </w:r>
      <w:r w:rsidRPr="00BD5018">
        <w:rPr>
          <w:rFonts w:ascii="Candara" w:hAnsi="Candara"/>
          <w:noProof/>
        </w:rPr>
        <w:tab/>
        <w:t>Masarwy R, Kampel L, Horowitz G, et al. Neoadjuvant PD-1/PD-L1 Inhibitors for Resectable Head and Neck Cancer: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JAMA Otolaryngol Head Neck Surg</w:t>
      </w:r>
      <w:r w:rsidRPr="00BD5018">
        <w:rPr>
          <w:rFonts w:ascii="Candara" w:hAnsi="Candara"/>
          <w:noProof/>
        </w:rPr>
        <w:t>, 2021. 147(10): p. 871-878.</w:t>
      </w:r>
    </w:p>
    <w:p w14:paraId="36145B4F"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108.</w:t>
      </w:r>
      <w:r w:rsidRPr="00BD5018">
        <w:rPr>
          <w:rFonts w:ascii="Candara" w:hAnsi="Candara"/>
          <w:noProof/>
        </w:rPr>
        <w:tab/>
        <w:t>Mashar M, Mashar R, and Hajibandeh S. Uncovered versus covered stent in management of large bowel obstruction due to colorectal malignancy: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Int J Colorectal Dis</w:t>
      </w:r>
      <w:r w:rsidRPr="00BD5018">
        <w:rPr>
          <w:rFonts w:ascii="Candara" w:hAnsi="Candara"/>
          <w:noProof/>
        </w:rPr>
        <w:t>, 2019. 34(5): p. 773-785.</w:t>
      </w:r>
    </w:p>
    <w:p w14:paraId="45FFB72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109.</w:t>
      </w:r>
      <w:r w:rsidRPr="00BD5018">
        <w:rPr>
          <w:rFonts w:ascii="Candara" w:hAnsi="Candara"/>
          <w:noProof/>
        </w:rPr>
        <w:tab/>
        <w:t>Mathias S, Balachander B, Bosco A, et al. The effect of exchange transfusion on mortality in neonatal sepsis: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Eur J Pediatr</w:t>
      </w:r>
      <w:r w:rsidRPr="00BD5018">
        <w:rPr>
          <w:rFonts w:ascii="Candara" w:hAnsi="Candara"/>
          <w:noProof/>
        </w:rPr>
        <w:t>, 2022. 181(1): p. 369-381.</w:t>
      </w:r>
    </w:p>
    <w:p w14:paraId="7E21F14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110.</w:t>
      </w:r>
      <w:r w:rsidRPr="00BD5018">
        <w:rPr>
          <w:rFonts w:ascii="Candara" w:hAnsi="Candara"/>
          <w:noProof/>
        </w:rPr>
        <w:tab/>
        <w:t>McDonagh M, Skelly A C, Tilden E, et al. Outpatient Cervical Ripening: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Obstet Gynecol</w:t>
      </w:r>
      <w:r w:rsidRPr="00BD5018">
        <w:rPr>
          <w:rFonts w:ascii="Candara" w:hAnsi="Candara"/>
          <w:noProof/>
        </w:rPr>
        <w:t>, 2021. 137(6): p. 1091-1101.</w:t>
      </w:r>
    </w:p>
    <w:p w14:paraId="77327E78"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111.</w:t>
      </w:r>
      <w:r w:rsidRPr="00BD5018">
        <w:rPr>
          <w:rFonts w:ascii="Candara" w:hAnsi="Candara"/>
          <w:noProof/>
        </w:rPr>
        <w:tab/>
        <w:t>McGuire C, Boudreau C, Prabhu N, et al. Piezosurgery versus Conventional Cutting Techniques in Craniofacial Surgery: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Plast Reconstr Surg</w:t>
      </w:r>
      <w:r w:rsidRPr="00BD5018">
        <w:rPr>
          <w:rFonts w:ascii="Candara" w:hAnsi="Candara"/>
          <w:noProof/>
        </w:rPr>
        <w:t>, 2022. 149(1): p. 183-195.</w:t>
      </w:r>
    </w:p>
    <w:p w14:paraId="672AB2A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112.</w:t>
      </w:r>
      <w:r w:rsidRPr="00BD5018">
        <w:rPr>
          <w:rFonts w:ascii="Candara" w:hAnsi="Candara"/>
          <w:noProof/>
        </w:rPr>
        <w:tab/>
        <w:t xml:space="preserve">Mei H, Wang J, Che H, et al. The clinical efficacy and safety of vancomycin loading dose: A </w:t>
      </w:r>
      <w:r w:rsidRPr="00BD5018">
        <w:rPr>
          <w:rFonts w:ascii="Candara" w:hAnsi="Candara"/>
          <w:noProof/>
        </w:rPr>
        <w:lastRenderedPageBreak/>
        <w:t>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98(43): p. e17639.</w:t>
      </w:r>
    </w:p>
    <w:p w14:paraId="6C14DAFA"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113.</w:t>
      </w:r>
      <w:r w:rsidRPr="00BD5018">
        <w:rPr>
          <w:rFonts w:ascii="Candara" w:hAnsi="Candara"/>
          <w:noProof/>
        </w:rPr>
        <w:tab/>
        <w:t>Monti S, Delvino P, Riboli M, et al. The role of trimethoprim/sulfametoxazole in reducing relapses and risk of infections in ANCA-associated vasculitis: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Rheumatology (Oxford)</w:t>
      </w:r>
      <w:r w:rsidRPr="00BD5018">
        <w:rPr>
          <w:rFonts w:ascii="Candara" w:hAnsi="Candara"/>
          <w:noProof/>
        </w:rPr>
        <w:t>, 2021. 60(8): p. 3553-3564.</w:t>
      </w:r>
    </w:p>
    <w:p w14:paraId="7721A40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114.</w:t>
      </w:r>
      <w:r w:rsidRPr="00BD5018">
        <w:rPr>
          <w:rFonts w:ascii="Candara" w:hAnsi="Candara"/>
          <w:noProof/>
        </w:rPr>
        <w:tab/>
        <w:t>Mu Y, Zhao L, He H, et al. The efficacy of ileostomy after laparoscopic rectal cancer surgery: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World J Surg Oncol</w:t>
      </w:r>
      <w:r w:rsidRPr="00BD5018">
        <w:rPr>
          <w:rFonts w:ascii="Candara" w:hAnsi="Candara"/>
          <w:noProof/>
        </w:rPr>
        <w:t>, 2021. 19(1): p. 318.</w:t>
      </w:r>
    </w:p>
    <w:p w14:paraId="609D8584"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115.</w:t>
      </w:r>
      <w:r w:rsidRPr="00BD5018">
        <w:rPr>
          <w:rFonts w:ascii="Candara" w:hAnsi="Candara"/>
          <w:noProof/>
        </w:rPr>
        <w:tab/>
        <w:t>Mudhune G H, Armour M, and McBride K A. Safety of menopausal hormone therapy in breast cancer survivors older than fifty at diagnosis: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Breast</w:t>
      </w:r>
      <w:r w:rsidRPr="00BD5018">
        <w:rPr>
          <w:rFonts w:ascii="Candara" w:hAnsi="Candara"/>
          <w:noProof/>
        </w:rPr>
        <w:t>, 2019. 47: p. 43-55.</w:t>
      </w:r>
    </w:p>
    <w:p w14:paraId="1617F9F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116.</w:t>
      </w:r>
      <w:r w:rsidRPr="00BD5018">
        <w:rPr>
          <w:rFonts w:ascii="Candara" w:hAnsi="Candara"/>
          <w:noProof/>
        </w:rPr>
        <w:tab/>
        <w:t>Murray M, Alipanah N, Jarlsberg L, et al. Adherence interventions and outcomes of tuberculosis treatment: A systematic review and meta-analysis of trials and observational studies</w:t>
      </w:r>
      <w:r w:rsidRPr="00BD5018">
        <w:rPr>
          <w:rFonts w:ascii="Candara" w:hAnsi="Candara"/>
          <w:i/>
          <w:noProof/>
        </w:rPr>
        <w:t>.</w:t>
      </w:r>
      <w:r w:rsidRPr="00BD5018">
        <w:rPr>
          <w:rFonts w:ascii="Candara" w:hAnsi="Candara"/>
          <w:noProof/>
        </w:rPr>
        <w:t xml:space="preserve"> </w:t>
      </w:r>
      <w:r w:rsidRPr="00BD5018">
        <w:rPr>
          <w:rFonts w:ascii="Candara" w:hAnsi="Candara"/>
          <w:i/>
          <w:noProof/>
        </w:rPr>
        <w:t>PLOS Medicine</w:t>
      </w:r>
      <w:r w:rsidRPr="00BD5018">
        <w:rPr>
          <w:rFonts w:ascii="Candara" w:hAnsi="Candara"/>
          <w:noProof/>
        </w:rPr>
        <w:t>, 2018. 15(7).</w:t>
      </w:r>
    </w:p>
    <w:p w14:paraId="30DE1B01"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117.</w:t>
      </w:r>
      <w:r w:rsidRPr="00BD5018">
        <w:rPr>
          <w:rFonts w:ascii="Candara" w:hAnsi="Candara"/>
          <w:noProof/>
        </w:rPr>
        <w:tab/>
        <w:t>Nazarpour S, Ramezani Tehrani F, Amiri M, et al. Levothyroxine treatment and pregnancy outcomes in women with subclinical hypothyroidism: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Arch Gynecol Obstet</w:t>
      </w:r>
      <w:r w:rsidRPr="00BD5018">
        <w:rPr>
          <w:rFonts w:ascii="Candara" w:hAnsi="Candara"/>
          <w:noProof/>
        </w:rPr>
        <w:t>, 2019. 300(4): p. 805-819.</w:t>
      </w:r>
    </w:p>
    <w:p w14:paraId="53BEC2C3"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118.</w:t>
      </w:r>
      <w:r w:rsidRPr="00BD5018">
        <w:rPr>
          <w:rFonts w:ascii="Candara" w:hAnsi="Candara"/>
          <w:noProof/>
        </w:rPr>
        <w:tab/>
        <w:t>Nguyen H S, Vo N P, Chen S Y, et al. The optimal strategy for pertussis vaccination: a systematic review and meta-analysis of randomized control trials and real-world data</w:t>
      </w:r>
      <w:r w:rsidRPr="00BD5018">
        <w:rPr>
          <w:rFonts w:ascii="Candara" w:hAnsi="Candara"/>
          <w:i/>
          <w:noProof/>
        </w:rPr>
        <w:t>.</w:t>
      </w:r>
      <w:r w:rsidRPr="00BD5018">
        <w:rPr>
          <w:rFonts w:ascii="Candara" w:hAnsi="Candara"/>
          <w:noProof/>
        </w:rPr>
        <w:t xml:space="preserve"> </w:t>
      </w:r>
      <w:r w:rsidRPr="00BD5018">
        <w:rPr>
          <w:rFonts w:ascii="Candara" w:hAnsi="Candara"/>
          <w:i/>
          <w:noProof/>
        </w:rPr>
        <w:t>Am J Obstet Gynecol</w:t>
      </w:r>
      <w:r w:rsidRPr="00BD5018">
        <w:rPr>
          <w:rFonts w:ascii="Candara" w:hAnsi="Candara"/>
          <w:noProof/>
        </w:rPr>
        <w:t>, 2022. 226(1): p. 52-67 e10.</w:t>
      </w:r>
    </w:p>
    <w:p w14:paraId="5842A508"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119.</w:t>
      </w:r>
      <w:r w:rsidRPr="00BD5018">
        <w:rPr>
          <w:rFonts w:ascii="Candara" w:hAnsi="Candara"/>
          <w:noProof/>
        </w:rPr>
        <w:tab/>
        <w:t>Nunes M C and Madhi S A. Influenza vaccination during pregnancy for prevention of influenza confirmed illness in the infants: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Hum Vaccin Immunother</w:t>
      </w:r>
      <w:r w:rsidRPr="00BD5018">
        <w:rPr>
          <w:rFonts w:ascii="Candara" w:hAnsi="Candara"/>
          <w:noProof/>
        </w:rPr>
        <w:t>, 2018. 14(3): p. 758-766.</w:t>
      </w:r>
    </w:p>
    <w:p w14:paraId="0FC1F6DB"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120.</w:t>
      </w:r>
      <w:r w:rsidRPr="00BD5018">
        <w:rPr>
          <w:rFonts w:ascii="Candara" w:hAnsi="Candara"/>
          <w:noProof/>
        </w:rPr>
        <w:tab/>
        <w:t>O'Connor E, Senger C A, Henninger M L, et al. Interventions to Prevent Perinatal Depression: Evidence Report and Systematic Review for the US Preventive Services Task Force</w:t>
      </w:r>
      <w:r w:rsidRPr="00BD5018">
        <w:rPr>
          <w:rFonts w:ascii="Candara" w:hAnsi="Candara"/>
          <w:i/>
          <w:noProof/>
        </w:rPr>
        <w:t>.</w:t>
      </w:r>
      <w:r w:rsidRPr="00BD5018">
        <w:rPr>
          <w:rFonts w:ascii="Candara" w:hAnsi="Candara"/>
          <w:noProof/>
        </w:rPr>
        <w:t xml:space="preserve"> </w:t>
      </w:r>
      <w:r w:rsidRPr="00BD5018">
        <w:rPr>
          <w:rFonts w:ascii="Candara" w:hAnsi="Candara"/>
          <w:i/>
          <w:noProof/>
        </w:rPr>
        <w:t>JAMA</w:t>
      </w:r>
      <w:r w:rsidRPr="00BD5018">
        <w:rPr>
          <w:rFonts w:ascii="Candara" w:hAnsi="Candara"/>
          <w:noProof/>
        </w:rPr>
        <w:t>, 2019. 321(6): p. 588-601.</w:t>
      </w:r>
    </w:p>
    <w:p w14:paraId="1F27E5F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121.</w:t>
      </w:r>
      <w:r w:rsidRPr="00BD5018">
        <w:rPr>
          <w:rFonts w:ascii="Candara" w:hAnsi="Candara"/>
          <w:noProof/>
        </w:rPr>
        <w:tab/>
        <w:t>Ochen Y, Beks R B, van Heijl M, et al. Operative treatment versus nonoperative treatment of Achilles tendon ruptures: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BMJ</w:t>
      </w:r>
      <w:r w:rsidRPr="00BD5018">
        <w:rPr>
          <w:rFonts w:ascii="Candara" w:hAnsi="Candara"/>
          <w:noProof/>
        </w:rPr>
        <w:t>, 2019. 364: p. k5120.</w:t>
      </w:r>
    </w:p>
    <w:p w14:paraId="58ADBCE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122.</w:t>
      </w:r>
      <w:r w:rsidRPr="00BD5018">
        <w:rPr>
          <w:rFonts w:ascii="Candara" w:hAnsi="Candara"/>
          <w:noProof/>
        </w:rPr>
        <w:tab/>
        <w:t>Ochen Y, Peek J, van der Velde D, et al. Operative vs Nonoperative Treatment of Distal Radius Fractures in Adults</w:t>
      </w:r>
      <w:r w:rsidRPr="00BD5018">
        <w:rPr>
          <w:rFonts w:ascii="Candara" w:hAnsi="Candara"/>
          <w:i/>
          <w:noProof/>
        </w:rPr>
        <w:t>.</w:t>
      </w:r>
      <w:r w:rsidRPr="00BD5018">
        <w:rPr>
          <w:rFonts w:ascii="Candara" w:hAnsi="Candara"/>
          <w:noProof/>
        </w:rPr>
        <w:t xml:space="preserve"> </w:t>
      </w:r>
      <w:r w:rsidRPr="00BD5018">
        <w:rPr>
          <w:rFonts w:ascii="Candara" w:hAnsi="Candara"/>
          <w:i/>
          <w:noProof/>
        </w:rPr>
        <w:t>JAMA Network Open</w:t>
      </w:r>
      <w:r w:rsidRPr="00BD5018">
        <w:rPr>
          <w:rFonts w:ascii="Candara" w:hAnsi="Candara"/>
          <w:noProof/>
        </w:rPr>
        <w:t>, 2020. 3(4).</w:t>
      </w:r>
    </w:p>
    <w:p w14:paraId="1C3495A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123.</w:t>
      </w:r>
      <w:r w:rsidRPr="00BD5018">
        <w:rPr>
          <w:rFonts w:ascii="Candara" w:hAnsi="Candara"/>
          <w:noProof/>
        </w:rPr>
        <w:tab/>
        <w:t>Ohlsson A and Lacy J B. Intravenous immunoglobulin for suspected or proven infection in neonates</w:t>
      </w:r>
      <w:r w:rsidRPr="00BD5018">
        <w:rPr>
          <w:rFonts w:ascii="Candara" w:hAnsi="Candara"/>
          <w:i/>
          <w:noProof/>
        </w:rPr>
        <w:t>.</w:t>
      </w:r>
      <w:r w:rsidRPr="00BD5018">
        <w:rPr>
          <w:rFonts w:ascii="Candara" w:hAnsi="Candara"/>
          <w:noProof/>
        </w:rPr>
        <w:t xml:space="preserve"> </w:t>
      </w:r>
      <w:r w:rsidRPr="00BD5018">
        <w:rPr>
          <w:rFonts w:ascii="Candara" w:hAnsi="Candara"/>
          <w:i/>
          <w:noProof/>
        </w:rPr>
        <w:t>Cochrane Database Syst Rev</w:t>
      </w:r>
      <w:r w:rsidRPr="00BD5018">
        <w:rPr>
          <w:rFonts w:ascii="Candara" w:hAnsi="Candara"/>
          <w:noProof/>
        </w:rPr>
        <w:t>, 2020. 1(1): p. CD001239.</w:t>
      </w:r>
    </w:p>
    <w:p w14:paraId="285EEAB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lastRenderedPageBreak/>
        <w:t>124.</w:t>
      </w:r>
      <w:r w:rsidRPr="00BD5018">
        <w:rPr>
          <w:rFonts w:ascii="Candara" w:hAnsi="Candara"/>
          <w:noProof/>
        </w:rPr>
        <w:tab/>
        <w:t>Osborn D A, Sinn J K, and Jones L J. Infant formulas containing hydrolysed protein for prevention of allergic disease</w:t>
      </w:r>
      <w:r w:rsidRPr="00BD5018">
        <w:rPr>
          <w:rFonts w:ascii="Candara" w:hAnsi="Candara"/>
          <w:i/>
          <w:noProof/>
        </w:rPr>
        <w:t>.</w:t>
      </w:r>
      <w:r w:rsidRPr="00BD5018">
        <w:rPr>
          <w:rFonts w:ascii="Candara" w:hAnsi="Candara"/>
          <w:noProof/>
        </w:rPr>
        <w:t xml:space="preserve"> </w:t>
      </w:r>
      <w:r w:rsidRPr="00BD5018">
        <w:rPr>
          <w:rFonts w:ascii="Candara" w:hAnsi="Candara"/>
          <w:i/>
          <w:noProof/>
        </w:rPr>
        <w:t>Cochrane Database Syst Rev</w:t>
      </w:r>
      <w:r w:rsidRPr="00BD5018">
        <w:rPr>
          <w:rFonts w:ascii="Candara" w:hAnsi="Candara"/>
          <w:noProof/>
        </w:rPr>
        <w:t>, 2018. 10(10): p. CD003664.</w:t>
      </w:r>
    </w:p>
    <w:p w14:paraId="5C5E176F"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125.</w:t>
      </w:r>
      <w:r w:rsidRPr="00BD5018">
        <w:rPr>
          <w:rFonts w:ascii="Candara" w:hAnsi="Candara"/>
          <w:noProof/>
        </w:rPr>
        <w:tab/>
        <w:t>Owattanapanich N, Chittawatanarat K, Benyakorn T, et al. Risks and benefits of hypotensive resuscitation in patients with traumatic hemorrhagic shock: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Scand J Trauma Resusc Emerg Med</w:t>
      </w:r>
      <w:r w:rsidRPr="00BD5018">
        <w:rPr>
          <w:rFonts w:ascii="Candara" w:hAnsi="Candara"/>
          <w:noProof/>
        </w:rPr>
        <w:t>, 2018. 26(1): p. 107.</w:t>
      </w:r>
    </w:p>
    <w:p w14:paraId="20B5F1B1"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126.</w:t>
      </w:r>
      <w:r w:rsidRPr="00BD5018">
        <w:rPr>
          <w:rFonts w:ascii="Candara" w:hAnsi="Candara"/>
          <w:noProof/>
        </w:rPr>
        <w:tab/>
        <w:t>Palla M B A, Kondur A. Oral Anticoagulants With Dual Antiplatelet Therapy Versus Clopidogrel in Patients After Percutaneous Coronary Intervention: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Am J Ther</w:t>
      </w:r>
      <w:r w:rsidRPr="00BD5018">
        <w:rPr>
          <w:rFonts w:ascii="Candara" w:hAnsi="Candara"/>
          <w:noProof/>
        </w:rPr>
        <w:t>, 2019. 26(1): p. e143-e150.</w:t>
      </w:r>
    </w:p>
    <w:p w14:paraId="7F05CA2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127.</w:t>
      </w:r>
      <w:r w:rsidRPr="00BD5018">
        <w:rPr>
          <w:rFonts w:ascii="Candara" w:hAnsi="Candara"/>
          <w:noProof/>
        </w:rPr>
        <w:tab/>
        <w:t>Patlolla S H, Kandlakunta H, Kuchkuntla A R, et al. Newer P2Y(12) Inhibitors vs Clopidogrel in Acute Myocardial Infarction With Cardiac Arrest or Cardiogenic Shock: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Mayo Clin Proc</w:t>
      </w:r>
      <w:r w:rsidRPr="00BD5018">
        <w:rPr>
          <w:rFonts w:ascii="Candara" w:hAnsi="Candara"/>
          <w:noProof/>
        </w:rPr>
        <w:t>, 2022. 97(6): p. 1074-1085.</w:t>
      </w:r>
    </w:p>
    <w:p w14:paraId="1C28EC2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128.</w:t>
      </w:r>
      <w:r w:rsidRPr="00BD5018">
        <w:rPr>
          <w:rFonts w:ascii="Candara" w:hAnsi="Candara"/>
          <w:noProof/>
        </w:rPr>
        <w:tab/>
        <w:t>Peng C C, Huang H K, Wu B B, et al. Association of Thyroid Hormone Therapy with Mortality in Subclinical Hypothyroidism: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Clin Endocrinol Metab</w:t>
      </w:r>
      <w:r w:rsidRPr="00BD5018">
        <w:rPr>
          <w:rFonts w:ascii="Candara" w:hAnsi="Candara"/>
          <w:noProof/>
        </w:rPr>
        <w:t>, 2021. 106(1): p. 292-303.</w:t>
      </w:r>
    </w:p>
    <w:p w14:paraId="68F8274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129.</w:t>
      </w:r>
      <w:r w:rsidRPr="00BD5018">
        <w:rPr>
          <w:rFonts w:ascii="Candara" w:hAnsi="Candara"/>
          <w:noProof/>
        </w:rPr>
        <w:tab/>
        <w:t>Peng J, Long X, Fan J, et al. Concomitant Distal Tibia-Fibula Fractures Treated with Intramedullary Nailing, With or Without Fibular Fixation: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Foot Ankle Surg</w:t>
      </w:r>
      <w:r w:rsidRPr="00BD5018">
        <w:rPr>
          <w:rFonts w:ascii="Candara" w:hAnsi="Candara"/>
          <w:noProof/>
        </w:rPr>
        <w:t>, 2021. 60(1): p. 109-113.</w:t>
      </w:r>
    </w:p>
    <w:p w14:paraId="13078E7C"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130.</w:t>
      </w:r>
      <w:r w:rsidRPr="00BD5018">
        <w:rPr>
          <w:rFonts w:ascii="Candara" w:hAnsi="Candara"/>
          <w:noProof/>
        </w:rPr>
        <w:tab/>
        <w:t>Pergialiotis V, Bellos I, Hatziagelaki E, et al. Progestogens for the prevention of preterm birth and risk of developing gestational diabetes mellitus: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Am J Obstet Gynecol</w:t>
      </w:r>
      <w:r w:rsidRPr="00BD5018">
        <w:rPr>
          <w:rFonts w:ascii="Candara" w:hAnsi="Candara"/>
          <w:noProof/>
        </w:rPr>
        <w:t>, 2019. 221(5): p. 429-436 e5.</w:t>
      </w:r>
    </w:p>
    <w:p w14:paraId="23F1EDA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131.</w:t>
      </w:r>
      <w:r w:rsidRPr="00BD5018">
        <w:rPr>
          <w:rFonts w:ascii="Candara" w:hAnsi="Candara"/>
          <w:noProof/>
        </w:rPr>
        <w:tab/>
        <w:t>Petnak T, Lertjitbanjong P, Thongprayoon C, et al. Impact of Antifibrotic Therapy on Mortality and Acute Exacerbation in Idiopathic Pulmonary Fibrosis: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Chest</w:t>
      </w:r>
      <w:r w:rsidRPr="00BD5018">
        <w:rPr>
          <w:rFonts w:ascii="Candara" w:hAnsi="Candara"/>
          <w:noProof/>
        </w:rPr>
        <w:t>, 2021. 160(5): p. 1751-1763.</w:t>
      </w:r>
    </w:p>
    <w:p w14:paraId="1337323B"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132.</w:t>
      </w:r>
      <w:r w:rsidRPr="00BD5018">
        <w:rPr>
          <w:rFonts w:ascii="Candara" w:hAnsi="Candara"/>
          <w:noProof/>
        </w:rPr>
        <w:tab/>
        <w:t>Pettenuzzo T, Aoyama H, Englesakis M, et al. Effect of Neurally Adjusted Ventilatory Assist on Patient-Ventilator Interaction in Mechanically Ventilated Adults: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Crit Care Med</w:t>
      </w:r>
      <w:r w:rsidRPr="00BD5018">
        <w:rPr>
          <w:rFonts w:ascii="Candara" w:hAnsi="Candara"/>
          <w:noProof/>
        </w:rPr>
        <w:t>, 2019. 47(7): p. e602-e609.</w:t>
      </w:r>
    </w:p>
    <w:p w14:paraId="478EC00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133.</w:t>
      </w:r>
      <w:r w:rsidRPr="00BD5018">
        <w:rPr>
          <w:rFonts w:ascii="Candara" w:hAnsi="Candara"/>
          <w:noProof/>
        </w:rPr>
        <w:tab/>
        <w:t>Podda M, Gerardi C, Cillara N, et al. Antibiotic Treatment and Appendectomy for Uncomplicated Acute Appendicitis in Adults and Children: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Ann Surg</w:t>
      </w:r>
      <w:r w:rsidRPr="00BD5018">
        <w:rPr>
          <w:rFonts w:ascii="Candara" w:hAnsi="Candara"/>
          <w:noProof/>
        </w:rPr>
        <w:t>, 2019. 270(6): p. 1028-1040.</w:t>
      </w:r>
    </w:p>
    <w:p w14:paraId="4A688D2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134.</w:t>
      </w:r>
      <w:r w:rsidRPr="00BD5018">
        <w:rPr>
          <w:rFonts w:ascii="Candara" w:hAnsi="Candara"/>
          <w:noProof/>
        </w:rPr>
        <w:tab/>
        <w:t xml:space="preserve">Pozzetti Daou J, Nagaya D Y, Matsunaga F T, et al. Does Biceps Tenotomy or Tenodesis Have </w:t>
      </w:r>
      <w:r w:rsidRPr="00BD5018">
        <w:rPr>
          <w:rFonts w:ascii="Candara" w:hAnsi="Candara"/>
          <w:noProof/>
        </w:rPr>
        <w:lastRenderedPageBreak/>
        <w:t>Better Results After Surgery?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Clin Orthop Relat Res</w:t>
      </w:r>
      <w:r w:rsidRPr="00BD5018">
        <w:rPr>
          <w:rFonts w:ascii="Candara" w:hAnsi="Candara"/>
          <w:noProof/>
        </w:rPr>
        <w:t>, 2021. 479(7): p. 1561-1573.</w:t>
      </w:r>
    </w:p>
    <w:p w14:paraId="27FCD4A3"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135.</w:t>
      </w:r>
      <w:r w:rsidRPr="00BD5018">
        <w:rPr>
          <w:rFonts w:ascii="Candara" w:hAnsi="Candara"/>
          <w:noProof/>
        </w:rPr>
        <w:tab/>
        <w:t>Prakash A, Singh H, Kaur H, et al. Systematic review and meta-analysis of effectiveness and safety of favipiravir in the management of novel coronavirus (COVID-19) patients</w:t>
      </w:r>
      <w:r w:rsidRPr="00BD5018">
        <w:rPr>
          <w:rFonts w:ascii="Candara" w:hAnsi="Candara"/>
          <w:i/>
          <w:noProof/>
        </w:rPr>
        <w:t>.</w:t>
      </w:r>
      <w:r w:rsidRPr="00BD5018">
        <w:rPr>
          <w:rFonts w:ascii="Candara" w:hAnsi="Candara"/>
          <w:noProof/>
        </w:rPr>
        <w:t xml:space="preserve"> </w:t>
      </w:r>
      <w:r w:rsidRPr="00BD5018">
        <w:rPr>
          <w:rFonts w:ascii="Candara" w:hAnsi="Candara"/>
          <w:i/>
          <w:noProof/>
        </w:rPr>
        <w:t>Indian J Pharmacol</w:t>
      </w:r>
      <w:r w:rsidRPr="00BD5018">
        <w:rPr>
          <w:rFonts w:ascii="Candara" w:hAnsi="Candara"/>
          <w:noProof/>
        </w:rPr>
        <w:t>, 2020. 52(5): p. 414-421.</w:t>
      </w:r>
    </w:p>
    <w:p w14:paraId="29762A2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136.</w:t>
      </w:r>
      <w:r w:rsidRPr="00BD5018">
        <w:rPr>
          <w:rFonts w:ascii="Candara" w:hAnsi="Candara"/>
          <w:noProof/>
        </w:rPr>
        <w:tab/>
        <w:t>Qiu J L, Shao M Y, Xie W F, et al. Effect of combined ursodeoxycholic acid and glucocorticoid on the outcome of Kasai procedure: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2018. 97(35): p. e12005.</w:t>
      </w:r>
    </w:p>
    <w:p w14:paraId="353C4288"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137.</w:t>
      </w:r>
      <w:r w:rsidRPr="00BD5018">
        <w:rPr>
          <w:rFonts w:ascii="Candara" w:hAnsi="Candara"/>
          <w:noProof/>
        </w:rPr>
        <w:tab/>
        <w:t>Rahman S L B, Al-Hadad A, et al. Biological versus non-biological dressings in the management of split-thickness skin-graft donor sites: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Wound Care</w:t>
      </w:r>
      <w:r w:rsidRPr="00BD5018">
        <w:rPr>
          <w:rFonts w:ascii="Candara" w:hAnsi="Candara"/>
          <w:noProof/>
        </w:rPr>
        <w:t>, 2020. 29(10): p. 604-610.</w:t>
      </w:r>
    </w:p>
    <w:p w14:paraId="63D13AD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138.</w:t>
      </w:r>
      <w:r w:rsidRPr="00BD5018">
        <w:rPr>
          <w:rFonts w:ascii="Candara" w:hAnsi="Candara"/>
          <w:noProof/>
        </w:rPr>
        <w:tab/>
        <w:t>Rehman S H S, Hajibandeh S. A Systematic Review and Meta-Analysis of Anterior Versus Lateral Approach for Laparoscopic Splenectomy</w:t>
      </w:r>
      <w:r w:rsidRPr="00BD5018">
        <w:rPr>
          <w:rFonts w:ascii="Candara" w:hAnsi="Candara"/>
          <w:i/>
          <w:noProof/>
        </w:rPr>
        <w:t>.</w:t>
      </w:r>
      <w:r w:rsidRPr="00BD5018">
        <w:rPr>
          <w:rFonts w:ascii="Candara" w:hAnsi="Candara"/>
          <w:noProof/>
        </w:rPr>
        <w:t xml:space="preserve"> </w:t>
      </w:r>
      <w:r w:rsidRPr="00BD5018">
        <w:rPr>
          <w:rFonts w:ascii="Candara" w:hAnsi="Candara"/>
          <w:i/>
          <w:noProof/>
        </w:rPr>
        <w:t>Surg Laparosc Endosc Percutan Tech</w:t>
      </w:r>
      <w:r w:rsidRPr="00BD5018">
        <w:rPr>
          <w:rFonts w:ascii="Candara" w:hAnsi="Candara"/>
          <w:noProof/>
        </w:rPr>
        <w:t>, 2019. 29(4): p. 233-241.</w:t>
      </w:r>
    </w:p>
    <w:p w14:paraId="6CCC19DB"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139.</w:t>
      </w:r>
      <w:r w:rsidRPr="00BD5018">
        <w:rPr>
          <w:rFonts w:ascii="Candara" w:hAnsi="Candara"/>
          <w:noProof/>
        </w:rPr>
        <w:tab/>
        <w:t>Ren Y M, Zhang H B, Duan Y H, et al. Comparison of arthroscopic suture-bridge technique and double-row technique for treating rotator cuff tears: A PRISMA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98(20): p. e15640.</w:t>
      </w:r>
    </w:p>
    <w:p w14:paraId="6D08E423"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140.</w:t>
      </w:r>
      <w:r w:rsidRPr="00BD5018">
        <w:rPr>
          <w:rFonts w:ascii="Candara" w:hAnsi="Candara"/>
          <w:noProof/>
        </w:rPr>
        <w:tab/>
        <w:t>Roeckner J T, Sawangkum P, Sanchez-Ramos L, et al. Salpingectomy at the Time of Cesarean Delivery: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Obstet Gynecol</w:t>
      </w:r>
      <w:r w:rsidRPr="00BD5018">
        <w:rPr>
          <w:rFonts w:ascii="Candara" w:hAnsi="Candara"/>
          <w:noProof/>
        </w:rPr>
        <w:t>, 2020. 135(3): p. 550-557.</w:t>
      </w:r>
    </w:p>
    <w:p w14:paraId="0924FD0B"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141.</w:t>
      </w:r>
      <w:r w:rsidRPr="00BD5018">
        <w:rPr>
          <w:rFonts w:ascii="Candara" w:hAnsi="Candara"/>
          <w:noProof/>
        </w:rPr>
        <w:tab/>
        <w:t>Rollins K E, Javanmard-Emamghissi H, Acheson A G, et al. The Role of Oral Antibiotic Preparation in Elective Colorectal Surgery: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Ann Surg</w:t>
      </w:r>
      <w:r w:rsidRPr="00BD5018">
        <w:rPr>
          <w:rFonts w:ascii="Candara" w:hAnsi="Candara"/>
          <w:noProof/>
        </w:rPr>
        <w:t>, 2019. 270(1): p. 43-58.</w:t>
      </w:r>
    </w:p>
    <w:p w14:paraId="6B0C38E1"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142.</w:t>
      </w:r>
      <w:r w:rsidRPr="00BD5018">
        <w:rPr>
          <w:rFonts w:ascii="Candara" w:hAnsi="Candara"/>
          <w:noProof/>
        </w:rPr>
        <w:tab/>
        <w:t>Rosen S, Eshun-Wilson I, Awotiwon A A, et al. Effects of community-based antiretroviral therapy initiation models on HIV treatment outcomes: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PLOS Medicine</w:t>
      </w:r>
      <w:r w:rsidRPr="00BD5018">
        <w:rPr>
          <w:rFonts w:ascii="Candara" w:hAnsi="Candara"/>
          <w:noProof/>
        </w:rPr>
        <w:t>, 2021. 18(5).</w:t>
      </w:r>
    </w:p>
    <w:p w14:paraId="4EEEFE2F"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143.</w:t>
      </w:r>
      <w:r w:rsidRPr="00BD5018">
        <w:rPr>
          <w:rFonts w:ascii="Candara" w:hAnsi="Candara"/>
          <w:noProof/>
        </w:rPr>
        <w:tab/>
        <w:t>Rovinski D, Ramos R B, Fighera T M, et al. Risk of venous thromboembolism events in postmenopausal women using oral versus non-oral hormone therapy: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Thromb Res</w:t>
      </w:r>
      <w:r w:rsidRPr="00BD5018">
        <w:rPr>
          <w:rFonts w:ascii="Candara" w:hAnsi="Candara"/>
          <w:noProof/>
        </w:rPr>
        <w:t>, 2018. 168: p. 83-95.</w:t>
      </w:r>
    </w:p>
    <w:p w14:paraId="419A210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144.</w:t>
      </w:r>
      <w:r w:rsidRPr="00BD5018">
        <w:rPr>
          <w:rFonts w:ascii="Candara" w:hAnsi="Candara"/>
          <w:noProof/>
        </w:rPr>
        <w:tab/>
        <w:t>Saleem S, Ullah W, Mukhtar M, et al. Angiographic-only or intravascular ultrasound-guided approach for left-main coronary artery intervention: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Expert Rev Cardiovasc Ther</w:t>
      </w:r>
      <w:r w:rsidRPr="00BD5018">
        <w:rPr>
          <w:rFonts w:ascii="Candara" w:hAnsi="Candara"/>
          <w:noProof/>
        </w:rPr>
        <w:t>, 2021. 19(11): p. 1029-1035.</w:t>
      </w:r>
    </w:p>
    <w:p w14:paraId="50F1B5C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lastRenderedPageBreak/>
        <w:t>145.</w:t>
      </w:r>
      <w:r w:rsidRPr="00BD5018">
        <w:rPr>
          <w:rFonts w:ascii="Candara" w:hAnsi="Candara"/>
          <w:noProof/>
        </w:rPr>
        <w:tab/>
        <w:t>Salzwedel A, Jensen K, Rauch B, et al. Effectiveness of comprehensive cardiac rehabilitation in coronary artery disease patients treated according to contemporary evidence based medicine: Update of the Cardiac Rehabilitation Outcome Study (CROS-II)</w:t>
      </w:r>
      <w:r w:rsidRPr="00BD5018">
        <w:rPr>
          <w:rFonts w:ascii="Candara" w:hAnsi="Candara"/>
          <w:i/>
          <w:noProof/>
        </w:rPr>
        <w:t>.</w:t>
      </w:r>
      <w:r w:rsidRPr="00BD5018">
        <w:rPr>
          <w:rFonts w:ascii="Candara" w:hAnsi="Candara"/>
          <w:noProof/>
        </w:rPr>
        <w:t xml:space="preserve"> </w:t>
      </w:r>
      <w:r w:rsidRPr="00BD5018">
        <w:rPr>
          <w:rFonts w:ascii="Candara" w:hAnsi="Candara"/>
          <w:i/>
          <w:noProof/>
        </w:rPr>
        <w:t>Eur J Prev Cardiol</w:t>
      </w:r>
      <w:r w:rsidRPr="00BD5018">
        <w:rPr>
          <w:rFonts w:ascii="Candara" w:hAnsi="Candara"/>
          <w:noProof/>
        </w:rPr>
        <w:t>, 2020. 27(16): p. 1756-1774.</w:t>
      </w:r>
    </w:p>
    <w:p w14:paraId="63D66708"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146.</w:t>
      </w:r>
      <w:r w:rsidRPr="00BD5018">
        <w:rPr>
          <w:rFonts w:ascii="Candara" w:hAnsi="Candara"/>
          <w:noProof/>
        </w:rPr>
        <w:tab/>
        <w:t>Sanders A P, Chan W V, Tang J, et al. Surgical outcomes after uterine artery occlusion at the time of myomectomy: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Fertil Steril</w:t>
      </w:r>
      <w:r w:rsidRPr="00BD5018">
        <w:rPr>
          <w:rFonts w:ascii="Candara" w:hAnsi="Candara"/>
          <w:noProof/>
        </w:rPr>
        <w:t>, 2019. 111(4): p. 816-827 e4.</w:t>
      </w:r>
    </w:p>
    <w:p w14:paraId="333B8768"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147.</w:t>
      </w:r>
      <w:r w:rsidRPr="00BD5018">
        <w:rPr>
          <w:rFonts w:ascii="Candara" w:hAnsi="Candara"/>
          <w:noProof/>
        </w:rPr>
        <w:tab/>
        <w:t>Santo T, Jr., Clark B, Hickman M, et al. Association of Opioid Agonist Treatment With All-Cause Mortality and Specific Causes of Death Among People With Opioid Dependence: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JAMA Psychiatry</w:t>
      </w:r>
      <w:r w:rsidRPr="00BD5018">
        <w:rPr>
          <w:rFonts w:ascii="Candara" w:hAnsi="Candara"/>
          <w:noProof/>
        </w:rPr>
        <w:t>, 2021. 78(9): p. 979-993.</w:t>
      </w:r>
    </w:p>
    <w:p w14:paraId="0DC67108"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148.</w:t>
      </w:r>
      <w:r w:rsidRPr="00BD5018">
        <w:rPr>
          <w:rFonts w:ascii="Candara" w:hAnsi="Candara"/>
          <w:noProof/>
        </w:rPr>
        <w:tab/>
        <w:t>Sarkar S, Soni K D, and Khanna P. Convalescent plasma is a clutch at straws in COVID-19 management!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Med Virol</w:t>
      </w:r>
      <w:r w:rsidRPr="00BD5018">
        <w:rPr>
          <w:rFonts w:ascii="Candara" w:hAnsi="Candara"/>
          <w:noProof/>
        </w:rPr>
        <w:t>, 2021. 93(2): p. 1111-1118.</w:t>
      </w:r>
    </w:p>
    <w:p w14:paraId="10EB07F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149.</w:t>
      </w:r>
      <w:r w:rsidRPr="00BD5018">
        <w:rPr>
          <w:rFonts w:ascii="Candara" w:hAnsi="Candara"/>
          <w:noProof/>
        </w:rPr>
        <w:tab/>
        <w:t>Schack A, Berkfors A A, Ekeloef S, et al. The Effect of Perioperative Iron Therapy in Acute Major Non-cardiac Surgery on Allogenic Blood Transfusion and Postoperative Haemoglobin Levels: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World J Surg</w:t>
      </w:r>
      <w:r w:rsidRPr="00BD5018">
        <w:rPr>
          <w:rFonts w:ascii="Candara" w:hAnsi="Candara"/>
          <w:noProof/>
        </w:rPr>
        <w:t>, 2019. 43(7): p. 1677-1691.</w:t>
      </w:r>
    </w:p>
    <w:p w14:paraId="239E44B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150.</w:t>
      </w:r>
      <w:r w:rsidRPr="00BD5018">
        <w:rPr>
          <w:rFonts w:ascii="Candara" w:hAnsi="Candara"/>
          <w:noProof/>
        </w:rPr>
        <w:tab/>
        <w:t>Shah K and Mitra A R. Use of Corticosteroids in Cardiac Arrest-A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Crit Care Med</w:t>
      </w:r>
      <w:r w:rsidRPr="00BD5018">
        <w:rPr>
          <w:rFonts w:ascii="Candara" w:hAnsi="Candara"/>
          <w:noProof/>
        </w:rPr>
        <w:t>, 2021. 49(6): p. e642-e650.</w:t>
      </w:r>
    </w:p>
    <w:p w14:paraId="09BEBEC1"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151.</w:t>
      </w:r>
      <w:r w:rsidRPr="00BD5018">
        <w:rPr>
          <w:rFonts w:ascii="Candara" w:hAnsi="Candara"/>
          <w:noProof/>
        </w:rPr>
        <w:tab/>
        <w:t>Shen S Y, Xiao W Q, Lu J H, et al. Early life vitamin D status and asthma and wheeze: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BMC Pulm Med</w:t>
      </w:r>
      <w:r w:rsidRPr="00BD5018">
        <w:rPr>
          <w:rFonts w:ascii="Candara" w:hAnsi="Candara"/>
          <w:noProof/>
        </w:rPr>
        <w:t>, 2018. 18(1): p. 120.</w:t>
      </w:r>
    </w:p>
    <w:p w14:paraId="75A8B44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152.</w:t>
      </w:r>
      <w:r w:rsidRPr="00BD5018">
        <w:rPr>
          <w:rFonts w:ascii="Candara" w:hAnsi="Candara"/>
          <w:noProof/>
        </w:rPr>
        <w:tab/>
        <w:t>Shi Y, Xiong J, Chen Y, et al. The effectiveness of multidisciplinary care models for patients with chronic kidney disease: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Int Urol Nephrol</w:t>
      </w:r>
      <w:r w:rsidRPr="00BD5018">
        <w:rPr>
          <w:rFonts w:ascii="Candara" w:hAnsi="Candara"/>
          <w:noProof/>
        </w:rPr>
        <w:t>, 2018. 50(2): p. 301-312.</w:t>
      </w:r>
    </w:p>
    <w:p w14:paraId="6418CA2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153.</w:t>
      </w:r>
      <w:r w:rsidRPr="00BD5018">
        <w:rPr>
          <w:rFonts w:ascii="Candara" w:hAnsi="Candara"/>
          <w:noProof/>
        </w:rPr>
        <w:tab/>
        <w:t>Shi Y Q, Zhou X C, Du P, et al. Relationships are between metformin use and survival in pancreatic cancer patients concurrent with diabetes: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2020. 99(37): p. e21687.</w:t>
      </w:r>
    </w:p>
    <w:p w14:paraId="26111E27"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154.</w:t>
      </w:r>
      <w:r w:rsidRPr="00BD5018">
        <w:rPr>
          <w:rFonts w:ascii="Candara" w:hAnsi="Candara"/>
          <w:noProof/>
        </w:rPr>
        <w:tab/>
        <w:t>Shiri R C D, Falah-Hassani K. Exercise for the Prevention of Low Back Pain: Systematic Review and Meta-Analysis of Controlled Trials</w:t>
      </w:r>
      <w:r w:rsidRPr="00BD5018">
        <w:rPr>
          <w:rFonts w:ascii="Candara" w:hAnsi="Candara"/>
          <w:i/>
          <w:noProof/>
        </w:rPr>
        <w:t>.</w:t>
      </w:r>
      <w:r w:rsidRPr="00BD5018">
        <w:rPr>
          <w:rFonts w:ascii="Candara" w:hAnsi="Candara"/>
          <w:noProof/>
        </w:rPr>
        <w:t xml:space="preserve"> </w:t>
      </w:r>
      <w:r w:rsidRPr="00BD5018">
        <w:rPr>
          <w:rFonts w:ascii="Candara" w:hAnsi="Candara"/>
          <w:i/>
          <w:noProof/>
        </w:rPr>
        <w:t>Am J Epidemiol</w:t>
      </w:r>
      <w:r w:rsidRPr="00BD5018">
        <w:rPr>
          <w:rFonts w:ascii="Candara" w:hAnsi="Candara"/>
          <w:noProof/>
        </w:rPr>
        <w:t>, 2018. 187(5): p. 1093-1101.</w:t>
      </w:r>
    </w:p>
    <w:p w14:paraId="79BE9708"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155.</w:t>
      </w:r>
      <w:r w:rsidRPr="00BD5018">
        <w:rPr>
          <w:rFonts w:ascii="Candara" w:hAnsi="Candara"/>
          <w:noProof/>
        </w:rPr>
        <w:tab/>
        <w:t>Siddiqi A, Forte S A, Docter S, et al. Perioperative Antibiotic Prophylaxis in Total Joint Arthroplasty: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Bone Joint Surg Am</w:t>
      </w:r>
      <w:r w:rsidRPr="00BD5018">
        <w:rPr>
          <w:rFonts w:ascii="Candara" w:hAnsi="Candara"/>
          <w:noProof/>
        </w:rPr>
        <w:t>, 2019. 101(9): p. 828-842.</w:t>
      </w:r>
    </w:p>
    <w:p w14:paraId="1FB4F81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lastRenderedPageBreak/>
        <w:t>156.</w:t>
      </w:r>
      <w:r w:rsidRPr="00BD5018">
        <w:rPr>
          <w:rFonts w:ascii="Candara" w:hAnsi="Candara"/>
          <w:noProof/>
        </w:rPr>
        <w:tab/>
        <w:t>Siddiqi T J, Usman M S, Khan M S, et al. Meta-Analysis Comparing Primary Percutaneous Coronary Intervention Versus Pharmacoinvasive Therapy in Transfer Patients with ST-Elevation Myocardial Infarction</w:t>
      </w:r>
      <w:r w:rsidRPr="00BD5018">
        <w:rPr>
          <w:rFonts w:ascii="Candara" w:hAnsi="Candara"/>
          <w:i/>
          <w:noProof/>
        </w:rPr>
        <w:t>.</w:t>
      </w:r>
      <w:r w:rsidRPr="00BD5018">
        <w:rPr>
          <w:rFonts w:ascii="Candara" w:hAnsi="Candara"/>
          <w:noProof/>
        </w:rPr>
        <w:t xml:space="preserve"> </w:t>
      </w:r>
      <w:r w:rsidRPr="00BD5018">
        <w:rPr>
          <w:rFonts w:ascii="Candara" w:hAnsi="Candara"/>
          <w:i/>
          <w:noProof/>
        </w:rPr>
        <w:t>Am J Cardiol</w:t>
      </w:r>
      <w:r w:rsidRPr="00BD5018">
        <w:rPr>
          <w:rFonts w:ascii="Candara" w:hAnsi="Candara"/>
          <w:noProof/>
        </w:rPr>
        <w:t>, 2018. 122(4): p. 542-547.</w:t>
      </w:r>
    </w:p>
    <w:p w14:paraId="7C9DFFF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157.</w:t>
      </w:r>
      <w:r w:rsidRPr="00BD5018">
        <w:rPr>
          <w:rFonts w:ascii="Candara" w:hAnsi="Candara"/>
          <w:noProof/>
        </w:rPr>
        <w:tab/>
        <w:t>Singh P K M, Basu S. Gastric Lavage for Prevention of Feeding Intolerance in Neonates Delivered Through Meconium-Stained Amniotic Fluid: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Indian Pediatr</w:t>
      </w:r>
      <w:r w:rsidRPr="00BD5018">
        <w:rPr>
          <w:rFonts w:ascii="Candara" w:hAnsi="Candara"/>
          <w:noProof/>
        </w:rPr>
        <w:t>, 2021. 58(10): p. 973-977.</w:t>
      </w:r>
    </w:p>
    <w:p w14:paraId="547090DF"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158.</w:t>
      </w:r>
      <w:r w:rsidRPr="00BD5018">
        <w:rPr>
          <w:rFonts w:ascii="Candara" w:hAnsi="Candara"/>
          <w:noProof/>
        </w:rPr>
        <w:tab/>
        <w:t>Smith J A, Secombe P, and Aromataris E. Conservative management of occult pneumothorax in mechanically ventilated patients: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Trauma Acute Care Surg</w:t>
      </w:r>
      <w:r w:rsidRPr="00BD5018">
        <w:rPr>
          <w:rFonts w:ascii="Candara" w:hAnsi="Candara"/>
          <w:noProof/>
        </w:rPr>
        <w:t>, 2021. 91(6): p. 1025-1040.</w:t>
      </w:r>
    </w:p>
    <w:p w14:paraId="7D72B06C"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159.</w:t>
      </w:r>
      <w:r w:rsidRPr="00BD5018">
        <w:rPr>
          <w:rFonts w:ascii="Candara" w:hAnsi="Candara"/>
          <w:noProof/>
        </w:rPr>
        <w:tab/>
        <w:t>Sofiyeva N, Siepmann T, Barlinn K, et al. Gonadotropin-Releasing Hormone Analogs for Gonadal Protection During Gonadotoxic Chemotherapy: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Reprod Sci</w:t>
      </w:r>
      <w:r w:rsidRPr="00BD5018">
        <w:rPr>
          <w:rFonts w:ascii="Candara" w:hAnsi="Candara"/>
          <w:noProof/>
        </w:rPr>
        <w:t>, 2019. 26(7): p. 939-953.</w:t>
      </w:r>
    </w:p>
    <w:p w14:paraId="33E71147"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160.</w:t>
      </w:r>
      <w:r w:rsidRPr="00BD5018">
        <w:rPr>
          <w:rFonts w:ascii="Candara" w:hAnsi="Candara"/>
          <w:noProof/>
        </w:rPr>
        <w:tab/>
        <w:t>Su G, Liu Z, Qin X, et al. Vitamin D deficiency and treatment versus risk of infection in end-stage renal disease patients under dialysis: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Nephrol Dial Transplant</w:t>
      </w:r>
      <w:r w:rsidRPr="00BD5018">
        <w:rPr>
          <w:rFonts w:ascii="Candara" w:hAnsi="Candara"/>
          <w:noProof/>
        </w:rPr>
        <w:t>, 2019. 34(1): p. 146-156.</w:t>
      </w:r>
    </w:p>
    <w:p w14:paraId="428E95F4"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161.</w:t>
      </w:r>
      <w:r w:rsidRPr="00BD5018">
        <w:rPr>
          <w:rFonts w:ascii="Candara" w:hAnsi="Candara"/>
          <w:noProof/>
        </w:rPr>
        <w:tab/>
        <w:t>Suarez S, Conde-Agudelo A, Borovac-Pinheiro A, et al. Uterine balloon tamponade for the treatment of postpartum hemorrhage: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Am J Obstet Gynecol</w:t>
      </w:r>
      <w:r w:rsidRPr="00BD5018">
        <w:rPr>
          <w:rFonts w:ascii="Candara" w:hAnsi="Candara"/>
          <w:noProof/>
        </w:rPr>
        <w:t>, 2020. 222(4): p. 293 e1-293 e52.</w:t>
      </w:r>
    </w:p>
    <w:p w14:paraId="731B7E37"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162.</w:t>
      </w:r>
      <w:r w:rsidRPr="00BD5018">
        <w:rPr>
          <w:rFonts w:ascii="Candara" w:hAnsi="Candara"/>
          <w:noProof/>
        </w:rPr>
        <w:tab/>
        <w:t>Sun J, Fang C, Gao F, et al. Comparison of effectiveness and safety between epidural anesthesia vs local anesthesia for percutaneous transforaminal endoscopic discectomy: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2020. 99(1): p. e18629.</w:t>
      </w:r>
    </w:p>
    <w:p w14:paraId="00C5F64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163.</w:t>
      </w:r>
      <w:r w:rsidRPr="00BD5018">
        <w:rPr>
          <w:rFonts w:ascii="Candara" w:hAnsi="Candara"/>
          <w:noProof/>
        </w:rPr>
        <w:tab/>
        <w:t>Sun X, Hou N, Wang H, et al. A Meta-Analysis of Pregnancy Outcomes With Levothyroxine Treatment in Euthyroid Women With Thyroid Autoimmunity</w:t>
      </w:r>
      <w:r w:rsidRPr="00BD5018">
        <w:rPr>
          <w:rFonts w:ascii="Candara" w:hAnsi="Candara"/>
          <w:i/>
          <w:noProof/>
        </w:rPr>
        <w:t>.</w:t>
      </w:r>
      <w:r w:rsidRPr="00BD5018">
        <w:rPr>
          <w:rFonts w:ascii="Candara" w:hAnsi="Candara"/>
          <w:noProof/>
        </w:rPr>
        <w:t xml:space="preserve"> </w:t>
      </w:r>
      <w:r w:rsidRPr="00BD5018">
        <w:rPr>
          <w:rFonts w:ascii="Candara" w:hAnsi="Candara"/>
          <w:i/>
          <w:noProof/>
        </w:rPr>
        <w:t>J Clin Endocrinol Metab</w:t>
      </w:r>
      <w:r w:rsidRPr="00BD5018">
        <w:rPr>
          <w:rFonts w:ascii="Candara" w:hAnsi="Candara"/>
          <w:noProof/>
        </w:rPr>
        <w:t>, 2020. 105(4).</w:t>
      </w:r>
    </w:p>
    <w:p w14:paraId="4584A8E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164.</w:t>
      </w:r>
      <w:r w:rsidRPr="00BD5018">
        <w:rPr>
          <w:rFonts w:ascii="Candara" w:hAnsi="Candara"/>
          <w:noProof/>
        </w:rPr>
        <w:tab/>
        <w:t>Sun Z W, Fu Y, Lu H L, et al. Association of Rotavirus Vaccines With Reduction in Rotavirus Gastroenteritis in Children Younger Than 5 Years: A Systematic Review and Meta-analysis of Randomized Clinical Trials and Observational Studies</w:t>
      </w:r>
      <w:r w:rsidRPr="00BD5018">
        <w:rPr>
          <w:rFonts w:ascii="Candara" w:hAnsi="Candara"/>
          <w:i/>
          <w:noProof/>
        </w:rPr>
        <w:t>.</w:t>
      </w:r>
      <w:r w:rsidRPr="00BD5018">
        <w:rPr>
          <w:rFonts w:ascii="Candara" w:hAnsi="Candara"/>
          <w:noProof/>
        </w:rPr>
        <w:t xml:space="preserve"> </w:t>
      </w:r>
      <w:r w:rsidRPr="00BD5018">
        <w:rPr>
          <w:rFonts w:ascii="Candara" w:hAnsi="Candara"/>
          <w:i/>
          <w:noProof/>
        </w:rPr>
        <w:t>JAMA Pediatr</w:t>
      </w:r>
      <w:r w:rsidRPr="00BD5018">
        <w:rPr>
          <w:rFonts w:ascii="Candara" w:hAnsi="Candara"/>
          <w:noProof/>
        </w:rPr>
        <w:t>, 2021. 175(7): p. e210347.</w:t>
      </w:r>
    </w:p>
    <w:p w14:paraId="0D4F78F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165.</w:t>
      </w:r>
      <w:r w:rsidRPr="00BD5018">
        <w:rPr>
          <w:rFonts w:ascii="Candara" w:hAnsi="Candara"/>
          <w:noProof/>
        </w:rPr>
        <w:tab/>
        <w:t>Syn N L, Wee I, Shabbir A, et al. Pouch Versus No Pouch Following Total Gastrectomy: Meta-analysis of Randomized and Non-randomized Studies</w:t>
      </w:r>
      <w:r w:rsidRPr="00BD5018">
        <w:rPr>
          <w:rFonts w:ascii="Candara" w:hAnsi="Candara"/>
          <w:i/>
          <w:noProof/>
        </w:rPr>
        <w:t>.</w:t>
      </w:r>
      <w:r w:rsidRPr="00BD5018">
        <w:rPr>
          <w:rFonts w:ascii="Candara" w:hAnsi="Candara"/>
          <w:noProof/>
        </w:rPr>
        <w:t xml:space="preserve"> </w:t>
      </w:r>
      <w:r w:rsidRPr="00BD5018">
        <w:rPr>
          <w:rFonts w:ascii="Candara" w:hAnsi="Candara"/>
          <w:i/>
          <w:noProof/>
        </w:rPr>
        <w:t>Ann Surg</w:t>
      </w:r>
      <w:r w:rsidRPr="00BD5018">
        <w:rPr>
          <w:rFonts w:ascii="Candara" w:hAnsi="Candara"/>
          <w:noProof/>
        </w:rPr>
        <w:t>, 2019. 269(6): p. 1041-1053.</w:t>
      </w:r>
    </w:p>
    <w:p w14:paraId="3CE1382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166.</w:t>
      </w:r>
      <w:r w:rsidRPr="00BD5018">
        <w:rPr>
          <w:rFonts w:ascii="Candara" w:hAnsi="Candara"/>
          <w:noProof/>
        </w:rPr>
        <w:tab/>
        <w:t xml:space="preserve">Tan W, Deng Q, Lin S, et al. Comparison of microwave ablation and radiofrequency ablation for </w:t>
      </w:r>
      <w:r w:rsidRPr="00BD5018">
        <w:rPr>
          <w:rFonts w:ascii="Candara" w:hAnsi="Candara"/>
          <w:noProof/>
        </w:rPr>
        <w:lastRenderedPageBreak/>
        <w:t>hepatocellular carcinoma: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Int J Hyperthermia</w:t>
      </w:r>
      <w:r w:rsidRPr="00BD5018">
        <w:rPr>
          <w:rFonts w:ascii="Candara" w:hAnsi="Candara"/>
          <w:noProof/>
        </w:rPr>
        <w:t>, 2019. 36(1): p. 264-272.</w:t>
      </w:r>
    </w:p>
    <w:p w14:paraId="273443DA"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167.</w:t>
      </w:r>
      <w:r w:rsidRPr="00BD5018">
        <w:rPr>
          <w:rFonts w:ascii="Candara" w:hAnsi="Candara"/>
          <w:noProof/>
        </w:rPr>
        <w:tab/>
        <w:t>Tian F, Tu L Y, Gu W F, et al. Percutaneous versus open pedicle screw instrumentation in treatment of thoracic and lumbar spine fractures: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2018. 97(41): p. e12535.</w:t>
      </w:r>
    </w:p>
    <w:p w14:paraId="1B1BDC9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168.</w:t>
      </w:r>
      <w:r w:rsidRPr="00BD5018">
        <w:rPr>
          <w:rFonts w:ascii="Candara" w:hAnsi="Candara"/>
          <w:noProof/>
        </w:rPr>
        <w:tab/>
        <w:t>Tran A, Fernando S M, Carrier M, et al. Efficacy and Safety of Low Molecular Weight Heparin Versus Unfractionated Heparin for Prevention of Venous Thromboembolism in Trauma Patients: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Ann Surg</w:t>
      </w:r>
      <w:r w:rsidRPr="00BD5018">
        <w:rPr>
          <w:rFonts w:ascii="Candara" w:hAnsi="Candara"/>
          <w:noProof/>
        </w:rPr>
        <w:t>, 2022. 275(1): p. 19-28.</w:t>
      </w:r>
    </w:p>
    <w:p w14:paraId="16E9360A"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169.</w:t>
      </w:r>
      <w:r w:rsidRPr="00BD5018">
        <w:rPr>
          <w:rFonts w:ascii="Candara" w:hAnsi="Candara"/>
          <w:noProof/>
        </w:rPr>
        <w:tab/>
        <w:t>Trongtorsak A, Kewcharoen J, Thangjui S, et al. Same-day discharge after implantation of cardiac implantable electronic devices: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Pacing Clin Electrophysiol</w:t>
      </w:r>
      <w:r w:rsidRPr="00BD5018">
        <w:rPr>
          <w:rFonts w:ascii="Candara" w:hAnsi="Candara"/>
          <w:noProof/>
        </w:rPr>
        <w:t>, 2021. 44(11): p. 1925-1933.</w:t>
      </w:r>
    </w:p>
    <w:p w14:paraId="0BCADA2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170.</w:t>
      </w:r>
      <w:r w:rsidRPr="00BD5018">
        <w:rPr>
          <w:rFonts w:ascii="Candara" w:hAnsi="Candara"/>
          <w:noProof/>
        </w:rPr>
        <w:tab/>
        <w:t>Ullah W, Ali Z, Sadiq U, et al. Meta-Analysis Comparing the Safety and Efficacy of Prasugrel and Ticagrelor in Acute Coronary Syndrome</w:t>
      </w:r>
      <w:r w:rsidRPr="00BD5018">
        <w:rPr>
          <w:rFonts w:ascii="Candara" w:hAnsi="Candara"/>
          <w:i/>
          <w:noProof/>
        </w:rPr>
        <w:t>.</w:t>
      </w:r>
      <w:r w:rsidRPr="00BD5018">
        <w:rPr>
          <w:rFonts w:ascii="Candara" w:hAnsi="Candara"/>
          <w:noProof/>
        </w:rPr>
        <w:t xml:space="preserve"> </w:t>
      </w:r>
      <w:r w:rsidRPr="00BD5018">
        <w:rPr>
          <w:rFonts w:ascii="Candara" w:hAnsi="Candara"/>
          <w:i/>
          <w:noProof/>
        </w:rPr>
        <w:t>Am J Cardiol</w:t>
      </w:r>
      <w:r w:rsidRPr="00BD5018">
        <w:rPr>
          <w:rFonts w:ascii="Candara" w:hAnsi="Candara"/>
          <w:noProof/>
        </w:rPr>
        <w:t>, 2020. 132: p. 22-28.</w:t>
      </w:r>
    </w:p>
    <w:p w14:paraId="0020C133"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171.</w:t>
      </w:r>
      <w:r w:rsidRPr="00BD5018">
        <w:rPr>
          <w:rFonts w:ascii="Candara" w:hAnsi="Candara"/>
          <w:noProof/>
        </w:rPr>
        <w:tab/>
        <w:t>van de Wall B J M, Ochen Y, Beeres F J P, et al. Conservative vs. operative treatment for humeral shaft fractures: a meta-analysis and systematic review of randomized clinical trials and observational studies</w:t>
      </w:r>
      <w:r w:rsidRPr="00BD5018">
        <w:rPr>
          <w:rFonts w:ascii="Candara" w:hAnsi="Candara"/>
          <w:i/>
          <w:noProof/>
        </w:rPr>
        <w:t>.</w:t>
      </w:r>
      <w:r w:rsidRPr="00BD5018">
        <w:rPr>
          <w:rFonts w:ascii="Candara" w:hAnsi="Candara"/>
          <w:noProof/>
        </w:rPr>
        <w:t xml:space="preserve"> </w:t>
      </w:r>
      <w:r w:rsidRPr="00BD5018">
        <w:rPr>
          <w:rFonts w:ascii="Candara" w:hAnsi="Candara"/>
          <w:i/>
          <w:noProof/>
        </w:rPr>
        <w:t>J Shoulder Elbow Surg</w:t>
      </w:r>
      <w:r w:rsidRPr="00BD5018">
        <w:rPr>
          <w:rFonts w:ascii="Candara" w:hAnsi="Candara"/>
          <w:noProof/>
        </w:rPr>
        <w:t>, 2020. 29(7): p. 1493-1504.</w:t>
      </w:r>
    </w:p>
    <w:p w14:paraId="03A074A2"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172.</w:t>
      </w:r>
      <w:r w:rsidRPr="00BD5018">
        <w:rPr>
          <w:rFonts w:ascii="Candara" w:hAnsi="Candara"/>
          <w:noProof/>
        </w:rPr>
        <w:tab/>
        <w:t>Visioni A, Shah R, Gabriel E, et al. Enhanced Recovery After Surgery for Noncolorectal Surgery?: A Systematic Review and Meta-analysis of Major Abdominal Surgery</w:t>
      </w:r>
      <w:r w:rsidRPr="00BD5018">
        <w:rPr>
          <w:rFonts w:ascii="Candara" w:hAnsi="Candara"/>
          <w:i/>
          <w:noProof/>
        </w:rPr>
        <w:t>.</w:t>
      </w:r>
      <w:r w:rsidRPr="00BD5018">
        <w:rPr>
          <w:rFonts w:ascii="Candara" w:hAnsi="Candara"/>
          <w:noProof/>
        </w:rPr>
        <w:t xml:space="preserve"> </w:t>
      </w:r>
      <w:r w:rsidRPr="00BD5018">
        <w:rPr>
          <w:rFonts w:ascii="Candara" w:hAnsi="Candara"/>
          <w:i/>
          <w:noProof/>
        </w:rPr>
        <w:t>Ann Surg</w:t>
      </w:r>
      <w:r w:rsidRPr="00BD5018">
        <w:rPr>
          <w:rFonts w:ascii="Candara" w:hAnsi="Candara"/>
          <w:noProof/>
        </w:rPr>
        <w:t>, 2018. 267(1): p. 57-65.</w:t>
      </w:r>
    </w:p>
    <w:p w14:paraId="3DA719AF"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173.</w:t>
      </w:r>
      <w:r w:rsidRPr="00BD5018">
        <w:rPr>
          <w:rFonts w:ascii="Candara" w:hAnsi="Candara"/>
          <w:noProof/>
        </w:rPr>
        <w:tab/>
        <w:t>Volovici V, Huijben J A, Ercole A, et al. Ventricular Drainage Catheters versus Intracranial Parenchymal Catheters for Intracranial Pressure Monitoring-Based Management of Traumatic Brain Injury: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Neurotrauma</w:t>
      </w:r>
      <w:r w:rsidRPr="00BD5018">
        <w:rPr>
          <w:rFonts w:ascii="Candara" w:hAnsi="Candara"/>
          <w:noProof/>
        </w:rPr>
        <w:t>, 2019. 36(7): p. 988-995.</w:t>
      </w:r>
    </w:p>
    <w:p w14:paraId="4E912494"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174.</w:t>
      </w:r>
      <w:r w:rsidRPr="00BD5018">
        <w:rPr>
          <w:rFonts w:ascii="Candara" w:hAnsi="Candara"/>
          <w:noProof/>
        </w:rPr>
        <w:tab/>
        <w:t>Wada-Shimosato Y, Tanoshima R, Hiratoko K, et al. Effectiveness of acyclovir prophylaxis against varicella zoster virus disease after allogeneic hematopoietic cell transplantation: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Transpl Infect Dis</w:t>
      </w:r>
      <w:r w:rsidRPr="00BD5018">
        <w:rPr>
          <w:rFonts w:ascii="Candara" w:hAnsi="Candara"/>
          <w:noProof/>
        </w:rPr>
        <w:t>, 2019. 21(3): p. e13061.</w:t>
      </w:r>
    </w:p>
    <w:p w14:paraId="313518D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175.</w:t>
      </w:r>
      <w:r w:rsidRPr="00BD5018">
        <w:rPr>
          <w:rFonts w:ascii="Candara" w:hAnsi="Candara"/>
          <w:noProof/>
        </w:rPr>
        <w:tab/>
        <w:t>Waever D, Lewis D, Sakso H, et al. The Effectiveness and Safety of Direct Oral Anticoagulants Following Lower Limb Fracture Surgery: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Orthop Trauma</w:t>
      </w:r>
      <w:r w:rsidRPr="00BD5018">
        <w:rPr>
          <w:rFonts w:ascii="Candara" w:hAnsi="Candara"/>
          <w:noProof/>
        </w:rPr>
        <w:t>, 2021. 35(4): p. 217-224.</w:t>
      </w:r>
    </w:p>
    <w:p w14:paraId="5D067FC4"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176.</w:t>
      </w:r>
      <w:r w:rsidRPr="00BD5018">
        <w:rPr>
          <w:rFonts w:ascii="Candara" w:hAnsi="Candara"/>
          <w:noProof/>
        </w:rPr>
        <w:tab/>
        <w:t>Wan J, Wang X, Yang Z P, et al. Systematic review with meta-analysis: Chromoendoscopy versus white light endoscopy in detection of dysplasia in patients with inflammatory bowel disease</w:t>
      </w:r>
      <w:r w:rsidRPr="00BD5018">
        <w:rPr>
          <w:rFonts w:ascii="Candara" w:hAnsi="Candara"/>
          <w:i/>
          <w:noProof/>
        </w:rPr>
        <w:t>.</w:t>
      </w:r>
      <w:r w:rsidRPr="00BD5018">
        <w:rPr>
          <w:rFonts w:ascii="Candara" w:hAnsi="Candara"/>
          <w:noProof/>
        </w:rPr>
        <w:t xml:space="preserve"> </w:t>
      </w:r>
      <w:r w:rsidRPr="00BD5018">
        <w:rPr>
          <w:rFonts w:ascii="Candara" w:hAnsi="Candara"/>
          <w:i/>
          <w:noProof/>
        </w:rPr>
        <w:t xml:space="preserve">J </w:t>
      </w:r>
      <w:r w:rsidRPr="00BD5018">
        <w:rPr>
          <w:rFonts w:ascii="Candara" w:hAnsi="Candara"/>
          <w:i/>
          <w:noProof/>
        </w:rPr>
        <w:lastRenderedPageBreak/>
        <w:t>Dig Dis</w:t>
      </w:r>
      <w:r w:rsidRPr="00BD5018">
        <w:rPr>
          <w:rFonts w:ascii="Candara" w:hAnsi="Candara"/>
          <w:noProof/>
        </w:rPr>
        <w:t>, 2019. 20(4): p. 206-214.</w:t>
      </w:r>
    </w:p>
    <w:p w14:paraId="5D605A9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177.</w:t>
      </w:r>
      <w:r w:rsidRPr="00BD5018">
        <w:rPr>
          <w:rFonts w:ascii="Candara" w:hAnsi="Candara"/>
          <w:noProof/>
        </w:rPr>
        <w:tab/>
        <w:t>Wang F, Zhao K C, Zhao M M, et al. The efficacy of oral versus intravenous tranexamic acid in reducing blood loss after primary total knee and hip arthroplasty: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2018. 97(36): p. e12270.</w:t>
      </w:r>
    </w:p>
    <w:p w14:paraId="5481462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178.</w:t>
      </w:r>
      <w:r w:rsidRPr="00BD5018">
        <w:rPr>
          <w:rFonts w:ascii="Candara" w:hAnsi="Candara"/>
          <w:noProof/>
        </w:rPr>
        <w:tab/>
        <w:t>Wang F G, Yan W M, Yan M, et al. Outcomes of transanal tube placement in anterior resection: A meta-analysis and systematic review</w:t>
      </w:r>
      <w:r w:rsidRPr="00BD5018">
        <w:rPr>
          <w:rFonts w:ascii="Candara" w:hAnsi="Candara"/>
          <w:i/>
          <w:noProof/>
        </w:rPr>
        <w:t>.</w:t>
      </w:r>
      <w:r w:rsidRPr="00BD5018">
        <w:rPr>
          <w:rFonts w:ascii="Candara" w:hAnsi="Candara"/>
          <w:noProof/>
        </w:rPr>
        <w:t xml:space="preserve"> </w:t>
      </w:r>
      <w:r w:rsidRPr="00BD5018">
        <w:rPr>
          <w:rFonts w:ascii="Candara" w:hAnsi="Candara"/>
          <w:i/>
          <w:noProof/>
        </w:rPr>
        <w:t>Int J Surg</w:t>
      </w:r>
      <w:r w:rsidRPr="00BD5018">
        <w:rPr>
          <w:rFonts w:ascii="Candara" w:hAnsi="Candara"/>
          <w:noProof/>
        </w:rPr>
        <w:t>, 2018. 59: p. 1-10.</w:t>
      </w:r>
    </w:p>
    <w:p w14:paraId="7E6C149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179.</w:t>
      </w:r>
      <w:r w:rsidRPr="00BD5018">
        <w:rPr>
          <w:rFonts w:ascii="Candara" w:hAnsi="Candara"/>
          <w:noProof/>
        </w:rPr>
        <w:tab/>
        <w:t>Wang G, Zhao N, Zhong S, et al. Safety and efficacy of flecainide for patients with catecholaminergic polymorphic ventricular tachycardia: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98(34): p. e16961.</w:t>
      </w:r>
    </w:p>
    <w:p w14:paraId="135EABF7"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180.</w:t>
      </w:r>
      <w:r w:rsidRPr="00BD5018">
        <w:rPr>
          <w:rFonts w:ascii="Candara" w:hAnsi="Candara"/>
          <w:noProof/>
        </w:rPr>
        <w:tab/>
        <w:t>Wang J, Li H, Jia H, et al. Intramedullary versus extramedullary fixation in the treatment of subtrochanteric femur fractures: A comprehensive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Acta Orthop Traumatol Turc</w:t>
      </w:r>
      <w:r w:rsidRPr="00BD5018">
        <w:rPr>
          <w:rFonts w:ascii="Candara" w:hAnsi="Candara"/>
          <w:noProof/>
        </w:rPr>
        <w:t>, 2020. 54(6): p. 639-646.</w:t>
      </w:r>
    </w:p>
    <w:p w14:paraId="31F7E4B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181.</w:t>
      </w:r>
      <w:r w:rsidRPr="00BD5018">
        <w:rPr>
          <w:rFonts w:ascii="Candara" w:hAnsi="Candara"/>
          <w:noProof/>
        </w:rPr>
        <w:tab/>
        <w:t>Wang Q, Fu L, Wu T, et al. The ballooning time in endoscopic papillary balloon dilation for removal of bile duct stones: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2021. 100(11): p. e24735.</w:t>
      </w:r>
    </w:p>
    <w:p w14:paraId="0E0F27D7"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182.</w:t>
      </w:r>
      <w:r w:rsidRPr="00BD5018">
        <w:rPr>
          <w:rFonts w:ascii="Candara" w:hAnsi="Candara"/>
          <w:noProof/>
        </w:rPr>
        <w:tab/>
        <w:t>Wang Q and Yang K. Dual therapy with an oral non-vitamin K antagonist and a P2Y12 inhibitor vs triple therapy with aspirin, a P2Y12 inhibitor and a vitamin K antagonist for the treatment of diabetes mellitus patients with co-existing atrial fibrillation following percutaneous coronary intervention: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2021. 100(15): p. e25546.</w:t>
      </w:r>
    </w:p>
    <w:p w14:paraId="76781C4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183.</w:t>
      </w:r>
      <w:r w:rsidRPr="00BD5018">
        <w:rPr>
          <w:rFonts w:ascii="Candara" w:hAnsi="Candara"/>
          <w:noProof/>
        </w:rPr>
        <w:tab/>
        <w:t>Wang Z, Zhan B, Bao H, et al. Percutaneous Coronary Intervention Versus Coronary Artery Bypass Grafting in Unprotected Left Main Coronary Artery Stenosis</w:t>
      </w:r>
      <w:r w:rsidRPr="00BD5018">
        <w:rPr>
          <w:rFonts w:ascii="Candara" w:hAnsi="Candara"/>
          <w:i/>
          <w:noProof/>
        </w:rPr>
        <w:t>.</w:t>
      </w:r>
      <w:r w:rsidRPr="00BD5018">
        <w:rPr>
          <w:rFonts w:ascii="Candara" w:hAnsi="Candara"/>
          <w:noProof/>
        </w:rPr>
        <w:t xml:space="preserve"> </w:t>
      </w:r>
      <w:r w:rsidRPr="00BD5018">
        <w:rPr>
          <w:rFonts w:ascii="Candara" w:hAnsi="Candara"/>
          <w:i/>
          <w:noProof/>
        </w:rPr>
        <w:t>Am J Med Sci</w:t>
      </w:r>
      <w:r w:rsidRPr="00BD5018">
        <w:rPr>
          <w:rFonts w:ascii="Candara" w:hAnsi="Candara"/>
          <w:noProof/>
        </w:rPr>
        <w:t>, 2019. 357(3): p. 230-241.</w:t>
      </w:r>
    </w:p>
    <w:p w14:paraId="78E199F8"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184.</w:t>
      </w:r>
      <w:r w:rsidRPr="00BD5018">
        <w:rPr>
          <w:rFonts w:ascii="Candara" w:hAnsi="Candara"/>
          <w:noProof/>
        </w:rPr>
        <w:tab/>
        <w:t>Weigang T, Wei X, Lifeng G, et al. A meta-analysis of traditional and functional end-to-side anastomosis in radiocephalic fistula for dialysis access</w:t>
      </w:r>
      <w:r w:rsidRPr="00BD5018">
        <w:rPr>
          <w:rFonts w:ascii="Candara" w:hAnsi="Candara"/>
          <w:i/>
          <w:noProof/>
        </w:rPr>
        <w:t>.</w:t>
      </w:r>
      <w:r w:rsidRPr="00BD5018">
        <w:rPr>
          <w:rFonts w:ascii="Candara" w:hAnsi="Candara"/>
          <w:noProof/>
        </w:rPr>
        <w:t xml:space="preserve"> </w:t>
      </w:r>
      <w:r w:rsidRPr="00BD5018">
        <w:rPr>
          <w:rFonts w:ascii="Candara" w:hAnsi="Candara"/>
          <w:i/>
          <w:noProof/>
        </w:rPr>
        <w:t>Int Urol Nephrol</w:t>
      </w:r>
      <w:r w:rsidRPr="00BD5018">
        <w:rPr>
          <w:rFonts w:ascii="Candara" w:hAnsi="Candara"/>
          <w:noProof/>
        </w:rPr>
        <w:t>, 2021. 53(7): p. 1373-1382.</w:t>
      </w:r>
    </w:p>
    <w:p w14:paraId="01DCB8B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185.</w:t>
      </w:r>
      <w:r w:rsidRPr="00BD5018">
        <w:rPr>
          <w:rFonts w:ascii="Candara" w:hAnsi="Candara"/>
          <w:noProof/>
        </w:rPr>
        <w:tab/>
        <w:t>Wilson H, Mocanu V, Sun W, et al. Fundoplication is superior to medical therapy for Barrett's esophagus disease regression and progression: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Surg Endosc</w:t>
      </w:r>
      <w:r w:rsidRPr="00BD5018">
        <w:rPr>
          <w:rFonts w:ascii="Candara" w:hAnsi="Candara"/>
          <w:noProof/>
        </w:rPr>
        <w:t>, 2022. 36(4): p. 2554-2563.</w:t>
      </w:r>
    </w:p>
    <w:p w14:paraId="0BA6A3B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186.</w:t>
      </w:r>
      <w:r w:rsidRPr="00BD5018">
        <w:rPr>
          <w:rFonts w:ascii="Candara" w:hAnsi="Candara"/>
          <w:noProof/>
        </w:rPr>
        <w:tab/>
        <w:t>Wilson H A, Middleton R, Abram S G F, et al. Patient relevant outcomes of unicompartmental versus total knee replacement: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BMJ</w:t>
      </w:r>
      <w:r w:rsidRPr="00BD5018">
        <w:rPr>
          <w:rFonts w:ascii="Candara" w:hAnsi="Candara"/>
          <w:noProof/>
        </w:rPr>
        <w:t>, 2019. 364: p. l352.</w:t>
      </w:r>
    </w:p>
    <w:p w14:paraId="12E4550B"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187.</w:t>
      </w:r>
      <w:r w:rsidRPr="00BD5018">
        <w:rPr>
          <w:rFonts w:ascii="Candara" w:hAnsi="Candara"/>
          <w:noProof/>
        </w:rPr>
        <w:tab/>
        <w:t xml:space="preserve">Wolfhagen N, Boldingh Q J J, de Lange M, et al. Intraoperative Redosing of Surgical Antibiotic </w:t>
      </w:r>
      <w:r w:rsidRPr="00BD5018">
        <w:rPr>
          <w:rFonts w:ascii="Candara" w:hAnsi="Candara"/>
          <w:noProof/>
        </w:rPr>
        <w:lastRenderedPageBreak/>
        <w:t>Prophylaxis in Addition to Preoperative Prophylaxis Versus Single-dose Prophylaxis for the Prevention of Surgical Site Infection: A Meta-analysis and GRADE Recommendation</w:t>
      </w:r>
      <w:r w:rsidRPr="00BD5018">
        <w:rPr>
          <w:rFonts w:ascii="Candara" w:hAnsi="Candara"/>
          <w:i/>
          <w:noProof/>
        </w:rPr>
        <w:t>.</w:t>
      </w:r>
      <w:r w:rsidRPr="00BD5018">
        <w:rPr>
          <w:rFonts w:ascii="Candara" w:hAnsi="Candara"/>
          <w:noProof/>
        </w:rPr>
        <w:t xml:space="preserve"> </w:t>
      </w:r>
      <w:r w:rsidRPr="00BD5018">
        <w:rPr>
          <w:rFonts w:ascii="Candara" w:hAnsi="Candara"/>
          <w:i/>
          <w:noProof/>
        </w:rPr>
        <w:t>Ann Surg</w:t>
      </w:r>
      <w:r w:rsidRPr="00BD5018">
        <w:rPr>
          <w:rFonts w:ascii="Candara" w:hAnsi="Candara"/>
          <w:noProof/>
        </w:rPr>
        <w:t>, 2022. 275(6): p. 1050-1057.</w:t>
      </w:r>
    </w:p>
    <w:p w14:paraId="5C9F472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188.</w:t>
      </w:r>
      <w:r w:rsidRPr="00BD5018">
        <w:rPr>
          <w:rFonts w:ascii="Candara" w:hAnsi="Candara"/>
          <w:noProof/>
        </w:rPr>
        <w:tab/>
        <w:t>Wu S, Bai X, Guo C, et al. Ganglioside-monosialic acid (GM1) for prevention of chemotherapy-induced peripheral neuropathy: a meta-analysis with trial sequential 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BMC Cancer</w:t>
      </w:r>
      <w:r w:rsidRPr="00BD5018">
        <w:rPr>
          <w:rFonts w:ascii="Candara" w:hAnsi="Candara"/>
          <w:noProof/>
        </w:rPr>
        <w:t>, 2021. 21(1): p. 1173.</w:t>
      </w:r>
    </w:p>
    <w:p w14:paraId="657873CC"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189.</w:t>
      </w:r>
      <w:r w:rsidRPr="00BD5018">
        <w:rPr>
          <w:rFonts w:ascii="Candara" w:hAnsi="Candara"/>
          <w:noProof/>
        </w:rPr>
        <w:tab/>
        <w:t>Wu Z X, Ren W X, Ren Y M, et al. Arthroscopic labral debridement versus labral repair for patients with femoroacetabular impingement: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2020. 99(19): p. e20141.</w:t>
      </w:r>
    </w:p>
    <w:p w14:paraId="58FF411C"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190.</w:t>
      </w:r>
      <w:r w:rsidRPr="00BD5018">
        <w:rPr>
          <w:rFonts w:ascii="Candara" w:hAnsi="Candara"/>
          <w:noProof/>
        </w:rPr>
        <w:tab/>
        <w:t>Wusiman P, Abasi K, Maimaitishawuti D, et al. Management of Mandibular Angle Fractures Using One Miniplate or Two Miniplate Fixation System: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Oral Maxillofac Surg</w:t>
      </w:r>
      <w:r w:rsidRPr="00BD5018">
        <w:rPr>
          <w:rFonts w:ascii="Candara" w:hAnsi="Candara"/>
          <w:noProof/>
        </w:rPr>
        <w:t>, 2019. 77(8): p. 1673 e1-1673 e11.</w:t>
      </w:r>
    </w:p>
    <w:p w14:paraId="5371AD81"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191.</w:t>
      </w:r>
      <w:r w:rsidRPr="00BD5018">
        <w:rPr>
          <w:rFonts w:ascii="Candara" w:hAnsi="Candara"/>
          <w:noProof/>
        </w:rPr>
        <w:tab/>
        <w:t>Xie Y, Tian H, Xiang B, et al. Transarterial chemoembolization plus sorafenib versus sorafenib for intermediate-advanced hepatocellular carcinoma: A meta-analysis comparing clinical outcomes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2021. 100(33): p. e26958.</w:t>
      </w:r>
    </w:p>
    <w:p w14:paraId="4B1A220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192.</w:t>
      </w:r>
      <w:r w:rsidRPr="00BD5018">
        <w:rPr>
          <w:rFonts w:ascii="Candara" w:hAnsi="Candara"/>
          <w:noProof/>
        </w:rPr>
        <w:tab/>
        <w:t>Xu L, Pan X, Zhou C, et al. Long-term efficacy after closure of patent foramen ovale for ischemic neurological events in young adults: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2020. 99(2): p. e18675.</w:t>
      </w:r>
    </w:p>
    <w:p w14:paraId="449748AB"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193.</w:t>
      </w:r>
      <w:r w:rsidRPr="00BD5018">
        <w:rPr>
          <w:rFonts w:ascii="Candara" w:hAnsi="Candara"/>
          <w:noProof/>
        </w:rPr>
        <w:tab/>
        <w:t>Xu S, Sun X, Yang N, et al. Human-derived acellular dermal matrix may be an alternative to autologous grafts in tympanic membrane reconstruction: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Otolaryngol Head Neck Surg</w:t>
      </w:r>
      <w:r w:rsidRPr="00BD5018">
        <w:rPr>
          <w:rFonts w:ascii="Candara" w:hAnsi="Candara"/>
          <w:noProof/>
        </w:rPr>
        <w:t>, 2021. 50(1): p. 43.</w:t>
      </w:r>
    </w:p>
    <w:p w14:paraId="7ACBACD2"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194.</w:t>
      </w:r>
      <w:r w:rsidRPr="00BD5018">
        <w:rPr>
          <w:rFonts w:ascii="Candara" w:hAnsi="Candara"/>
          <w:noProof/>
        </w:rPr>
        <w:tab/>
        <w:t>Yan B L, Bi L W, Yang Q Y, et al. Transanal endorectal pull-through procedure versus transabdominal surgery for Hirschsprung disease: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98(32): p. e16777.</w:t>
      </w:r>
    </w:p>
    <w:p w14:paraId="72B1F949"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195.</w:t>
      </w:r>
      <w:r w:rsidRPr="00BD5018">
        <w:rPr>
          <w:rFonts w:ascii="Candara" w:hAnsi="Candara"/>
          <w:noProof/>
        </w:rPr>
        <w:tab/>
        <w:t>Yan J F, Pan Y, Chen K, et al. Minimally invasive pancreatoduodenectomy is associated with lower morbidity compared to open pancreatoduodenectomy: An updated meta-analysis of randomized controlled trials and high-quality nonrandomized studies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98(32): p. e16730.</w:t>
      </w:r>
    </w:p>
    <w:p w14:paraId="30B54F3F"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196.</w:t>
      </w:r>
      <w:r w:rsidRPr="00BD5018">
        <w:rPr>
          <w:rFonts w:ascii="Candara" w:hAnsi="Candara"/>
          <w:noProof/>
        </w:rPr>
        <w:tab/>
        <w:t>Yan M K, Wang C, Wolfe R, et al. Association Between Low-Dose Methotrexate Exposure and Melanoma: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JAMA Dermatol</w:t>
      </w:r>
      <w:r w:rsidRPr="00BD5018">
        <w:rPr>
          <w:rFonts w:ascii="Candara" w:hAnsi="Candara"/>
          <w:noProof/>
        </w:rPr>
        <w:t>, 2022. 158(10): p. 1157-1166.</w:t>
      </w:r>
    </w:p>
    <w:p w14:paraId="36ADE2C1"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lastRenderedPageBreak/>
        <w:t>197.</w:t>
      </w:r>
      <w:r w:rsidRPr="00BD5018">
        <w:rPr>
          <w:rFonts w:ascii="Candara" w:hAnsi="Candara"/>
          <w:noProof/>
        </w:rPr>
        <w:tab/>
        <w:t>Yang F, Guo W, Wang Q, et al. Surgical versus nonsurgical treatment of primary acute patellar dislocation: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98(29): p. e16338.</w:t>
      </w:r>
    </w:p>
    <w:p w14:paraId="47E0C8CD"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198.</w:t>
      </w:r>
      <w:r w:rsidRPr="00BD5018">
        <w:rPr>
          <w:rFonts w:ascii="Candara" w:hAnsi="Candara"/>
          <w:noProof/>
        </w:rPr>
        <w:tab/>
        <w:t>Yang J Q, Peng J H, Xu T, et al. Meta-analysis of the effects of drug-coated balloons among patients with small-vessel coronary artery disease</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98(22): p. e15797.</w:t>
      </w:r>
    </w:p>
    <w:p w14:paraId="15842D47"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199.</w:t>
      </w:r>
      <w:r w:rsidRPr="00BD5018">
        <w:rPr>
          <w:rFonts w:ascii="Candara" w:hAnsi="Candara"/>
          <w:noProof/>
        </w:rPr>
        <w:tab/>
        <w:t>Yang M, Li J, Sun R, et al. Comparison between direct factor Xa inhibitors and low-molecular-weight heparin for efficacy and safety in the treatment of cancer-associated venous thromboembolism: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Cancer Res Ther</w:t>
      </w:r>
      <w:r w:rsidRPr="00BD5018">
        <w:rPr>
          <w:rFonts w:ascii="Candara" w:hAnsi="Candara"/>
          <w:noProof/>
        </w:rPr>
        <w:t>, 2019. 15(7): p. 1541-1546.</w:t>
      </w:r>
    </w:p>
    <w:p w14:paraId="0AC9B73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200.</w:t>
      </w:r>
      <w:r w:rsidRPr="00BD5018">
        <w:rPr>
          <w:rFonts w:ascii="Candara" w:hAnsi="Candara"/>
          <w:noProof/>
        </w:rPr>
        <w:tab/>
        <w:t>Yang Q, Liu J, Ma W, et al. Efficacy of Different Endoscopic Stents in the Management of Postoperative Biliary Strictures: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Clin Gastroenterol</w:t>
      </w:r>
      <w:r w:rsidRPr="00BD5018">
        <w:rPr>
          <w:rFonts w:ascii="Candara" w:hAnsi="Candara"/>
          <w:noProof/>
        </w:rPr>
        <w:t>, 2019. 53(6): p. 418-426.</w:t>
      </w:r>
    </w:p>
    <w:p w14:paraId="77876CB5"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201.</w:t>
      </w:r>
      <w:r w:rsidRPr="00BD5018">
        <w:rPr>
          <w:rFonts w:ascii="Candara" w:hAnsi="Candara"/>
          <w:noProof/>
        </w:rPr>
        <w:tab/>
        <w:t>Yang T, Li Z, Jiang L, et al. Corticosteroid use and intensive care unit-acquired weakness: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Crit Care</w:t>
      </w:r>
      <w:r w:rsidRPr="00BD5018">
        <w:rPr>
          <w:rFonts w:ascii="Candara" w:hAnsi="Candara"/>
          <w:noProof/>
        </w:rPr>
        <w:t>, 2018. 22(1): p. 187.</w:t>
      </w:r>
    </w:p>
    <w:p w14:paraId="21625BE2"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202.</w:t>
      </w:r>
      <w:r w:rsidRPr="00BD5018">
        <w:rPr>
          <w:rFonts w:ascii="Candara" w:hAnsi="Candara"/>
          <w:noProof/>
        </w:rPr>
        <w:tab/>
        <w:t>Yang X, Ma P, Zhang X, et al. Preservation versus non-preservation of left colic artery in colorectal cancer surgery: An updated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98(5): p. e13720.</w:t>
      </w:r>
    </w:p>
    <w:p w14:paraId="556BB7F4"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203.</w:t>
      </w:r>
      <w:r w:rsidRPr="00BD5018">
        <w:rPr>
          <w:rFonts w:ascii="Candara" w:hAnsi="Candara"/>
          <w:noProof/>
        </w:rPr>
        <w:tab/>
        <w:t>Ye Q, Yang Y, Tang X, et al. Neoadjuvant Chemotherapy Followed by Radical Surgery versus Radiotherapy (with or without Chemotherapy) in Patients with Stage IB2, IIA, or IIB Cervical Cancer: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Dis Markers</w:t>
      </w:r>
      <w:r w:rsidRPr="00BD5018">
        <w:rPr>
          <w:rFonts w:ascii="Candara" w:hAnsi="Candara"/>
          <w:noProof/>
        </w:rPr>
        <w:t>, 2020. 2020: p. 7415056.</w:t>
      </w:r>
    </w:p>
    <w:p w14:paraId="207CF717"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204.</w:t>
      </w:r>
      <w:r w:rsidRPr="00BD5018">
        <w:rPr>
          <w:rFonts w:ascii="Candara" w:hAnsi="Candara"/>
          <w:noProof/>
        </w:rPr>
        <w:tab/>
        <w:t>Yu L, Kronen R J, Simon L E, et al. Prophylactic negative-pressure wound therapy after cesarean is associated with reduced risk of surgical site infection: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Am J Obstet Gynecol</w:t>
      </w:r>
      <w:r w:rsidRPr="00BD5018">
        <w:rPr>
          <w:rFonts w:ascii="Candara" w:hAnsi="Candara"/>
          <w:noProof/>
        </w:rPr>
        <w:t>, 2018. 218(2): p. 200-210 e1.</w:t>
      </w:r>
    </w:p>
    <w:p w14:paraId="751FF2F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205.</w:t>
      </w:r>
      <w:r w:rsidRPr="00BD5018">
        <w:rPr>
          <w:rFonts w:ascii="Candara" w:hAnsi="Candara"/>
          <w:noProof/>
        </w:rPr>
        <w:tab/>
        <w:t>Yu Q, Liu C, and Raissi D. Balloon-occluded Retrograde Transvenous Obliteration Versus Transjugular Intrahepatic Portosystemic Shunt for Gastric Varices: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J Clin Gastroenterol</w:t>
      </w:r>
      <w:r w:rsidRPr="00BD5018">
        <w:rPr>
          <w:rFonts w:ascii="Candara" w:hAnsi="Candara"/>
          <w:noProof/>
        </w:rPr>
        <w:t>, 2021. 55(2): p. 147-158.</w:t>
      </w:r>
    </w:p>
    <w:p w14:paraId="65B8BDC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206.</w:t>
      </w:r>
      <w:r w:rsidRPr="00BD5018">
        <w:rPr>
          <w:rFonts w:ascii="Candara" w:hAnsi="Candara"/>
          <w:noProof/>
        </w:rPr>
        <w:tab/>
        <w:t>Yuan Y, Wang Q P, Cao Y L, et al. Burr hole drainage and burr hole drainage with irrigation to treat chronic subdural hematoma: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2018. 97(33): p. e11827.</w:t>
      </w:r>
    </w:p>
    <w:p w14:paraId="7B546EA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207.</w:t>
      </w:r>
      <w:r w:rsidRPr="00BD5018">
        <w:rPr>
          <w:rFonts w:ascii="Candara" w:hAnsi="Candara"/>
          <w:noProof/>
        </w:rPr>
        <w:tab/>
        <w:t>Zhang C Y, Sun Z J, Yang J, et al. Sacrocolpopexy compared with transvaginal mesh surgery: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BJOG</w:t>
      </w:r>
      <w:r w:rsidRPr="00BD5018">
        <w:rPr>
          <w:rFonts w:ascii="Candara" w:hAnsi="Candara"/>
          <w:noProof/>
        </w:rPr>
        <w:t>, 2021. 128(1): p. 14-23.</w:t>
      </w:r>
    </w:p>
    <w:p w14:paraId="7125D8D4"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lastRenderedPageBreak/>
        <w:t>208.</w:t>
      </w:r>
      <w:r w:rsidRPr="00BD5018">
        <w:rPr>
          <w:rFonts w:ascii="Candara" w:hAnsi="Candara"/>
          <w:noProof/>
        </w:rPr>
        <w:tab/>
        <w:t>Zhang G, Liu W, Li J, et al. Efficacy and safety of blood purification in the treatment of deep burns: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2021. 100(5): p. e23968.</w:t>
      </w:r>
    </w:p>
    <w:p w14:paraId="53FC270A"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209.</w:t>
      </w:r>
      <w:r w:rsidRPr="00BD5018">
        <w:rPr>
          <w:rFonts w:ascii="Candara" w:hAnsi="Candara"/>
          <w:noProof/>
        </w:rPr>
        <w:tab/>
        <w:t>Zhang J, Zhang X Y, Jiang F L, et al. Antibiotic-impregnated bone cement for preventing infection in patients receiving primary total hip and knee arthroplasty: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98(49): p. e18068.</w:t>
      </w:r>
    </w:p>
    <w:p w14:paraId="0B72856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210.</w:t>
      </w:r>
      <w:r w:rsidRPr="00BD5018">
        <w:rPr>
          <w:rFonts w:ascii="Candara" w:hAnsi="Candara"/>
          <w:noProof/>
        </w:rPr>
        <w:tab/>
        <w:t>Zhang S, Han Y, Xiao Q, et al. Effectiveness of Bundle Interventions on ICU Delirium: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Crit Care Med</w:t>
      </w:r>
      <w:r w:rsidRPr="00BD5018">
        <w:rPr>
          <w:rFonts w:ascii="Candara" w:hAnsi="Candara"/>
          <w:noProof/>
        </w:rPr>
        <w:t>, 2021. 49(2): p. 335-346.</w:t>
      </w:r>
    </w:p>
    <w:p w14:paraId="43736614"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211.</w:t>
      </w:r>
      <w:r w:rsidRPr="00BD5018">
        <w:rPr>
          <w:rFonts w:ascii="Candara" w:hAnsi="Candara"/>
          <w:noProof/>
        </w:rPr>
        <w:tab/>
        <w:t>Zhang W, Wei Z, and Che X. Effect of polyglycolic acid mesh for prevention of pancreatic fistula after pancreatectomy: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2020. 99(34): p. e21456.</w:t>
      </w:r>
    </w:p>
    <w:p w14:paraId="3D1FDB91"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212.</w:t>
      </w:r>
      <w:r w:rsidRPr="00BD5018">
        <w:rPr>
          <w:rFonts w:ascii="Candara" w:hAnsi="Candara"/>
          <w:noProof/>
        </w:rPr>
        <w:tab/>
        <w:t>Zhang X, Gao Y, Dai X, et al. Short- and long-term outcomes of transanal versus laparoscopic total mesorectal excision for mid-to-low rectal cancer: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Surg Endosc</w:t>
      </w:r>
      <w:r w:rsidRPr="00BD5018">
        <w:rPr>
          <w:rFonts w:ascii="Candara" w:hAnsi="Candara"/>
          <w:noProof/>
        </w:rPr>
        <w:t>, 2019. 33(3): p. 972-985.</w:t>
      </w:r>
    </w:p>
    <w:p w14:paraId="0A371C6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213.</w:t>
      </w:r>
      <w:r w:rsidRPr="00BD5018">
        <w:rPr>
          <w:rFonts w:ascii="Candara" w:hAnsi="Candara"/>
          <w:noProof/>
        </w:rPr>
        <w:tab/>
        <w:t>Zhang Z, Cao Y, Tao Y, et al. Sulfonylurea and fracture risk in patients with type 2 diabetes mellitus: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Diabetes Res Clin Pract</w:t>
      </w:r>
      <w:r w:rsidRPr="00BD5018">
        <w:rPr>
          <w:rFonts w:ascii="Candara" w:hAnsi="Candara"/>
          <w:noProof/>
        </w:rPr>
        <w:t>, 2020. 159: p. 107990.</w:t>
      </w:r>
    </w:p>
    <w:p w14:paraId="7F493CE8"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214.</w:t>
      </w:r>
      <w:r w:rsidRPr="00BD5018">
        <w:rPr>
          <w:rFonts w:ascii="Candara" w:hAnsi="Candara"/>
          <w:noProof/>
        </w:rPr>
        <w:tab/>
        <w:t>Zhao J, Chen M, Zhuo C, et al. The Effect of Renin-Angiotensin System Inhibitors on the Recurrence of Atrial Fibrillation After Catheter Ablation</w:t>
      </w:r>
      <w:r w:rsidRPr="00BD5018">
        <w:rPr>
          <w:rFonts w:ascii="Candara" w:hAnsi="Candara"/>
          <w:i/>
          <w:noProof/>
        </w:rPr>
        <w:t>.</w:t>
      </w:r>
      <w:r w:rsidRPr="00BD5018">
        <w:rPr>
          <w:rFonts w:ascii="Candara" w:hAnsi="Candara"/>
          <w:noProof/>
        </w:rPr>
        <w:t xml:space="preserve"> </w:t>
      </w:r>
      <w:r w:rsidRPr="00BD5018">
        <w:rPr>
          <w:rFonts w:ascii="Candara" w:hAnsi="Candara"/>
          <w:i/>
          <w:noProof/>
        </w:rPr>
        <w:t>Int Heart J</w:t>
      </w:r>
      <w:r w:rsidRPr="00BD5018">
        <w:rPr>
          <w:rFonts w:ascii="Candara" w:hAnsi="Candara"/>
          <w:noProof/>
        </w:rPr>
        <w:t>, 2020. 61(6): p. 1174-1182.</w:t>
      </w:r>
    </w:p>
    <w:p w14:paraId="37B297E7"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215.</w:t>
      </w:r>
      <w:r w:rsidRPr="00BD5018">
        <w:rPr>
          <w:rFonts w:ascii="Candara" w:hAnsi="Candara"/>
          <w:noProof/>
        </w:rPr>
        <w:tab/>
        <w:t>Zhao X H, Wang D, Wang F, et al. Comparison of the effect of postoperative radiotherapy with surgery alone for esophagus squamous cell carcinoma patients: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2018. 97(47): p. e13168.</w:t>
      </w:r>
    </w:p>
    <w:p w14:paraId="597A4A1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216.</w:t>
      </w:r>
      <w:r w:rsidRPr="00BD5018">
        <w:rPr>
          <w:rFonts w:ascii="Candara" w:hAnsi="Candara"/>
          <w:noProof/>
        </w:rPr>
        <w:tab/>
        <w:t>Zhao Y, Xi C, Xu W, et al. Role of tranexamic acid in blood loss control and blood transfusion management of patients undergoing multilevel spine surgery: A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2021. 100(7): p. e24678.</w:t>
      </w:r>
    </w:p>
    <w:p w14:paraId="43783D26"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217.</w:t>
      </w:r>
      <w:r w:rsidRPr="00BD5018">
        <w:rPr>
          <w:rFonts w:ascii="Candara" w:hAnsi="Candara"/>
          <w:noProof/>
        </w:rPr>
        <w:tab/>
        <w:t>Zhu C, Yin J, Wang B, et al. Restrictive versus liberal strategy for red blood-cell transfusion in hip fracture patients: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Medicine (Baltimore)</w:t>
      </w:r>
      <w:r w:rsidRPr="00BD5018">
        <w:rPr>
          <w:rFonts w:ascii="Candara" w:hAnsi="Candara"/>
          <w:noProof/>
        </w:rPr>
        <w:t>, 2019. 98(32): p. e16795.</w:t>
      </w:r>
    </w:p>
    <w:p w14:paraId="76CEC5E0"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218.</w:t>
      </w:r>
      <w:r w:rsidRPr="00BD5018">
        <w:rPr>
          <w:rFonts w:ascii="Candara" w:hAnsi="Candara"/>
          <w:noProof/>
        </w:rPr>
        <w:tab/>
        <w:t>Zhu Y, Meng S, Chen M, et al. Comparing anticoagulation therapy alone versus anticoagulation plus single antiplatelet drug therapy after transcatheter aortic valve implantation in patients with an indication for anticoagulation: a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Cardiovasc Drugs Ther</w:t>
      </w:r>
      <w:r w:rsidRPr="00BD5018">
        <w:rPr>
          <w:rFonts w:ascii="Candara" w:hAnsi="Candara"/>
          <w:noProof/>
        </w:rPr>
        <w:t>, 2021. 35(5): p. 995-1002.</w:t>
      </w:r>
    </w:p>
    <w:p w14:paraId="758A11DE"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lastRenderedPageBreak/>
        <w:t>219.</w:t>
      </w:r>
      <w:r w:rsidRPr="00BD5018">
        <w:rPr>
          <w:rFonts w:ascii="Candara" w:hAnsi="Candara"/>
          <w:noProof/>
        </w:rPr>
        <w:tab/>
        <w:t>Zhu Z, Li L, Xu J, et al. Laparoscopic versus open approach in gastrectomy for advanced gastric cancer: a systematic review</w:t>
      </w:r>
      <w:r w:rsidRPr="00BD5018">
        <w:rPr>
          <w:rFonts w:ascii="Candara" w:hAnsi="Candara"/>
          <w:i/>
          <w:noProof/>
        </w:rPr>
        <w:t>.</w:t>
      </w:r>
      <w:r w:rsidRPr="00BD5018">
        <w:rPr>
          <w:rFonts w:ascii="Candara" w:hAnsi="Candara"/>
          <w:noProof/>
        </w:rPr>
        <w:t xml:space="preserve"> </w:t>
      </w:r>
      <w:r w:rsidRPr="00BD5018">
        <w:rPr>
          <w:rFonts w:ascii="Candara" w:hAnsi="Candara"/>
          <w:i/>
          <w:noProof/>
        </w:rPr>
        <w:t>World J Surg Oncol</w:t>
      </w:r>
      <w:r w:rsidRPr="00BD5018">
        <w:rPr>
          <w:rFonts w:ascii="Candara" w:hAnsi="Candara"/>
          <w:noProof/>
        </w:rPr>
        <w:t>, 2020. 18(1): p. 126.</w:t>
      </w:r>
    </w:p>
    <w:p w14:paraId="4CDC5647" w14:textId="77777777" w:rsidR="00885C76" w:rsidRPr="00BD5018" w:rsidRDefault="00885C76" w:rsidP="00885C76">
      <w:pPr>
        <w:pStyle w:val="EndNoteBibliography"/>
        <w:spacing w:line="360" w:lineRule="auto"/>
        <w:ind w:left="426" w:hanging="426"/>
        <w:rPr>
          <w:rFonts w:ascii="Candara" w:hAnsi="Candara"/>
          <w:noProof/>
        </w:rPr>
      </w:pPr>
      <w:r w:rsidRPr="00BD5018">
        <w:rPr>
          <w:rFonts w:ascii="Candara" w:hAnsi="Candara"/>
          <w:noProof/>
        </w:rPr>
        <w:t>220.</w:t>
      </w:r>
      <w:r w:rsidRPr="00BD5018">
        <w:rPr>
          <w:rFonts w:ascii="Candara" w:hAnsi="Candara"/>
          <w:noProof/>
        </w:rPr>
        <w:tab/>
        <w:t>Zisis G, Halabi A, Huynh Q, et al. Use of novel non-invasive techniques and biomarkers to guide outpatient management of fluid overload and reduce hospital readmission: systematic review and meta-analysis</w:t>
      </w:r>
      <w:r w:rsidRPr="00BD5018">
        <w:rPr>
          <w:rFonts w:ascii="Candara" w:hAnsi="Candara"/>
          <w:i/>
          <w:noProof/>
        </w:rPr>
        <w:t>.</w:t>
      </w:r>
      <w:r w:rsidRPr="00BD5018">
        <w:rPr>
          <w:rFonts w:ascii="Candara" w:hAnsi="Candara"/>
          <w:noProof/>
        </w:rPr>
        <w:t xml:space="preserve"> </w:t>
      </w:r>
      <w:r w:rsidRPr="00BD5018">
        <w:rPr>
          <w:rFonts w:ascii="Candara" w:hAnsi="Candara"/>
          <w:i/>
          <w:noProof/>
        </w:rPr>
        <w:t>ESC Heart Fail</w:t>
      </w:r>
      <w:r w:rsidRPr="00BD5018">
        <w:rPr>
          <w:rFonts w:ascii="Candara" w:hAnsi="Candara"/>
          <w:noProof/>
        </w:rPr>
        <w:t>, 2021. 8(5): p. 4228-4242.</w:t>
      </w:r>
    </w:p>
    <w:p w14:paraId="3BE6B989" w14:textId="77777777" w:rsidR="005F29E3" w:rsidRPr="005F29E3" w:rsidRDefault="00885C76" w:rsidP="005F29E3">
      <w:pPr>
        <w:spacing w:line="360" w:lineRule="auto"/>
        <w:rPr>
          <w:rFonts w:ascii="Candara" w:hAnsi="Candara"/>
          <w:b/>
          <w:bCs/>
          <w:color w:val="000000" w:themeColor="text1"/>
          <w:sz w:val="24"/>
        </w:rPr>
      </w:pPr>
      <w:r>
        <w:rPr>
          <w:rFonts w:ascii="Candara" w:hAnsi="Candara" w:cs="Times New Roman"/>
          <w:b/>
          <w:bCs/>
        </w:rPr>
        <w:fldChar w:fldCharType="end"/>
      </w:r>
    </w:p>
    <w:sectPr w:rsidR="005F29E3" w:rsidRPr="005F29E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9E3"/>
    <w:rsid w:val="000050DA"/>
    <w:rsid w:val="0000689F"/>
    <w:rsid w:val="000201E4"/>
    <w:rsid w:val="00041B42"/>
    <w:rsid w:val="0008507C"/>
    <w:rsid w:val="00087947"/>
    <w:rsid w:val="00096E96"/>
    <w:rsid w:val="000A74A5"/>
    <w:rsid w:val="000C585D"/>
    <w:rsid w:val="000E1E5F"/>
    <w:rsid w:val="000F2084"/>
    <w:rsid w:val="00101079"/>
    <w:rsid w:val="00101731"/>
    <w:rsid w:val="00186DB1"/>
    <w:rsid w:val="00196CAF"/>
    <w:rsid w:val="001B645D"/>
    <w:rsid w:val="001E4E69"/>
    <w:rsid w:val="001E7594"/>
    <w:rsid w:val="00211E78"/>
    <w:rsid w:val="0023073A"/>
    <w:rsid w:val="0023405E"/>
    <w:rsid w:val="002B2D0F"/>
    <w:rsid w:val="002E00D7"/>
    <w:rsid w:val="002F399C"/>
    <w:rsid w:val="003441E6"/>
    <w:rsid w:val="003B6A14"/>
    <w:rsid w:val="003E4449"/>
    <w:rsid w:val="003F0D23"/>
    <w:rsid w:val="003F1462"/>
    <w:rsid w:val="00423ADD"/>
    <w:rsid w:val="0045255E"/>
    <w:rsid w:val="004547F9"/>
    <w:rsid w:val="00472E94"/>
    <w:rsid w:val="004A03FC"/>
    <w:rsid w:val="004C6C7D"/>
    <w:rsid w:val="004D06EB"/>
    <w:rsid w:val="005017B7"/>
    <w:rsid w:val="00503281"/>
    <w:rsid w:val="00533636"/>
    <w:rsid w:val="00537215"/>
    <w:rsid w:val="005474AE"/>
    <w:rsid w:val="00576319"/>
    <w:rsid w:val="00595293"/>
    <w:rsid w:val="005A33EA"/>
    <w:rsid w:val="005C76EE"/>
    <w:rsid w:val="005E6609"/>
    <w:rsid w:val="005F29E3"/>
    <w:rsid w:val="006B049F"/>
    <w:rsid w:val="006C3E62"/>
    <w:rsid w:val="006F071F"/>
    <w:rsid w:val="00712398"/>
    <w:rsid w:val="007230F7"/>
    <w:rsid w:val="00723C3C"/>
    <w:rsid w:val="007D308F"/>
    <w:rsid w:val="007D5FCF"/>
    <w:rsid w:val="007F0ADB"/>
    <w:rsid w:val="008043D2"/>
    <w:rsid w:val="00854B69"/>
    <w:rsid w:val="008556F3"/>
    <w:rsid w:val="00885C76"/>
    <w:rsid w:val="008907DB"/>
    <w:rsid w:val="00895604"/>
    <w:rsid w:val="008970A6"/>
    <w:rsid w:val="008C1ABD"/>
    <w:rsid w:val="008C5A34"/>
    <w:rsid w:val="008F1F10"/>
    <w:rsid w:val="00912150"/>
    <w:rsid w:val="009138BD"/>
    <w:rsid w:val="00926370"/>
    <w:rsid w:val="00927679"/>
    <w:rsid w:val="00957F5F"/>
    <w:rsid w:val="009729B5"/>
    <w:rsid w:val="00974F2A"/>
    <w:rsid w:val="0099255F"/>
    <w:rsid w:val="009B3E1F"/>
    <w:rsid w:val="009D5466"/>
    <w:rsid w:val="009E0F0A"/>
    <w:rsid w:val="009F1B26"/>
    <w:rsid w:val="00A0569D"/>
    <w:rsid w:val="00AA0873"/>
    <w:rsid w:val="00AC06D8"/>
    <w:rsid w:val="00AC32FA"/>
    <w:rsid w:val="00AD1EF0"/>
    <w:rsid w:val="00AE2B37"/>
    <w:rsid w:val="00AE3C79"/>
    <w:rsid w:val="00B12BAA"/>
    <w:rsid w:val="00B14B89"/>
    <w:rsid w:val="00B44940"/>
    <w:rsid w:val="00B520C9"/>
    <w:rsid w:val="00B526A8"/>
    <w:rsid w:val="00B55EC2"/>
    <w:rsid w:val="00B63641"/>
    <w:rsid w:val="00B7059B"/>
    <w:rsid w:val="00B728D9"/>
    <w:rsid w:val="00B7351C"/>
    <w:rsid w:val="00B82E9A"/>
    <w:rsid w:val="00B833DF"/>
    <w:rsid w:val="00B94389"/>
    <w:rsid w:val="00BC16E6"/>
    <w:rsid w:val="00BC20F7"/>
    <w:rsid w:val="00BD59E6"/>
    <w:rsid w:val="00BD5AD2"/>
    <w:rsid w:val="00BE3709"/>
    <w:rsid w:val="00C10BEB"/>
    <w:rsid w:val="00C70BFA"/>
    <w:rsid w:val="00C81128"/>
    <w:rsid w:val="00CE185D"/>
    <w:rsid w:val="00D96EA8"/>
    <w:rsid w:val="00DB36B0"/>
    <w:rsid w:val="00DC2BBC"/>
    <w:rsid w:val="00DF7159"/>
    <w:rsid w:val="00E163A5"/>
    <w:rsid w:val="00E572F1"/>
    <w:rsid w:val="00E941F1"/>
    <w:rsid w:val="00F20E5E"/>
    <w:rsid w:val="00F3288A"/>
    <w:rsid w:val="00F45A5F"/>
    <w:rsid w:val="00F8617A"/>
    <w:rsid w:val="00F86C00"/>
    <w:rsid w:val="00F97878"/>
    <w:rsid w:val="00FA302C"/>
    <w:rsid w:val="00FB06E5"/>
    <w:rsid w:val="00FB6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C43D9"/>
  <w15:chartTrackingRefBased/>
  <w15:docId w15:val="{9FF4BC8F-70B5-9444-97ED-5159AE776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679"/>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0"/>
    <w:rsid w:val="00885C76"/>
    <w:rPr>
      <w:rFonts w:ascii="DengXian" w:eastAsia="DengXian" w:hAnsi="DengXian"/>
      <w:sz w:val="20"/>
    </w:rPr>
  </w:style>
  <w:style w:type="character" w:customStyle="1" w:styleId="EndNoteBibliography0">
    <w:name w:val="EndNote Bibliography 字符"/>
    <w:basedOn w:val="a0"/>
    <w:link w:val="EndNoteBibliography"/>
    <w:rsid w:val="00885C76"/>
    <w:rPr>
      <w:rFonts w:ascii="DengXian" w:eastAsia="DengXian" w:hAnsi="DengXian"/>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7148</Words>
  <Characters>40744</Characters>
  <Application>Microsoft Office Word</Application>
  <DocSecurity>0</DocSecurity>
  <Lines>339</Lines>
  <Paragraphs>95</Paragraphs>
  <ScaleCrop>false</ScaleCrop>
  <Company/>
  <LinksUpToDate>false</LinksUpToDate>
  <CharactersWithSpaces>47797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 Mei</dc:creator>
  <cp:keywords/>
  <dc:description/>
  <cp:lastModifiedBy>Fan Mei</cp:lastModifiedBy>
  <cp:revision>2</cp:revision>
  <dcterms:created xsi:type="dcterms:W3CDTF">2024-11-13T15:15:00Z</dcterms:created>
  <dcterms:modified xsi:type="dcterms:W3CDTF">2024-11-13T15:15:00Z</dcterms:modified>
</cp:coreProperties>
</file>