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A9316" w14:textId="481CB4B0" w:rsidR="009543AD" w:rsidRPr="009543AD" w:rsidRDefault="009543AD" w:rsidP="009543AD">
      <w:pPr>
        <w:spacing w:before="100" w:beforeAutospacing="1" w:after="100" w:afterAutospacing="1" w:line="360" w:lineRule="auto"/>
        <w:jc w:val="left"/>
        <w:rPr>
          <w:rFonts w:ascii="Times New Roman" w:hAnsi="Times New Roman" w:cs="Times New Roman"/>
          <w:b/>
          <w:snapToGrid w:val="0"/>
          <w:kern w:val="0"/>
          <w:szCs w:val="21"/>
        </w:rPr>
      </w:pPr>
      <w:bookmarkStart w:id="0" w:name="_Toc175467542"/>
      <w:bookmarkStart w:id="1" w:name="_Toc175467541"/>
      <w:r w:rsidRPr="009543AD">
        <w:rPr>
          <w:rFonts w:ascii="Times New Roman" w:hAnsi="Times New Roman" w:cs="Times New Roman"/>
          <w:b/>
          <w:snapToGrid w:val="0"/>
          <w:kern w:val="0"/>
          <w:szCs w:val="21"/>
        </w:rPr>
        <w:t>Study Protocol</w:t>
      </w:r>
    </w:p>
    <w:p w14:paraId="0587A35E" w14:textId="77777777" w:rsidR="009543AD" w:rsidRPr="009543AD" w:rsidRDefault="009543AD" w:rsidP="009543AD">
      <w:pPr>
        <w:widowControl/>
        <w:snapToGrid w:val="0"/>
        <w:spacing w:line="360" w:lineRule="auto"/>
        <w:jc w:val="center"/>
        <w:rPr>
          <w:rFonts w:ascii="Times New Roman" w:hAnsi="Times New Roman" w:cs="Times New Roman"/>
          <w:b/>
          <w:bCs/>
          <w:color w:val="000000" w:themeColor="text1"/>
          <w:szCs w:val="21"/>
        </w:rPr>
      </w:pPr>
      <w:bookmarkStart w:id="2" w:name="OLE_LINK2"/>
      <w:bookmarkStart w:id="3" w:name="OLE_LINK4"/>
      <w:bookmarkStart w:id="4" w:name="OLE_LINK3"/>
      <w:bookmarkStart w:id="5" w:name="OLE_LINK14"/>
      <w:bookmarkStart w:id="6" w:name="OLE_LINK13"/>
      <w:bookmarkStart w:id="7" w:name="_Toc287440287"/>
      <w:bookmarkEnd w:id="2"/>
      <w:r w:rsidRPr="009543AD">
        <w:rPr>
          <w:rFonts w:ascii="Times New Roman" w:hAnsi="Times New Roman" w:cs="Times New Roman"/>
          <w:b/>
          <w:bCs/>
          <w:color w:val="000000" w:themeColor="text1"/>
          <w:szCs w:val="21"/>
        </w:rPr>
        <w:t xml:space="preserve">Phase II clinical study of neoadjuvant </w:t>
      </w:r>
      <w:proofErr w:type="spellStart"/>
      <w:r w:rsidRPr="009543AD">
        <w:rPr>
          <w:rFonts w:ascii="Times New Roman" w:hAnsi="Times New Roman" w:cs="Times New Roman"/>
          <w:b/>
          <w:bCs/>
          <w:color w:val="000000" w:themeColor="text1"/>
          <w:szCs w:val="21"/>
        </w:rPr>
        <w:t>camrelizumab</w:t>
      </w:r>
      <w:proofErr w:type="spellEnd"/>
      <w:r w:rsidRPr="009543AD">
        <w:rPr>
          <w:rFonts w:ascii="Times New Roman" w:hAnsi="Times New Roman" w:cs="Times New Roman"/>
          <w:b/>
          <w:bCs/>
          <w:color w:val="000000" w:themeColor="text1"/>
          <w:szCs w:val="21"/>
        </w:rPr>
        <w:t xml:space="preserve"> combined with chemoradiotherapy for primary diagnosed and </w:t>
      </w:r>
      <w:proofErr w:type="spellStart"/>
      <w:r w:rsidRPr="009543AD">
        <w:rPr>
          <w:rFonts w:ascii="Times New Roman" w:hAnsi="Times New Roman" w:cs="Times New Roman"/>
          <w:b/>
          <w:bCs/>
          <w:color w:val="000000" w:themeColor="text1"/>
          <w:szCs w:val="21"/>
        </w:rPr>
        <w:t>nondistant</w:t>
      </w:r>
      <w:proofErr w:type="spellEnd"/>
      <w:r w:rsidRPr="009543AD">
        <w:rPr>
          <w:rFonts w:ascii="Times New Roman" w:hAnsi="Times New Roman" w:cs="Times New Roman"/>
          <w:b/>
          <w:bCs/>
          <w:color w:val="000000" w:themeColor="text1"/>
          <w:szCs w:val="21"/>
        </w:rPr>
        <w:t xml:space="preserve"> metastatic nasopharyngeal carcinoma</w:t>
      </w:r>
    </w:p>
    <w:p w14:paraId="3F930DF6" w14:textId="77777777" w:rsidR="009543AD" w:rsidRPr="009543AD" w:rsidRDefault="009543AD" w:rsidP="009543AD">
      <w:pPr>
        <w:spacing w:line="360" w:lineRule="auto"/>
        <w:jc w:val="center"/>
        <w:rPr>
          <w:rFonts w:ascii="Times New Roman" w:hAnsi="Times New Roman" w:cs="Times New Roman"/>
          <w:szCs w:val="21"/>
        </w:rPr>
      </w:pPr>
    </w:p>
    <w:bookmarkEnd w:id="3"/>
    <w:bookmarkEnd w:id="4"/>
    <w:bookmarkEnd w:id="5"/>
    <w:bookmarkEnd w:id="6"/>
    <w:p w14:paraId="0C0BCB0A" w14:textId="77777777" w:rsidR="009543AD" w:rsidRPr="009543AD" w:rsidRDefault="009543AD" w:rsidP="009543AD">
      <w:pPr>
        <w:spacing w:before="100" w:beforeAutospacing="1" w:after="100" w:afterAutospacing="1" w:line="360" w:lineRule="auto"/>
        <w:rPr>
          <w:rFonts w:ascii="Times New Roman" w:hAnsi="Times New Roman" w:cs="Times New Roman"/>
          <w:kern w:val="0"/>
          <w:szCs w:val="21"/>
        </w:rPr>
      </w:pPr>
      <w:r w:rsidRPr="009543AD">
        <w:rPr>
          <w:rFonts w:ascii="Times New Roman" w:hAnsi="Times New Roman" w:cs="Times New Roman"/>
          <w:kern w:val="0"/>
          <w:szCs w:val="21"/>
        </w:rPr>
        <w:t>Clinical protocol design: Tianjin Medical University Cancer Institute and Hospital</w:t>
      </w:r>
    </w:p>
    <w:p w14:paraId="3B7902D1" w14:textId="77777777" w:rsidR="009543AD" w:rsidRPr="009543AD" w:rsidRDefault="009543AD" w:rsidP="009543AD">
      <w:pPr>
        <w:spacing w:before="100" w:beforeAutospacing="1" w:after="100" w:afterAutospacing="1" w:line="360" w:lineRule="auto"/>
        <w:rPr>
          <w:rFonts w:ascii="Times New Roman" w:hAnsi="Times New Roman" w:cs="Times New Roman"/>
          <w:kern w:val="0"/>
          <w:szCs w:val="21"/>
        </w:rPr>
      </w:pPr>
      <w:r w:rsidRPr="009543AD">
        <w:rPr>
          <w:rFonts w:ascii="Times New Roman" w:hAnsi="Times New Roman" w:cs="Times New Roman"/>
          <w:kern w:val="0"/>
          <w:szCs w:val="21"/>
        </w:rPr>
        <w:t>Clinical experiment unit: Tianjin Medical University Cancer Institute and Hospital</w:t>
      </w:r>
    </w:p>
    <w:p w14:paraId="2C6DF101" w14:textId="77777777" w:rsidR="009543AD" w:rsidRPr="009543AD" w:rsidRDefault="009543AD" w:rsidP="009543AD">
      <w:pPr>
        <w:spacing w:before="100" w:beforeAutospacing="1" w:after="100" w:afterAutospacing="1" w:line="360" w:lineRule="auto"/>
        <w:rPr>
          <w:rFonts w:ascii="Times New Roman" w:hAnsi="Times New Roman" w:cs="Times New Roman"/>
          <w:kern w:val="0"/>
          <w:szCs w:val="21"/>
        </w:rPr>
      </w:pPr>
      <w:r w:rsidRPr="009543AD">
        <w:rPr>
          <w:rFonts w:ascii="Times New Roman" w:hAnsi="Times New Roman" w:cs="Times New Roman"/>
          <w:kern w:val="0"/>
          <w:szCs w:val="21"/>
        </w:rPr>
        <w:t xml:space="preserve">Address: </w:t>
      </w:r>
      <w:proofErr w:type="spellStart"/>
      <w:r w:rsidRPr="009543AD">
        <w:rPr>
          <w:rFonts w:ascii="Times New Roman" w:hAnsi="Times New Roman" w:cs="Times New Roman"/>
          <w:kern w:val="0"/>
          <w:szCs w:val="21"/>
        </w:rPr>
        <w:t>Huanhu</w:t>
      </w:r>
      <w:proofErr w:type="spellEnd"/>
      <w:r w:rsidRPr="009543AD">
        <w:rPr>
          <w:rFonts w:ascii="Times New Roman" w:hAnsi="Times New Roman" w:cs="Times New Roman"/>
          <w:kern w:val="0"/>
          <w:szCs w:val="21"/>
        </w:rPr>
        <w:t xml:space="preserve"> West Road, Hexi District Sports Institute, Tianjin</w:t>
      </w:r>
    </w:p>
    <w:p w14:paraId="10C38E7B" w14:textId="77777777" w:rsidR="009543AD" w:rsidRPr="009543AD" w:rsidRDefault="009543AD" w:rsidP="009543AD">
      <w:pPr>
        <w:spacing w:before="100" w:beforeAutospacing="1" w:after="100" w:afterAutospacing="1" w:line="360" w:lineRule="auto"/>
        <w:rPr>
          <w:rFonts w:ascii="Times New Roman" w:hAnsi="Times New Roman" w:cs="Times New Roman"/>
          <w:kern w:val="0"/>
          <w:szCs w:val="21"/>
        </w:rPr>
      </w:pPr>
      <w:r w:rsidRPr="009543AD">
        <w:rPr>
          <w:rFonts w:ascii="Times New Roman" w:hAnsi="Times New Roman" w:cs="Times New Roman"/>
          <w:szCs w:val="21"/>
        </w:rPr>
        <w:t>Tel.: 022-23340123</w:t>
      </w:r>
    </w:p>
    <w:p w14:paraId="393DB35D" w14:textId="77777777" w:rsidR="009543AD" w:rsidRPr="009543AD" w:rsidRDefault="009543AD" w:rsidP="009543AD">
      <w:pPr>
        <w:spacing w:before="100" w:beforeAutospacing="1" w:after="100" w:afterAutospacing="1" w:line="360" w:lineRule="auto"/>
        <w:ind w:firstLineChars="346" w:firstLine="727"/>
        <w:rPr>
          <w:rFonts w:ascii="Times New Roman" w:hAnsi="Times New Roman" w:cs="Times New Roman"/>
          <w:bCs/>
          <w:szCs w:val="21"/>
        </w:rPr>
      </w:pPr>
    </w:p>
    <w:p w14:paraId="0F16D6D9" w14:textId="77777777" w:rsidR="009543AD" w:rsidRPr="009543AD" w:rsidRDefault="009543AD" w:rsidP="009543AD">
      <w:pPr>
        <w:spacing w:before="100" w:beforeAutospacing="1" w:after="100" w:afterAutospacing="1" w:line="360" w:lineRule="auto"/>
        <w:ind w:firstLineChars="500" w:firstLine="1050"/>
        <w:rPr>
          <w:rFonts w:ascii="Times New Roman" w:hAnsi="Times New Roman" w:cs="Times New Roman"/>
          <w:snapToGrid w:val="0"/>
          <w:kern w:val="0"/>
          <w:szCs w:val="21"/>
        </w:rPr>
      </w:pPr>
    </w:p>
    <w:p w14:paraId="7A3CF10F" w14:textId="77777777" w:rsidR="009543AD" w:rsidRPr="009543AD" w:rsidRDefault="009543AD" w:rsidP="009543AD">
      <w:pPr>
        <w:spacing w:before="100" w:beforeAutospacing="1" w:after="100" w:afterAutospacing="1" w:line="360" w:lineRule="auto"/>
        <w:rPr>
          <w:rFonts w:ascii="Times New Roman" w:hAnsi="Times New Roman" w:cs="Times New Roman"/>
          <w:szCs w:val="21"/>
        </w:rPr>
      </w:pPr>
      <w:bookmarkStart w:id="8" w:name="_Toc256095467"/>
      <w:r w:rsidRPr="009543AD">
        <w:rPr>
          <w:rFonts w:ascii="Times New Roman" w:hAnsi="Times New Roman" w:cs="Times New Roman"/>
          <w:szCs w:val="21"/>
        </w:rPr>
        <w:t>Version date: December 9,2020</w:t>
      </w:r>
    </w:p>
    <w:p w14:paraId="0EF8CF6D" w14:textId="77777777" w:rsidR="009543AD" w:rsidRPr="009543AD" w:rsidRDefault="009543AD" w:rsidP="009543AD">
      <w:pPr>
        <w:spacing w:before="100" w:beforeAutospacing="1" w:after="100" w:afterAutospacing="1" w:line="360" w:lineRule="auto"/>
        <w:rPr>
          <w:rFonts w:ascii="Times New Roman" w:hAnsi="Times New Roman" w:cs="Times New Roman"/>
          <w:szCs w:val="21"/>
        </w:rPr>
      </w:pPr>
      <w:r w:rsidRPr="009543AD">
        <w:rPr>
          <w:rFonts w:ascii="Times New Roman" w:hAnsi="Times New Roman" w:cs="Times New Roman"/>
          <w:szCs w:val="21"/>
        </w:rPr>
        <w:t>Version number: 1.0</w:t>
      </w:r>
    </w:p>
    <w:p w14:paraId="7A3A4F8D" w14:textId="77777777" w:rsidR="009543AD" w:rsidRPr="009543AD" w:rsidRDefault="009543AD" w:rsidP="009543AD">
      <w:pPr>
        <w:spacing w:before="100" w:beforeAutospacing="1" w:after="100" w:afterAutospacing="1" w:line="360" w:lineRule="auto"/>
        <w:rPr>
          <w:rFonts w:ascii="Times New Roman" w:hAnsi="Times New Roman" w:cs="Times New Roman"/>
          <w:szCs w:val="21"/>
        </w:rPr>
      </w:pPr>
    </w:p>
    <w:p w14:paraId="2A0AD4F3" w14:textId="77777777" w:rsidR="009543AD" w:rsidRPr="009543AD" w:rsidRDefault="009543AD" w:rsidP="009543AD">
      <w:pPr>
        <w:spacing w:before="100" w:beforeAutospacing="1" w:after="100" w:afterAutospacing="1" w:line="360" w:lineRule="auto"/>
        <w:jc w:val="center"/>
        <w:rPr>
          <w:rFonts w:ascii="Times New Roman" w:hAnsi="Times New Roman" w:cs="Times New Roman"/>
          <w:szCs w:val="21"/>
        </w:rPr>
        <w:sectPr w:rsidR="009543AD" w:rsidRPr="009543AD" w:rsidSect="009543AD">
          <w:headerReference w:type="default" r:id="rId6"/>
          <w:footerReference w:type="even" r:id="rId7"/>
          <w:footerReference w:type="default" r:id="rId8"/>
          <w:footerReference w:type="first" r:id="rId9"/>
          <w:pgSz w:w="11906" w:h="16838"/>
          <w:pgMar w:top="1418" w:right="1418" w:bottom="1418" w:left="1418" w:header="1089" w:footer="992" w:gutter="0"/>
          <w:pgNumType w:start="1"/>
          <w:cols w:space="425"/>
          <w:docGrid w:linePitch="312"/>
        </w:sectPr>
      </w:pPr>
    </w:p>
    <w:bookmarkEnd w:id="0"/>
    <w:bookmarkEnd w:id="1"/>
    <w:bookmarkEnd w:id="7"/>
    <w:bookmarkEnd w:id="8"/>
    <w:p w14:paraId="7C984A83"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lastRenderedPageBreak/>
        <w:t>1 B</w:t>
      </w:r>
      <w:bookmarkStart w:id="9" w:name="_Toc524678027"/>
      <w:bookmarkStart w:id="10" w:name="_Toc323"/>
      <w:bookmarkStart w:id="11" w:name="_Toc524678028"/>
      <w:r w:rsidRPr="009543AD">
        <w:rPr>
          <w:rFonts w:ascii="Times New Roman" w:hAnsi="Times New Roman" w:cs="Times New Roman"/>
          <w:b/>
          <w:bCs/>
          <w:szCs w:val="21"/>
        </w:rPr>
        <w:t>ackground</w:t>
      </w:r>
      <w:bookmarkEnd w:id="9"/>
      <w:bookmarkEnd w:id="10"/>
    </w:p>
    <w:bookmarkEnd w:id="11"/>
    <w:p w14:paraId="796F746E" w14:textId="77777777" w:rsidR="009543AD" w:rsidRPr="009543AD" w:rsidRDefault="009543AD" w:rsidP="009543AD">
      <w:pPr>
        <w:spacing w:line="360" w:lineRule="auto"/>
        <w:ind w:firstLineChars="200" w:firstLine="420"/>
        <w:rPr>
          <w:rFonts w:ascii="Times New Roman" w:hAnsi="Times New Roman" w:cs="Times New Roman"/>
          <w:szCs w:val="21"/>
        </w:rPr>
      </w:pPr>
      <w:r w:rsidRPr="009543AD">
        <w:rPr>
          <w:rFonts w:ascii="Times New Roman" w:hAnsi="Times New Roman" w:cs="Times New Roman"/>
          <w:szCs w:val="21"/>
        </w:rPr>
        <w:t xml:space="preserve">Nasopharyngeal carcinoma (NPC) is a malignant tumor occurring in the nasopharyngeal cavity or upper throat. NPC has become the main cancer and mortality factor of otolaryngology malignant tumors in China. The study found that NPC in China accounted for 38.29% and 40.14% of the global NPC incidence and deaths, respectively. Morbidity and mortality were higher than the world average (12000/100000, 0.7000/100000), ranking 18th and 23th in incidence and mortality, respectively, and higher in men than women. The incidence of NPC in China is mainly young and middle-aged population, and the death is mainly middle-aged and elderly population, but the incidence and mortality rate are relatively high in the elderly population (over 65 years old). Compared with other head and neck epithelial cancers, NPC has unique epidemic, pathological characteristics and clinical manifestations, including unique endemic regions (Southern China, Southeast Asia, Arctic and North Africa), related to EB virus infection, poor tumor cell differentiation and sensitivity to </w:t>
      </w:r>
      <w:proofErr w:type="spellStart"/>
      <w:r w:rsidRPr="009543AD">
        <w:rPr>
          <w:rFonts w:ascii="Times New Roman" w:hAnsi="Times New Roman" w:cs="Times New Roman"/>
          <w:szCs w:val="21"/>
        </w:rPr>
        <w:t>chemoriation</w:t>
      </w:r>
      <w:proofErr w:type="spellEnd"/>
      <w:r w:rsidRPr="009543AD">
        <w:rPr>
          <w:rFonts w:ascii="Times New Roman" w:hAnsi="Times New Roman" w:cs="Times New Roman"/>
          <w:szCs w:val="21"/>
        </w:rPr>
        <w:t xml:space="preserve"> and chemotherapy. NPC has a relatively poor prognosis and a relatively low survival rate.</w:t>
      </w:r>
    </w:p>
    <w:p w14:paraId="43D28F14" w14:textId="77777777" w:rsidR="009543AD" w:rsidRPr="009543AD" w:rsidRDefault="009543AD" w:rsidP="009543AD">
      <w:pPr>
        <w:spacing w:line="360" w:lineRule="auto"/>
        <w:ind w:firstLineChars="200" w:firstLine="420"/>
        <w:rPr>
          <w:rFonts w:ascii="Times New Roman" w:hAnsi="Times New Roman" w:cs="Times New Roman"/>
          <w:szCs w:val="21"/>
        </w:rPr>
      </w:pPr>
      <w:r w:rsidRPr="009543AD">
        <w:rPr>
          <w:rFonts w:ascii="Times New Roman" w:hAnsi="Times New Roman" w:cs="Times New Roman"/>
          <w:szCs w:val="21"/>
        </w:rPr>
        <w:t xml:space="preserve">A French meta-analysis showed that the combination treatment of locally advanced nasopharyngeal cancer increased the 5-year survival rate by 6% and the event-free survival rate by 10%, with the best efficacy. Concomitant chemoradiotherapy has been demonstrated as the standard treatment model for locally advanced NPC. Zhang et al. showed that the concurrent chemotherapy reduced the risk of death by 26%, the risk of recurrence by 33%, and the risk of distant metastasis by 29%. The study of Xuan Ying et al. showed that the 3-year and 5-year survival rate of the concurrent chemoradiotherapy group was significantly higher than that of the radiotherapy-alone group, and the risk of local recurrence and distant metastasis was also significantly reduced. Synchronous chemoradiotherapy not only improves the survival rate but also increases the toxic and side effects. The results of two Meta-analysis show that </w:t>
      </w:r>
      <w:proofErr w:type="spellStart"/>
      <w:r w:rsidRPr="009543AD">
        <w:rPr>
          <w:rFonts w:ascii="Times New Roman" w:hAnsi="Times New Roman" w:cs="Times New Roman"/>
          <w:szCs w:val="21"/>
        </w:rPr>
        <w:t>chemoradotherapy</w:t>
      </w:r>
      <w:proofErr w:type="spellEnd"/>
      <w:r w:rsidRPr="009543AD">
        <w:rPr>
          <w:rFonts w:ascii="Times New Roman" w:hAnsi="Times New Roman" w:cs="Times New Roman"/>
          <w:szCs w:val="21"/>
        </w:rPr>
        <w:t xml:space="preserve"> has significant benefits on the overall survival rate and disease-free survival rate of NPC patients. Meanwhile, the corresponding adverse reactions of chemoradiotherapy are mostly related to the selection of radiation techniques and chemotherapy drugs. At present, the commonly used synchronous chemotherapy drugs are single-agent platinum, but there are some limitations in their dose toxicity and clinical application. The advantages of neoadjuvant chemotherapy, also known as induction chemotherapy, lies in the good tumor blood supply before radiotherapy, which is beneficial to the </w:t>
      </w:r>
      <w:r w:rsidRPr="009543AD">
        <w:rPr>
          <w:rFonts w:ascii="Times New Roman" w:hAnsi="Times New Roman" w:cs="Times New Roman"/>
          <w:szCs w:val="21"/>
        </w:rPr>
        <w:lastRenderedPageBreak/>
        <w:t xml:space="preserve">infuse of tumor body with chemotherapy drugs and achieve better efficacy of chemotherapy. It reduces the tumor burden in the tumor center, improves the sensitivity to radiotherapy and improves the effect of radiotherapy. Chemotherapy can remove or inhibit the possible </w:t>
      </w:r>
      <w:proofErr w:type="spellStart"/>
      <w:r w:rsidRPr="009543AD">
        <w:rPr>
          <w:rFonts w:ascii="Times New Roman" w:hAnsi="Times New Roman" w:cs="Times New Roman"/>
          <w:szCs w:val="21"/>
        </w:rPr>
        <w:t>micrometastases</w:t>
      </w:r>
      <w:proofErr w:type="spellEnd"/>
      <w:r w:rsidRPr="009543AD">
        <w:rPr>
          <w:rFonts w:ascii="Times New Roman" w:hAnsi="Times New Roman" w:cs="Times New Roman"/>
          <w:szCs w:val="21"/>
        </w:rPr>
        <w:t xml:space="preserve"> to improve the prognosis. It is beneficial to reduce various clinical symptoms in the short term caused by tumor, such as severe headache, cranial nerve damage, and improve the quality of life of patients. Ouyang et al., including six randomized controlled clinical trials, which reduced the risk of death from chemotherapy by 18%, distant metastasis by 31%, and improved 3-year overall survival (OS) by 5.13%, but had no significant effect on regional time to treatment failure (LRFS). And subgroup analysis suggests that the benefit of paclitaxel-containing induction chemotherapy is more obvious. However, </w:t>
      </w:r>
      <w:proofErr w:type="spellStart"/>
      <w:r w:rsidRPr="009543AD">
        <w:rPr>
          <w:rFonts w:ascii="Times New Roman" w:hAnsi="Times New Roman" w:cs="Times New Roman"/>
          <w:szCs w:val="21"/>
        </w:rPr>
        <w:t>Fonntzilas</w:t>
      </w:r>
      <w:proofErr w:type="spellEnd"/>
      <w:r w:rsidRPr="009543AD">
        <w:rPr>
          <w:rFonts w:ascii="Times New Roman" w:hAnsi="Times New Roman" w:cs="Times New Roman"/>
          <w:szCs w:val="21"/>
        </w:rPr>
        <w:t xml:space="preserve"> et al used induction chemotherapy combined with concurrent chemoradiotherapy did not achieve satisfactory efficacy, and there was no statistical difference between 3-year OS and progression-free survival (PFS) compared with concurrent chemoradiotherapy alone. Therefore, further studies are needed to determine whether induction chemotherapy can improve the efficacy of locally advanced NPC. According to the clinical guidelines NCCN (2018, v2), synchronous cisplatin chemotherapy combined with radiotherapy is the preferred combination treatment for head and neck malignancies with locally advanced lesions suitable for systemic conditions, while cisplatin-based induction chemotherapy followed by radiotherapy based local regional treatment (e.g., sequential chemoradiotherapy) can also be used. However, in the randomized study, where the combined induction chemotherapy contrast to started directly with the latest concurrent chemoradiotherapy, there was no significant improvement in overall survival. Advanced NPC is mainly chemotherapy, lack of high efficiency and low toxicity targeted drugs and new treatment methods. The treatment of NPC has moved from the traditional chemoradiotherapy to the comprehensive treatment stage based on radiotherapy.</w:t>
      </w:r>
    </w:p>
    <w:p w14:paraId="7FC7DA7D" w14:textId="77777777" w:rsidR="009543AD" w:rsidRPr="009543AD" w:rsidRDefault="009543AD" w:rsidP="009543AD">
      <w:pPr>
        <w:spacing w:line="360" w:lineRule="auto"/>
        <w:ind w:firstLineChars="200" w:firstLine="420"/>
        <w:rPr>
          <w:rFonts w:ascii="Times New Roman" w:hAnsi="Times New Roman" w:cs="Times New Roman"/>
          <w:szCs w:val="21"/>
        </w:rPr>
      </w:pPr>
      <w:r w:rsidRPr="009543AD">
        <w:rPr>
          <w:rFonts w:ascii="Times New Roman" w:hAnsi="Times New Roman" w:cs="Times New Roman"/>
          <w:szCs w:val="21"/>
        </w:rPr>
        <w:t xml:space="preserve">At present, the main research direction of tumor immunotherapy internationally is immune checkpoint inhibitors, including PD-1 / PD-L1 inhibitors. Either alone or in combination with existing conventional therapies show more desirable antitumor effects. Studies have suggested that Pembrolizumab shows promising anti-tumor activity and a manageable safety profile in patients with recurrent or metastatic NPC. In an ongoing study (NCT03544099), Pembrolizumab will be administered to patients undergoing EBV DNA, and the ORR rate and clearance efficiency of EBV DNA will be measured. Nivolumab Has just completed a phase II trial, and preliminary results </w:t>
      </w:r>
      <w:r w:rsidRPr="009543AD">
        <w:rPr>
          <w:rFonts w:ascii="Times New Roman" w:hAnsi="Times New Roman" w:cs="Times New Roman"/>
          <w:szCs w:val="21"/>
        </w:rPr>
        <w:lastRenderedPageBreak/>
        <w:t>showed that it is active in patients with recurrence or metastasis, and that PD-L1, expression is predictive of benefit from Nivolumab. The latest study shows that Nivolumab has better activity, no unexpected toxicity, and the overall survival rate at 1 year is better than the historical data from similar populations. In another trial (NCT 03267498), the investigators are studying the efficacy of a combination of chemotherapy and nivolumab in patients with stage II-</w:t>
      </w:r>
      <w:proofErr w:type="spellStart"/>
      <w:r w:rsidRPr="009543AD">
        <w:rPr>
          <w:rFonts w:ascii="Times New Roman" w:hAnsi="Times New Roman" w:cs="Times New Roman"/>
          <w:szCs w:val="21"/>
        </w:rPr>
        <w:t>IVb</w:t>
      </w:r>
      <w:proofErr w:type="spellEnd"/>
      <w:r w:rsidRPr="009543AD">
        <w:rPr>
          <w:rFonts w:ascii="Times New Roman" w:hAnsi="Times New Roman" w:cs="Times New Roman"/>
          <w:szCs w:val="21"/>
        </w:rPr>
        <w:t xml:space="preserve"> NPC. Moreover, some reports show that Pembrolizumab combined with chemotherapy can achieve good clinical results. Since 2016, Zhang’s team has conducted two phase I clinical studies of PD-1 monoclonal antibody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for the treatment of recurrent and metastatic NPC patients after failure of first-line therapy. Based on the original preferred regimen of cisplatin and gemcitabine,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was combined to treat patients with NPC in the first-line therapy. The results found that in the single-agent treatment group, the best overall response rate was 34% and the disease control rate was 59%; in the combined treatment group, the overall response rate was 91% and the disease control rate was as high as 100%, and the toxicity of the combined chemotherapy group was basically controlled. </w:t>
      </w:r>
      <w:proofErr w:type="spellStart"/>
      <w:r w:rsidRPr="009543AD">
        <w:rPr>
          <w:rFonts w:ascii="Times New Roman" w:hAnsi="Times New Roman" w:cs="Times New Roman"/>
          <w:szCs w:val="21"/>
        </w:rPr>
        <w:t>Wenfeng</w:t>
      </w:r>
      <w:proofErr w:type="spellEnd"/>
      <w:r w:rsidRPr="009543AD">
        <w:rPr>
          <w:rFonts w:ascii="Times New Roman" w:hAnsi="Times New Roman" w:cs="Times New Roman"/>
          <w:szCs w:val="21"/>
        </w:rPr>
        <w:t xml:space="preserve"> Fang, deputy chief physician of the Affiliated Cancer Hospital of Sun Yat-sen University, said that the PD-1 inhibitor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shows low toxicity and high efficiency in the treatment of NPC which may improve the survival and quality of life of patients with NPC, and immunotherapy will change the treatment mode of NPC. The results of the early phase clinical trial of the Medicine team of Sun Yat-sen University showed that the median PFS, response rate and overall survival of cisplatin and gemcitabine were better than that of traditional cisplatin and fluorouracil, so the first-line preferred regimen for advanced nasopharyngeal cancer was established. The team has conducted two phase I clinical studies since 2016. One was PD-1 </w:t>
      </w:r>
      <w:proofErr w:type="spellStart"/>
      <w:r w:rsidRPr="009543AD">
        <w:rPr>
          <w:rFonts w:ascii="Times New Roman" w:hAnsi="Times New Roman" w:cs="Times New Roman"/>
          <w:szCs w:val="21"/>
        </w:rPr>
        <w:t>mAb</w:t>
      </w:r>
      <w:proofErr w:type="spellEnd"/>
      <w:r w:rsidRPr="009543AD">
        <w:rPr>
          <w:rFonts w:ascii="Times New Roman" w:hAnsi="Times New Roman" w:cs="Times New Roman"/>
          <w:szCs w:val="21"/>
        </w:rPr>
        <w:t xml:space="preserve">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after first-line treatment failure; and the other was the PD-1 </w:t>
      </w:r>
      <w:proofErr w:type="spellStart"/>
      <w:r w:rsidRPr="009543AD">
        <w:rPr>
          <w:rFonts w:ascii="Times New Roman" w:hAnsi="Times New Roman" w:cs="Times New Roman"/>
          <w:szCs w:val="21"/>
        </w:rPr>
        <w:t>mAb</w:t>
      </w:r>
      <w:proofErr w:type="spellEnd"/>
      <w:r w:rsidRPr="009543AD">
        <w:rPr>
          <w:rFonts w:ascii="Times New Roman" w:hAnsi="Times New Roman" w:cs="Times New Roman"/>
          <w:szCs w:val="21"/>
        </w:rPr>
        <w:t xml:space="preserve">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for the first-line treatment of NPC patients. In the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monotherapy trial, 121 patients were evaluated between 31 March 2016 and 20 September 2017 with 93 patients entered the dose escalation and expanded trial cohort and received at least one dose of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(safety analysis population). Treatment-related adverse events occurred in 15 of 93 patients (16%), the most common being 3 elevated conjugated bilirubin </w:t>
      </w:r>
      <w:proofErr w:type="gramStart"/>
      <w:r w:rsidRPr="009543AD">
        <w:rPr>
          <w:rFonts w:ascii="Times New Roman" w:hAnsi="Times New Roman" w:cs="Times New Roman"/>
          <w:szCs w:val="21"/>
        </w:rPr>
        <w:t>concentrations(</w:t>
      </w:r>
      <w:proofErr w:type="gramEnd"/>
      <w:r w:rsidRPr="009543AD">
        <w:rPr>
          <w:rFonts w:ascii="Times New Roman" w:hAnsi="Times New Roman" w:cs="Times New Roman"/>
          <w:szCs w:val="21"/>
        </w:rPr>
        <w:t xml:space="preserve">3%), stomatitis, anemia, and elevated concentrations of glutamate transaminase, alanine transaminase and total bilirubin, each occurring in 2 patients (2%) patients. Eight (9%) patients had treatment-related serious adverse events. No dose-limiting toxic effects were observed during the dose-escalation phase. Of the 91 evaluable patients who </w:t>
      </w:r>
      <w:r w:rsidRPr="009543AD">
        <w:rPr>
          <w:rFonts w:ascii="Times New Roman" w:hAnsi="Times New Roman" w:cs="Times New Roman"/>
          <w:szCs w:val="21"/>
        </w:rPr>
        <w:lastRenderedPageBreak/>
        <w:t xml:space="preserve">received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monotherapy, 31 (34%; 95%CI: 24-44) achieved overall remission with a median follow-up period of 9.9 months, interquartile distance (interquartile range, IQR): 8.1-11.7. In the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combination therapy trial, 24 patients were assessed for inclusion between 18 April 2017 and 15 August 2017, and 23 patients were enrolled and treated (Safety Analysis Population). Grade 3 or 4 treatment-related adverse events occurred in 23 patients: neutropenia 13 (57%), anemia 11 (48%), leukocytopenia 11 (48%), thrombocytopenia 7 (30%), edema 2 (9%), hyponatremia 2 (9%), </w:t>
      </w:r>
      <w:proofErr w:type="spellStart"/>
      <w:r w:rsidRPr="009543AD">
        <w:rPr>
          <w:rFonts w:ascii="Times New Roman" w:hAnsi="Times New Roman" w:cs="Times New Roman"/>
          <w:szCs w:val="21"/>
        </w:rPr>
        <w:t>hypochloraemia</w:t>
      </w:r>
      <w:proofErr w:type="spellEnd"/>
      <w:r w:rsidRPr="009543AD">
        <w:rPr>
          <w:rFonts w:ascii="Times New Roman" w:hAnsi="Times New Roman" w:cs="Times New Roman"/>
          <w:szCs w:val="21"/>
        </w:rPr>
        <w:t xml:space="preserve"> 1 (4%), and rash 1 (4%). Two patients experienced treatment-related serious adverse events. Overall, in the treatment group of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and gemcitabine and cisplatin, the objective response rate (ORR) was 91%, disease control rate (DCR) was up to 100%, and 6-month progression-free survival rate was 86%. No patient stopped using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due to adverse reactions. Compared with the dual-drug chemotherapy cisplatin and gemcitabine, the combination of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increased the objective response rate (ORR) by nearly 30%, the disease control rate also reached the unprecedented "full score" value, and the tumor control time increased for more than 3 months.</w:t>
      </w:r>
    </w:p>
    <w:p w14:paraId="3115E0A7" w14:textId="77777777" w:rsidR="009543AD" w:rsidRPr="009543AD" w:rsidRDefault="009543AD" w:rsidP="009543AD">
      <w:pPr>
        <w:spacing w:line="360" w:lineRule="auto"/>
        <w:ind w:firstLineChars="200" w:firstLine="420"/>
        <w:rPr>
          <w:rFonts w:ascii="Times New Roman" w:hAnsi="Times New Roman" w:cs="Times New Roman"/>
          <w:szCs w:val="21"/>
        </w:rPr>
      </w:pPr>
      <w:r w:rsidRPr="009543AD">
        <w:rPr>
          <w:rFonts w:ascii="Times New Roman" w:hAnsi="Times New Roman" w:cs="Times New Roman"/>
          <w:szCs w:val="21"/>
        </w:rPr>
        <w:t xml:space="preserve">Therefore, we designed this phase 2 study in North China to evaluate the efficacy and safety of induction chemotherapy (IC) plus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followed by concurrent chemoradiotherapy (CCRT) as a curative approach in patients with locoregionally advanced NPC, with the goal of significantly decreasing risk of local failure and distant metastasis for patients outside the endemic areas of NPC.</w:t>
      </w:r>
    </w:p>
    <w:p w14:paraId="2F58283B" w14:textId="77777777" w:rsidR="009543AD" w:rsidRPr="009543AD" w:rsidRDefault="009543AD" w:rsidP="009543AD">
      <w:pPr>
        <w:spacing w:line="360" w:lineRule="auto"/>
        <w:rPr>
          <w:rFonts w:ascii="Times New Roman" w:hAnsi="Times New Roman" w:cs="Times New Roman"/>
          <w:szCs w:val="21"/>
        </w:rPr>
      </w:pPr>
    </w:p>
    <w:p w14:paraId="640C36CC"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2 Background</w:t>
      </w:r>
    </w:p>
    <w:p w14:paraId="439F285F" w14:textId="77777777" w:rsidR="009543AD" w:rsidRPr="009543AD" w:rsidRDefault="009543AD" w:rsidP="009543AD">
      <w:pPr>
        <w:rPr>
          <w:rFonts w:ascii="Times New Roman" w:hAnsi="Times New Roman" w:cs="Times New Roman"/>
          <w:szCs w:val="21"/>
        </w:rPr>
      </w:pPr>
      <w:r w:rsidRPr="009543AD">
        <w:rPr>
          <w:rFonts w:ascii="Times New Roman" w:hAnsi="Times New Roman" w:cs="Times New Roman"/>
          <w:szCs w:val="21"/>
        </w:rPr>
        <w:t xml:space="preserve">1) Primary Objectives </w:t>
      </w:r>
    </w:p>
    <w:p w14:paraId="4BDC8C71"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3-year event-free survival (EFS)</w:t>
      </w:r>
    </w:p>
    <w:p w14:paraId="6704B346" w14:textId="77777777" w:rsidR="009543AD" w:rsidRPr="009543AD" w:rsidRDefault="009543AD" w:rsidP="009543AD">
      <w:pPr>
        <w:rPr>
          <w:rFonts w:ascii="Times New Roman" w:hAnsi="Times New Roman" w:cs="Times New Roman"/>
          <w:szCs w:val="21"/>
        </w:rPr>
      </w:pPr>
      <w:r w:rsidRPr="009543AD">
        <w:rPr>
          <w:rFonts w:ascii="Times New Roman" w:hAnsi="Times New Roman" w:cs="Times New Roman"/>
          <w:szCs w:val="21"/>
        </w:rPr>
        <w:t xml:space="preserve">2) Secondary Objectives </w:t>
      </w:r>
    </w:p>
    <w:p w14:paraId="3A5E77A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Objective response rate (ORR), locoregional recurrence-free survival (LRFS), distant metastasis-free survival (DMFS), overall survival (OS), and safety.</w:t>
      </w:r>
      <w:bookmarkStart w:id="12" w:name="_Toc25180"/>
      <w:bookmarkStart w:id="13" w:name="_Toc19461"/>
      <w:bookmarkStart w:id="14" w:name="_Toc20367"/>
      <w:bookmarkStart w:id="15" w:name="_Toc21083_WPSOffice_Level2"/>
      <w:bookmarkStart w:id="16" w:name="_Toc7542"/>
    </w:p>
    <w:p w14:paraId="5521C2E5" w14:textId="77777777" w:rsidR="009543AD" w:rsidRPr="009543AD" w:rsidRDefault="009543AD" w:rsidP="009543AD">
      <w:pPr>
        <w:spacing w:line="360" w:lineRule="auto"/>
        <w:rPr>
          <w:rFonts w:ascii="Times New Roman" w:hAnsi="Times New Roman" w:cs="Times New Roman"/>
          <w:szCs w:val="21"/>
        </w:rPr>
      </w:pPr>
    </w:p>
    <w:p w14:paraId="0B3EBAFD"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3 Trial Scheme</w:t>
      </w:r>
    </w:p>
    <w:p w14:paraId="00982FB1" w14:textId="77777777" w:rsidR="009543AD" w:rsidRPr="009543AD" w:rsidRDefault="009543AD" w:rsidP="009543AD">
      <w:pPr>
        <w:spacing w:line="360" w:lineRule="auto"/>
        <w:jc w:val="center"/>
        <w:rPr>
          <w:rFonts w:ascii="Times New Roman" w:hAnsi="Times New Roman" w:cs="Times New Roman"/>
          <w:szCs w:val="21"/>
        </w:rPr>
      </w:pPr>
      <w:r w:rsidRPr="009543AD">
        <w:rPr>
          <w:rFonts w:ascii="Times New Roman" w:hAnsi="Times New Roman" w:cs="Times New Roman"/>
          <w:noProof/>
          <w:szCs w:val="21"/>
        </w:rPr>
        <w:lastRenderedPageBreak/>
        <w:drawing>
          <wp:inline distT="0" distB="0" distL="0" distR="0" wp14:anchorId="4DD4B015" wp14:editId="73740352">
            <wp:extent cx="3103590" cy="3217195"/>
            <wp:effectExtent l="0" t="0" r="1905" b="2540"/>
            <wp:docPr id="16837341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2358" cy="3236650"/>
                    </a:xfrm>
                    <a:prstGeom prst="rect">
                      <a:avLst/>
                    </a:prstGeom>
                    <a:noFill/>
                    <a:ln>
                      <a:noFill/>
                    </a:ln>
                  </pic:spPr>
                </pic:pic>
              </a:graphicData>
            </a:graphic>
          </wp:inline>
        </w:drawing>
      </w:r>
    </w:p>
    <w:p w14:paraId="3D6B803B" w14:textId="77777777" w:rsidR="00493CA7" w:rsidRDefault="00493CA7" w:rsidP="009543AD">
      <w:pPr>
        <w:spacing w:line="360" w:lineRule="auto"/>
        <w:rPr>
          <w:rFonts w:ascii="Times New Roman" w:hAnsi="Times New Roman" w:cs="Times New Roman"/>
          <w:b/>
          <w:bCs/>
          <w:szCs w:val="21"/>
        </w:rPr>
      </w:pPr>
    </w:p>
    <w:p w14:paraId="696A3A1E" w14:textId="1A1547AD"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4 Subject Enrollment</w:t>
      </w:r>
    </w:p>
    <w:p w14:paraId="2B44802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4.1 Eligibility Criteria </w:t>
      </w:r>
    </w:p>
    <w:p w14:paraId="7DF5CCC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 Patients newly diagnosed with histologically confirmed nasopharyngeal carcinomas. </w:t>
      </w:r>
    </w:p>
    <w:p w14:paraId="59BEFD3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Patients with tumors staged as III to </w:t>
      </w:r>
      <w:proofErr w:type="spellStart"/>
      <w:r w:rsidRPr="009543AD">
        <w:rPr>
          <w:rFonts w:ascii="Times New Roman" w:hAnsi="Times New Roman" w:cs="Times New Roman"/>
          <w:szCs w:val="21"/>
        </w:rPr>
        <w:t>IVa</w:t>
      </w:r>
      <w:proofErr w:type="spellEnd"/>
      <w:r w:rsidRPr="009543AD">
        <w:rPr>
          <w:rFonts w:ascii="Times New Roman" w:hAnsi="Times New Roman" w:cs="Times New Roman"/>
          <w:szCs w:val="21"/>
        </w:rPr>
        <w:t xml:space="preserve"> (as defined by the 8th AJCC edition). </w:t>
      </w:r>
    </w:p>
    <w:p w14:paraId="0F04DC8F"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c) No sign of distant metastasis. </w:t>
      </w:r>
    </w:p>
    <w:p w14:paraId="488E088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d) Without previous anticancer treatment. </w:t>
      </w:r>
    </w:p>
    <w:p w14:paraId="0BEB08A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e) Without a history of other malignancies. </w:t>
      </w:r>
    </w:p>
    <w:p w14:paraId="52B8AD90"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f) Age between 18-70 years. </w:t>
      </w:r>
    </w:p>
    <w:p w14:paraId="11E7498D"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g) Adequate bone marrow function: White blood cell count of </w:t>
      </w:r>
      <w:r w:rsidRPr="009543AD">
        <w:rPr>
          <w:rFonts w:ascii="Times New Roman" w:eastAsia="等线" w:hAnsi="Times New Roman" w:cs="Times New Roman"/>
          <w:szCs w:val="21"/>
        </w:rPr>
        <w:t>≥</w:t>
      </w:r>
      <w:r w:rsidRPr="009543AD">
        <w:rPr>
          <w:rFonts w:ascii="Times New Roman" w:hAnsi="Times New Roman" w:cs="Times New Roman"/>
          <w:szCs w:val="21"/>
        </w:rPr>
        <w:t xml:space="preserve"> 4.0×10</w:t>
      </w:r>
      <w:r w:rsidRPr="009543AD">
        <w:rPr>
          <w:rFonts w:ascii="Times New Roman" w:hAnsi="Times New Roman" w:cs="Times New Roman"/>
          <w:szCs w:val="21"/>
          <w:vertAlign w:val="superscript"/>
        </w:rPr>
        <w:t>9</w:t>
      </w:r>
      <w:r w:rsidRPr="009543AD">
        <w:rPr>
          <w:rFonts w:ascii="Times New Roman" w:hAnsi="Times New Roman" w:cs="Times New Roman"/>
          <w:szCs w:val="21"/>
        </w:rPr>
        <w:t xml:space="preserve">/L, absolute neutrophil count (ANC) of </w:t>
      </w:r>
      <w:r w:rsidRPr="009543AD">
        <w:rPr>
          <w:rFonts w:ascii="Times New Roman" w:eastAsia="等线" w:hAnsi="Times New Roman" w:cs="Times New Roman"/>
          <w:szCs w:val="21"/>
        </w:rPr>
        <w:t>≥</w:t>
      </w:r>
      <w:r w:rsidRPr="009543AD">
        <w:rPr>
          <w:rFonts w:ascii="Times New Roman" w:hAnsi="Times New Roman" w:cs="Times New Roman"/>
          <w:szCs w:val="21"/>
        </w:rPr>
        <w:t xml:space="preserve"> 2.0×10</w:t>
      </w:r>
      <w:r w:rsidRPr="009543AD">
        <w:rPr>
          <w:rFonts w:ascii="Times New Roman" w:hAnsi="Times New Roman" w:cs="Times New Roman"/>
          <w:szCs w:val="21"/>
          <w:vertAlign w:val="superscript"/>
        </w:rPr>
        <w:t>9</w:t>
      </w:r>
      <w:r w:rsidRPr="009543AD">
        <w:rPr>
          <w:rFonts w:ascii="Times New Roman" w:hAnsi="Times New Roman" w:cs="Times New Roman"/>
          <w:szCs w:val="21"/>
        </w:rPr>
        <w:t xml:space="preserve">/L, platelet count of </w:t>
      </w:r>
      <w:r w:rsidRPr="009543AD">
        <w:rPr>
          <w:rFonts w:ascii="Times New Roman" w:eastAsia="等线" w:hAnsi="Times New Roman" w:cs="Times New Roman"/>
          <w:szCs w:val="21"/>
        </w:rPr>
        <w:t>≥</w:t>
      </w:r>
      <w:r w:rsidRPr="009543AD">
        <w:rPr>
          <w:rFonts w:ascii="Times New Roman" w:hAnsi="Times New Roman" w:cs="Times New Roman"/>
          <w:szCs w:val="21"/>
        </w:rPr>
        <w:t xml:space="preserve"> 100×10</w:t>
      </w:r>
      <w:r w:rsidRPr="009543AD">
        <w:rPr>
          <w:rFonts w:ascii="Times New Roman" w:hAnsi="Times New Roman" w:cs="Times New Roman"/>
          <w:szCs w:val="21"/>
          <w:vertAlign w:val="superscript"/>
        </w:rPr>
        <w:t>9</w:t>
      </w:r>
      <w:r w:rsidRPr="009543AD">
        <w:rPr>
          <w:rFonts w:ascii="Times New Roman" w:hAnsi="Times New Roman" w:cs="Times New Roman"/>
          <w:szCs w:val="21"/>
        </w:rPr>
        <w:t xml:space="preserve">/L, and hemoglobin concentrations of </w:t>
      </w:r>
      <w:r w:rsidRPr="009543AD">
        <w:rPr>
          <w:rFonts w:ascii="Times New Roman" w:eastAsia="等线" w:hAnsi="Times New Roman" w:cs="Times New Roman"/>
          <w:szCs w:val="21"/>
        </w:rPr>
        <w:t>≥</w:t>
      </w:r>
      <w:r w:rsidRPr="009543AD">
        <w:rPr>
          <w:rFonts w:ascii="Times New Roman" w:hAnsi="Times New Roman" w:cs="Times New Roman"/>
          <w:szCs w:val="21"/>
        </w:rPr>
        <w:t xml:space="preserve"> 90 g/L. </w:t>
      </w:r>
    </w:p>
    <w:p w14:paraId="70FD70B3"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h) Sufficient renal function: creatinine clearance rate at greater than or equal to 60 mL/min. </w:t>
      </w:r>
    </w:p>
    <w:p w14:paraId="45D971FF" w14:textId="77777777" w:rsidR="009543AD" w:rsidRPr="009543AD" w:rsidRDefault="009543AD" w:rsidP="009543AD">
      <w:pPr>
        <w:spacing w:line="360" w:lineRule="auto"/>
        <w:rPr>
          <w:rFonts w:ascii="Times New Roman" w:hAnsi="Times New Roman" w:cs="Times New Roman"/>
          <w:szCs w:val="21"/>
        </w:rPr>
      </w:pPr>
      <w:proofErr w:type="spellStart"/>
      <w:r w:rsidRPr="009543AD">
        <w:rPr>
          <w:rFonts w:ascii="Times New Roman" w:hAnsi="Times New Roman" w:cs="Times New Roman"/>
          <w:szCs w:val="21"/>
        </w:rPr>
        <w:t>i</w:t>
      </w:r>
      <w:proofErr w:type="spellEnd"/>
      <w:r w:rsidRPr="009543AD">
        <w:rPr>
          <w:rFonts w:ascii="Times New Roman" w:hAnsi="Times New Roman" w:cs="Times New Roman"/>
          <w:szCs w:val="21"/>
        </w:rPr>
        <w:t>) Normal liver function: aspartate aminotransferase (AST) and alanine aminotransferase (ALT) concentration &lt; 2.5 times the upper limit of normal (ULN), bilirubin concentration &lt; 5 times ULN.</w:t>
      </w:r>
    </w:p>
    <w:p w14:paraId="41F71DED"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j) Eastern Cooperative Oncology Group performance status of 0 or 1.  </w:t>
      </w:r>
    </w:p>
    <w:p w14:paraId="4043E237"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k) Signed informed consent form.</w:t>
      </w:r>
    </w:p>
    <w:p w14:paraId="074A3F03" w14:textId="77777777" w:rsidR="009543AD" w:rsidRPr="009543AD" w:rsidRDefault="009543AD" w:rsidP="009543AD">
      <w:pPr>
        <w:spacing w:line="360" w:lineRule="auto"/>
        <w:rPr>
          <w:rFonts w:ascii="Times New Roman" w:hAnsi="Times New Roman" w:cs="Times New Roman"/>
          <w:szCs w:val="21"/>
        </w:rPr>
      </w:pPr>
    </w:p>
    <w:p w14:paraId="46600033"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lastRenderedPageBreak/>
        <w:t xml:space="preserve">4.2 Exclusion Criteria </w:t>
      </w:r>
    </w:p>
    <w:p w14:paraId="6BF48183"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a) Stage T3–4N0 and T3N1 tumor.</w:t>
      </w:r>
    </w:p>
    <w:p w14:paraId="1E196864"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Previous anticancer treatment, including chemotherapy, radiotherapy, and surgery (except diagnostic). </w:t>
      </w:r>
    </w:p>
    <w:p w14:paraId="4FC68A1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c) The presence of distant metastasis at initial diagnosis. </w:t>
      </w:r>
    </w:p>
    <w:p w14:paraId="0EAC4BF5"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d) Patients who are pregnant or lactating (in women of child-bearing age, pregnancy test should be considered and effective contraception during the treatment period should be emphasized). </w:t>
      </w:r>
    </w:p>
    <w:p w14:paraId="02EAA0F1"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e) Patients suffering from any severe uncontrollable infections, serious physical or mental diseases or abnormal laboratory tests, which may incur unacceptable risk, negatively affect trial compliance, or affect the administration, distribution, metabolism, and excretion of study drugs. For example, unstable cardiac disease necessitating treatment, chronic hepatitis renal disease, poorly controlled diabetes (fasting plasma glucose greater 1.5 × the ULN), emotional disturbance, mental disorders, abnormal central nervous system, chronic diarrhea, ascites, and pleural effusion. </w:t>
      </w:r>
    </w:p>
    <w:p w14:paraId="7E2CF418"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f) Hypertension, and cannot be well controlled by antihypertensive drugs (systolic blood pressure &gt; 140 mmHg or diastolic blood pressure &gt; 90 mmHg). </w:t>
      </w:r>
    </w:p>
    <w:p w14:paraId="1D9D45E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g) Human immunodeficiency virus (HIV) infection or known acquired immunodeficiency syndrome (AIDS), untreated active hepatitis (hepatitis B is defined as HBV-DNA</w:t>
      </w:r>
      <w:r w:rsidRPr="009543AD">
        <w:rPr>
          <w:rFonts w:ascii="Times New Roman" w:eastAsia="等线" w:hAnsi="Times New Roman" w:cs="Times New Roman"/>
          <w:szCs w:val="21"/>
        </w:rPr>
        <w:t>≥</w:t>
      </w:r>
      <w:r w:rsidRPr="009543AD">
        <w:rPr>
          <w:rFonts w:ascii="Times New Roman" w:hAnsi="Times New Roman" w:cs="Times New Roman"/>
          <w:szCs w:val="21"/>
        </w:rPr>
        <w:t xml:space="preserve">500 IU/ml; hepatitis C is defined as HCV-RNA higher than the detection limit of the analytical method) or co-infection of hepatitis B and C. </w:t>
      </w:r>
    </w:p>
    <w:p w14:paraId="359002E4"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h) Patients who cannot cooperate with routine follow-up because of psychological, social, family, or geographical reasons. </w:t>
      </w:r>
    </w:p>
    <w:p w14:paraId="70CBB958" w14:textId="77777777" w:rsidR="009543AD" w:rsidRPr="009543AD" w:rsidRDefault="009543AD" w:rsidP="009543AD">
      <w:pPr>
        <w:spacing w:line="360" w:lineRule="auto"/>
        <w:rPr>
          <w:rFonts w:ascii="Times New Roman" w:hAnsi="Times New Roman" w:cs="Times New Roman"/>
          <w:szCs w:val="21"/>
        </w:rPr>
      </w:pPr>
      <w:proofErr w:type="spellStart"/>
      <w:r w:rsidRPr="009543AD">
        <w:rPr>
          <w:rFonts w:ascii="Times New Roman" w:hAnsi="Times New Roman" w:cs="Times New Roman"/>
          <w:szCs w:val="21"/>
        </w:rPr>
        <w:t>i</w:t>
      </w:r>
      <w:proofErr w:type="spellEnd"/>
      <w:r w:rsidRPr="009543AD">
        <w:rPr>
          <w:rFonts w:ascii="Times New Roman" w:hAnsi="Times New Roman" w:cs="Times New Roman"/>
          <w:szCs w:val="21"/>
        </w:rPr>
        <w:t xml:space="preserve">) Patients with a history of other malignancies before admission. </w:t>
      </w:r>
    </w:p>
    <w:p w14:paraId="529260F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j) Patients with a history of psychotropic substance abuse or drug use. </w:t>
      </w:r>
    </w:p>
    <w:p w14:paraId="549F21F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k) Receive experimental treatment from other clinical studies at the same time (during the treatment period of this trial). </w:t>
      </w:r>
    </w:p>
    <w:p w14:paraId="77E72E6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l) Refuse to sign the informed consent form. </w:t>
      </w:r>
    </w:p>
    <w:p w14:paraId="7AEC73F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m) Long-term use of immunosuppressive agents after organ transplantation.</w:t>
      </w:r>
    </w:p>
    <w:p w14:paraId="715D034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4.3 Criteria for withdrawal from protocol treatment </w:t>
      </w:r>
    </w:p>
    <w:p w14:paraId="18542D90"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 Evidence of disease recurrence. </w:t>
      </w:r>
    </w:p>
    <w:p w14:paraId="7064B491"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The patient may withdraw from the study and reject further follow-up at any time for any reason. </w:t>
      </w:r>
      <w:r w:rsidRPr="009543AD">
        <w:rPr>
          <w:rFonts w:ascii="Times New Roman" w:hAnsi="Times New Roman" w:cs="Times New Roman"/>
          <w:szCs w:val="21"/>
        </w:rPr>
        <w:lastRenderedPageBreak/>
        <w:t xml:space="preserve">The reason should be recorded. </w:t>
      </w:r>
    </w:p>
    <w:p w14:paraId="627014E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c) Unacceptable toxicity, the reasons for which must be recorded. </w:t>
      </w:r>
    </w:p>
    <w:p w14:paraId="00DF20C4"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d) The test results of the subject's β-HCG test indicated that the subject was pregnant. At the same time, pregnancy will also be reported as a serious adverse event reporting procedure. </w:t>
      </w:r>
    </w:p>
    <w:p w14:paraId="0AF8A4D2"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e) Use of prohibited medications or other medications that the investigator believes will cause a toxic reaction or affect the results of the study. </w:t>
      </w:r>
    </w:p>
    <w:p w14:paraId="7FD7C6C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f) Patients suffering from an intercurrent disease that significantly affects the assessment of clinical status or necessitates discontinuation of the drug, or both. </w:t>
      </w:r>
    </w:p>
    <w:p w14:paraId="13F2D33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g) Investigators believe that the termination of treatment is beneficial to patients according to their physical condition. </w:t>
      </w:r>
    </w:p>
    <w:p w14:paraId="659DEFA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h) Death. </w:t>
      </w:r>
    </w:p>
    <w:p w14:paraId="77007BA3" w14:textId="77777777" w:rsidR="009543AD" w:rsidRPr="009543AD" w:rsidRDefault="009543AD" w:rsidP="009543AD">
      <w:pPr>
        <w:spacing w:line="360" w:lineRule="auto"/>
        <w:rPr>
          <w:rFonts w:ascii="Times New Roman" w:hAnsi="Times New Roman" w:cs="Times New Roman"/>
          <w:szCs w:val="21"/>
        </w:rPr>
      </w:pPr>
    </w:p>
    <w:p w14:paraId="68941A78"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5 Treatment Plan </w:t>
      </w:r>
    </w:p>
    <w:p w14:paraId="14C849FC"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5.1 Pretreatment Assessment </w:t>
      </w:r>
    </w:p>
    <w:p w14:paraId="62CAFA9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a) Signed informed consent.</w:t>
      </w:r>
    </w:p>
    <w:p w14:paraId="1FFCA650"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w:t>
      </w:r>
      <w:proofErr w:type="gramStart"/>
      <w:r w:rsidRPr="009543AD">
        <w:rPr>
          <w:rFonts w:ascii="Times New Roman" w:hAnsi="Times New Roman" w:cs="Times New Roman"/>
          <w:szCs w:val="21"/>
        </w:rPr>
        <w:t>Medical</w:t>
      </w:r>
      <w:proofErr w:type="gramEnd"/>
      <w:r w:rsidRPr="009543AD">
        <w:rPr>
          <w:rFonts w:ascii="Times New Roman" w:hAnsi="Times New Roman" w:cs="Times New Roman"/>
          <w:szCs w:val="21"/>
        </w:rPr>
        <w:t xml:space="preserve"> history review.</w:t>
      </w:r>
    </w:p>
    <w:p w14:paraId="3A84FFA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c) Body examinations, include height, weight and vital signs. </w:t>
      </w:r>
    </w:p>
    <w:p w14:paraId="1B50E3D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d) Physical examination of head and neck region, include nasopharynx and cervical lymph nodes. </w:t>
      </w:r>
    </w:p>
    <w:p w14:paraId="09427D97"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e) Physical examination of the nervous system.</w:t>
      </w:r>
    </w:p>
    <w:p w14:paraId="56D8B75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f) Nasal endoscopy and lesion biopsy. </w:t>
      </w:r>
    </w:p>
    <w:p w14:paraId="52FE41E5"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g) Complete blood count and differential, electrolytes, coagulation, liver and kidney function test.</w:t>
      </w:r>
    </w:p>
    <w:p w14:paraId="7F32DE5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h) Urinary and stool routine test.</w:t>
      </w:r>
    </w:p>
    <w:p w14:paraId="5D89460A" w14:textId="77777777" w:rsidR="009543AD" w:rsidRPr="009543AD" w:rsidRDefault="009543AD" w:rsidP="009543AD">
      <w:pPr>
        <w:spacing w:line="360" w:lineRule="auto"/>
        <w:rPr>
          <w:rFonts w:ascii="Times New Roman" w:hAnsi="Times New Roman" w:cs="Times New Roman"/>
          <w:szCs w:val="21"/>
        </w:rPr>
      </w:pPr>
      <w:proofErr w:type="spellStart"/>
      <w:r w:rsidRPr="009543AD">
        <w:rPr>
          <w:rFonts w:ascii="Times New Roman" w:hAnsi="Times New Roman" w:cs="Times New Roman"/>
          <w:szCs w:val="21"/>
        </w:rPr>
        <w:t>i</w:t>
      </w:r>
      <w:proofErr w:type="spellEnd"/>
      <w:r w:rsidRPr="009543AD">
        <w:rPr>
          <w:rFonts w:ascii="Times New Roman" w:hAnsi="Times New Roman" w:cs="Times New Roman"/>
          <w:szCs w:val="21"/>
        </w:rPr>
        <w:t xml:space="preserve">) EBV DNA testing. </w:t>
      </w:r>
    </w:p>
    <w:p w14:paraId="7650C692"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j) Virological examination (completed within 14 days prior to the first dose): HBsAg (if positive, HBV-DNA is required), </w:t>
      </w:r>
      <w:proofErr w:type="spellStart"/>
      <w:r w:rsidRPr="009543AD">
        <w:rPr>
          <w:rFonts w:ascii="Times New Roman" w:hAnsi="Times New Roman" w:cs="Times New Roman"/>
          <w:szCs w:val="21"/>
        </w:rPr>
        <w:t>HBsAb</w:t>
      </w:r>
      <w:proofErr w:type="spellEnd"/>
      <w:r w:rsidRPr="009543AD">
        <w:rPr>
          <w:rFonts w:ascii="Times New Roman" w:hAnsi="Times New Roman" w:cs="Times New Roman"/>
          <w:szCs w:val="21"/>
        </w:rPr>
        <w:t xml:space="preserve">, </w:t>
      </w:r>
      <w:proofErr w:type="spellStart"/>
      <w:r w:rsidRPr="009543AD">
        <w:rPr>
          <w:rFonts w:ascii="Times New Roman" w:hAnsi="Times New Roman" w:cs="Times New Roman"/>
          <w:szCs w:val="21"/>
        </w:rPr>
        <w:t>HBeAg</w:t>
      </w:r>
      <w:proofErr w:type="spellEnd"/>
      <w:r w:rsidRPr="009543AD">
        <w:rPr>
          <w:rFonts w:ascii="Times New Roman" w:hAnsi="Times New Roman" w:cs="Times New Roman"/>
          <w:szCs w:val="21"/>
        </w:rPr>
        <w:t xml:space="preserve">, </w:t>
      </w:r>
      <w:proofErr w:type="spellStart"/>
      <w:r w:rsidRPr="009543AD">
        <w:rPr>
          <w:rFonts w:ascii="Times New Roman" w:hAnsi="Times New Roman" w:cs="Times New Roman"/>
          <w:szCs w:val="21"/>
        </w:rPr>
        <w:t>HBeAb</w:t>
      </w:r>
      <w:proofErr w:type="spellEnd"/>
      <w:r w:rsidRPr="009543AD">
        <w:rPr>
          <w:rFonts w:ascii="Times New Roman" w:hAnsi="Times New Roman" w:cs="Times New Roman"/>
          <w:szCs w:val="21"/>
        </w:rPr>
        <w:t xml:space="preserve">, </w:t>
      </w:r>
      <w:proofErr w:type="spellStart"/>
      <w:r w:rsidRPr="009543AD">
        <w:rPr>
          <w:rFonts w:ascii="Times New Roman" w:hAnsi="Times New Roman" w:cs="Times New Roman"/>
          <w:szCs w:val="21"/>
        </w:rPr>
        <w:t>HBcAb</w:t>
      </w:r>
      <w:proofErr w:type="spellEnd"/>
      <w:r w:rsidRPr="009543AD">
        <w:rPr>
          <w:rFonts w:ascii="Times New Roman" w:hAnsi="Times New Roman" w:cs="Times New Roman"/>
          <w:szCs w:val="21"/>
        </w:rPr>
        <w:t xml:space="preserve">, HCV-Ab (if positive, HCV-RNA is required), HIV-Ab. </w:t>
      </w:r>
    </w:p>
    <w:p w14:paraId="13DEC02F"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k) Thyroid function. </w:t>
      </w:r>
    </w:p>
    <w:p w14:paraId="637F895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l) Electrocardiogram and Echocardiography. </w:t>
      </w:r>
    </w:p>
    <w:p w14:paraId="2EC4A64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m) Imaging, including enhanced MRI or enhanced CT of the head and neck (CT is indicated only in patients with contraindication to MRI).</w:t>
      </w:r>
    </w:p>
    <w:p w14:paraId="492B92D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lastRenderedPageBreak/>
        <w:t xml:space="preserve">n) Chest CT. </w:t>
      </w:r>
    </w:p>
    <w:p w14:paraId="27ACF98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o) ECT bone scan. </w:t>
      </w:r>
    </w:p>
    <w:p w14:paraId="31EE7FF3"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p) Abdominal CT. </w:t>
      </w:r>
    </w:p>
    <w:p w14:paraId="25AF4C12"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q) Pregnancy test (applicable to women of childbearing age).</w:t>
      </w:r>
    </w:p>
    <w:p w14:paraId="51060A42" w14:textId="77777777" w:rsidR="009543AD" w:rsidRPr="009543AD" w:rsidRDefault="009543AD" w:rsidP="009543AD">
      <w:pPr>
        <w:spacing w:line="360" w:lineRule="auto"/>
        <w:rPr>
          <w:rFonts w:ascii="Times New Roman" w:hAnsi="Times New Roman" w:cs="Times New Roman"/>
          <w:szCs w:val="21"/>
        </w:rPr>
      </w:pPr>
    </w:p>
    <w:p w14:paraId="6FC456E6"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5.2 Chemotherapy and immunotherapy </w:t>
      </w:r>
    </w:p>
    <w:p w14:paraId="5A4695F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5.2.1 Induction therapy phase </w:t>
      </w:r>
    </w:p>
    <w:p w14:paraId="60F4DC0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w:t>
      </w:r>
    </w:p>
    <w:p w14:paraId="2CAAFA6D" w14:textId="77777777" w:rsidR="009543AD" w:rsidRPr="009543AD" w:rsidRDefault="009543AD" w:rsidP="009543AD">
      <w:pPr>
        <w:spacing w:line="360" w:lineRule="auto"/>
        <w:rPr>
          <w:rFonts w:ascii="Times New Roman" w:hAnsi="Times New Roman" w:cs="Times New Roman"/>
          <w:szCs w:val="21"/>
        </w:rPr>
      </w:pP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was intravenously given at dose of 200 mg, administered as </w:t>
      </w:r>
      <w:proofErr w:type="gramStart"/>
      <w:r w:rsidRPr="009543AD">
        <w:rPr>
          <w:rFonts w:ascii="Times New Roman" w:hAnsi="Times New Roman" w:cs="Times New Roman"/>
          <w:szCs w:val="21"/>
        </w:rPr>
        <w:t>a 30 minutes</w:t>
      </w:r>
      <w:proofErr w:type="gramEnd"/>
      <w:r w:rsidRPr="009543AD">
        <w:rPr>
          <w:rFonts w:ascii="Times New Roman" w:hAnsi="Times New Roman" w:cs="Times New Roman"/>
          <w:szCs w:val="21"/>
        </w:rPr>
        <w:t xml:space="preserve"> (no less than 20 minutes, no more than 60 minutes) infusion on day 1. After CCRT, patients received 200 mg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maintenance once every 3 weeks for one year.</w:t>
      </w:r>
    </w:p>
    <w:p w14:paraId="3655EC4F"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Chemotherapy with TP regimen </w:t>
      </w:r>
    </w:p>
    <w:p w14:paraId="19575BD5"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The TPC regimen consisted of docetaxel at a dose of 75 mg/m</w:t>
      </w:r>
      <w:r w:rsidRPr="009543AD">
        <w:rPr>
          <w:rFonts w:ascii="Times New Roman" w:hAnsi="Times New Roman" w:cs="Times New Roman"/>
          <w:szCs w:val="21"/>
          <w:vertAlign w:val="superscript"/>
        </w:rPr>
        <w:t>2</w:t>
      </w:r>
      <w:r w:rsidRPr="009543AD">
        <w:rPr>
          <w:rFonts w:ascii="Times New Roman" w:hAnsi="Times New Roman" w:cs="Times New Roman"/>
          <w:szCs w:val="21"/>
        </w:rPr>
        <w:t xml:space="preserve"> administered over 30 minutes infusion on day 2, followed by cisplatin at a dose of 25 mg/m</w:t>
      </w:r>
      <w:r w:rsidRPr="009543AD">
        <w:rPr>
          <w:rFonts w:ascii="Times New Roman" w:hAnsi="Times New Roman" w:cs="Times New Roman"/>
          <w:szCs w:val="21"/>
          <w:vertAlign w:val="superscript"/>
        </w:rPr>
        <w:t>2</w:t>
      </w:r>
      <w:r w:rsidRPr="009543AD">
        <w:rPr>
          <w:rFonts w:ascii="Times New Roman" w:hAnsi="Times New Roman" w:cs="Times New Roman"/>
          <w:szCs w:val="21"/>
        </w:rPr>
        <w:t xml:space="preserve"> intravenously on days 2-4; repeat every 21 days for 2 cycles. </w:t>
      </w:r>
    </w:p>
    <w:p w14:paraId="476AB8A5"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5.2.2 Concurrent chemotherapy with cisplatin </w:t>
      </w:r>
    </w:p>
    <w:p w14:paraId="643A699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The concurrent chemotherapy consisted of cisplatin at a dose of 80 mg/m</w:t>
      </w:r>
      <w:r w:rsidRPr="009543AD">
        <w:rPr>
          <w:rFonts w:ascii="Times New Roman" w:hAnsi="Times New Roman" w:cs="Times New Roman"/>
          <w:szCs w:val="21"/>
          <w:vertAlign w:val="superscript"/>
        </w:rPr>
        <w:t>2</w:t>
      </w:r>
      <w:r w:rsidRPr="009543AD">
        <w:rPr>
          <w:rFonts w:ascii="Times New Roman" w:hAnsi="Times New Roman" w:cs="Times New Roman"/>
          <w:szCs w:val="21"/>
        </w:rPr>
        <w:t xml:space="preserve">, administered as a 4-hour infusion; repeat every 21 days for 2 cycles. Cisplatin administration follows local hydration protocols to prevent/minimize nephrotoxicity. Pre-hydration (at least 12 hours before cisplatin administration, d0) and post-hydration (d1-3) with over 2000 ml of normal saline infused each time are both needed. The use of mannitol (d1) and furosemide (d1) is essential for it helps to reduce cisplatin-related nephrotoxicity by diuresis. Twenty-four hours urinary output should be recorded (d0-d3) and urinalysis will be performed (d2-d3). Electrolytes and serum creatinine are monitored during treatment and a follow-up creatinine within 24-48 hours of the cisplatin dose is recommended. One hour before concurrent chemotherapy, patients are given 5-hydroxytryptamine-3 receptor antagonists for anti-nausea (d1). </w:t>
      </w:r>
    </w:p>
    <w:p w14:paraId="2FF24D14" w14:textId="77777777" w:rsidR="009543AD" w:rsidRPr="009543AD" w:rsidRDefault="009543AD" w:rsidP="009543AD">
      <w:pPr>
        <w:spacing w:line="360" w:lineRule="auto"/>
        <w:rPr>
          <w:rFonts w:ascii="Times New Roman" w:hAnsi="Times New Roman" w:cs="Times New Roman"/>
          <w:szCs w:val="21"/>
        </w:rPr>
      </w:pPr>
    </w:p>
    <w:p w14:paraId="7D83D613"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5.3 Radiotherapy </w:t>
      </w:r>
    </w:p>
    <w:p w14:paraId="45B880A0"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5.3.1 Radiation Therapy Radiation therapy with intensity-modulated radiotherapy (IMRT) techniques is mandatory. The principle of target volume determination for IMRT and prescribed </w:t>
      </w:r>
      <w:r w:rsidRPr="009543AD">
        <w:rPr>
          <w:rFonts w:ascii="Times New Roman" w:hAnsi="Times New Roman" w:cs="Times New Roman"/>
          <w:szCs w:val="21"/>
        </w:rPr>
        <w:lastRenderedPageBreak/>
        <w:t xml:space="preserve">dose and fractionation areas are described as follows. </w:t>
      </w:r>
    </w:p>
    <w:p w14:paraId="522B5F5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a) Gross tumor target volume of primary nasopharyngeal focus (</w:t>
      </w:r>
      <w:proofErr w:type="spellStart"/>
      <w:r w:rsidRPr="009543AD">
        <w:rPr>
          <w:rFonts w:ascii="Times New Roman" w:hAnsi="Times New Roman" w:cs="Times New Roman"/>
          <w:szCs w:val="21"/>
        </w:rPr>
        <w:t>GTVnx</w:t>
      </w:r>
      <w:proofErr w:type="spellEnd"/>
      <w:r w:rsidRPr="009543AD">
        <w:rPr>
          <w:rFonts w:ascii="Times New Roman" w:hAnsi="Times New Roman" w:cs="Times New Roman"/>
          <w:szCs w:val="21"/>
        </w:rPr>
        <w:t>): primary nasopharyngeal tumors and their invasive areas revealed by clinical examination and imaging examination.</w:t>
      </w:r>
    </w:p>
    <w:p w14:paraId="64F5E8B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b) Clinically involved gross cervical lymph nodes (</w:t>
      </w:r>
      <w:proofErr w:type="spellStart"/>
      <w:r w:rsidRPr="009543AD">
        <w:rPr>
          <w:rFonts w:ascii="Times New Roman" w:hAnsi="Times New Roman" w:cs="Times New Roman"/>
          <w:szCs w:val="21"/>
        </w:rPr>
        <w:t>GTVnd</w:t>
      </w:r>
      <w:proofErr w:type="spellEnd"/>
      <w:r w:rsidRPr="009543AD">
        <w:rPr>
          <w:rFonts w:ascii="Times New Roman" w:hAnsi="Times New Roman" w:cs="Times New Roman"/>
          <w:szCs w:val="21"/>
        </w:rPr>
        <w:t xml:space="preserve">): cervical metastatic lymph nodes clinically affected and/or imaged (imaging diagnostic criteria: a. short diameter &gt;1 cm; b. necrotic focus in the center; c. extracapsular invasion; d. clustered or clustered short diameter &gt;0.8 cm). </w:t>
      </w:r>
    </w:p>
    <w:p w14:paraId="48EEB430"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c) Nasopharyngeal clinical target volume I (CTV1, nasopharyngeal high-risk area): </w:t>
      </w:r>
      <w:proofErr w:type="spellStart"/>
      <w:r w:rsidRPr="009543AD">
        <w:rPr>
          <w:rFonts w:ascii="Times New Roman" w:hAnsi="Times New Roman" w:cs="Times New Roman"/>
          <w:szCs w:val="21"/>
        </w:rPr>
        <w:t>GTVnx</w:t>
      </w:r>
      <w:proofErr w:type="spellEnd"/>
      <w:r w:rsidRPr="009543AD">
        <w:rPr>
          <w:rFonts w:ascii="Times New Roman" w:hAnsi="Times New Roman" w:cs="Times New Roman"/>
          <w:szCs w:val="21"/>
        </w:rPr>
        <w:t xml:space="preserve"> expands 0.5-1.0 cm forward, upper, lower, and bilateral, and 0.2-0.3 cm backward (according to the characteristics of adjacent tissue structure), which should also include all nasopharyngeal mucosa and 0.5 cm below. </w:t>
      </w:r>
    </w:p>
    <w:p w14:paraId="08837640"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d) Clinical target volume II (CTV2, nasopharyngeal low-risk area, cervical metastatic lymph node area, and cervical area requiring preventive irradiation): CTV1 expands 0.5-1.0 cm forward, upper, lower, and bilateral, 0.2-0.3 cm backward (according to adjacent tissue structure characteristics) including the lymphatic drainage area of </w:t>
      </w:r>
      <w:proofErr w:type="spellStart"/>
      <w:r w:rsidRPr="009543AD">
        <w:rPr>
          <w:rFonts w:ascii="Times New Roman" w:hAnsi="Times New Roman" w:cs="Times New Roman"/>
          <w:szCs w:val="21"/>
        </w:rPr>
        <w:t>GTVnd</w:t>
      </w:r>
      <w:proofErr w:type="spellEnd"/>
      <w:r w:rsidRPr="009543AD">
        <w:rPr>
          <w:rFonts w:ascii="Times New Roman" w:hAnsi="Times New Roman" w:cs="Times New Roman"/>
          <w:szCs w:val="21"/>
        </w:rPr>
        <w:t xml:space="preserve"> and extends to negative lymph node drainage area requiring preventive irradiation. </w:t>
      </w:r>
    </w:p>
    <w:p w14:paraId="06BBCE75"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Planned target volume (PTV) </w:t>
      </w:r>
    </w:p>
    <w:p w14:paraId="6DEC02D7" w14:textId="77777777" w:rsidR="009543AD" w:rsidRPr="009543AD" w:rsidRDefault="009543AD" w:rsidP="009543AD">
      <w:pPr>
        <w:spacing w:line="360" w:lineRule="auto"/>
        <w:rPr>
          <w:rFonts w:ascii="Times New Roman" w:hAnsi="Times New Roman" w:cs="Times New Roman"/>
          <w:szCs w:val="21"/>
        </w:rPr>
      </w:pPr>
      <w:proofErr w:type="spellStart"/>
      <w:r w:rsidRPr="009543AD">
        <w:rPr>
          <w:rFonts w:ascii="Times New Roman" w:hAnsi="Times New Roman" w:cs="Times New Roman"/>
          <w:szCs w:val="21"/>
        </w:rPr>
        <w:t>PTVnx</w:t>
      </w:r>
      <w:proofErr w:type="spellEnd"/>
      <w:r w:rsidRPr="009543AD">
        <w:rPr>
          <w:rFonts w:ascii="Times New Roman" w:hAnsi="Times New Roman" w:cs="Times New Roman"/>
          <w:szCs w:val="21"/>
        </w:rPr>
        <w:t xml:space="preserve">, </w:t>
      </w:r>
      <w:proofErr w:type="spellStart"/>
      <w:r w:rsidRPr="009543AD">
        <w:rPr>
          <w:rFonts w:ascii="Times New Roman" w:hAnsi="Times New Roman" w:cs="Times New Roman"/>
          <w:szCs w:val="21"/>
        </w:rPr>
        <w:t>PTVnd</w:t>
      </w:r>
      <w:proofErr w:type="spellEnd"/>
      <w:r w:rsidRPr="009543AD">
        <w:rPr>
          <w:rFonts w:ascii="Times New Roman" w:hAnsi="Times New Roman" w:cs="Times New Roman"/>
          <w:szCs w:val="21"/>
        </w:rPr>
        <w:t xml:space="preserve">, PTV1, and PTV2 are </w:t>
      </w:r>
      <w:proofErr w:type="spellStart"/>
      <w:r w:rsidRPr="009543AD">
        <w:rPr>
          <w:rFonts w:ascii="Times New Roman" w:hAnsi="Times New Roman" w:cs="Times New Roman"/>
          <w:szCs w:val="21"/>
        </w:rPr>
        <w:t>GTVnx</w:t>
      </w:r>
      <w:proofErr w:type="spellEnd"/>
      <w:r w:rsidRPr="009543AD">
        <w:rPr>
          <w:rFonts w:ascii="Times New Roman" w:hAnsi="Times New Roman" w:cs="Times New Roman"/>
          <w:szCs w:val="21"/>
        </w:rPr>
        <w:t xml:space="preserve">, </w:t>
      </w:r>
      <w:proofErr w:type="spellStart"/>
      <w:r w:rsidRPr="009543AD">
        <w:rPr>
          <w:rFonts w:ascii="Times New Roman" w:hAnsi="Times New Roman" w:cs="Times New Roman"/>
          <w:szCs w:val="21"/>
        </w:rPr>
        <w:t>GTVnd</w:t>
      </w:r>
      <w:proofErr w:type="spellEnd"/>
      <w:r w:rsidRPr="009543AD">
        <w:rPr>
          <w:rFonts w:ascii="Times New Roman" w:hAnsi="Times New Roman" w:cs="Times New Roman"/>
          <w:szCs w:val="21"/>
        </w:rPr>
        <w:t xml:space="preserve">, CTV1, and CTV2, respectively, with expansion to a certain distance, generally 0.3 cm in the forward, upper, lower, left and right directions, and 0.1-0.2 cm in the backward direction. </w:t>
      </w:r>
    </w:p>
    <w:p w14:paraId="1235F5F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5.3.2 Prescribed Dose and Fractionation </w:t>
      </w:r>
    </w:p>
    <w:p w14:paraId="3B2A6C0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All patients will be treated with IMRT using simultaneously integrated boost, 5 fractions per week. The prescribed dose is </w:t>
      </w:r>
      <w:proofErr w:type="spellStart"/>
      <w:r w:rsidRPr="009543AD">
        <w:rPr>
          <w:rFonts w:ascii="Times New Roman" w:hAnsi="Times New Roman" w:cs="Times New Roman"/>
          <w:szCs w:val="21"/>
        </w:rPr>
        <w:t>PTVnx</w:t>
      </w:r>
      <w:proofErr w:type="spellEnd"/>
      <w:r w:rsidRPr="009543AD">
        <w:rPr>
          <w:rFonts w:ascii="Times New Roman" w:hAnsi="Times New Roman" w:cs="Times New Roman"/>
          <w:szCs w:val="21"/>
        </w:rPr>
        <w:t xml:space="preserve">: 69.96Gy/33F, </w:t>
      </w:r>
      <w:proofErr w:type="spellStart"/>
      <w:r w:rsidRPr="009543AD">
        <w:rPr>
          <w:rFonts w:ascii="Times New Roman" w:hAnsi="Times New Roman" w:cs="Times New Roman"/>
          <w:szCs w:val="21"/>
        </w:rPr>
        <w:t>PTVnd</w:t>
      </w:r>
      <w:proofErr w:type="spellEnd"/>
      <w:r w:rsidRPr="009543AD">
        <w:rPr>
          <w:rFonts w:ascii="Times New Roman" w:hAnsi="Times New Roman" w:cs="Times New Roman"/>
          <w:szCs w:val="21"/>
        </w:rPr>
        <w:t xml:space="preserve">: 69.96 Gy/33F, PTV1: 60.06 Gy/33F, PTV2: 50.96 Gy/28F respectively. </w:t>
      </w:r>
    </w:p>
    <w:p w14:paraId="657F648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5.3.3 Normal Tissue Dose Constraints Structure (Table 1). </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3757"/>
        <w:gridCol w:w="3271"/>
      </w:tblGrid>
      <w:tr w:rsidR="009543AD" w:rsidRPr="009543AD" w14:paraId="2DFBA988" w14:textId="77777777" w:rsidTr="009774D2">
        <w:tc>
          <w:tcPr>
            <w:tcW w:w="1278" w:type="dxa"/>
            <w:tcBorders>
              <w:bottom w:val="single" w:sz="4" w:space="0" w:color="auto"/>
            </w:tcBorders>
          </w:tcPr>
          <w:p w14:paraId="63410914" w14:textId="77777777" w:rsidR="009543AD" w:rsidRPr="009543AD" w:rsidRDefault="009543AD" w:rsidP="009774D2">
            <w:pPr>
              <w:spacing w:line="360" w:lineRule="auto"/>
              <w:rPr>
                <w:rFonts w:ascii="Times New Roman" w:hAnsi="Times New Roman" w:cs="Times New Roman"/>
                <w:szCs w:val="21"/>
              </w:rPr>
            </w:pPr>
          </w:p>
        </w:tc>
        <w:tc>
          <w:tcPr>
            <w:tcW w:w="4104" w:type="dxa"/>
            <w:tcBorders>
              <w:bottom w:val="single" w:sz="4" w:space="0" w:color="auto"/>
            </w:tcBorders>
          </w:tcPr>
          <w:p w14:paraId="5106234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Structure</w:t>
            </w:r>
          </w:p>
        </w:tc>
        <w:tc>
          <w:tcPr>
            <w:tcW w:w="3678" w:type="dxa"/>
            <w:tcBorders>
              <w:bottom w:val="single" w:sz="4" w:space="0" w:color="auto"/>
            </w:tcBorders>
          </w:tcPr>
          <w:p w14:paraId="73841A8E"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Dose constraints</w:t>
            </w:r>
          </w:p>
        </w:tc>
      </w:tr>
      <w:tr w:rsidR="009543AD" w:rsidRPr="009543AD" w14:paraId="6A83F144" w14:textId="77777777" w:rsidTr="009774D2">
        <w:tc>
          <w:tcPr>
            <w:tcW w:w="1278" w:type="dxa"/>
            <w:vMerge w:val="restart"/>
            <w:tcBorders>
              <w:top w:val="single" w:sz="4" w:space="0" w:color="auto"/>
            </w:tcBorders>
          </w:tcPr>
          <w:p w14:paraId="2AA38845"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Critical </w:t>
            </w:r>
          </w:p>
          <w:p w14:paraId="5EAF8BF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organ </w:t>
            </w:r>
          </w:p>
          <w:p w14:paraId="0F98845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at risk</w:t>
            </w:r>
          </w:p>
        </w:tc>
        <w:tc>
          <w:tcPr>
            <w:tcW w:w="4104" w:type="dxa"/>
            <w:tcBorders>
              <w:top w:val="single" w:sz="4" w:space="0" w:color="auto"/>
            </w:tcBorders>
          </w:tcPr>
          <w:p w14:paraId="691953F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Brain stem</w:t>
            </w:r>
          </w:p>
        </w:tc>
        <w:tc>
          <w:tcPr>
            <w:tcW w:w="3678" w:type="dxa"/>
            <w:tcBorders>
              <w:top w:val="single" w:sz="4" w:space="0" w:color="auto"/>
            </w:tcBorders>
          </w:tcPr>
          <w:p w14:paraId="0BB6450E"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Dmax</w:t>
            </w:r>
            <w:proofErr w:type="spellEnd"/>
            <w:r w:rsidRPr="009543AD">
              <w:rPr>
                <w:rFonts w:ascii="Times New Roman" w:hAnsi="Times New Roman" w:cs="Times New Roman"/>
                <w:szCs w:val="21"/>
              </w:rPr>
              <w:t xml:space="preserve"> ≤ 54 Gy</w:t>
            </w:r>
          </w:p>
        </w:tc>
      </w:tr>
      <w:tr w:rsidR="009543AD" w:rsidRPr="009543AD" w14:paraId="6D5E634E" w14:textId="77777777" w:rsidTr="009774D2">
        <w:tc>
          <w:tcPr>
            <w:tcW w:w="1278" w:type="dxa"/>
            <w:vMerge/>
          </w:tcPr>
          <w:p w14:paraId="62CBACF8"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3AB79C2E"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PRV-Brain stem</w:t>
            </w:r>
          </w:p>
        </w:tc>
        <w:tc>
          <w:tcPr>
            <w:tcW w:w="3678" w:type="dxa"/>
          </w:tcPr>
          <w:p w14:paraId="30EF74BE"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D1 ≤ 60 Gy</w:t>
            </w:r>
          </w:p>
        </w:tc>
      </w:tr>
      <w:tr w:rsidR="009543AD" w:rsidRPr="009543AD" w14:paraId="1AB11AB6" w14:textId="77777777" w:rsidTr="009774D2">
        <w:tc>
          <w:tcPr>
            <w:tcW w:w="1278" w:type="dxa"/>
            <w:vMerge/>
          </w:tcPr>
          <w:p w14:paraId="59148FB6"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04DA1402"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Spinal cord </w:t>
            </w:r>
          </w:p>
        </w:tc>
        <w:tc>
          <w:tcPr>
            <w:tcW w:w="3678" w:type="dxa"/>
          </w:tcPr>
          <w:p w14:paraId="3D3E50DE"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Dmax</w:t>
            </w:r>
            <w:r w:rsidRPr="009543AD">
              <w:rPr>
                <w:rFonts w:ascii="Times New Roman" w:hAnsi="Times New Roman" w:cs="Times New Roman"/>
                <w:szCs w:val="21"/>
                <w:vertAlign w:val="superscript"/>
              </w:rPr>
              <w:t>a</w:t>
            </w:r>
            <w:proofErr w:type="spellEnd"/>
            <w:r w:rsidRPr="009543AD">
              <w:rPr>
                <w:rFonts w:ascii="Times New Roman" w:hAnsi="Times New Roman" w:cs="Times New Roman"/>
                <w:szCs w:val="21"/>
              </w:rPr>
              <w:t xml:space="preserve"> ≤ 45 Gy</w:t>
            </w:r>
          </w:p>
        </w:tc>
      </w:tr>
      <w:tr w:rsidR="009543AD" w:rsidRPr="009543AD" w14:paraId="24F17457" w14:textId="77777777" w:rsidTr="009774D2">
        <w:tc>
          <w:tcPr>
            <w:tcW w:w="1278" w:type="dxa"/>
            <w:vMerge/>
          </w:tcPr>
          <w:p w14:paraId="175A653A"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01EA22E3"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PRV-Spinal cord</w:t>
            </w:r>
          </w:p>
        </w:tc>
        <w:tc>
          <w:tcPr>
            <w:tcW w:w="3678" w:type="dxa"/>
          </w:tcPr>
          <w:p w14:paraId="0E49168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D1</w:t>
            </w:r>
            <w:r w:rsidRPr="009543AD">
              <w:rPr>
                <w:rFonts w:ascii="Times New Roman" w:hAnsi="Times New Roman" w:cs="Times New Roman"/>
                <w:szCs w:val="21"/>
                <w:vertAlign w:val="superscript"/>
              </w:rPr>
              <w:t>b</w:t>
            </w:r>
            <w:r w:rsidRPr="009543AD">
              <w:rPr>
                <w:rFonts w:ascii="Times New Roman" w:hAnsi="Times New Roman" w:cs="Times New Roman"/>
                <w:szCs w:val="21"/>
              </w:rPr>
              <w:t>≤ 50 Gy</w:t>
            </w:r>
          </w:p>
        </w:tc>
      </w:tr>
      <w:tr w:rsidR="009543AD" w:rsidRPr="009543AD" w14:paraId="57DEACA9" w14:textId="77777777" w:rsidTr="009774D2">
        <w:tc>
          <w:tcPr>
            <w:tcW w:w="1278" w:type="dxa"/>
            <w:vMerge/>
          </w:tcPr>
          <w:p w14:paraId="5E08E26E"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15E371FA"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Optic nerve </w:t>
            </w:r>
          </w:p>
        </w:tc>
        <w:tc>
          <w:tcPr>
            <w:tcW w:w="3678" w:type="dxa"/>
          </w:tcPr>
          <w:p w14:paraId="51983965"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Dmax</w:t>
            </w:r>
            <w:proofErr w:type="spellEnd"/>
            <w:r w:rsidRPr="009543AD">
              <w:rPr>
                <w:rFonts w:ascii="Times New Roman" w:hAnsi="Times New Roman" w:cs="Times New Roman"/>
                <w:szCs w:val="21"/>
              </w:rPr>
              <w:t xml:space="preserve"> ≤ 54 Gy</w:t>
            </w:r>
          </w:p>
        </w:tc>
      </w:tr>
      <w:tr w:rsidR="009543AD" w:rsidRPr="009543AD" w14:paraId="7CBA47BE" w14:textId="77777777" w:rsidTr="009774D2">
        <w:tc>
          <w:tcPr>
            <w:tcW w:w="1278" w:type="dxa"/>
            <w:vMerge/>
          </w:tcPr>
          <w:p w14:paraId="1492A87D"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595675C3"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PRV-Optic nerve</w:t>
            </w:r>
          </w:p>
        </w:tc>
        <w:tc>
          <w:tcPr>
            <w:tcW w:w="3678" w:type="dxa"/>
          </w:tcPr>
          <w:p w14:paraId="64F09613"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D1 ≤ 60 Gy</w:t>
            </w:r>
          </w:p>
        </w:tc>
      </w:tr>
      <w:tr w:rsidR="009543AD" w:rsidRPr="009543AD" w14:paraId="05DB3BFE" w14:textId="77777777" w:rsidTr="009774D2">
        <w:tc>
          <w:tcPr>
            <w:tcW w:w="1278" w:type="dxa"/>
            <w:vMerge/>
          </w:tcPr>
          <w:p w14:paraId="115F32FF"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0C34149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Optic chiasm</w:t>
            </w:r>
          </w:p>
        </w:tc>
        <w:tc>
          <w:tcPr>
            <w:tcW w:w="3678" w:type="dxa"/>
          </w:tcPr>
          <w:p w14:paraId="4505AD6E"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Dmax</w:t>
            </w:r>
            <w:proofErr w:type="spellEnd"/>
            <w:r w:rsidRPr="009543AD">
              <w:rPr>
                <w:rFonts w:ascii="Times New Roman" w:hAnsi="Times New Roman" w:cs="Times New Roman"/>
                <w:szCs w:val="21"/>
              </w:rPr>
              <w:t xml:space="preserve"> ≤ 54 Gy</w:t>
            </w:r>
          </w:p>
        </w:tc>
      </w:tr>
      <w:tr w:rsidR="009543AD" w:rsidRPr="009543AD" w14:paraId="1ECE1002" w14:textId="77777777" w:rsidTr="009774D2">
        <w:tc>
          <w:tcPr>
            <w:tcW w:w="1278" w:type="dxa"/>
            <w:vMerge/>
          </w:tcPr>
          <w:p w14:paraId="46992962"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7CD5719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PRV-Optic chiasm</w:t>
            </w:r>
          </w:p>
        </w:tc>
        <w:tc>
          <w:tcPr>
            <w:tcW w:w="3678" w:type="dxa"/>
          </w:tcPr>
          <w:p w14:paraId="2373714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D1 ≤ 60 Gy</w:t>
            </w:r>
          </w:p>
        </w:tc>
      </w:tr>
      <w:tr w:rsidR="009543AD" w:rsidRPr="009543AD" w14:paraId="648327C4" w14:textId="77777777" w:rsidTr="009774D2">
        <w:tc>
          <w:tcPr>
            <w:tcW w:w="1278" w:type="dxa"/>
            <w:vMerge/>
          </w:tcPr>
          <w:p w14:paraId="6248D452"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1F06457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Temporal lobe</w:t>
            </w:r>
          </w:p>
        </w:tc>
        <w:tc>
          <w:tcPr>
            <w:tcW w:w="3678" w:type="dxa"/>
          </w:tcPr>
          <w:p w14:paraId="4EA329B0"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Dmax</w:t>
            </w:r>
            <w:proofErr w:type="spellEnd"/>
            <w:r w:rsidRPr="009543AD">
              <w:rPr>
                <w:rFonts w:ascii="Times New Roman" w:hAnsi="Times New Roman" w:cs="Times New Roman"/>
                <w:szCs w:val="21"/>
              </w:rPr>
              <w:t xml:space="preserve"> ≤ 60 Gy</w:t>
            </w:r>
          </w:p>
        </w:tc>
      </w:tr>
      <w:tr w:rsidR="009543AD" w:rsidRPr="009543AD" w14:paraId="70877471" w14:textId="77777777" w:rsidTr="009774D2">
        <w:tc>
          <w:tcPr>
            <w:tcW w:w="1278" w:type="dxa"/>
            <w:vMerge/>
            <w:tcBorders>
              <w:bottom w:val="single" w:sz="4" w:space="0" w:color="auto"/>
            </w:tcBorders>
          </w:tcPr>
          <w:p w14:paraId="16997A73" w14:textId="77777777" w:rsidR="009543AD" w:rsidRPr="009543AD" w:rsidRDefault="009543AD" w:rsidP="009774D2">
            <w:pPr>
              <w:spacing w:line="360" w:lineRule="auto"/>
              <w:rPr>
                <w:rFonts w:ascii="Times New Roman" w:hAnsi="Times New Roman" w:cs="Times New Roman"/>
                <w:szCs w:val="21"/>
              </w:rPr>
            </w:pPr>
          </w:p>
        </w:tc>
        <w:tc>
          <w:tcPr>
            <w:tcW w:w="4104" w:type="dxa"/>
            <w:tcBorders>
              <w:bottom w:val="single" w:sz="4" w:space="0" w:color="auto"/>
            </w:tcBorders>
          </w:tcPr>
          <w:p w14:paraId="18FB450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PRV-Temporal lobe </w:t>
            </w:r>
          </w:p>
        </w:tc>
        <w:tc>
          <w:tcPr>
            <w:tcW w:w="3678" w:type="dxa"/>
            <w:tcBorders>
              <w:bottom w:val="single" w:sz="4" w:space="0" w:color="auto"/>
            </w:tcBorders>
          </w:tcPr>
          <w:p w14:paraId="7A92E5D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D1 ≤ 65 Gy</w:t>
            </w:r>
          </w:p>
        </w:tc>
      </w:tr>
      <w:tr w:rsidR="009543AD" w:rsidRPr="009543AD" w14:paraId="79C90601" w14:textId="77777777" w:rsidTr="009774D2">
        <w:tc>
          <w:tcPr>
            <w:tcW w:w="1278" w:type="dxa"/>
            <w:vMerge w:val="restart"/>
            <w:tcBorders>
              <w:top w:val="single" w:sz="4" w:space="0" w:color="auto"/>
            </w:tcBorders>
          </w:tcPr>
          <w:p w14:paraId="178AF41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Intermediate</w:t>
            </w:r>
          </w:p>
          <w:p w14:paraId="48C2AC29"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-risk </w:t>
            </w:r>
          </w:p>
          <w:p w14:paraId="6F537543"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organ </w:t>
            </w:r>
          </w:p>
          <w:p w14:paraId="6FC67968"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at risk</w:t>
            </w:r>
          </w:p>
        </w:tc>
        <w:tc>
          <w:tcPr>
            <w:tcW w:w="4104" w:type="dxa"/>
            <w:tcBorders>
              <w:top w:val="single" w:sz="4" w:space="0" w:color="auto"/>
            </w:tcBorders>
          </w:tcPr>
          <w:p w14:paraId="2C2C848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Pituitary </w:t>
            </w:r>
          </w:p>
        </w:tc>
        <w:tc>
          <w:tcPr>
            <w:tcW w:w="3678" w:type="dxa"/>
            <w:tcBorders>
              <w:top w:val="single" w:sz="4" w:space="0" w:color="auto"/>
            </w:tcBorders>
          </w:tcPr>
          <w:p w14:paraId="42E5826A"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Dmax</w:t>
            </w:r>
            <w:proofErr w:type="spellEnd"/>
            <w:r w:rsidRPr="009543AD">
              <w:rPr>
                <w:rFonts w:ascii="Times New Roman" w:hAnsi="Times New Roman" w:cs="Times New Roman"/>
                <w:szCs w:val="21"/>
              </w:rPr>
              <w:t xml:space="preserve"> &lt; 60 Gy</w:t>
            </w:r>
          </w:p>
        </w:tc>
      </w:tr>
      <w:tr w:rsidR="009543AD" w:rsidRPr="009543AD" w14:paraId="0FB97A5F" w14:textId="77777777" w:rsidTr="009774D2">
        <w:tc>
          <w:tcPr>
            <w:tcW w:w="1278" w:type="dxa"/>
            <w:vMerge/>
          </w:tcPr>
          <w:p w14:paraId="2FF84AFA"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636120F9"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Mandibular</w:t>
            </w:r>
          </w:p>
        </w:tc>
        <w:tc>
          <w:tcPr>
            <w:tcW w:w="3678" w:type="dxa"/>
          </w:tcPr>
          <w:p w14:paraId="203AED97"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Dmax</w:t>
            </w:r>
            <w:proofErr w:type="spellEnd"/>
            <w:r w:rsidRPr="009543AD">
              <w:rPr>
                <w:rFonts w:ascii="Times New Roman" w:hAnsi="Times New Roman" w:cs="Times New Roman"/>
                <w:szCs w:val="21"/>
              </w:rPr>
              <w:t xml:space="preserve"> &lt; 70 Gy</w:t>
            </w:r>
          </w:p>
        </w:tc>
      </w:tr>
      <w:tr w:rsidR="009543AD" w:rsidRPr="009543AD" w14:paraId="6026264C" w14:textId="77777777" w:rsidTr="009774D2">
        <w:tc>
          <w:tcPr>
            <w:tcW w:w="1278" w:type="dxa"/>
            <w:vMerge/>
          </w:tcPr>
          <w:p w14:paraId="5998510C"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436A1E9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Temporomandibular Joint </w:t>
            </w:r>
          </w:p>
        </w:tc>
        <w:tc>
          <w:tcPr>
            <w:tcW w:w="3678" w:type="dxa"/>
          </w:tcPr>
          <w:p w14:paraId="5924498A"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Dmax</w:t>
            </w:r>
            <w:proofErr w:type="spellEnd"/>
            <w:r w:rsidRPr="009543AD">
              <w:rPr>
                <w:rFonts w:ascii="Times New Roman" w:hAnsi="Times New Roman" w:cs="Times New Roman"/>
                <w:szCs w:val="21"/>
              </w:rPr>
              <w:t xml:space="preserve"> &lt; 70 Gy</w:t>
            </w:r>
          </w:p>
        </w:tc>
      </w:tr>
      <w:tr w:rsidR="009543AD" w:rsidRPr="009543AD" w14:paraId="22996FB5" w14:textId="77777777" w:rsidTr="009774D2">
        <w:tc>
          <w:tcPr>
            <w:tcW w:w="1278" w:type="dxa"/>
            <w:vMerge/>
          </w:tcPr>
          <w:p w14:paraId="3298126B"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0F07606D"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Lens</w:t>
            </w:r>
          </w:p>
        </w:tc>
        <w:tc>
          <w:tcPr>
            <w:tcW w:w="3678" w:type="dxa"/>
          </w:tcPr>
          <w:p w14:paraId="290AE900"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Dmean</w:t>
            </w:r>
            <w:r w:rsidRPr="009543AD">
              <w:rPr>
                <w:rFonts w:ascii="Times New Roman" w:hAnsi="Times New Roman" w:cs="Times New Roman"/>
                <w:szCs w:val="21"/>
                <w:vertAlign w:val="superscript"/>
              </w:rPr>
              <w:t>c</w:t>
            </w:r>
            <w:proofErr w:type="spellEnd"/>
            <w:r w:rsidRPr="009543AD">
              <w:rPr>
                <w:rFonts w:ascii="Times New Roman" w:hAnsi="Times New Roman" w:cs="Times New Roman"/>
                <w:szCs w:val="21"/>
              </w:rPr>
              <w:t xml:space="preserve"> &lt; 8 Gy</w:t>
            </w:r>
          </w:p>
        </w:tc>
      </w:tr>
      <w:tr w:rsidR="009543AD" w:rsidRPr="009543AD" w14:paraId="55264C8F" w14:textId="77777777" w:rsidTr="009774D2">
        <w:tc>
          <w:tcPr>
            <w:tcW w:w="1278" w:type="dxa"/>
            <w:vMerge/>
            <w:tcBorders>
              <w:bottom w:val="single" w:sz="4" w:space="0" w:color="auto"/>
            </w:tcBorders>
          </w:tcPr>
          <w:p w14:paraId="735F29E6" w14:textId="77777777" w:rsidR="009543AD" w:rsidRPr="009543AD" w:rsidRDefault="009543AD" w:rsidP="009774D2">
            <w:pPr>
              <w:spacing w:line="360" w:lineRule="auto"/>
              <w:rPr>
                <w:rFonts w:ascii="Times New Roman" w:hAnsi="Times New Roman" w:cs="Times New Roman"/>
                <w:szCs w:val="21"/>
              </w:rPr>
            </w:pPr>
          </w:p>
        </w:tc>
        <w:tc>
          <w:tcPr>
            <w:tcW w:w="4104" w:type="dxa"/>
            <w:tcBorders>
              <w:bottom w:val="single" w:sz="4" w:space="0" w:color="auto"/>
            </w:tcBorders>
          </w:tcPr>
          <w:p w14:paraId="24D750C5"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Eyes</w:t>
            </w:r>
          </w:p>
        </w:tc>
        <w:tc>
          <w:tcPr>
            <w:tcW w:w="3678" w:type="dxa"/>
            <w:tcBorders>
              <w:bottom w:val="single" w:sz="4" w:space="0" w:color="auto"/>
            </w:tcBorders>
          </w:tcPr>
          <w:p w14:paraId="734264EA"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Dmean</w:t>
            </w:r>
            <w:proofErr w:type="spellEnd"/>
            <w:r w:rsidRPr="009543AD">
              <w:rPr>
                <w:rFonts w:ascii="Times New Roman" w:hAnsi="Times New Roman" w:cs="Times New Roman"/>
                <w:szCs w:val="21"/>
              </w:rPr>
              <w:t xml:space="preserve"> &lt; 35 Gy</w:t>
            </w:r>
          </w:p>
        </w:tc>
      </w:tr>
      <w:tr w:rsidR="009543AD" w:rsidRPr="009543AD" w14:paraId="6F594950" w14:textId="77777777" w:rsidTr="009774D2">
        <w:tc>
          <w:tcPr>
            <w:tcW w:w="1278" w:type="dxa"/>
            <w:vMerge w:val="restart"/>
            <w:tcBorders>
              <w:top w:val="single" w:sz="4" w:space="0" w:color="auto"/>
            </w:tcBorders>
          </w:tcPr>
          <w:p w14:paraId="3953E4FD"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Low</w:t>
            </w:r>
          </w:p>
          <w:p w14:paraId="62848BF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-risk </w:t>
            </w:r>
          </w:p>
          <w:p w14:paraId="11FB26B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organ </w:t>
            </w:r>
          </w:p>
          <w:p w14:paraId="6B0981CA"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at risk</w:t>
            </w:r>
          </w:p>
        </w:tc>
        <w:tc>
          <w:tcPr>
            <w:tcW w:w="4104" w:type="dxa"/>
            <w:tcBorders>
              <w:top w:val="single" w:sz="4" w:space="0" w:color="auto"/>
            </w:tcBorders>
          </w:tcPr>
          <w:p w14:paraId="66C5028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Parotid </w:t>
            </w:r>
          </w:p>
        </w:tc>
        <w:tc>
          <w:tcPr>
            <w:tcW w:w="3678" w:type="dxa"/>
            <w:tcBorders>
              <w:top w:val="single" w:sz="4" w:space="0" w:color="auto"/>
            </w:tcBorders>
          </w:tcPr>
          <w:p w14:paraId="2EFE5D97"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Dmean</w:t>
            </w:r>
            <w:proofErr w:type="spellEnd"/>
            <w:r w:rsidRPr="009543AD">
              <w:rPr>
                <w:rFonts w:ascii="Times New Roman" w:hAnsi="Times New Roman" w:cs="Times New Roman"/>
                <w:szCs w:val="21"/>
              </w:rPr>
              <w:t xml:space="preserve"> &lt; 26 Gy V30</w:t>
            </w:r>
            <w:r w:rsidRPr="009543AD">
              <w:rPr>
                <w:rFonts w:ascii="Times New Roman" w:hAnsi="Times New Roman" w:cs="Times New Roman"/>
                <w:szCs w:val="21"/>
                <w:vertAlign w:val="superscript"/>
              </w:rPr>
              <w:t>d</w:t>
            </w:r>
            <w:r w:rsidRPr="009543AD">
              <w:rPr>
                <w:rFonts w:ascii="Times New Roman" w:hAnsi="Times New Roman" w:cs="Times New Roman"/>
                <w:szCs w:val="21"/>
              </w:rPr>
              <w:t xml:space="preserve"> &lt; 50%</w:t>
            </w:r>
          </w:p>
        </w:tc>
      </w:tr>
      <w:tr w:rsidR="009543AD" w:rsidRPr="009543AD" w14:paraId="5116B395" w14:textId="77777777" w:rsidTr="009774D2">
        <w:tc>
          <w:tcPr>
            <w:tcW w:w="1278" w:type="dxa"/>
            <w:vMerge/>
          </w:tcPr>
          <w:p w14:paraId="4F5E6BA3"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7454238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Cochlea </w:t>
            </w:r>
          </w:p>
        </w:tc>
        <w:tc>
          <w:tcPr>
            <w:tcW w:w="3678" w:type="dxa"/>
          </w:tcPr>
          <w:p w14:paraId="5AE2FD27"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Dmean</w:t>
            </w:r>
            <w:proofErr w:type="spellEnd"/>
            <w:r w:rsidRPr="009543AD">
              <w:rPr>
                <w:rFonts w:ascii="Times New Roman" w:hAnsi="Times New Roman" w:cs="Times New Roman"/>
                <w:szCs w:val="21"/>
              </w:rPr>
              <w:t xml:space="preserve"> &lt; 50 Gy</w:t>
            </w:r>
          </w:p>
        </w:tc>
      </w:tr>
      <w:tr w:rsidR="009543AD" w:rsidRPr="009543AD" w14:paraId="7B7D7A3B" w14:textId="77777777" w:rsidTr="009774D2">
        <w:tc>
          <w:tcPr>
            <w:tcW w:w="1278" w:type="dxa"/>
            <w:vMerge/>
          </w:tcPr>
          <w:p w14:paraId="6EF442FA" w14:textId="77777777" w:rsidR="009543AD" w:rsidRPr="009543AD" w:rsidRDefault="009543AD" w:rsidP="009774D2">
            <w:pPr>
              <w:spacing w:line="360" w:lineRule="auto"/>
              <w:rPr>
                <w:rFonts w:ascii="Times New Roman" w:hAnsi="Times New Roman" w:cs="Times New Roman"/>
                <w:szCs w:val="21"/>
              </w:rPr>
            </w:pPr>
          </w:p>
        </w:tc>
        <w:tc>
          <w:tcPr>
            <w:tcW w:w="4104" w:type="dxa"/>
          </w:tcPr>
          <w:p w14:paraId="2BBA6795"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Tongue </w:t>
            </w:r>
          </w:p>
        </w:tc>
        <w:tc>
          <w:tcPr>
            <w:tcW w:w="3678" w:type="dxa"/>
          </w:tcPr>
          <w:p w14:paraId="29249539"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Dmean</w:t>
            </w:r>
            <w:proofErr w:type="spellEnd"/>
            <w:r w:rsidRPr="009543AD">
              <w:rPr>
                <w:rFonts w:ascii="Times New Roman" w:hAnsi="Times New Roman" w:cs="Times New Roman"/>
                <w:szCs w:val="21"/>
              </w:rPr>
              <w:t xml:space="preserve"> &lt; 45 Gy</w:t>
            </w:r>
          </w:p>
        </w:tc>
      </w:tr>
      <w:tr w:rsidR="009543AD" w:rsidRPr="009543AD" w14:paraId="0F710B2C" w14:textId="77777777" w:rsidTr="009774D2">
        <w:tc>
          <w:tcPr>
            <w:tcW w:w="1278" w:type="dxa"/>
            <w:vMerge/>
            <w:tcBorders>
              <w:bottom w:val="single" w:sz="4" w:space="0" w:color="auto"/>
            </w:tcBorders>
          </w:tcPr>
          <w:p w14:paraId="17C71110" w14:textId="77777777" w:rsidR="009543AD" w:rsidRPr="009543AD" w:rsidRDefault="009543AD" w:rsidP="009774D2">
            <w:pPr>
              <w:spacing w:line="360" w:lineRule="auto"/>
              <w:rPr>
                <w:rFonts w:ascii="Times New Roman" w:hAnsi="Times New Roman" w:cs="Times New Roman"/>
                <w:szCs w:val="21"/>
              </w:rPr>
            </w:pPr>
          </w:p>
        </w:tc>
        <w:tc>
          <w:tcPr>
            <w:tcW w:w="4104" w:type="dxa"/>
            <w:tcBorders>
              <w:bottom w:val="single" w:sz="4" w:space="0" w:color="auto"/>
            </w:tcBorders>
          </w:tcPr>
          <w:p w14:paraId="4AE64E6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Larynx</w:t>
            </w:r>
          </w:p>
        </w:tc>
        <w:tc>
          <w:tcPr>
            <w:tcW w:w="3678" w:type="dxa"/>
            <w:tcBorders>
              <w:bottom w:val="single" w:sz="4" w:space="0" w:color="auto"/>
            </w:tcBorders>
          </w:tcPr>
          <w:p w14:paraId="0059C897" w14:textId="77777777" w:rsidR="009543AD" w:rsidRPr="009543AD" w:rsidRDefault="009543AD" w:rsidP="009774D2">
            <w:pPr>
              <w:spacing w:line="360" w:lineRule="auto"/>
              <w:rPr>
                <w:rFonts w:ascii="Times New Roman" w:hAnsi="Times New Roman" w:cs="Times New Roman"/>
                <w:szCs w:val="21"/>
              </w:rPr>
            </w:pPr>
            <w:proofErr w:type="spellStart"/>
            <w:r w:rsidRPr="009543AD">
              <w:rPr>
                <w:rFonts w:ascii="Times New Roman" w:hAnsi="Times New Roman" w:cs="Times New Roman"/>
                <w:szCs w:val="21"/>
              </w:rPr>
              <w:t>Dmean</w:t>
            </w:r>
            <w:proofErr w:type="spellEnd"/>
            <w:r w:rsidRPr="009543AD">
              <w:rPr>
                <w:rFonts w:ascii="Times New Roman" w:hAnsi="Times New Roman" w:cs="Times New Roman"/>
                <w:szCs w:val="21"/>
              </w:rPr>
              <w:t xml:space="preserve"> &lt; 45 Gy</w:t>
            </w:r>
          </w:p>
        </w:tc>
      </w:tr>
      <w:tr w:rsidR="009543AD" w:rsidRPr="009543AD" w14:paraId="16B66155" w14:textId="77777777" w:rsidTr="009774D2">
        <w:trPr>
          <w:trHeight w:val="416"/>
        </w:trPr>
        <w:tc>
          <w:tcPr>
            <w:tcW w:w="9060" w:type="dxa"/>
            <w:gridSpan w:val="3"/>
          </w:tcPr>
          <w:p w14:paraId="7EC640F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PRV = planning organ at risk volume. a Maximum point dose to the target volume. b Dose received by 1% of the target volume. c Mean dose to the target volume. d At least 50% of the gland will receive&lt;30Gy (should be achieved in at least one gland)</w:t>
            </w:r>
          </w:p>
        </w:tc>
      </w:tr>
    </w:tbl>
    <w:p w14:paraId="6DC0C8A0"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5.3.4 Radiotherapy Adjustments for Non-hematological Toxicity </w:t>
      </w:r>
    </w:p>
    <w:p w14:paraId="17DD9EA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Side effects of radiotherapy may include anorexia, mucositis and skin reaction. The investigator will manage these conditions according to clinical practice. No radiotherapy dose modifications are allowed. Treatment interruptions are allowed if symptomatic mucositis or skin reactions occur that, in the judgment of the attending clinician, warrants a break. The treatment is completed according to protocol for treatment breaks up to and including 14 days. If the break exceeded 14 days, the patient is removed from protocol treatment, completing treatment at the discretion of his or her physician but followed up and included in the analysis.</w:t>
      </w:r>
    </w:p>
    <w:p w14:paraId="2C1C68AD"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5.3.5 Radiotherapy Adjustments for Hematological Toxicity </w:t>
      </w:r>
    </w:p>
    <w:p w14:paraId="58E87FED"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Radiotherapy will be withheld until ANC &gt; 0.5×10</w:t>
      </w:r>
      <w:r w:rsidRPr="009543AD">
        <w:rPr>
          <w:rFonts w:ascii="Times New Roman" w:hAnsi="Times New Roman" w:cs="Times New Roman"/>
          <w:szCs w:val="21"/>
          <w:vertAlign w:val="superscript"/>
        </w:rPr>
        <w:t>9</w:t>
      </w:r>
      <w:r w:rsidRPr="009543AD">
        <w:rPr>
          <w:rFonts w:ascii="Times New Roman" w:hAnsi="Times New Roman" w:cs="Times New Roman"/>
          <w:szCs w:val="21"/>
        </w:rPr>
        <w:t>/L and platelet &gt; 25×10</w:t>
      </w:r>
      <w:r w:rsidRPr="009543AD">
        <w:rPr>
          <w:rFonts w:ascii="Times New Roman" w:hAnsi="Times New Roman" w:cs="Times New Roman"/>
          <w:szCs w:val="21"/>
          <w:vertAlign w:val="superscript"/>
        </w:rPr>
        <w:t>9</w:t>
      </w:r>
      <w:r w:rsidRPr="009543AD">
        <w:rPr>
          <w:rFonts w:ascii="Times New Roman" w:hAnsi="Times New Roman" w:cs="Times New Roman"/>
          <w:szCs w:val="21"/>
        </w:rPr>
        <w:t xml:space="preserve">/L. </w:t>
      </w:r>
    </w:p>
    <w:p w14:paraId="6A808116" w14:textId="77777777" w:rsidR="009543AD" w:rsidRPr="009543AD" w:rsidRDefault="009543AD" w:rsidP="009543AD">
      <w:pPr>
        <w:spacing w:line="360" w:lineRule="auto"/>
        <w:rPr>
          <w:rFonts w:ascii="Times New Roman" w:hAnsi="Times New Roman" w:cs="Times New Roman"/>
          <w:szCs w:val="21"/>
        </w:rPr>
      </w:pPr>
    </w:p>
    <w:p w14:paraId="5EE5089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b/>
          <w:bCs/>
          <w:szCs w:val="21"/>
        </w:rPr>
        <w:lastRenderedPageBreak/>
        <w:t>5.4 Salvage Therapy</w:t>
      </w:r>
      <w:r w:rsidRPr="009543AD">
        <w:rPr>
          <w:rFonts w:ascii="Times New Roman" w:hAnsi="Times New Roman" w:cs="Times New Roman"/>
          <w:szCs w:val="21"/>
        </w:rPr>
        <w:t xml:space="preserve"> </w:t>
      </w:r>
    </w:p>
    <w:p w14:paraId="1387CD18"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Nasopharyngeal surgery, neck dissections, secondary radiotherapy, chemotherapy, or immunotherapy may be given to patients with relapse or metastasis after treatment according to guidelines of National Comprehensive Cancer Network (NCCN). </w:t>
      </w:r>
    </w:p>
    <w:p w14:paraId="5BD3E0B1" w14:textId="77777777" w:rsidR="009543AD" w:rsidRPr="009543AD" w:rsidRDefault="009543AD" w:rsidP="009543AD">
      <w:pPr>
        <w:spacing w:line="360" w:lineRule="auto"/>
        <w:rPr>
          <w:rFonts w:ascii="Times New Roman" w:hAnsi="Times New Roman" w:cs="Times New Roman"/>
          <w:szCs w:val="21"/>
        </w:rPr>
      </w:pPr>
    </w:p>
    <w:p w14:paraId="6A5FD15F"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6 Dosage Adjustment Principle for chemotherapy </w:t>
      </w:r>
    </w:p>
    <w:p w14:paraId="78F01900"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6.1 General principle for dosage adjustment </w:t>
      </w:r>
    </w:p>
    <w:p w14:paraId="2DFC1FF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 Assessment and grading for toxicity in patients will be carried out using the </w:t>
      </w:r>
      <w:proofErr w:type="spellStart"/>
      <w:r w:rsidRPr="009543AD">
        <w:rPr>
          <w:rFonts w:ascii="Times New Roman" w:hAnsi="Times New Roman" w:cs="Times New Roman"/>
          <w:szCs w:val="21"/>
        </w:rPr>
        <w:t>the</w:t>
      </w:r>
      <w:proofErr w:type="spellEnd"/>
      <w:r w:rsidRPr="009543AD">
        <w:rPr>
          <w:rFonts w:ascii="Times New Roman" w:hAnsi="Times New Roman" w:cs="Times New Roman"/>
          <w:szCs w:val="21"/>
        </w:rPr>
        <w:t xml:space="preserve"> Common Terminology Criteria for Adverse Events, version 5.0, of the National Cancer Institute (NCI CTCAE V5.0). </w:t>
      </w:r>
    </w:p>
    <w:p w14:paraId="3C642B04"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There will be no dose escalation of docetaxel and cisplatin regimen. </w:t>
      </w:r>
    </w:p>
    <w:p w14:paraId="69D306D3"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c) Dosage may not be reduced or discontinued if the investigator considers that the adverse reaction is unlikely to develop into a serious or life-threatening events and will not result in delay or interruption of treatment. </w:t>
      </w:r>
    </w:p>
    <w:p w14:paraId="5FB9CCB4"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d) A delay of up to 2 weeks for a cycle will be permitted to allow for the severity of toxic events of grade 3/4 to be reduced to grade 1 or less (except for alopecia, fatigue, malaise, and nail changes). Delays in excess of 2 weeks will necessitate require discontinuation of chemotherapy unless continued therapy is deemed necessary by the investigator. </w:t>
      </w:r>
    </w:p>
    <w:p w14:paraId="75EEFF7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e) Chemotherapy must be withheld until the neutrophil count is &gt; 1.5×10</w:t>
      </w:r>
      <w:r w:rsidRPr="009543AD">
        <w:rPr>
          <w:rFonts w:ascii="Times New Roman" w:hAnsi="Times New Roman" w:cs="Times New Roman"/>
          <w:szCs w:val="21"/>
          <w:vertAlign w:val="superscript"/>
        </w:rPr>
        <w:t>9</w:t>
      </w:r>
      <w:r w:rsidRPr="009543AD">
        <w:rPr>
          <w:rFonts w:ascii="Times New Roman" w:hAnsi="Times New Roman" w:cs="Times New Roman"/>
          <w:szCs w:val="21"/>
        </w:rPr>
        <w:t>/L and the platelet count is &gt; 100×10</w:t>
      </w:r>
      <w:r w:rsidRPr="009543AD">
        <w:rPr>
          <w:rFonts w:ascii="Times New Roman" w:hAnsi="Times New Roman" w:cs="Times New Roman"/>
          <w:szCs w:val="21"/>
          <w:vertAlign w:val="superscript"/>
        </w:rPr>
        <w:t>9</w:t>
      </w:r>
      <w:r w:rsidRPr="009543AD">
        <w:rPr>
          <w:rFonts w:ascii="Times New Roman" w:hAnsi="Times New Roman" w:cs="Times New Roman"/>
          <w:szCs w:val="21"/>
        </w:rPr>
        <w:t xml:space="preserve">/L. </w:t>
      </w:r>
    </w:p>
    <w:p w14:paraId="6CCC400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f) If creatinine clearance was less than 70 ml/min but greater than 50 ml/min at any time during the previous chemotherapy course. The dose of cisplatin should be reduced by 50% during the next cycle of chemotherapy. If the creatinine clearance rate was less than 50 ml/min during the previous chemotherapy course, subjects should discontinue study therapy. </w:t>
      </w:r>
    </w:p>
    <w:p w14:paraId="72C1B38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6.2 Dosage adjustment due to hematologic adverse events </w:t>
      </w:r>
    </w:p>
    <w:p w14:paraId="0C11DBB4"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The hematological toxicity is assessed according to the NCI CTC AE V5.0 classification standard, and the dosage adjustment of </w:t>
      </w:r>
      <w:bookmarkStart w:id="17" w:name="_Hlk180310515"/>
      <w:r w:rsidRPr="009543AD">
        <w:rPr>
          <w:rFonts w:ascii="Times New Roman" w:hAnsi="Times New Roman" w:cs="Times New Roman"/>
          <w:szCs w:val="21"/>
        </w:rPr>
        <w:t>docetaxel</w:t>
      </w:r>
      <w:bookmarkEnd w:id="17"/>
      <w:r w:rsidRPr="009543AD">
        <w:rPr>
          <w:rFonts w:ascii="Times New Roman" w:hAnsi="Times New Roman" w:cs="Times New Roman"/>
          <w:szCs w:val="21"/>
        </w:rPr>
        <w:t xml:space="preserve"> and cisplatin is performed according to the following principles (Table2). </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590"/>
        <w:gridCol w:w="1611"/>
        <w:gridCol w:w="1650"/>
        <w:gridCol w:w="1641"/>
      </w:tblGrid>
      <w:tr w:rsidR="009543AD" w:rsidRPr="009543AD" w14:paraId="6C782FA1" w14:textId="77777777" w:rsidTr="009774D2">
        <w:tc>
          <w:tcPr>
            <w:tcW w:w="1814" w:type="dxa"/>
            <w:tcBorders>
              <w:bottom w:val="single" w:sz="4" w:space="0" w:color="auto"/>
            </w:tcBorders>
          </w:tcPr>
          <w:p w14:paraId="242633C7"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Toxicity  </w:t>
            </w:r>
          </w:p>
        </w:tc>
        <w:tc>
          <w:tcPr>
            <w:tcW w:w="1811" w:type="dxa"/>
            <w:tcBorders>
              <w:bottom w:val="single" w:sz="4" w:space="0" w:color="auto"/>
            </w:tcBorders>
          </w:tcPr>
          <w:p w14:paraId="689D1349"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w:t>
            </w:r>
          </w:p>
        </w:tc>
        <w:tc>
          <w:tcPr>
            <w:tcW w:w="1811" w:type="dxa"/>
            <w:tcBorders>
              <w:bottom w:val="single" w:sz="4" w:space="0" w:color="auto"/>
            </w:tcBorders>
          </w:tcPr>
          <w:p w14:paraId="6CF9C7F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Time</w:t>
            </w:r>
          </w:p>
        </w:tc>
        <w:tc>
          <w:tcPr>
            <w:tcW w:w="1812" w:type="dxa"/>
            <w:tcBorders>
              <w:bottom w:val="single" w:sz="4" w:space="0" w:color="auto"/>
            </w:tcBorders>
          </w:tcPr>
          <w:p w14:paraId="457A010A"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docetaxel</w:t>
            </w:r>
          </w:p>
        </w:tc>
        <w:tc>
          <w:tcPr>
            <w:tcW w:w="1812" w:type="dxa"/>
            <w:tcBorders>
              <w:bottom w:val="single" w:sz="4" w:space="0" w:color="auto"/>
            </w:tcBorders>
          </w:tcPr>
          <w:p w14:paraId="7486A51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Cisplatin</w:t>
            </w:r>
          </w:p>
        </w:tc>
      </w:tr>
      <w:tr w:rsidR="009543AD" w:rsidRPr="009543AD" w14:paraId="0691F724" w14:textId="77777777" w:rsidTr="009774D2">
        <w:tc>
          <w:tcPr>
            <w:tcW w:w="1814" w:type="dxa"/>
            <w:tcBorders>
              <w:top w:val="single" w:sz="4" w:space="0" w:color="auto"/>
              <w:bottom w:val="single" w:sz="4" w:space="0" w:color="auto"/>
            </w:tcBorders>
          </w:tcPr>
          <w:p w14:paraId="59C8306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lastRenderedPageBreak/>
              <w:t xml:space="preserve">Anemia </w:t>
            </w:r>
          </w:p>
        </w:tc>
        <w:tc>
          <w:tcPr>
            <w:tcW w:w="1811" w:type="dxa"/>
            <w:tcBorders>
              <w:top w:val="single" w:sz="4" w:space="0" w:color="auto"/>
              <w:bottom w:val="single" w:sz="4" w:space="0" w:color="auto"/>
            </w:tcBorders>
          </w:tcPr>
          <w:p w14:paraId="6FF564B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Any</w:t>
            </w:r>
          </w:p>
        </w:tc>
        <w:tc>
          <w:tcPr>
            <w:tcW w:w="1811" w:type="dxa"/>
            <w:tcBorders>
              <w:top w:val="single" w:sz="4" w:space="0" w:color="auto"/>
              <w:bottom w:val="single" w:sz="4" w:space="0" w:color="auto"/>
            </w:tcBorders>
          </w:tcPr>
          <w:p w14:paraId="34267C87"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Any</w:t>
            </w:r>
          </w:p>
        </w:tc>
        <w:tc>
          <w:tcPr>
            <w:tcW w:w="1812" w:type="dxa"/>
            <w:tcBorders>
              <w:top w:val="single" w:sz="4" w:space="0" w:color="auto"/>
              <w:bottom w:val="single" w:sz="4" w:space="0" w:color="auto"/>
            </w:tcBorders>
          </w:tcPr>
          <w:p w14:paraId="4384272D"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Full dosage</w:t>
            </w:r>
          </w:p>
        </w:tc>
        <w:tc>
          <w:tcPr>
            <w:tcW w:w="1812" w:type="dxa"/>
            <w:tcBorders>
              <w:top w:val="single" w:sz="4" w:space="0" w:color="auto"/>
              <w:bottom w:val="single" w:sz="4" w:space="0" w:color="auto"/>
            </w:tcBorders>
          </w:tcPr>
          <w:p w14:paraId="3FDFC4E9"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Full dosage</w:t>
            </w:r>
          </w:p>
        </w:tc>
      </w:tr>
      <w:tr w:rsidR="009543AD" w:rsidRPr="009543AD" w14:paraId="2AEF8994" w14:textId="77777777" w:rsidTr="009774D2">
        <w:tc>
          <w:tcPr>
            <w:tcW w:w="1814" w:type="dxa"/>
            <w:tcBorders>
              <w:top w:val="single" w:sz="4" w:space="0" w:color="auto"/>
            </w:tcBorders>
          </w:tcPr>
          <w:p w14:paraId="28C2C10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Neutropenia</w:t>
            </w:r>
          </w:p>
        </w:tc>
        <w:tc>
          <w:tcPr>
            <w:tcW w:w="1811" w:type="dxa"/>
            <w:tcBorders>
              <w:top w:val="single" w:sz="4" w:space="0" w:color="auto"/>
              <w:bottom w:val="single" w:sz="4" w:space="0" w:color="auto"/>
            </w:tcBorders>
          </w:tcPr>
          <w:p w14:paraId="5274C033"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3</w:t>
            </w:r>
          </w:p>
        </w:tc>
        <w:tc>
          <w:tcPr>
            <w:tcW w:w="1811" w:type="dxa"/>
            <w:tcBorders>
              <w:top w:val="single" w:sz="4" w:space="0" w:color="auto"/>
              <w:bottom w:val="single" w:sz="4" w:space="0" w:color="auto"/>
            </w:tcBorders>
          </w:tcPr>
          <w:p w14:paraId="63FE525F"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Any</w:t>
            </w:r>
          </w:p>
        </w:tc>
        <w:tc>
          <w:tcPr>
            <w:tcW w:w="1812" w:type="dxa"/>
            <w:tcBorders>
              <w:top w:val="single" w:sz="4" w:space="0" w:color="auto"/>
              <w:bottom w:val="single" w:sz="4" w:space="0" w:color="auto"/>
            </w:tcBorders>
          </w:tcPr>
          <w:p w14:paraId="2EAAEB4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Full dosage</w:t>
            </w:r>
          </w:p>
        </w:tc>
        <w:tc>
          <w:tcPr>
            <w:tcW w:w="1812" w:type="dxa"/>
            <w:tcBorders>
              <w:top w:val="single" w:sz="4" w:space="0" w:color="auto"/>
              <w:bottom w:val="single" w:sz="4" w:space="0" w:color="auto"/>
            </w:tcBorders>
          </w:tcPr>
          <w:p w14:paraId="6E115B7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Full dosage</w:t>
            </w:r>
          </w:p>
        </w:tc>
      </w:tr>
      <w:tr w:rsidR="009543AD" w:rsidRPr="009543AD" w14:paraId="07791E6B" w14:textId="77777777" w:rsidTr="009774D2">
        <w:tc>
          <w:tcPr>
            <w:tcW w:w="1814" w:type="dxa"/>
          </w:tcPr>
          <w:p w14:paraId="427DAB09" w14:textId="77777777" w:rsidR="009543AD" w:rsidRPr="009543AD" w:rsidRDefault="009543AD" w:rsidP="009774D2">
            <w:pPr>
              <w:spacing w:line="360" w:lineRule="auto"/>
              <w:rPr>
                <w:rFonts w:ascii="Times New Roman" w:hAnsi="Times New Roman" w:cs="Times New Roman"/>
                <w:szCs w:val="21"/>
              </w:rPr>
            </w:pPr>
          </w:p>
        </w:tc>
        <w:tc>
          <w:tcPr>
            <w:tcW w:w="1811" w:type="dxa"/>
            <w:tcBorders>
              <w:top w:val="single" w:sz="4" w:space="0" w:color="auto"/>
            </w:tcBorders>
          </w:tcPr>
          <w:p w14:paraId="6A1761E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4</w:t>
            </w:r>
          </w:p>
        </w:tc>
        <w:tc>
          <w:tcPr>
            <w:tcW w:w="1811" w:type="dxa"/>
            <w:tcBorders>
              <w:top w:val="single" w:sz="4" w:space="0" w:color="auto"/>
            </w:tcBorders>
          </w:tcPr>
          <w:p w14:paraId="1E14528F"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First time</w:t>
            </w:r>
          </w:p>
        </w:tc>
        <w:tc>
          <w:tcPr>
            <w:tcW w:w="1812" w:type="dxa"/>
            <w:tcBorders>
              <w:top w:val="single" w:sz="4" w:space="0" w:color="auto"/>
            </w:tcBorders>
          </w:tcPr>
          <w:p w14:paraId="0CAFF7C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60 mg/m</w:t>
            </w:r>
            <w:r w:rsidRPr="009543AD">
              <w:rPr>
                <w:rFonts w:ascii="Times New Roman" w:hAnsi="Times New Roman" w:cs="Times New Roman"/>
                <w:szCs w:val="21"/>
                <w:vertAlign w:val="superscript"/>
              </w:rPr>
              <w:t>2</w:t>
            </w:r>
          </w:p>
        </w:tc>
        <w:tc>
          <w:tcPr>
            <w:tcW w:w="1812" w:type="dxa"/>
            <w:tcBorders>
              <w:top w:val="single" w:sz="4" w:space="0" w:color="auto"/>
            </w:tcBorders>
          </w:tcPr>
          <w:p w14:paraId="55C1D0EE"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60 mg/m</w:t>
            </w:r>
            <w:r w:rsidRPr="009543AD">
              <w:rPr>
                <w:rFonts w:ascii="Times New Roman" w:hAnsi="Times New Roman" w:cs="Times New Roman"/>
                <w:szCs w:val="21"/>
                <w:vertAlign w:val="superscript"/>
              </w:rPr>
              <w:t>2</w:t>
            </w:r>
          </w:p>
        </w:tc>
      </w:tr>
      <w:tr w:rsidR="009543AD" w:rsidRPr="009543AD" w14:paraId="1716E89F" w14:textId="77777777" w:rsidTr="009774D2">
        <w:tc>
          <w:tcPr>
            <w:tcW w:w="1814" w:type="dxa"/>
            <w:tcBorders>
              <w:bottom w:val="single" w:sz="4" w:space="0" w:color="auto"/>
            </w:tcBorders>
          </w:tcPr>
          <w:p w14:paraId="4C90AE2F" w14:textId="77777777" w:rsidR="009543AD" w:rsidRPr="009543AD" w:rsidRDefault="009543AD" w:rsidP="009774D2">
            <w:pPr>
              <w:spacing w:line="360" w:lineRule="auto"/>
              <w:rPr>
                <w:rFonts w:ascii="Times New Roman" w:hAnsi="Times New Roman" w:cs="Times New Roman"/>
                <w:szCs w:val="21"/>
              </w:rPr>
            </w:pPr>
          </w:p>
        </w:tc>
        <w:tc>
          <w:tcPr>
            <w:tcW w:w="1811" w:type="dxa"/>
            <w:tcBorders>
              <w:bottom w:val="single" w:sz="4" w:space="0" w:color="auto"/>
            </w:tcBorders>
          </w:tcPr>
          <w:p w14:paraId="65772D92" w14:textId="77777777" w:rsidR="009543AD" w:rsidRPr="009543AD" w:rsidRDefault="009543AD" w:rsidP="009774D2">
            <w:pPr>
              <w:spacing w:line="360" w:lineRule="auto"/>
              <w:rPr>
                <w:rFonts w:ascii="Times New Roman" w:hAnsi="Times New Roman" w:cs="Times New Roman"/>
                <w:szCs w:val="21"/>
              </w:rPr>
            </w:pPr>
          </w:p>
        </w:tc>
        <w:tc>
          <w:tcPr>
            <w:tcW w:w="1811" w:type="dxa"/>
            <w:tcBorders>
              <w:bottom w:val="single" w:sz="4" w:space="0" w:color="auto"/>
            </w:tcBorders>
          </w:tcPr>
          <w:p w14:paraId="281C147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Second time</w:t>
            </w:r>
          </w:p>
        </w:tc>
        <w:tc>
          <w:tcPr>
            <w:tcW w:w="1812" w:type="dxa"/>
            <w:tcBorders>
              <w:bottom w:val="single" w:sz="4" w:space="0" w:color="auto"/>
            </w:tcBorders>
          </w:tcPr>
          <w:p w14:paraId="584A6F60"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50 mg/m</w:t>
            </w:r>
            <w:r w:rsidRPr="009543AD">
              <w:rPr>
                <w:rFonts w:ascii="Times New Roman" w:hAnsi="Times New Roman" w:cs="Times New Roman"/>
                <w:szCs w:val="21"/>
                <w:vertAlign w:val="superscript"/>
              </w:rPr>
              <w:t>2</w:t>
            </w:r>
          </w:p>
        </w:tc>
        <w:tc>
          <w:tcPr>
            <w:tcW w:w="1812" w:type="dxa"/>
            <w:tcBorders>
              <w:bottom w:val="single" w:sz="4" w:space="0" w:color="auto"/>
            </w:tcBorders>
          </w:tcPr>
          <w:p w14:paraId="3A9F94A9"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50 mg/m</w:t>
            </w:r>
            <w:r w:rsidRPr="009543AD">
              <w:rPr>
                <w:rFonts w:ascii="Times New Roman" w:hAnsi="Times New Roman" w:cs="Times New Roman"/>
                <w:szCs w:val="21"/>
                <w:vertAlign w:val="superscript"/>
              </w:rPr>
              <w:t>2</w:t>
            </w:r>
          </w:p>
        </w:tc>
      </w:tr>
      <w:tr w:rsidR="009543AD" w:rsidRPr="009543AD" w14:paraId="6AEB0557" w14:textId="77777777" w:rsidTr="009774D2">
        <w:tc>
          <w:tcPr>
            <w:tcW w:w="1814" w:type="dxa"/>
            <w:tcBorders>
              <w:top w:val="single" w:sz="4" w:space="0" w:color="auto"/>
            </w:tcBorders>
          </w:tcPr>
          <w:p w14:paraId="64E6CB57"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Neutropenic fever</w:t>
            </w:r>
          </w:p>
        </w:tc>
        <w:tc>
          <w:tcPr>
            <w:tcW w:w="1811" w:type="dxa"/>
            <w:tcBorders>
              <w:top w:val="single" w:sz="4" w:space="0" w:color="auto"/>
            </w:tcBorders>
          </w:tcPr>
          <w:p w14:paraId="0513AF90"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3-4</w:t>
            </w:r>
          </w:p>
        </w:tc>
        <w:tc>
          <w:tcPr>
            <w:tcW w:w="1811" w:type="dxa"/>
            <w:tcBorders>
              <w:top w:val="single" w:sz="4" w:space="0" w:color="auto"/>
            </w:tcBorders>
          </w:tcPr>
          <w:p w14:paraId="5F42CA7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First time</w:t>
            </w:r>
          </w:p>
        </w:tc>
        <w:tc>
          <w:tcPr>
            <w:tcW w:w="1812" w:type="dxa"/>
            <w:tcBorders>
              <w:top w:val="single" w:sz="4" w:space="0" w:color="auto"/>
            </w:tcBorders>
          </w:tcPr>
          <w:p w14:paraId="205DA540"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60 mg/m</w:t>
            </w:r>
            <w:r w:rsidRPr="009543AD">
              <w:rPr>
                <w:rFonts w:ascii="Times New Roman" w:hAnsi="Times New Roman" w:cs="Times New Roman"/>
                <w:szCs w:val="21"/>
                <w:vertAlign w:val="superscript"/>
              </w:rPr>
              <w:t>2</w:t>
            </w:r>
          </w:p>
        </w:tc>
        <w:tc>
          <w:tcPr>
            <w:tcW w:w="1812" w:type="dxa"/>
            <w:tcBorders>
              <w:top w:val="single" w:sz="4" w:space="0" w:color="auto"/>
            </w:tcBorders>
          </w:tcPr>
          <w:p w14:paraId="43994B50"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60 mg/m</w:t>
            </w:r>
            <w:r w:rsidRPr="009543AD">
              <w:rPr>
                <w:rFonts w:ascii="Times New Roman" w:hAnsi="Times New Roman" w:cs="Times New Roman"/>
                <w:szCs w:val="21"/>
                <w:vertAlign w:val="superscript"/>
              </w:rPr>
              <w:t>2</w:t>
            </w:r>
          </w:p>
        </w:tc>
      </w:tr>
      <w:tr w:rsidR="009543AD" w:rsidRPr="009543AD" w14:paraId="594DD109" w14:textId="77777777" w:rsidTr="009774D2">
        <w:tc>
          <w:tcPr>
            <w:tcW w:w="1814" w:type="dxa"/>
            <w:tcBorders>
              <w:bottom w:val="single" w:sz="4" w:space="0" w:color="auto"/>
            </w:tcBorders>
          </w:tcPr>
          <w:p w14:paraId="5538CD2B" w14:textId="77777777" w:rsidR="009543AD" w:rsidRPr="009543AD" w:rsidRDefault="009543AD" w:rsidP="009774D2">
            <w:pPr>
              <w:spacing w:line="360" w:lineRule="auto"/>
              <w:rPr>
                <w:rFonts w:ascii="Times New Roman" w:hAnsi="Times New Roman" w:cs="Times New Roman"/>
                <w:szCs w:val="21"/>
              </w:rPr>
            </w:pPr>
          </w:p>
        </w:tc>
        <w:tc>
          <w:tcPr>
            <w:tcW w:w="1811" w:type="dxa"/>
            <w:tcBorders>
              <w:bottom w:val="single" w:sz="4" w:space="0" w:color="auto"/>
            </w:tcBorders>
          </w:tcPr>
          <w:p w14:paraId="7F23E07B" w14:textId="77777777" w:rsidR="009543AD" w:rsidRPr="009543AD" w:rsidRDefault="009543AD" w:rsidP="009774D2">
            <w:pPr>
              <w:spacing w:line="360" w:lineRule="auto"/>
              <w:rPr>
                <w:rFonts w:ascii="Times New Roman" w:hAnsi="Times New Roman" w:cs="Times New Roman"/>
                <w:szCs w:val="21"/>
              </w:rPr>
            </w:pPr>
          </w:p>
        </w:tc>
        <w:tc>
          <w:tcPr>
            <w:tcW w:w="1811" w:type="dxa"/>
            <w:tcBorders>
              <w:bottom w:val="single" w:sz="4" w:space="0" w:color="auto"/>
            </w:tcBorders>
          </w:tcPr>
          <w:p w14:paraId="1E67C42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Second time</w:t>
            </w:r>
          </w:p>
        </w:tc>
        <w:tc>
          <w:tcPr>
            <w:tcW w:w="1812" w:type="dxa"/>
            <w:tcBorders>
              <w:bottom w:val="single" w:sz="4" w:space="0" w:color="auto"/>
            </w:tcBorders>
          </w:tcPr>
          <w:p w14:paraId="0DDD9EA2"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50 mg/m</w:t>
            </w:r>
            <w:r w:rsidRPr="009543AD">
              <w:rPr>
                <w:rFonts w:ascii="Times New Roman" w:hAnsi="Times New Roman" w:cs="Times New Roman"/>
                <w:szCs w:val="21"/>
                <w:vertAlign w:val="superscript"/>
              </w:rPr>
              <w:t>2</w:t>
            </w:r>
          </w:p>
        </w:tc>
        <w:tc>
          <w:tcPr>
            <w:tcW w:w="1812" w:type="dxa"/>
            <w:tcBorders>
              <w:bottom w:val="single" w:sz="4" w:space="0" w:color="auto"/>
            </w:tcBorders>
          </w:tcPr>
          <w:p w14:paraId="0A1B6DBE"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50 mg/m</w:t>
            </w:r>
            <w:r w:rsidRPr="009543AD">
              <w:rPr>
                <w:rFonts w:ascii="Times New Roman" w:hAnsi="Times New Roman" w:cs="Times New Roman"/>
                <w:szCs w:val="21"/>
                <w:vertAlign w:val="superscript"/>
              </w:rPr>
              <w:t>2</w:t>
            </w:r>
          </w:p>
        </w:tc>
      </w:tr>
      <w:tr w:rsidR="009543AD" w:rsidRPr="009543AD" w14:paraId="3ADEE988" w14:textId="77777777" w:rsidTr="009774D2">
        <w:tc>
          <w:tcPr>
            <w:tcW w:w="1814" w:type="dxa"/>
            <w:tcBorders>
              <w:top w:val="single" w:sz="4" w:space="0" w:color="auto"/>
            </w:tcBorders>
          </w:tcPr>
          <w:p w14:paraId="19593D42"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Thrombocytopenia</w:t>
            </w:r>
          </w:p>
        </w:tc>
        <w:tc>
          <w:tcPr>
            <w:tcW w:w="1811" w:type="dxa"/>
            <w:tcBorders>
              <w:top w:val="single" w:sz="4" w:space="0" w:color="auto"/>
            </w:tcBorders>
          </w:tcPr>
          <w:p w14:paraId="0F8FD18A"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4</w:t>
            </w:r>
          </w:p>
        </w:tc>
        <w:tc>
          <w:tcPr>
            <w:tcW w:w="1811" w:type="dxa"/>
            <w:tcBorders>
              <w:top w:val="single" w:sz="4" w:space="0" w:color="auto"/>
            </w:tcBorders>
          </w:tcPr>
          <w:p w14:paraId="1B66565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First time</w:t>
            </w:r>
          </w:p>
        </w:tc>
        <w:tc>
          <w:tcPr>
            <w:tcW w:w="1812" w:type="dxa"/>
            <w:tcBorders>
              <w:top w:val="single" w:sz="4" w:space="0" w:color="auto"/>
            </w:tcBorders>
          </w:tcPr>
          <w:p w14:paraId="400A9B0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60 mg/m</w:t>
            </w:r>
            <w:r w:rsidRPr="009543AD">
              <w:rPr>
                <w:rFonts w:ascii="Times New Roman" w:hAnsi="Times New Roman" w:cs="Times New Roman"/>
                <w:szCs w:val="21"/>
                <w:vertAlign w:val="superscript"/>
              </w:rPr>
              <w:t>2</w:t>
            </w:r>
          </w:p>
        </w:tc>
        <w:tc>
          <w:tcPr>
            <w:tcW w:w="1812" w:type="dxa"/>
            <w:tcBorders>
              <w:top w:val="single" w:sz="4" w:space="0" w:color="auto"/>
            </w:tcBorders>
          </w:tcPr>
          <w:p w14:paraId="71EA0C18"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60 mg/m</w:t>
            </w:r>
            <w:r w:rsidRPr="009543AD">
              <w:rPr>
                <w:rFonts w:ascii="Times New Roman" w:hAnsi="Times New Roman" w:cs="Times New Roman"/>
                <w:szCs w:val="21"/>
                <w:vertAlign w:val="superscript"/>
              </w:rPr>
              <w:t>2</w:t>
            </w:r>
          </w:p>
        </w:tc>
      </w:tr>
      <w:tr w:rsidR="009543AD" w:rsidRPr="009543AD" w14:paraId="1548DEB9" w14:textId="77777777" w:rsidTr="009774D2">
        <w:tc>
          <w:tcPr>
            <w:tcW w:w="1814" w:type="dxa"/>
            <w:tcBorders>
              <w:bottom w:val="single" w:sz="4" w:space="0" w:color="auto"/>
            </w:tcBorders>
          </w:tcPr>
          <w:p w14:paraId="14B1E724" w14:textId="77777777" w:rsidR="009543AD" w:rsidRPr="009543AD" w:rsidRDefault="009543AD" w:rsidP="009774D2">
            <w:pPr>
              <w:spacing w:line="360" w:lineRule="auto"/>
              <w:rPr>
                <w:rFonts w:ascii="Times New Roman" w:hAnsi="Times New Roman" w:cs="Times New Roman"/>
                <w:szCs w:val="21"/>
              </w:rPr>
            </w:pPr>
          </w:p>
        </w:tc>
        <w:tc>
          <w:tcPr>
            <w:tcW w:w="1811" w:type="dxa"/>
            <w:tcBorders>
              <w:bottom w:val="single" w:sz="4" w:space="0" w:color="auto"/>
            </w:tcBorders>
          </w:tcPr>
          <w:p w14:paraId="07FD16AA" w14:textId="77777777" w:rsidR="009543AD" w:rsidRPr="009543AD" w:rsidRDefault="009543AD" w:rsidP="009774D2">
            <w:pPr>
              <w:spacing w:line="360" w:lineRule="auto"/>
              <w:rPr>
                <w:rFonts w:ascii="Times New Roman" w:hAnsi="Times New Roman" w:cs="Times New Roman"/>
                <w:szCs w:val="21"/>
              </w:rPr>
            </w:pPr>
          </w:p>
        </w:tc>
        <w:tc>
          <w:tcPr>
            <w:tcW w:w="1811" w:type="dxa"/>
            <w:tcBorders>
              <w:bottom w:val="single" w:sz="4" w:space="0" w:color="auto"/>
            </w:tcBorders>
          </w:tcPr>
          <w:p w14:paraId="135B2F48"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Second time</w:t>
            </w:r>
          </w:p>
        </w:tc>
        <w:tc>
          <w:tcPr>
            <w:tcW w:w="1812" w:type="dxa"/>
            <w:tcBorders>
              <w:bottom w:val="single" w:sz="4" w:space="0" w:color="auto"/>
            </w:tcBorders>
          </w:tcPr>
          <w:p w14:paraId="2C31A77D"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50 mg/m</w:t>
            </w:r>
            <w:r w:rsidRPr="009543AD">
              <w:rPr>
                <w:rFonts w:ascii="Times New Roman" w:hAnsi="Times New Roman" w:cs="Times New Roman"/>
                <w:szCs w:val="21"/>
                <w:vertAlign w:val="superscript"/>
              </w:rPr>
              <w:t>2</w:t>
            </w:r>
          </w:p>
        </w:tc>
        <w:tc>
          <w:tcPr>
            <w:tcW w:w="1812" w:type="dxa"/>
            <w:tcBorders>
              <w:bottom w:val="single" w:sz="4" w:space="0" w:color="auto"/>
            </w:tcBorders>
          </w:tcPr>
          <w:p w14:paraId="07F32115"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50 mg/m</w:t>
            </w:r>
            <w:r w:rsidRPr="009543AD">
              <w:rPr>
                <w:rFonts w:ascii="Times New Roman" w:hAnsi="Times New Roman" w:cs="Times New Roman"/>
                <w:szCs w:val="21"/>
                <w:vertAlign w:val="superscript"/>
              </w:rPr>
              <w:t>2</w:t>
            </w:r>
          </w:p>
        </w:tc>
      </w:tr>
      <w:tr w:rsidR="009543AD" w:rsidRPr="009543AD" w14:paraId="2210B72D" w14:textId="77777777" w:rsidTr="009774D2">
        <w:tc>
          <w:tcPr>
            <w:tcW w:w="9060" w:type="dxa"/>
            <w:gridSpan w:val="5"/>
          </w:tcPr>
          <w:p w14:paraId="27952C9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Grade 3 neutropenia or thrombocytopenia, which does not result in prolonged chemotherapy interval, does not require dosage reduction. If this leads to prolonged chemotherapy interval, G-CSF or platelet-enhancing drug support may be considered for the next course of treatment. If this is still not resolved, the dosage should be reduced with the reference to the corresponding grade 4. </w:t>
            </w:r>
          </w:p>
          <w:p w14:paraId="20DD2880"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Grade 3 or 4 neutropenia may be consideration for prevention with G-CSF support during the next course of treatment. </w:t>
            </w:r>
          </w:p>
          <w:p w14:paraId="5F678972"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3 or 4 neutropenic fever may be prevented with G-CSF support while the dosage is reduced during the next cycle of treatment. The definition of neutropenic fever: ANC &lt; 1.0×10</w:t>
            </w:r>
            <w:r w:rsidRPr="009543AD">
              <w:rPr>
                <w:rFonts w:ascii="Times New Roman" w:hAnsi="Times New Roman" w:cs="Times New Roman"/>
                <w:szCs w:val="21"/>
                <w:vertAlign w:val="superscript"/>
              </w:rPr>
              <w:t>9</w:t>
            </w:r>
            <w:r w:rsidRPr="009543AD">
              <w:rPr>
                <w:rFonts w:ascii="Times New Roman" w:hAnsi="Times New Roman" w:cs="Times New Roman"/>
                <w:szCs w:val="21"/>
              </w:rPr>
              <w:t>/L with fever ≥ 38.5 ℃ for grade 3 and ANC &lt; 1.0×10</w:t>
            </w:r>
            <w:r w:rsidRPr="009543AD">
              <w:rPr>
                <w:rFonts w:ascii="Times New Roman" w:hAnsi="Times New Roman" w:cs="Times New Roman"/>
                <w:szCs w:val="21"/>
                <w:vertAlign w:val="superscript"/>
              </w:rPr>
              <w:t>9</w:t>
            </w:r>
            <w:r w:rsidRPr="009543AD">
              <w:rPr>
                <w:rFonts w:ascii="Times New Roman" w:hAnsi="Times New Roman" w:cs="Times New Roman"/>
                <w:szCs w:val="21"/>
              </w:rPr>
              <w:t xml:space="preserve">/L with fever ≥ 38.5 ℃ with life-threatening sepsis for grade 4. </w:t>
            </w:r>
          </w:p>
        </w:tc>
      </w:tr>
    </w:tbl>
    <w:p w14:paraId="76500E3D" w14:textId="77777777" w:rsidR="009543AD" w:rsidRPr="009543AD" w:rsidRDefault="009543AD" w:rsidP="009543AD">
      <w:pPr>
        <w:spacing w:line="360" w:lineRule="auto"/>
        <w:rPr>
          <w:rFonts w:ascii="Times New Roman" w:hAnsi="Times New Roman" w:cs="Times New Roman"/>
          <w:szCs w:val="21"/>
        </w:rPr>
      </w:pPr>
    </w:p>
    <w:p w14:paraId="783F32A4"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6.3 Dosage adjustment due to non-hematologic adverse events </w:t>
      </w:r>
    </w:p>
    <w:p w14:paraId="2B86C0C7"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a) Abnormal liver function</w:t>
      </w:r>
    </w:p>
    <w:p w14:paraId="6B9E6E3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For HBs-Ag positive or serum HBV DNA positive patients, prophylactic anti HBV drugs should be used before treatment. If the liver function damage after chemotherapy is caused by the activation of hepatitis B virus, anti-hepatitis B virus drug therapy should be strengthened, and positive symptomatic treatment should be carried out. If grade 2 liver toxicity occurs, there is no need for adjusting docetaxel dosage, but if grade 3 liver toxicity occurs, docetaxel dosage should be reduced by 20%. Whenever grade 4 liver toxicity occurs, docetaxel should be permanently discontinued. If grade 2-4 toxicity occurs, medication will be suspended until the toxicity returns to grade 1 or below </w:t>
      </w:r>
      <w:r w:rsidRPr="009543AD">
        <w:rPr>
          <w:rFonts w:ascii="Times New Roman" w:hAnsi="Times New Roman" w:cs="Times New Roman"/>
          <w:szCs w:val="21"/>
        </w:rPr>
        <w:lastRenderedPageBreak/>
        <w:t xml:space="preserve">before restarting treatment. </w:t>
      </w:r>
    </w:p>
    <w:p w14:paraId="37F7A267"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w:t>
      </w:r>
      <w:proofErr w:type="gramStart"/>
      <w:r w:rsidRPr="009543AD">
        <w:rPr>
          <w:rFonts w:ascii="Times New Roman" w:hAnsi="Times New Roman" w:cs="Times New Roman"/>
          <w:szCs w:val="21"/>
        </w:rPr>
        <w:t>Other</w:t>
      </w:r>
      <w:proofErr w:type="gramEnd"/>
      <w:r w:rsidRPr="009543AD">
        <w:rPr>
          <w:rFonts w:ascii="Times New Roman" w:hAnsi="Times New Roman" w:cs="Times New Roman"/>
          <w:szCs w:val="21"/>
        </w:rPr>
        <w:t xml:space="preserve"> toxicity </w:t>
      </w:r>
    </w:p>
    <w:p w14:paraId="321E22A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If other grade 3 or less toxic reactions occur, symptomatic treatment should be given as far as possible, with no reduction of docetaxel for the next course of treatment. If grade 3 toxicity occurs, when the toxicity reverts from grade 3 to grad 1 or below, the dosage of docetaxel for the next course of treatment is reduced by 20%. If grade 4 toxicity occurs, treatment with docetaxel should be permanently discontinued. However, in the event of certain grade 3 or higher adverse events (i.e., fatigue, changes in sexual function, and dry skin without clinical significance), the investigator may continue the treatment at her or his discretion. </w:t>
      </w:r>
    </w:p>
    <w:p w14:paraId="49246DAF"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c) If other cisplatin-related toxicity reaction less than grade 3 occur, symptomatic treatment should be given whenever possible. If grade 3 or 4 toxicity occurs, treatment should be suspended, and when toxicity reverts to grade 1 or below, cisplatin should be administered at 80% of the initial dosage for the next course of treatment. </w:t>
      </w:r>
    </w:p>
    <w:p w14:paraId="1590A692"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d) The adverse events related to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may be immunologically related and may occur shortly after the first dose or several months after the last dose. If the situation listed the following table occurs, the administration of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should be suspended. If the investigator considers the benefit/risk ratio of the subject during the clinical operation and believes that the operation listed the following table cannot be performed or encounters situations not listed in the following Table 3, the investigator must suspend or resume the administration of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3451"/>
        <w:gridCol w:w="2947"/>
      </w:tblGrid>
      <w:tr w:rsidR="009543AD" w:rsidRPr="009543AD" w14:paraId="1E0E1875" w14:textId="77777777" w:rsidTr="009774D2">
        <w:tc>
          <w:tcPr>
            <w:tcW w:w="1985" w:type="dxa"/>
            <w:tcBorders>
              <w:bottom w:val="single" w:sz="4" w:space="0" w:color="auto"/>
            </w:tcBorders>
          </w:tcPr>
          <w:p w14:paraId="6952FA4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Adverse events </w:t>
            </w:r>
          </w:p>
        </w:tc>
        <w:tc>
          <w:tcPr>
            <w:tcW w:w="3827" w:type="dxa"/>
            <w:tcBorders>
              <w:bottom w:val="single" w:sz="4" w:space="0" w:color="auto"/>
            </w:tcBorders>
          </w:tcPr>
          <w:p w14:paraId="2F57EAA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w:t>
            </w:r>
          </w:p>
        </w:tc>
        <w:tc>
          <w:tcPr>
            <w:tcW w:w="3248" w:type="dxa"/>
            <w:tcBorders>
              <w:bottom w:val="single" w:sz="4" w:space="0" w:color="auto"/>
            </w:tcBorders>
          </w:tcPr>
          <w:p w14:paraId="5AD0F9DA"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Treatment adjustment</w:t>
            </w:r>
          </w:p>
        </w:tc>
      </w:tr>
      <w:tr w:rsidR="009543AD" w:rsidRPr="009543AD" w14:paraId="6A0C9EDB" w14:textId="77777777" w:rsidTr="009774D2">
        <w:tc>
          <w:tcPr>
            <w:tcW w:w="1985" w:type="dxa"/>
            <w:vMerge w:val="restart"/>
            <w:tcBorders>
              <w:top w:val="single" w:sz="4" w:space="0" w:color="auto"/>
            </w:tcBorders>
          </w:tcPr>
          <w:p w14:paraId="1DCD0870"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Reactive capillary endothelial proliferation </w:t>
            </w:r>
          </w:p>
        </w:tc>
        <w:tc>
          <w:tcPr>
            <w:tcW w:w="3827" w:type="dxa"/>
            <w:tcBorders>
              <w:top w:val="single" w:sz="4" w:space="0" w:color="auto"/>
            </w:tcBorders>
          </w:tcPr>
          <w:p w14:paraId="5DC9728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3</w:t>
            </w:r>
          </w:p>
        </w:tc>
        <w:tc>
          <w:tcPr>
            <w:tcW w:w="3248" w:type="dxa"/>
            <w:tcBorders>
              <w:top w:val="single" w:sz="4" w:space="0" w:color="auto"/>
            </w:tcBorders>
          </w:tcPr>
          <w:p w14:paraId="143C581A"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Suspend drug</w:t>
            </w:r>
          </w:p>
        </w:tc>
      </w:tr>
      <w:tr w:rsidR="009543AD" w:rsidRPr="009543AD" w14:paraId="47421977" w14:textId="77777777" w:rsidTr="009774D2">
        <w:tc>
          <w:tcPr>
            <w:tcW w:w="1985" w:type="dxa"/>
            <w:vMerge/>
            <w:tcBorders>
              <w:bottom w:val="single" w:sz="4" w:space="0" w:color="auto"/>
            </w:tcBorders>
          </w:tcPr>
          <w:p w14:paraId="0137275B" w14:textId="77777777" w:rsidR="009543AD" w:rsidRPr="009543AD" w:rsidRDefault="009543AD" w:rsidP="009774D2">
            <w:pPr>
              <w:spacing w:line="360" w:lineRule="auto"/>
              <w:rPr>
                <w:rFonts w:ascii="Times New Roman" w:hAnsi="Times New Roman" w:cs="Times New Roman"/>
                <w:szCs w:val="21"/>
              </w:rPr>
            </w:pPr>
          </w:p>
        </w:tc>
        <w:tc>
          <w:tcPr>
            <w:tcW w:w="3827" w:type="dxa"/>
            <w:tcBorders>
              <w:bottom w:val="single" w:sz="4" w:space="0" w:color="auto"/>
            </w:tcBorders>
          </w:tcPr>
          <w:p w14:paraId="3BED81D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4</w:t>
            </w:r>
          </w:p>
        </w:tc>
        <w:tc>
          <w:tcPr>
            <w:tcW w:w="3248" w:type="dxa"/>
            <w:tcBorders>
              <w:bottom w:val="single" w:sz="4" w:space="0" w:color="auto"/>
            </w:tcBorders>
          </w:tcPr>
          <w:p w14:paraId="219AB5ED"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59E4B6C6" w14:textId="77777777" w:rsidTr="009774D2">
        <w:tc>
          <w:tcPr>
            <w:tcW w:w="1985" w:type="dxa"/>
            <w:vMerge w:val="restart"/>
          </w:tcPr>
          <w:p w14:paraId="4DD7D84D"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Pneumonia </w:t>
            </w:r>
          </w:p>
        </w:tc>
        <w:tc>
          <w:tcPr>
            <w:tcW w:w="3827" w:type="dxa"/>
          </w:tcPr>
          <w:p w14:paraId="6C91D54A"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2</w:t>
            </w:r>
          </w:p>
        </w:tc>
        <w:tc>
          <w:tcPr>
            <w:tcW w:w="3248" w:type="dxa"/>
            <w:tcBorders>
              <w:top w:val="single" w:sz="4" w:space="0" w:color="auto"/>
            </w:tcBorders>
          </w:tcPr>
          <w:p w14:paraId="31B0777D"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Suspend drug until recover to Grade 0-1</w:t>
            </w:r>
          </w:p>
        </w:tc>
      </w:tr>
      <w:tr w:rsidR="009543AD" w:rsidRPr="009543AD" w14:paraId="6E4E097D" w14:textId="77777777" w:rsidTr="009774D2">
        <w:tc>
          <w:tcPr>
            <w:tcW w:w="1985" w:type="dxa"/>
            <w:vMerge/>
            <w:tcBorders>
              <w:bottom w:val="single" w:sz="4" w:space="0" w:color="auto"/>
            </w:tcBorders>
          </w:tcPr>
          <w:p w14:paraId="3644A4E5" w14:textId="77777777" w:rsidR="009543AD" w:rsidRPr="009543AD" w:rsidRDefault="009543AD" w:rsidP="009774D2">
            <w:pPr>
              <w:spacing w:line="360" w:lineRule="auto"/>
              <w:rPr>
                <w:rFonts w:ascii="Times New Roman" w:hAnsi="Times New Roman" w:cs="Times New Roman"/>
                <w:szCs w:val="21"/>
              </w:rPr>
            </w:pPr>
          </w:p>
        </w:tc>
        <w:tc>
          <w:tcPr>
            <w:tcW w:w="3827" w:type="dxa"/>
            <w:tcBorders>
              <w:bottom w:val="single" w:sz="4" w:space="0" w:color="auto"/>
            </w:tcBorders>
          </w:tcPr>
          <w:p w14:paraId="0276AC4D"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3-4 or Recurrent Grade 2</w:t>
            </w:r>
          </w:p>
        </w:tc>
        <w:tc>
          <w:tcPr>
            <w:tcW w:w="3248" w:type="dxa"/>
            <w:tcBorders>
              <w:bottom w:val="single" w:sz="4" w:space="0" w:color="auto"/>
            </w:tcBorders>
          </w:tcPr>
          <w:p w14:paraId="1DBCC7E9"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3451218E" w14:textId="77777777" w:rsidTr="009774D2">
        <w:tc>
          <w:tcPr>
            <w:tcW w:w="1985" w:type="dxa"/>
            <w:vMerge w:val="restart"/>
            <w:tcBorders>
              <w:top w:val="single" w:sz="4" w:space="0" w:color="auto"/>
            </w:tcBorders>
          </w:tcPr>
          <w:p w14:paraId="42CEFB1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Diarrhea and colitis</w:t>
            </w:r>
          </w:p>
        </w:tc>
        <w:tc>
          <w:tcPr>
            <w:tcW w:w="3827" w:type="dxa"/>
            <w:tcBorders>
              <w:top w:val="single" w:sz="4" w:space="0" w:color="auto"/>
            </w:tcBorders>
          </w:tcPr>
          <w:p w14:paraId="1982A25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2-3</w:t>
            </w:r>
          </w:p>
        </w:tc>
        <w:tc>
          <w:tcPr>
            <w:tcW w:w="3248" w:type="dxa"/>
            <w:tcBorders>
              <w:top w:val="single" w:sz="4" w:space="0" w:color="auto"/>
            </w:tcBorders>
          </w:tcPr>
          <w:p w14:paraId="439B351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Suspend drug until recover to Grade 0-1</w:t>
            </w:r>
          </w:p>
        </w:tc>
      </w:tr>
      <w:tr w:rsidR="009543AD" w:rsidRPr="009543AD" w14:paraId="72287120" w14:textId="77777777" w:rsidTr="009774D2">
        <w:tc>
          <w:tcPr>
            <w:tcW w:w="1985" w:type="dxa"/>
            <w:vMerge/>
            <w:tcBorders>
              <w:bottom w:val="single" w:sz="4" w:space="0" w:color="auto"/>
            </w:tcBorders>
          </w:tcPr>
          <w:p w14:paraId="278108C6" w14:textId="77777777" w:rsidR="009543AD" w:rsidRPr="009543AD" w:rsidRDefault="009543AD" w:rsidP="009774D2">
            <w:pPr>
              <w:spacing w:line="360" w:lineRule="auto"/>
              <w:rPr>
                <w:rFonts w:ascii="Times New Roman" w:hAnsi="Times New Roman" w:cs="Times New Roman"/>
                <w:szCs w:val="21"/>
              </w:rPr>
            </w:pPr>
          </w:p>
        </w:tc>
        <w:tc>
          <w:tcPr>
            <w:tcW w:w="3827" w:type="dxa"/>
            <w:tcBorders>
              <w:bottom w:val="single" w:sz="4" w:space="0" w:color="auto"/>
            </w:tcBorders>
          </w:tcPr>
          <w:p w14:paraId="1C3A52A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4</w:t>
            </w:r>
          </w:p>
        </w:tc>
        <w:tc>
          <w:tcPr>
            <w:tcW w:w="3248" w:type="dxa"/>
            <w:tcBorders>
              <w:bottom w:val="single" w:sz="4" w:space="0" w:color="auto"/>
            </w:tcBorders>
          </w:tcPr>
          <w:p w14:paraId="04815F0F"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3B45EC5A" w14:textId="77777777" w:rsidTr="009774D2">
        <w:tc>
          <w:tcPr>
            <w:tcW w:w="1985" w:type="dxa"/>
            <w:vMerge w:val="restart"/>
            <w:tcBorders>
              <w:top w:val="single" w:sz="4" w:space="0" w:color="auto"/>
            </w:tcBorders>
          </w:tcPr>
          <w:p w14:paraId="1488DF0D"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lastRenderedPageBreak/>
              <w:t xml:space="preserve">Hepatitis </w:t>
            </w:r>
          </w:p>
        </w:tc>
        <w:tc>
          <w:tcPr>
            <w:tcW w:w="3827" w:type="dxa"/>
            <w:tcBorders>
              <w:top w:val="single" w:sz="4" w:space="0" w:color="auto"/>
            </w:tcBorders>
          </w:tcPr>
          <w:p w14:paraId="61E1A41A"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2</w:t>
            </w:r>
          </w:p>
        </w:tc>
        <w:tc>
          <w:tcPr>
            <w:tcW w:w="3248" w:type="dxa"/>
            <w:tcBorders>
              <w:top w:val="single" w:sz="4" w:space="0" w:color="auto"/>
            </w:tcBorders>
          </w:tcPr>
          <w:p w14:paraId="286163FF"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Suspend drug until recover to Grade 0-1</w:t>
            </w:r>
          </w:p>
        </w:tc>
      </w:tr>
      <w:tr w:rsidR="009543AD" w:rsidRPr="009543AD" w14:paraId="6E51F3B8" w14:textId="77777777" w:rsidTr="009774D2">
        <w:tc>
          <w:tcPr>
            <w:tcW w:w="1985" w:type="dxa"/>
            <w:vMerge/>
          </w:tcPr>
          <w:p w14:paraId="048913D0" w14:textId="77777777" w:rsidR="009543AD" w:rsidRPr="009543AD" w:rsidRDefault="009543AD" w:rsidP="009774D2">
            <w:pPr>
              <w:spacing w:line="360" w:lineRule="auto"/>
              <w:rPr>
                <w:rFonts w:ascii="Times New Roman" w:hAnsi="Times New Roman" w:cs="Times New Roman"/>
                <w:szCs w:val="21"/>
              </w:rPr>
            </w:pPr>
          </w:p>
        </w:tc>
        <w:tc>
          <w:tcPr>
            <w:tcW w:w="3827" w:type="dxa"/>
            <w:tcBorders>
              <w:bottom w:val="single" w:sz="4" w:space="0" w:color="auto"/>
            </w:tcBorders>
          </w:tcPr>
          <w:p w14:paraId="19C9C13F"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3-4</w:t>
            </w:r>
          </w:p>
        </w:tc>
        <w:tc>
          <w:tcPr>
            <w:tcW w:w="3248" w:type="dxa"/>
            <w:tcBorders>
              <w:bottom w:val="single" w:sz="4" w:space="0" w:color="auto"/>
            </w:tcBorders>
          </w:tcPr>
          <w:p w14:paraId="6C07479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29042F6F" w14:textId="77777777" w:rsidTr="009774D2">
        <w:tc>
          <w:tcPr>
            <w:tcW w:w="1985" w:type="dxa"/>
            <w:vMerge w:val="restart"/>
            <w:tcBorders>
              <w:top w:val="single" w:sz="4" w:space="0" w:color="auto"/>
            </w:tcBorders>
          </w:tcPr>
          <w:p w14:paraId="58FFDCE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Nephritis </w:t>
            </w:r>
          </w:p>
        </w:tc>
        <w:tc>
          <w:tcPr>
            <w:tcW w:w="3827" w:type="dxa"/>
            <w:tcBorders>
              <w:top w:val="single" w:sz="4" w:space="0" w:color="auto"/>
            </w:tcBorders>
          </w:tcPr>
          <w:p w14:paraId="6ACA0B3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2-3 elevated creatinine</w:t>
            </w:r>
          </w:p>
        </w:tc>
        <w:tc>
          <w:tcPr>
            <w:tcW w:w="3248" w:type="dxa"/>
            <w:tcBorders>
              <w:top w:val="single" w:sz="4" w:space="0" w:color="auto"/>
            </w:tcBorders>
          </w:tcPr>
          <w:p w14:paraId="641C3402"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Suspend drug until recover to Grade 0-1</w:t>
            </w:r>
          </w:p>
        </w:tc>
      </w:tr>
      <w:tr w:rsidR="009543AD" w:rsidRPr="009543AD" w14:paraId="2C9F2FA0" w14:textId="77777777" w:rsidTr="009774D2">
        <w:tc>
          <w:tcPr>
            <w:tcW w:w="1985" w:type="dxa"/>
            <w:vMerge/>
            <w:tcBorders>
              <w:bottom w:val="single" w:sz="4" w:space="0" w:color="auto"/>
            </w:tcBorders>
          </w:tcPr>
          <w:p w14:paraId="209C6EB9" w14:textId="77777777" w:rsidR="009543AD" w:rsidRPr="009543AD" w:rsidRDefault="009543AD" w:rsidP="009774D2">
            <w:pPr>
              <w:spacing w:line="360" w:lineRule="auto"/>
              <w:rPr>
                <w:rFonts w:ascii="Times New Roman" w:hAnsi="Times New Roman" w:cs="Times New Roman"/>
                <w:szCs w:val="21"/>
              </w:rPr>
            </w:pPr>
          </w:p>
        </w:tc>
        <w:tc>
          <w:tcPr>
            <w:tcW w:w="3827" w:type="dxa"/>
            <w:tcBorders>
              <w:bottom w:val="single" w:sz="4" w:space="0" w:color="auto"/>
            </w:tcBorders>
          </w:tcPr>
          <w:p w14:paraId="2C5067EE"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4 elevated creatinine</w:t>
            </w:r>
          </w:p>
        </w:tc>
        <w:tc>
          <w:tcPr>
            <w:tcW w:w="3248" w:type="dxa"/>
            <w:tcBorders>
              <w:bottom w:val="single" w:sz="4" w:space="0" w:color="auto"/>
            </w:tcBorders>
          </w:tcPr>
          <w:p w14:paraId="23AFDC32"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30754605" w14:textId="77777777" w:rsidTr="009774D2">
        <w:tc>
          <w:tcPr>
            <w:tcW w:w="1985" w:type="dxa"/>
            <w:vMerge w:val="restart"/>
            <w:tcBorders>
              <w:top w:val="single" w:sz="4" w:space="0" w:color="auto"/>
            </w:tcBorders>
          </w:tcPr>
          <w:p w14:paraId="71F2CF3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Endocrine disease </w:t>
            </w:r>
          </w:p>
        </w:tc>
        <w:tc>
          <w:tcPr>
            <w:tcW w:w="3827" w:type="dxa"/>
            <w:tcBorders>
              <w:top w:val="single" w:sz="4" w:space="0" w:color="auto"/>
            </w:tcBorders>
          </w:tcPr>
          <w:p w14:paraId="0B042C67"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2-3</w:t>
            </w:r>
          </w:p>
        </w:tc>
        <w:tc>
          <w:tcPr>
            <w:tcW w:w="3248" w:type="dxa"/>
            <w:tcBorders>
              <w:top w:val="single" w:sz="4" w:space="0" w:color="auto"/>
            </w:tcBorders>
          </w:tcPr>
          <w:p w14:paraId="3A28208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Suspend drug until recover to Grade 0-1</w:t>
            </w:r>
          </w:p>
        </w:tc>
      </w:tr>
      <w:tr w:rsidR="009543AD" w:rsidRPr="009543AD" w14:paraId="08A07AF4" w14:textId="77777777" w:rsidTr="009774D2">
        <w:tc>
          <w:tcPr>
            <w:tcW w:w="1985" w:type="dxa"/>
            <w:vMerge/>
            <w:tcBorders>
              <w:bottom w:val="single" w:sz="4" w:space="0" w:color="auto"/>
            </w:tcBorders>
          </w:tcPr>
          <w:p w14:paraId="1E0BF946" w14:textId="77777777" w:rsidR="009543AD" w:rsidRPr="009543AD" w:rsidRDefault="009543AD" w:rsidP="009774D2">
            <w:pPr>
              <w:spacing w:line="360" w:lineRule="auto"/>
              <w:rPr>
                <w:rFonts w:ascii="Times New Roman" w:hAnsi="Times New Roman" w:cs="Times New Roman"/>
                <w:szCs w:val="21"/>
              </w:rPr>
            </w:pPr>
          </w:p>
        </w:tc>
        <w:tc>
          <w:tcPr>
            <w:tcW w:w="3827" w:type="dxa"/>
            <w:tcBorders>
              <w:bottom w:val="single" w:sz="4" w:space="0" w:color="auto"/>
            </w:tcBorders>
          </w:tcPr>
          <w:p w14:paraId="4C66A289"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4</w:t>
            </w:r>
          </w:p>
        </w:tc>
        <w:tc>
          <w:tcPr>
            <w:tcW w:w="3248" w:type="dxa"/>
            <w:tcBorders>
              <w:bottom w:val="single" w:sz="4" w:space="0" w:color="auto"/>
            </w:tcBorders>
          </w:tcPr>
          <w:p w14:paraId="18762CC7"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7787F4F3" w14:textId="77777777" w:rsidTr="009774D2">
        <w:tc>
          <w:tcPr>
            <w:tcW w:w="1985" w:type="dxa"/>
            <w:vMerge w:val="restart"/>
            <w:tcBorders>
              <w:top w:val="single" w:sz="4" w:space="0" w:color="auto"/>
            </w:tcBorders>
          </w:tcPr>
          <w:p w14:paraId="0F99A003"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Cutaneous AEs </w:t>
            </w:r>
          </w:p>
        </w:tc>
        <w:tc>
          <w:tcPr>
            <w:tcW w:w="3827" w:type="dxa"/>
            <w:tcBorders>
              <w:top w:val="single" w:sz="4" w:space="0" w:color="auto"/>
            </w:tcBorders>
          </w:tcPr>
          <w:p w14:paraId="139C3D8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3</w:t>
            </w:r>
          </w:p>
        </w:tc>
        <w:tc>
          <w:tcPr>
            <w:tcW w:w="3248" w:type="dxa"/>
            <w:tcBorders>
              <w:top w:val="single" w:sz="4" w:space="0" w:color="auto"/>
            </w:tcBorders>
          </w:tcPr>
          <w:p w14:paraId="6BF029FE"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Suspend drug until recover to Grade 0-1</w:t>
            </w:r>
          </w:p>
        </w:tc>
      </w:tr>
      <w:tr w:rsidR="009543AD" w:rsidRPr="009543AD" w14:paraId="0638539C" w14:textId="77777777" w:rsidTr="009774D2">
        <w:tc>
          <w:tcPr>
            <w:tcW w:w="1985" w:type="dxa"/>
            <w:vMerge/>
            <w:tcBorders>
              <w:bottom w:val="single" w:sz="4" w:space="0" w:color="auto"/>
            </w:tcBorders>
          </w:tcPr>
          <w:p w14:paraId="35CCFBE6" w14:textId="77777777" w:rsidR="009543AD" w:rsidRPr="009543AD" w:rsidRDefault="009543AD" w:rsidP="009774D2">
            <w:pPr>
              <w:spacing w:line="360" w:lineRule="auto"/>
              <w:rPr>
                <w:rFonts w:ascii="Times New Roman" w:hAnsi="Times New Roman" w:cs="Times New Roman"/>
                <w:szCs w:val="21"/>
              </w:rPr>
            </w:pPr>
          </w:p>
        </w:tc>
        <w:tc>
          <w:tcPr>
            <w:tcW w:w="3827" w:type="dxa"/>
            <w:tcBorders>
              <w:bottom w:val="single" w:sz="4" w:space="0" w:color="auto"/>
            </w:tcBorders>
          </w:tcPr>
          <w:p w14:paraId="13E87682"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4</w:t>
            </w:r>
          </w:p>
        </w:tc>
        <w:tc>
          <w:tcPr>
            <w:tcW w:w="3248" w:type="dxa"/>
            <w:tcBorders>
              <w:bottom w:val="single" w:sz="4" w:space="0" w:color="auto"/>
            </w:tcBorders>
          </w:tcPr>
          <w:p w14:paraId="5817056F"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3F9F8DB9" w14:textId="77777777" w:rsidTr="009774D2">
        <w:tc>
          <w:tcPr>
            <w:tcW w:w="1985" w:type="dxa"/>
            <w:vMerge w:val="restart"/>
            <w:tcBorders>
              <w:top w:val="single" w:sz="4" w:space="0" w:color="auto"/>
            </w:tcBorders>
          </w:tcPr>
          <w:p w14:paraId="39EC4ACF"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Thrombopenia</w:t>
            </w:r>
          </w:p>
        </w:tc>
        <w:tc>
          <w:tcPr>
            <w:tcW w:w="3827" w:type="dxa"/>
            <w:tcBorders>
              <w:top w:val="single" w:sz="4" w:space="0" w:color="auto"/>
            </w:tcBorders>
          </w:tcPr>
          <w:p w14:paraId="38FEB773"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3</w:t>
            </w:r>
          </w:p>
        </w:tc>
        <w:tc>
          <w:tcPr>
            <w:tcW w:w="3248" w:type="dxa"/>
            <w:tcBorders>
              <w:top w:val="single" w:sz="4" w:space="0" w:color="auto"/>
            </w:tcBorders>
          </w:tcPr>
          <w:p w14:paraId="1ED07ED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Suspend drug until recover to Grade 0-1</w:t>
            </w:r>
          </w:p>
        </w:tc>
      </w:tr>
      <w:tr w:rsidR="009543AD" w:rsidRPr="009543AD" w14:paraId="715DEE99" w14:textId="77777777" w:rsidTr="009774D2">
        <w:tc>
          <w:tcPr>
            <w:tcW w:w="1985" w:type="dxa"/>
            <w:vMerge/>
            <w:tcBorders>
              <w:bottom w:val="single" w:sz="4" w:space="0" w:color="auto"/>
            </w:tcBorders>
          </w:tcPr>
          <w:p w14:paraId="670CB6D7" w14:textId="77777777" w:rsidR="009543AD" w:rsidRPr="009543AD" w:rsidRDefault="009543AD" w:rsidP="009774D2">
            <w:pPr>
              <w:spacing w:line="360" w:lineRule="auto"/>
              <w:rPr>
                <w:rFonts w:ascii="Times New Roman" w:hAnsi="Times New Roman" w:cs="Times New Roman"/>
                <w:szCs w:val="21"/>
              </w:rPr>
            </w:pPr>
          </w:p>
        </w:tc>
        <w:tc>
          <w:tcPr>
            <w:tcW w:w="3827" w:type="dxa"/>
            <w:tcBorders>
              <w:bottom w:val="single" w:sz="4" w:space="0" w:color="auto"/>
            </w:tcBorders>
          </w:tcPr>
          <w:p w14:paraId="6DCF3EA1"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4</w:t>
            </w:r>
          </w:p>
        </w:tc>
        <w:tc>
          <w:tcPr>
            <w:tcW w:w="3248" w:type="dxa"/>
            <w:tcBorders>
              <w:bottom w:val="single" w:sz="4" w:space="0" w:color="auto"/>
            </w:tcBorders>
          </w:tcPr>
          <w:p w14:paraId="42A28F3D"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52DADAAE" w14:textId="77777777" w:rsidTr="009774D2">
        <w:tc>
          <w:tcPr>
            <w:tcW w:w="1985" w:type="dxa"/>
            <w:tcBorders>
              <w:top w:val="single" w:sz="4" w:space="0" w:color="auto"/>
            </w:tcBorders>
          </w:tcPr>
          <w:p w14:paraId="3B9762D0"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Other </w:t>
            </w:r>
            <w:proofErr w:type="spellStart"/>
            <w:r w:rsidRPr="009543AD">
              <w:rPr>
                <w:rFonts w:ascii="Times New Roman" w:hAnsi="Times New Roman" w:cs="Times New Roman"/>
                <w:szCs w:val="21"/>
              </w:rPr>
              <w:t>irAEs</w:t>
            </w:r>
            <w:proofErr w:type="spellEnd"/>
          </w:p>
        </w:tc>
        <w:tc>
          <w:tcPr>
            <w:tcW w:w="3827" w:type="dxa"/>
            <w:tcBorders>
              <w:top w:val="single" w:sz="4" w:space="0" w:color="auto"/>
              <w:bottom w:val="single" w:sz="4" w:space="0" w:color="auto"/>
            </w:tcBorders>
          </w:tcPr>
          <w:p w14:paraId="39B6898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Grade 3-4 elevated blood amylase or lipase </w:t>
            </w:r>
          </w:p>
          <w:p w14:paraId="2AC6A9DB"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Grade 2-3 pancreatitis </w:t>
            </w:r>
          </w:p>
          <w:p w14:paraId="226EF7A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Grade 2 myocarditis </w:t>
            </w:r>
          </w:p>
          <w:p w14:paraId="16205568"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Grade 2-3 other </w:t>
            </w:r>
            <w:proofErr w:type="spellStart"/>
            <w:r w:rsidRPr="009543AD">
              <w:rPr>
                <w:rFonts w:ascii="Times New Roman" w:hAnsi="Times New Roman" w:cs="Times New Roman"/>
                <w:szCs w:val="21"/>
              </w:rPr>
              <w:t>irAEs</w:t>
            </w:r>
            <w:proofErr w:type="spellEnd"/>
            <w:r w:rsidRPr="009543AD">
              <w:rPr>
                <w:rFonts w:ascii="Times New Roman" w:hAnsi="Times New Roman" w:cs="Times New Roman"/>
                <w:szCs w:val="21"/>
              </w:rPr>
              <w:t xml:space="preserve"> for the first time</w:t>
            </w:r>
          </w:p>
        </w:tc>
        <w:tc>
          <w:tcPr>
            <w:tcW w:w="3248" w:type="dxa"/>
            <w:tcBorders>
              <w:top w:val="single" w:sz="4" w:space="0" w:color="auto"/>
              <w:bottom w:val="single" w:sz="4" w:space="0" w:color="auto"/>
            </w:tcBorders>
          </w:tcPr>
          <w:p w14:paraId="71793B0A"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Suspend drug until recover to Grade 0-1</w:t>
            </w:r>
          </w:p>
        </w:tc>
      </w:tr>
      <w:tr w:rsidR="009543AD" w:rsidRPr="009543AD" w14:paraId="7E6ED768" w14:textId="77777777" w:rsidTr="009774D2">
        <w:tc>
          <w:tcPr>
            <w:tcW w:w="1985" w:type="dxa"/>
            <w:tcBorders>
              <w:bottom w:val="single" w:sz="4" w:space="0" w:color="auto"/>
            </w:tcBorders>
          </w:tcPr>
          <w:p w14:paraId="31041C5B" w14:textId="77777777" w:rsidR="009543AD" w:rsidRPr="009543AD" w:rsidRDefault="009543AD" w:rsidP="009774D2">
            <w:pPr>
              <w:spacing w:line="360" w:lineRule="auto"/>
              <w:rPr>
                <w:rFonts w:ascii="Times New Roman" w:hAnsi="Times New Roman" w:cs="Times New Roman"/>
                <w:szCs w:val="21"/>
              </w:rPr>
            </w:pPr>
          </w:p>
        </w:tc>
        <w:tc>
          <w:tcPr>
            <w:tcW w:w="3827" w:type="dxa"/>
            <w:tcBorders>
              <w:top w:val="single" w:sz="4" w:space="0" w:color="auto"/>
              <w:bottom w:val="single" w:sz="4" w:space="0" w:color="auto"/>
            </w:tcBorders>
          </w:tcPr>
          <w:p w14:paraId="05C08C0E"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Grade 4 pancreatitis or recurrent pancreatitis Grade 3-4 myocarditis </w:t>
            </w:r>
          </w:p>
          <w:p w14:paraId="46C9A30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Grade 3-4 encephalitis </w:t>
            </w:r>
          </w:p>
          <w:p w14:paraId="407FB78E"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Grade 4 other </w:t>
            </w:r>
            <w:proofErr w:type="spellStart"/>
            <w:r w:rsidRPr="009543AD">
              <w:rPr>
                <w:rFonts w:ascii="Times New Roman" w:hAnsi="Times New Roman" w:cs="Times New Roman"/>
                <w:szCs w:val="21"/>
              </w:rPr>
              <w:t>irAEs</w:t>
            </w:r>
            <w:proofErr w:type="spellEnd"/>
            <w:r w:rsidRPr="009543AD">
              <w:rPr>
                <w:rFonts w:ascii="Times New Roman" w:hAnsi="Times New Roman" w:cs="Times New Roman"/>
                <w:szCs w:val="21"/>
              </w:rPr>
              <w:t xml:space="preserve"> for the first time</w:t>
            </w:r>
          </w:p>
        </w:tc>
        <w:tc>
          <w:tcPr>
            <w:tcW w:w="3248" w:type="dxa"/>
            <w:tcBorders>
              <w:top w:val="single" w:sz="4" w:space="0" w:color="auto"/>
              <w:bottom w:val="single" w:sz="4" w:space="0" w:color="auto"/>
            </w:tcBorders>
          </w:tcPr>
          <w:p w14:paraId="7EB19A0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172142C8" w14:textId="77777777" w:rsidTr="009774D2">
        <w:tc>
          <w:tcPr>
            <w:tcW w:w="1985" w:type="dxa"/>
            <w:tcBorders>
              <w:top w:val="single" w:sz="4" w:space="0" w:color="auto"/>
              <w:bottom w:val="single" w:sz="4" w:space="0" w:color="auto"/>
            </w:tcBorders>
          </w:tcPr>
          <w:p w14:paraId="7D4A9B1A"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Recurrent or persistent AEs</w:t>
            </w:r>
          </w:p>
        </w:tc>
        <w:tc>
          <w:tcPr>
            <w:tcW w:w="3827" w:type="dxa"/>
            <w:tcBorders>
              <w:top w:val="single" w:sz="4" w:space="0" w:color="auto"/>
              <w:bottom w:val="single" w:sz="4" w:space="0" w:color="auto"/>
            </w:tcBorders>
          </w:tcPr>
          <w:p w14:paraId="322D2B0F"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Recurrent Grade 3-4 </w:t>
            </w:r>
          </w:p>
          <w:p w14:paraId="09D9A69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2 or 3 AEs did not recurrent to grade 0-1 within 12 weeks of the last treatment</w:t>
            </w:r>
          </w:p>
        </w:tc>
        <w:tc>
          <w:tcPr>
            <w:tcW w:w="3248" w:type="dxa"/>
            <w:tcBorders>
              <w:top w:val="single" w:sz="4" w:space="0" w:color="auto"/>
              <w:bottom w:val="single" w:sz="4" w:space="0" w:color="auto"/>
            </w:tcBorders>
          </w:tcPr>
          <w:p w14:paraId="7DD95F12"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4A6F5339" w14:textId="77777777" w:rsidTr="009774D2">
        <w:tc>
          <w:tcPr>
            <w:tcW w:w="1985" w:type="dxa"/>
            <w:tcBorders>
              <w:top w:val="single" w:sz="4" w:space="0" w:color="auto"/>
            </w:tcBorders>
          </w:tcPr>
          <w:p w14:paraId="720BB54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Infusion reaction</w:t>
            </w:r>
          </w:p>
        </w:tc>
        <w:tc>
          <w:tcPr>
            <w:tcW w:w="3827" w:type="dxa"/>
            <w:tcBorders>
              <w:top w:val="single" w:sz="4" w:space="0" w:color="auto"/>
              <w:bottom w:val="single" w:sz="4" w:space="0" w:color="auto"/>
            </w:tcBorders>
          </w:tcPr>
          <w:p w14:paraId="4635DDE6"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2</w:t>
            </w:r>
          </w:p>
        </w:tc>
        <w:tc>
          <w:tcPr>
            <w:tcW w:w="3248" w:type="dxa"/>
            <w:tcBorders>
              <w:top w:val="single" w:sz="4" w:space="0" w:color="auto"/>
              <w:bottom w:val="single" w:sz="4" w:space="0" w:color="auto"/>
            </w:tcBorders>
          </w:tcPr>
          <w:p w14:paraId="1B8EA57C"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Slow down the drip rate or </w:t>
            </w:r>
            <w:r w:rsidRPr="009543AD">
              <w:rPr>
                <w:rFonts w:ascii="Times New Roman" w:hAnsi="Times New Roman" w:cs="Times New Roman"/>
                <w:szCs w:val="21"/>
              </w:rPr>
              <w:lastRenderedPageBreak/>
              <w:t>suspend the drug</w:t>
            </w:r>
          </w:p>
        </w:tc>
      </w:tr>
      <w:tr w:rsidR="009543AD" w:rsidRPr="009543AD" w14:paraId="0A87BEAA" w14:textId="77777777" w:rsidTr="009774D2">
        <w:tc>
          <w:tcPr>
            <w:tcW w:w="1985" w:type="dxa"/>
            <w:tcBorders>
              <w:bottom w:val="single" w:sz="4" w:space="0" w:color="auto"/>
            </w:tcBorders>
          </w:tcPr>
          <w:p w14:paraId="2BD88EFF" w14:textId="77777777" w:rsidR="009543AD" w:rsidRPr="009543AD" w:rsidRDefault="009543AD" w:rsidP="009774D2">
            <w:pPr>
              <w:spacing w:line="360" w:lineRule="auto"/>
              <w:rPr>
                <w:rFonts w:ascii="Times New Roman" w:hAnsi="Times New Roman" w:cs="Times New Roman"/>
                <w:szCs w:val="21"/>
              </w:rPr>
            </w:pPr>
          </w:p>
        </w:tc>
        <w:tc>
          <w:tcPr>
            <w:tcW w:w="3827" w:type="dxa"/>
            <w:tcBorders>
              <w:top w:val="single" w:sz="4" w:space="0" w:color="auto"/>
              <w:bottom w:val="single" w:sz="4" w:space="0" w:color="auto"/>
            </w:tcBorders>
          </w:tcPr>
          <w:p w14:paraId="2DF28595"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Grade 3-4</w:t>
            </w:r>
          </w:p>
        </w:tc>
        <w:tc>
          <w:tcPr>
            <w:tcW w:w="3248" w:type="dxa"/>
            <w:tcBorders>
              <w:top w:val="single" w:sz="4" w:space="0" w:color="auto"/>
              <w:bottom w:val="single" w:sz="4" w:space="0" w:color="auto"/>
            </w:tcBorders>
          </w:tcPr>
          <w:p w14:paraId="4BFB80C4"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Permanent withdrawal</w:t>
            </w:r>
          </w:p>
        </w:tc>
      </w:tr>
      <w:tr w:rsidR="009543AD" w:rsidRPr="009543AD" w14:paraId="12D0F007" w14:textId="77777777" w:rsidTr="009774D2">
        <w:tc>
          <w:tcPr>
            <w:tcW w:w="9060" w:type="dxa"/>
            <w:gridSpan w:val="3"/>
          </w:tcPr>
          <w:p w14:paraId="14AA42F9"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For subjects experiencing intolerable or persistent grade 2 drug-related adverse events, the investigator may suspend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as appropriate; if the persistent grade 2 adverse reaction fails to recover to grade 1 or below within 12 weeks after the last dose, the medication should be terminated. </w:t>
            </w:r>
          </w:p>
          <w:p w14:paraId="62D7FB4F" w14:textId="77777777" w:rsidR="009543AD" w:rsidRPr="009543AD" w:rsidRDefault="009543AD" w:rsidP="009774D2">
            <w:pPr>
              <w:spacing w:line="360" w:lineRule="auto"/>
              <w:rPr>
                <w:rFonts w:ascii="Times New Roman" w:hAnsi="Times New Roman" w:cs="Times New Roman"/>
                <w:szCs w:val="21"/>
              </w:rPr>
            </w:pPr>
            <w:r w:rsidRPr="009543AD">
              <w:rPr>
                <w:rFonts w:ascii="Times New Roman" w:hAnsi="Times New Roman" w:cs="Times New Roman"/>
                <w:szCs w:val="21"/>
              </w:rPr>
              <w:t xml:space="preserve">In the event of any recurrent grade 3 drug-related AE or any life-threatening event, the medication should be terminated. </w:t>
            </w:r>
          </w:p>
        </w:tc>
      </w:tr>
    </w:tbl>
    <w:p w14:paraId="7494E65A" w14:textId="77777777" w:rsidR="009543AD" w:rsidRPr="009543AD" w:rsidRDefault="009543AD" w:rsidP="009543AD">
      <w:pPr>
        <w:spacing w:line="360" w:lineRule="auto"/>
        <w:rPr>
          <w:rFonts w:ascii="Times New Roman" w:hAnsi="Times New Roman" w:cs="Times New Roman"/>
          <w:szCs w:val="21"/>
        </w:rPr>
      </w:pPr>
    </w:p>
    <w:p w14:paraId="0F55F22D"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7 Concomitant Medication or Treatment </w:t>
      </w:r>
    </w:p>
    <w:p w14:paraId="6F3855F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7.1 Application of Antiemetic Drugs </w:t>
      </w:r>
    </w:p>
    <w:p w14:paraId="5F47496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 Preventive antiemetic therapy: 5-HT3 antagonist given 1 hour before chemotherapy. </w:t>
      </w:r>
    </w:p>
    <w:p w14:paraId="4CD82912"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Delayed vomiting: metoclopramide 20 mg bid and the NK-1 receptor antagonist aprepitant (125 mg, 80 mg, and 80 mg for day 1-3, respectively) were recommended. The 5-HT3 antagonist can replace metoclopramide. </w:t>
      </w:r>
    </w:p>
    <w:p w14:paraId="1BAC6EE8"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7.2 Application of Granulocyte Colony-stimulating Factor (G-CSF) </w:t>
      </w:r>
    </w:p>
    <w:p w14:paraId="41278C2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The use of G-CSF is not advocated for primary prevention; when WBC and/or ANC are significantly reduced, G-CSF treatment can be given according to the judgments of clinicians; if grade 3 or 4 neutropenia or fever (oral temperature &gt; 38.3°C or &gt; 37.8°C lasting for more than one hour) is noted, the following regimens are excepted for dose adjustment. Secondary prevention can also be given; the use of G-CSF should be more than 24 hours away from the end of chemotherapy drugs. Polyethylene glycol-conjugated recombinant human granulocyte stimulating factor is an alternative agent for the prevention of serious neutropenia. </w:t>
      </w:r>
    </w:p>
    <w:p w14:paraId="253988A5"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7.3 Combined drug usage and treatment </w:t>
      </w:r>
    </w:p>
    <w:p w14:paraId="2B3BE3C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 Permissible Treatment Supportive treatment, including pain treatment, blood transfusion, intravenous nutrition, etc. </w:t>
      </w:r>
    </w:p>
    <w:p w14:paraId="339F22B7"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During the study period, patients could not accept other experimental drugs and any other form of radiotherapy and chemotherapy, but the follow-up anticancer treatment for patients who fails to follow the treatment plan is not limited. </w:t>
      </w:r>
    </w:p>
    <w:p w14:paraId="7B0387E4" w14:textId="77777777" w:rsidR="009543AD" w:rsidRPr="009543AD" w:rsidRDefault="009543AD" w:rsidP="009543AD">
      <w:pPr>
        <w:spacing w:line="360" w:lineRule="auto"/>
        <w:rPr>
          <w:rFonts w:ascii="Times New Roman" w:hAnsi="Times New Roman" w:cs="Times New Roman"/>
          <w:szCs w:val="21"/>
        </w:rPr>
      </w:pPr>
    </w:p>
    <w:p w14:paraId="5181259F"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8 Observation and Assessment During Treatment </w:t>
      </w:r>
    </w:p>
    <w:p w14:paraId="628D1EE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 Nasopharynx and neck MRI and nasopharyngeal endoscopy will be performed before and after induce chemotherapy and at the end of radiotherapy, and complete response (CR), partial response (PR), stable disease (SD) or progressive disease (PD) will be evaluated with the Response Evaluation Criteria in Solid Tumors (RECIST) version 1.1. Chest CT and abdominal CT will be reexamined after treatment. </w:t>
      </w:r>
    </w:p>
    <w:p w14:paraId="5AE74B1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General conditions. </w:t>
      </w:r>
    </w:p>
    <w:p w14:paraId="7638ED5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c) Acute and late toxicity assessment, including hematological toxicity, gastrointestinal reactions, hepatotoxicity, neurotoxicity, ototoxicity, etc. </w:t>
      </w:r>
    </w:p>
    <w:p w14:paraId="00F6656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d) Immune-related toxicity assessment. </w:t>
      </w:r>
    </w:p>
    <w:p w14:paraId="079D9DE7"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e) Laboratory tests: Routine blood tests and blood biochemistry are required on day 0, day 8, and day 15 of chemotherapy for each cycle; the following tests are routinely suggested but not mandated before each cycle of immunotherapy: thyroid function (TSH, FT3, FT4), coagulation function (APTT, PT, FIB, INR, D-D), serum amylase, lipase, myocardial enzyme profile, hypersensitivity troponin, brain natriuretic peptide, inflammatory cytokine profile, etc. </w:t>
      </w:r>
    </w:p>
    <w:p w14:paraId="44BF6D34"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f) Indirect nasopharyngoscopy will be performed to examine the tumor in the nasopharynx every week, and the regression of enlarged lymph nodes should be observed and measured. Nasal endoscopy will be performed before and after the treatment course and is also required before and after CCRT. </w:t>
      </w:r>
    </w:p>
    <w:p w14:paraId="7ECD3167" w14:textId="77777777" w:rsidR="009543AD" w:rsidRPr="009543AD" w:rsidRDefault="009543AD" w:rsidP="009543AD">
      <w:pPr>
        <w:spacing w:line="360" w:lineRule="auto"/>
        <w:rPr>
          <w:rFonts w:ascii="Times New Roman" w:hAnsi="Times New Roman" w:cs="Times New Roman"/>
          <w:szCs w:val="21"/>
        </w:rPr>
      </w:pPr>
    </w:p>
    <w:p w14:paraId="20ED25EB"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9 Safety Evaluation</w:t>
      </w:r>
    </w:p>
    <w:p w14:paraId="44D4789F"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9.1 Adverse Event Indicators </w:t>
      </w:r>
    </w:p>
    <w:p w14:paraId="262433D8"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Toxicity evaluation should be performed weekly during the treatment and four weeks after the end of treatment. All observations relevant to the safety of the drug under study will be documented in the case report form (CRF) and the final summary report. Safety indicators are as follows: adverse events, laboratory changes (hematology, blood biochemistry), changes in vital signs (blood pressure, heart rate, respiratory rate, body temperature), and changes in electrocardiogram and chest CT. </w:t>
      </w:r>
    </w:p>
    <w:p w14:paraId="55E5B544"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9.2 Severe Adverse Events (SAEs) </w:t>
      </w:r>
    </w:p>
    <w:p w14:paraId="6867DCB3"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 SAE is any life-threatening medical adverse event that occurs at a variety of drug doses: </w:t>
      </w:r>
    </w:p>
    <w:p w14:paraId="738AA78D"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lastRenderedPageBreak/>
        <w:t xml:space="preserve">a) Causing death or endangering life. It should be noted that the term "life threatening" in the definition of "severe" means that at the time of the event, the patient is at risk of death. It's not a hypothetical event. </w:t>
      </w:r>
    </w:p>
    <w:p w14:paraId="294AB4F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Causing permanent or severe disability/dysfunction. </w:t>
      </w:r>
    </w:p>
    <w:p w14:paraId="320D8BE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c) Teratogenicity/birth defects. </w:t>
      </w:r>
    </w:p>
    <w:p w14:paraId="4CBCCF6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d)  Resulting in prolonged hospital stays. </w:t>
      </w:r>
    </w:p>
    <w:p w14:paraId="026E260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e)  Lead to secondary tumors. </w:t>
      </w:r>
    </w:p>
    <w:p w14:paraId="56B65C98"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f)  Other unpredictable drug related AEs.</w:t>
      </w:r>
    </w:p>
    <w:p w14:paraId="2D0B22F1"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In the event of a serious adverse event, regardless of whether it is related to the study drug, the investigator should immediately notify the Clinical Research Center (GCP) of the table of serious adverse events within 1 business day (in any case). The form must be dated and signed by the person who filled it. All adverse events, whether or not considered drug related, should be documented on the case report, including diagnosis, start/end time, intervention taken, discontinuation of treatment, salvage measure, outcome, and other possible causes. The investigators should determine the relationship of all adverse events to treatment and the severity of the events. The severity of acute adverse events should be graded according to CTC AE (version 5.0). The most severe severity should be recorded in the CRF. </w:t>
      </w:r>
    </w:p>
    <w:p w14:paraId="1F483B5D"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9.3 Record of Events </w:t>
      </w:r>
    </w:p>
    <w:p w14:paraId="311A210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All adverse events, whether or not considered drug related, should be documented on the case report, including diagnosis, start/end time, intervention taken, discontinuation of treatment, salvage measure, outcome, and other possible causes. The investigators should determine the relationship of all adverse events to treatment and the severity of the events. The severity of acute adverse events should be graded according to CTC AE (version 5.0). The most severe severity should be recorded in the CRF. </w:t>
      </w:r>
    </w:p>
    <w:p w14:paraId="5271AC89" w14:textId="77777777" w:rsidR="009543AD" w:rsidRPr="009543AD" w:rsidRDefault="009543AD" w:rsidP="009543AD">
      <w:pPr>
        <w:spacing w:line="360" w:lineRule="auto"/>
        <w:rPr>
          <w:rFonts w:ascii="Times New Roman" w:hAnsi="Times New Roman" w:cs="Times New Roman"/>
          <w:szCs w:val="21"/>
        </w:rPr>
      </w:pPr>
    </w:p>
    <w:p w14:paraId="6DF4D6F0"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10 Follow Up </w:t>
      </w:r>
    </w:p>
    <w:p w14:paraId="64E6A6D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After completion of radiotherapy, patients are followed up every 3 months during the first 3 years and every 6 months thereafter until death. The nasopharynx will be assessed by endoscopy approximately 4 weeks after completion of radiotherapy. Further investigations with MRI or CT will be arranged 3 months after completion of radiotherapy. Other follow-up items include physical </w:t>
      </w:r>
      <w:r w:rsidRPr="009543AD">
        <w:rPr>
          <w:rFonts w:ascii="Times New Roman" w:hAnsi="Times New Roman" w:cs="Times New Roman"/>
          <w:szCs w:val="21"/>
        </w:rPr>
        <w:lastRenderedPageBreak/>
        <w:t xml:space="preserve">examination, blood examination, chest CT, abdominal CT, etc. Treatment responses are also evaluated according to the RECIST, version 1.1. If residual disease is found, whether to treat and which treatment modalities to be employed will be decided by individual clinician. For statistical purpose, any residual disease found 12 weeks after completion of CCRT will be considered as local failure. Similarly, any residual nodal disease within 12 weeks after CCRT is considered as regional failure. Clinical diagnosis is accepted for sites not easily accessible if classical changes are shown on imaging. The dates of diagnosis of local, nodal, and distant failure will be recorded. The earliest date of detecting symptomatic late onset toxicities and the eventual maximum grade by the Late Radiation Morbidity Scoring Criteria of the Radiation Therapy Oncology Group (RTOG) and European Organization for Research and Treatment of Cancer (EORTC) should be recorded. All patients will be followed up until death and cause of death recorded. Deaths due to unknown cause are counted as death due to NPC if disease is still present at last assessment. </w:t>
      </w:r>
    </w:p>
    <w:p w14:paraId="7F9BE829" w14:textId="77777777" w:rsidR="009543AD" w:rsidRPr="009543AD" w:rsidRDefault="009543AD" w:rsidP="009543AD">
      <w:pPr>
        <w:spacing w:line="360" w:lineRule="auto"/>
        <w:rPr>
          <w:rFonts w:ascii="Times New Roman" w:hAnsi="Times New Roman" w:cs="Times New Roman"/>
          <w:szCs w:val="21"/>
        </w:rPr>
      </w:pPr>
    </w:p>
    <w:p w14:paraId="1B266D79"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11 Safety Measures and Quality Control </w:t>
      </w:r>
    </w:p>
    <w:p w14:paraId="2C42891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 Researchers is responsible for obtaining informed consent signed by each subject or his or her agent; carefully fill out the case report form; complete records of laboratory examinations, clinical records, and original medical records of the subjects. </w:t>
      </w:r>
    </w:p>
    <w:p w14:paraId="0F92BBF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Make monitoring plan of adverse effects and emergency plan. </w:t>
      </w:r>
    </w:p>
    <w:p w14:paraId="0B41761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c) Research plan is made by all investigators and approved by Ethics Committee. d) Develop all kinds of standard operation procedures related to this study. </w:t>
      </w:r>
    </w:p>
    <w:p w14:paraId="695CA3F3"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e) Establish standardized evaluation system to unify diagnostic criteria, curative effect judging criteria, etc. </w:t>
      </w:r>
    </w:p>
    <w:p w14:paraId="220A9FAF"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f) Establish professional statistical plan. </w:t>
      </w:r>
    </w:p>
    <w:p w14:paraId="0C9CC07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g) Research staffs are trained before the study. </w:t>
      </w:r>
    </w:p>
    <w:p w14:paraId="74903812"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h) Arrange quality controller, make quality control plan and check regularly. </w:t>
      </w:r>
    </w:p>
    <w:p w14:paraId="5BC3F622" w14:textId="77777777" w:rsidR="009543AD" w:rsidRPr="009543AD" w:rsidRDefault="009543AD" w:rsidP="009543AD">
      <w:pPr>
        <w:spacing w:line="360" w:lineRule="auto"/>
        <w:rPr>
          <w:rFonts w:ascii="Times New Roman" w:hAnsi="Times New Roman" w:cs="Times New Roman"/>
          <w:szCs w:val="21"/>
        </w:rPr>
      </w:pPr>
      <w:proofErr w:type="spellStart"/>
      <w:r w:rsidRPr="009543AD">
        <w:rPr>
          <w:rFonts w:ascii="Times New Roman" w:hAnsi="Times New Roman" w:cs="Times New Roman"/>
          <w:szCs w:val="21"/>
        </w:rPr>
        <w:t>i</w:t>
      </w:r>
      <w:proofErr w:type="spellEnd"/>
      <w:r w:rsidRPr="009543AD">
        <w:rPr>
          <w:rFonts w:ascii="Times New Roman" w:hAnsi="Times New Roman" w:cs="Times New Roman"/>
          <w:szCs w:val="21"/>
        </w:rPr>
        <w:t>) Set up coordination committee, curative effect judging group and follow-up team.</w:t>
      </w:r>
    </w:p>
    <w:p w14:paraId="07C67043" w14:textId="77777777" w:rsidR="009543AD" w:rsidRPr="009543AD" w:rsidRDefault="009543AD" w:rsidP="009543AD">
      <w:pPr>
        <w:spacing w:line="360" w:lineRule="auto"/>
        <w:rPr>
          <w:rFonts w:ascii="Times New Roman" w:hAnsi="Times New Roman" w:cs="Times New Roman"/>
          <w:szCs w:val="21"/>
        </w:rPr>
      </w:pPr>
    </w:p>
    <w:p w14:paraId="62CD821F"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12 Data Collection and Data Management </w:t>
      </w:r>
    </w:p>
    <w:p w14:paraId="0105B98E"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12.1 Case Report Form (CRF) </w:t>
      </w:r>
    </w:p>
    <w:p w14:paraId="53AC2B57"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The CRF is completed by the investigator and must be completed by each enrolled patient. After </w:t>
      </w:r>
      <w:r w:rsidRPr="009543AD">
        <w:rPr>
          <w:rFonts w:ascii="Times New Roman" w:hAnsi="Times New Roman" w:cs="Times New Roman"/>
          <w:szCs w:val="21"/>
        </w:rPr>
        <w:lastRenderedPageBreak/>
        <w:t xml:space="preserve">the completed CRF is reviewed by the clinical supervisor, the first copy is transferred to the data administrator for data entry and management. </w:t>
      </w:r>
    </w:p>
    <w:p w14:paraId="0F078FA3"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12.2 Data Entry and Modification </w:t>
      </w:r>
    </w:p>
    <w:p w14:paraId="301E15C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All information about the enrolled patients after registration will be sent to Tianjin Medical University Cancer Institute &amp; Hospital for management. We have stewards taking charge of data entry and management. Data administrators use </w:t>
      </w:r>
      <w:proofErr w:type="spellStart"/>
      <w:r w:rsidRPr="009543AD">
        <w:rPr>
          <w:rFonts w:ascii="Times New Roman" w:hAnsi="Times New Roman" w:cs="Times New Roman"/>
          <w:szCs w:val="21"/>
        </w:rPr>
        <w:t>EpiData</w:t>
      </w:r>
      <w:proofErr w:type="spellEnd"/>
      <w:r w:rsidRPr="009543AD">
        <w:rPr>
          <w:rFonts w:ascii="Times New Roman" w:hAnsi="Times New Roman" w:cs="Times New Roman"/>
          <w:szCs w:val="21"/>
        </w:rPr>
        <w:t xml:space="preserve"> 3.1 software to compile data entry program and carry out data entry and management. In order to ensure the accuracy of the data, two data administrators should independently conduct double input and proofreading. If there are any questions in the CRF, the data administrator will send questioned data to the investigator for verification. The investigator should answer and return the questions as soon as possible. The data administrator can modify, confirm and enter the data according to the answers of the investigator. </w:t>
      </w:r>
    </w:p>
    <w:p w14:paraId="0D36BB5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12.3 Data Locking </w:t>
      </w:r>
    </w:p>
    <w:p w14:paraId="07BE44C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After confirming that the established database is accurate, the main researchers, data administrators, and statisticians will lock the data. The locked data file will not be modified. </w:t>
      </w:r>
    </w:p>
    <w:p w14:paraId="2961ABBD" w14:textId="77777777" w:rsidR="009543AD" w:rsidRPr="009543AD" w:rsidRDefault="009543AD" w:rsidP="009543AD">
      <w:pPr>
        <w:spacing w:line="360" w:lineRule="auto"/>
        <w:rPr>
          <w:rFonts w:ascii="Times New Roman" w:hAnsi="Times New Roman" w:cs="Times New Roman"/>
          <w:szCs w:val="21"/>
        </w:rPr>
      </w:pPr>
    </w:p>
    <w:p w14:paraId="23062789"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13 Statistical Analysis </w:t>
      </w:r>
    </w:p>
    <w:p w14:paraId="3E277D40"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13.1 Endpoint Definitions </w:t>
      </w:r>
    </w:p>
    <w:p w14:paraId="0BFCC8D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 Primary End Point </w:t>
      </w:r>
    </w:p>
    <w:p w14:paraId="7BB253C5"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The primary endpoint was EFS, defined as the duration from diagnosis to disease recurrence (locoregional or distant) or death from any cause, or last follow-up </w:t>
      </w:r>
    </w:p>
    <w:p w14:paraId="0344A115"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b) Secondary End Points </w:t>
      </w:r>
    </w:p>
    <w:p w14:paraId="7AE4677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Response rate: Approximately one week after completing induction therapy, the responses to induction therapy are assessed by imaging by independent image committee. The nasopharynx and cervical nodes should be assessed by endoscopy and MRI or CT at approximately 12 weeks after completion of radiotherapy. Other examinations included chest CT, abdominal CT, and bone scans. Tumor response is classified according to the RECIST criteria, version 1.1. Complete response is defined as the disappearance of all target lesions. Any pathological lymph nodes (whether target or nontarget) must have been reduced in the short axis to &lt;10mm. Partial response is defined as an at least 30% decrease in the sum of diameters of the target lesions, with the baseline diameter sum serving as the reference. Progressive disease is defined as an at least 20% increase in the sum of </w:t>
      </w:r>
      <w:r w:rsidRPr="009543AD">
        <w:rPr>
          <w:rFonts w:ascii="Times New Roman" w:hAnsi="Times New Roman" w:cs="Times New Roman"/>
          <w:szCs w:val="21"/>
        </w:rPr>
        <w:lastRenderedPageBreak/>
        <w:t>diameters of the target lesions, with the smallest diameter sum serving as the reference. In addition to a relative increase of 20%, the sum must also demonstrate an absolute increase of at least 5 mm. Stable disease is defined as both insufficient size reduction to qualify as partial response and an insufficient increase to be considered progressive disease, with the smallest diameter sum during the study serving as the reference.</w:t>
      </w:r>
    </w:p>
    <w:p w14:paraId="2762FD7B"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Locoregional recurrence-free survival is defined as duration from diagnosis to locoregional recurrence.</w:t>
      </w:r>
    </w:p>
    <w:p w14:paraId="1BA324C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Distant metastasis-free survival is defined as duration from diagnosis to distant metastasis.</w:t>
      </w:r>
    </w:p>
    <w:p w14:paraId="5CC7095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Overall survival is defined as duration from diagnosis to death from any cause or last follow-up.</w:t>
      </w:r>
    </w:p>
    <w:p w14:paraId="5ABE0BA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Toxicity: The incidence of serious toxicity (treatment-related adverse events and immune-related adverse events) during induction phase, radiotherapy phase, and maintain phase, late adverse events, compliance to treatment were included. Adverse events refer to any adverse medical events that occur on the patient. They do not necessarily have a causal relationship with treatment. Investigators should keep a detailed record of any adverse events that occur in the patients. The record of adverse events shall include a description of the adverse events, the time of occurrence, severity, duration, measures taken, and the final outcomes. Investigators should assess the possible association between the adverse events and the tested drugs according to the five-level classification of "positive relevance, possible irrelevance, positive irrelevance, and inability to determine." Treatment-related adverse events are assessed according to NCI-CTCAE version 5.0. Acute toxicities include hematological toxicity, mucositis, allergic reactions and other adverse events and serious adverse events. The severity of immune-related adverse events was graded according to the NCI-CTCAE version 5.0. The severity of late adverse events was graded according to the RTOG and European Organization for Research and Treatment of Cancer late radiation morbidity scoring scheme.</w:t>
      </w:r>
    </w:p>
    <w:p w14:paraId="47D2A0BF" w14:textId="77777777" w:rsidR="009543AD" w:rsidRPr="009543AD" w:rsidRDefault="009543AD" w:rsidP="009543AD">
      <w:pPr>
        <w:spacing w:line="360" w:lineRule="auto"/>
        <w:rPr>
          <w:rFonts w:ascii="Times New Roman" w:hAnsi="Times New Roman" w:cs="Times New Roman"/>
          <w:szCs w:val="21"/>
        </w:rPr>
      </w:pPr>
    </w:p>
    <w:p w14:paraId="766DA25D"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13.2 Analytical Approach </w:t>
      </w:r>
    </w:p>
    <w:p w14:paraId="66FAC7F6"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Patients who completed radical radiotherapy and at least one dose of induction therapy were included in the analysis set. Safety analysis will be performed in safety population, which is made up of eligible cases that received at least one dose of treatment. The study results will be reported after universal 1-year follow-up (for the primary endpoint analysis), 2-year and/or 3-year follow-up, and 5-year follow-up (for the long-term results).</w:t>
      </w:r>
    </w:p>
    <w:p w14:paraId="3DD62413" w14:textId="77777777" w:rsidR="009543AD" w:rsidRPr="009543AD" w:rsidRDefault="009543AD" w:rsidP="009543AD">
      <w:pPr>
        <w:spacing w:line="360" w:lineRule="auto"/>
        <w:rPr>
          <w:rFonts w:ascii="Times New Roman" w:hAnsi="Times New Roman" w:cs="Times New Roman"/>
          <w:szCs w:val="21"/>
        </w:rPr>
      </w:pPr>
    </w:p>
    <w:p w14:paraId="5B32C278"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14 Ethical Considerations </w:t>
      </w:r>
    </w:p>
    <w:p w14:paraId="455B6011"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This study must be approved by an appropriate institutional ethic committee. An informed consent must be obtained from individual patients. Copy of the Consent Form, contact number of investigator and ethics committee will be available to patient on request. All serious and unexpected adverse events or death related to the drugs or radiotherapy must be reported to the study coordinator immediately. Serious adverse events (SAE) to be reported include all deaths during or within 30 days of protocol treatment regardless of cause, grade 5 toxicity, life-threatening grade 4 toxicity, and/or unexpected toxicity. The Study Coordinator of respective center should complete form and fax this within 24 hours to the Principal Investigator (Dr. </w:t>
      </w:r>
      <w:proofErr w:type="spellStart"/>
      <w:r w:rsidRPr="009543AD">
        <w:rPr>
          <w:rFonts w:ascii="Times New Roman" w:hAnsi="Times New Roman" w:cs="Times New Roman"/>
          <w:szCs w:val="21"/>
        </w:rPr>
        <w:t>Peiguo</w:t>
      </w:r>
      <w:proofErr w:type="spellEnd"/>
      <w:r w:rsidRPr="009543AD">
        <w:rPr>
          <w:rFonts w:ascii="Times New Roman" w:hAnsi="Times New Roman" w:cs="Times New Roman"/>
          <w:szCs w:val="21"/>
        </w:rPr>
        <w:t xml:space="preserve"> Wang, Tel: 022 233340123-1141), the center of clinical trials, the institutional ethic committee and Tianjin Medical University Cancer Institute &amp; Hospital. Together with the Principal Investigator, appropriate and prompt action will be taken if warranted. Reactions and deaths beyond 30 days from protocol treatment that are judged definitely unrelated to treatment should not be reported.</w:t>
      </w:r>
    </w:p>
    <w:p w14:paraId="5D814A49" w14:textId="77777777" w:rsidR="009543AD" w:rsidRPr="009543AD" w:rsidRDefault="009543AD" w:rsidP="009543AD">
      <w:pPr>
        <w:spacing w:line="360" w:lineRule="auto"/>
        <w:rPr>
          <w:rFonts w:ascii="Times New Roman" w:hAnsi="Times New Roman" w:cs="Times New Roman"/>
          <w:szCs w:val="21"/>
        </w:rPr>
      </w:pPr>
    </w:p>
    <w:p w14:paraId="440BB1C1"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15 Administration of Experimental Drugs </w:t>
      </w:r>
    </w:p>
    <w:p w14:paraId="0FAF0DC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Jiangsu </w:t>
      </w:r>
      <w:proofErr w:type="spellStart"/>
      <w:r w:rsidRPr="009543AD">
        <w:rPr>
          <w:rFonts w:ascii="Times New Roman" w:hAnsi="Times New Roman" w:cs="Times New Roman"/>
          <w:szCs w:val="21"/>
        </w:rPr>
        <w:t>Hengrui</w:t>
      </w:r>
      <w:proofErr w:type="spellEnd"/>
      <w:r w:rsidRPr="009543AD">
        <w:rPr>
          <w:rFonts w:ascii="Times New Roman" w:hAnsi="Times New Roman" w:cs="Times New Roman"/>
          <w:szCs w:val="21"/>
        </w:rPr>
        <w:t xml:space="preserve"> Pharmaceutical provided 3 cycles of </w:t>
      </w:r>
      <w:proofErr w:type="spellStart"/>
      <w:r w:rsidRPr="009543AD">
        <w:rPr>
          <w:rFonts w:ascii="Times New Roman" w:hAnsi="Times New Roman" w:cs="Times New Roman"/>
          <w:szCs w:val="21"/>
        </w:rPr>
        <w:t>camrelizumab</w:t>
      </w:r>
      <w:proofErr w:type="spellEnd"/>
      <w:r w:rsidRPr="009543AD">
        <w:rPr>
          <w:rFonts w:ascii="Times New Roman" w:hAnsi="Times New Roman" w:cs="Times New Roman"/>
          <w:szCs w:val="21"/>
        </w:rPr>
        <w:t xml:space="preserve"> for free. The researcher must ensure that these drugs are used only for subjects participating in the clinical trial, that their doses and usage are in accordance with the trial scheme, and that the remaining drugs are returned to the manufacturer. Experimental drugs should not be transferred to any non-clinical trial participant.</w:t>
      </w:r>
    </w:p>
    <w:p w14:paraId="49B0953C" w14:textId="77777777" w:rsidR="009543AD" w:rsidRPr="009543AD" w:rsidRDefault="009543AD" w:rsidP="009543AD">
      <w:pPr>
        <w:spacing w:line="360" w:lineRule="auto"/>
        <w:rPr>
          <w:rFonts w:ascii="Times New Roman" w:hAnsi="Times New Roman" w:cs="Times New Roman"/>
          <w:szCs w:val="21"/>
        </w:rPr>
      </w:pPr>
    </w:p>
    <w:p w14:paraId="165A0800" w14:textId="77777777"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16 Progress of Study </w:t>
      </w:r>
    </w:p>
    <w:p w14:paraId="16F19C61"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Expected trial start time: Feb 2020; </w:t>
      </w:r>
    </w:p>
    <w:p w14:paraId="4E08E771"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Expected completion time: May 2023; </w:t>
      </w:r>
    </w:p>
    <w:p w14:paraId="46A3A85A"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Expected end of trial: Sep 2026. </w:t>
      </w:r>
    </w:p>
    <w:p w14:paraId="0F7E576B" w14:textId="77777777" w:rsidR="009543AD" w:rsidRPr="009543AD" w:rsidRDefault="009543AD" w:rsidP="009543AD">
      <w:pPr>
        <w:spacing w:line="360" w:lineRule="auto"/>
        <w:rPr>
          <w:rFonts w:ascii="Times New Roman" w:hAnsi="Times New Roman" w:cs="Times New Roman"/>
          <w:szCs w:val="21"/>
        </w:rPr>
      </w:pPr>
    </w:p>
    <w:p w14:paraId="7CEC6BB9" w14:textId="405E1CA9" w:rsidR="009543AD" w:rsidRPr="009543AD" w:rsidRDefault="009543AD" w:rsidP="009543AD">
      <w:pPr>
        <w:spacing w:line="360" w:lineRule="auto"/>
        <w:rPr>
          <w:rFonts w:ascii="Times New Roman" w:hAnsi="Times New Roman" w:cs="Times New Roman"/>
          <w:b/>
          <w:bCs/>
          <w:szCs w:val="21"/>
        </w:rPr>
      </w:pPr>
      <w:r w:rsidRPr="009543AD">
        <w:rPr>
          <w:rFonts w:ascii="Times New Roman" w:hAnsi="Times New Roman" w:cs="Times New Roman"/>
          <w:b/>
          <w:bCs/>
          <w:szCs w:val="21"/>
        </w:rPr>
        <w:t xml:space="preserve">17 Principal center and investigator </w:t>
      </w:r>
    </w:p>
    <w:p w14:paraId="14ED9FD5"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Principle center: Tianjin Medical University Cancer Institute &amp; Hospital </w:t>
      </w:r>
    </w:p>
    <w:p w14:paraId="7B19592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Principle Investigator: </w:t>
      </w:r>
      <w:proofErr w:type="spellStart"/>
      <w:r w:rsidRPr="009543AD">
        <w:rPr>
          <w:rFonts w:ascii="Times New Roman" w:hAnsi="Times New Roman" w:cs="Times New Roman"/>
          <w:szCs w:val="21"/>
        </w:rPr>
        <w:t>Peiguo</w:t>
      </w:r>
      <w:proofErr w:type="spellEnd"/>
      <w:r w:rsidRPr="009543AD">
        <w:rPr>
          <w:rFonts w:ascii="Times New Roman" w:hAnsi="Times New Roman" w:cs="Times New Roman"/>
          <w:szCs w:val="21"/>
        </w:rPr>
        <w:t xml:space="preserve"> Wang </w:t>
      </w:r>
    </w:p>
    <w:p w14:paraId="167E6F3C"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 xml:space="preserve">Address: Tianjin Medical University Cancer Institute &amp; Hospital, </w:t>
      </w:r>
      <w:bookmarkStart w:id="18" w:name="OLE_LINK49"/>
      <w:bookmarkStart w:id="19" w:name="OLE_LINK50"/>
      <w:r w:rsidRPr="009543AD">
        <w:rPr>
          <w:rFonts w:ascii="Times New Roman" w:hAnsi="Times New Roman" w:cs="Times New Roman"/>
          <w:szCs w:val="21"/>
        </w:rPr>
        <w:t xml:space="preserve">West </w:t>
      </w:r>
      <w:proofErr w:type="spellStart"/>
      <w:r w:rsidRPr="009543AD">
        <w:rPr>
          <w:rFonts w:ascii="Times New Roman" w:hAnsi="Times New Roman" w:cs="Times New Roman"/>
          <w:szCs w:val="21"/>
        </w:rPr>
        <w:t>Huanhu</w:t>
      </w:r>
      <w:proofErr w:type="spellEnd"/>
      <w:r w:rsidRPr="009543AD">
        <w:rPr>
          <w:rFonts w:ascii="Times New Roman" w:hAnsi="Times New Roman" w:cs="Times New Roman"/>
          <w:szCs w:val="21"/>
        </w:rPr>
        <w:t xml:space="preserve"> Road, West River </w:t>
      </w:r>
      <w:r w:rsidRPr="009543AD">
        <w:rPr>
          <w:rFonts w:ascii="Times New Roman" w:hAnsi="Times New Roman" w:cs="Times New Roman"/>
          <w:szCs w:val="21"/>
        </w:rPr>
        <w:lastRenderedPageBreak/>
        <w:t>District, Tianjin 300060, China</w:t>
      </w:r>
      <w:bookmarkEnd w:id="18"/>
      <w:bookmarkEnd w:id="19"/>
    </w:p>
    <w:p w14:paraId="0B7E15A9"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Tel: 86-22-23340123-1141</w:t>
      </w:r>
    </w:p>
    <w:p w14:paraId="7F11A518" w14:textId="77777777" w:rsidR="009543AD" w:rsidRPr="009543AD" w:rsidRDefault="009543AD" w:rsidP="009543AD">
      <w:pPr>
        <w:spacing w:line="360" w:lineRule="auto"/>
        <w:rPr>
          <w:rFonts w:ascii="Times New Roman" w:hAnsi="Times New Roman" w:cs="Times New Roman"/>
          <w:szCs w:val="21"/>
        </w:rPr>
      </w:pPr>
      <w:r w:rsidRPr="009543AD">
        <w:rPr>
          <w:rFonts w:ascii="Times New Roman" w:hAnsi="Times New Roman" w:cs="Times New Roman"/>
          <w:szCs w:val="21"/>
        </w:rPr>
        <w:t>Fax: 86-22-23340123</w:t>
      </w:r>
    </w:p>
    <w:p w14:paraId="13B89ED5" w14:textId="77777777" w:rsidR="00665A1F" w:rsidRDefault="00665A1F">
      <w:pPr>
        <w:rPr>
          <w:rFonts w:ascii="Times New Roman" w:hAnsi="Times New Roman" w:cs="Times New Roman" w:hint="eastAsia"/>
          <w:szCs w:val="21"/>
        </w:rPr>
      </w:pPr>
      <w:bookmarkStart w:id="20" w:name="_Toc20851"/>
      <w:bookmarkStart w:id="21" w:name="_Toc8943"/>
      <w:bookmarkEnd w:id="12"/>
      <w:bookmarkEnd w:id="13"/>
      <w:bookmarkEnd w:id="14"/>
      <w:bookmarkEnd w:id="15"/>
      <w:bookmarkEnd w:id="16"/>
      <w:bookmarkEnd w:id="20"/>
      <w:bookmarkEnd w:id="21"/>
    </w:p>
    <w:sectPr w:rsidR="00665A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B9D07" w14:textId="77777777" w:rsidR="00AA3A40" w:rsidRDefault="00AA3A40" w:rsidP="003A7DBD">
      <w:pPr>
        <w:rPr>
          <w:rFonts w:hint="eastAsia"/>
        </w:rPr>
      </w:pPr>
      <w:r>
        <w:separator/>
      </w:r>
    </w:p>
  </w:endnote>
  <w:endnote w:type="continuationSeparator" w:id="0">
    <w:p w14:paraId="68E4FF52" w14:textId="77777777" w:rsidR="00AA3A40" w:rsidRDefault="00AA3A40" w:rsidP="003A7DB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AB44" w14:textId="77777777" w:rsidR="009543AD" w:rsidRDefault="009543AD">
    <w:pPr>
      <w:pStyle w:val="a5"/>
      <w:framePr w:wrap="around" w:vAnchor="text" w:hAnchor="margin" w:xAlign="center" w:y="1"/>
      <w:rPr>
        <w:rStyle w:val="a8"/>
        <w:rFonts w:hint="eastAsia"/>
      </w:rPr>
    </w:pPr>
    <w:r>
      <w:rPr>
        <w:rStyle w:val="a8"/>
      </w:rPr>
      <w:fldChar w:fldCharType="begin"/>
    </w:r>
    <w:r>
      <w:rPr>
        <w:rStyle w:val="a8"/>
      </w:rPr>
      <w:instrText xml:space="preserve">PAGE  </w:instrText>
    </w:r>
    <w:r>
      <w:rPr>
        <w:rStyle w:val="a8"/>
      </w:rPr>
      <w:fldChar w:fldCharType="end"/>
    </w:r>
  </w:p>
  <w:p w14:paraId="08F91DC8" w14:textId="77777777" w:rsidR="009543AD" w:rsidRDefault="009543AD">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7D92D" w14:textId="77777777" w:rsidR="009543AD" w:rsidRDefault="009543AD">
    <w:pPr>
      <w:pStyle w:val="a5"/>
      <w:rPr>
        <w:rFonts w:hint="eastAsia"/>
      </w:rPr>
    </w:pPr>
    <w:r>
      <w:rPr>
        <w:noProof/>
      </w:rPr>
      <mc:AlternateContent>
        <mc:Choice Requires="wps">
          <w:drawing>
            <wp:anchor distT="0" distB="0" distL="114300" distR="114300" simplePos="0" relativeHeight="251659264" behindDoc="0" locked="0" layoutInCell="1" allowOverlap="1" wp14:anchorId="7A156DE1" wp14:editId="23253E96">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4B05DFF" w14:textId="77777777" w:rsidR="009543AD" w:rsidRDefault="009543AD">
                          <w:pPr>
                            <w:pStyle w:val="a5"/>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A156DE1"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44B05DFF" w14:textId="77777777" w:rsidR="009543AD" w:rsidRDefault="009543AD">
                    <w:pPr>
                      <w:pStyle w:val="a5"/>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1140" w14:textId="77777777" w:rsidR="009543AD" w:rsidRDefault="009543AD">
    <w:pPr>
      <w:pStyle w:val="a5"/>
      <w:jc w:val="center"/>
      <w:rPr>
        <w:rFonts w:hint="eastAsia"/>
      </w:rPr>
    </w:pPr>
    <w:r>
      <w:fldChar w:fldCharType="begin"/>
    </w:r>
    <w:r>
      <w:instrText xml:space="preserve"> PAGE   \* MERGEFORMAT </w:instrText>
    </w:r>
    <w:r>
      <w:fldChar w:fldCharType="separate"/>
    </w:r>
    <w:r>
      <w:rPr>
        <w:lang w:val="zh-CN"/>
      </w:rPr>
      <w:t>0</w:t>
    </w:r>
    <w:r>
      <w:rPr>
        <w:lang w:val="zh-CN"/>
      </w:rPr>
      <w:fldChar w:fldCharType="end"/>
    </w:r>
  </w:p>
  <w:p w14:paraId="474C7660" w14:textId="77777777" w:rsidR="009543AD" w:rsidRDefault="009543AD">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EE13" w14:textId="77777777" w:rsidR="00AA3A40" w:rsidRDefault="00AA3A40" w:rsidP="003A7DBD">
      <w:pPr>
        <w:rPr>
          <w:rFonts w:hint="eastAsia"/>
        </w:rPr>
      </w:pPr>
      <w:r>
        <w:separator/>
      </w:r>
    </w:p>
  </w:footnote>
  <w:footnote w:type="continuationSeparator" w:id="0">
    <w:p w14:paraId="53833461" w14:textId="77777777" w:rsidR="00AA3A40" w:rsidRDefault="00AA3A40" w:rsidP="003A7DB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7257" w14:textId="77777777" w:rsidR="009543AD" w:rsidRDefault="009543AD">
    <w:pPr>
      <w:spacing w:line="360" w:lineRule="auto"/>
      <w:jc w:val="left"/>
      <w:rPr>
        <w:rFonts w:hint="eastAsia"/>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765"/>
    <w:rsid w:val="0003195B"/>
    <w:rsid w:val="002849C9"/>
    <w:rsid w:val="00296DB0"/>
    <w:rsid w:val="003724D4"/>
    <w:rsid w:val="003A7DBD"/>
    <w:rsid w:val="0043490F"/>
    <w:rsid w:val="00493CA7"/>
    <w:rsid w:val="005F610F"/>
    <w:rsid w:val="00665A1F"/>
    <w:rsid w:val="0068268F"/>
    <w:rsid w:val="00731B40"/>
    <w:rsid w:val="00755765"/>
    <w:rsid w:val="00855F7C"/>
    <w:rsid w:val="009543AD"/>
    <w:rsid w:val="009832EA"/>
    <w:rsid w:val="0099518B"/>
    <w:rsid w:val="009A5836"/>
    <w:rsid w:val="00A65B5A"/>
    <w:rsid w:val="00AA3A40"/>
    <w:rsid w:val="00AB5EF4"/>
    <w:rsid w:val="00B01DB8"/>
    <w:rsid w:val="00B17F7A"/>
    <w:rsid w:val="00C06B3C"/>
    <w:rsid w:val="00C24EB8"/>
    <w:rsid w:val="00C816E6"/>
    <w:rsid w:val="00CE2C8F"/>
    <w:rsid w:val="00D3614F"/>
    <w:rsid w:val="00D86B14"/>
    <w:rsid w:val="00DE600A"/>
    <w:rsid w:val="00EC7E64"/>
    <w:rsid w:val="00F3350E"/>
    <w:rsid w:val="00FA1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692AB"/>
  <w15:chartTrackingRefBased/>
  <w15:docId w15:val="{E4E4EF1D-B7DF-4052-BD15-08F8A13E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D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DBD"/>
    <w:pPr>
      <w:tabs>
        <w:tab w:val="center" w:pos="4153"/>
        <w:tab w:val="right" w:pos="8306"/>
      </w:tabs>
      <w:snapToGrid w:val="0"/>
      <w:jc w:val="center"/>
    </w:pPr>
    <w:rPr>
      <w:sz w:val="18"/>
      <w:szCs w:val="18"/>
    </w:rPr>
  </w:style>
  <w:style w:type="character" w:customStyle="1" w:styleId="a4">
    <w:name w:val="页眉 字符"/>
    <w:basedOn w:val="a0"/>
    <w:link w:val="a3"/>
    <w:uiPriority w:val="99"/>
    <w:rsid w:val="003A7DBD"/>
    <w:rPr>
      <w:sz w:val="18"/>
      <w:szCs w:val="18"/>
    </w:rPr>
  </w:style>
  <w:style w:type="paragraph" w:styleId="a5">
    <w:name w:val="footer"/>
    <w:basedOn w:val="a"/>
    <w:link w:val="a6"/>
    <w:uiPriority w:val="99"/>
    <w:unhideWhenUsed/>
    <w:qFormat/>
    <w:rsid w:val="003A7DBD"/>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3A7DBD"/>
    <w:rPr>
      <w:sz w:val="18"/>
      <w:szCs w:val="18"/>
    </w:rPr>
  </w:style>
  <w:style w:type="table" w:styleId="a7">
    <w:name w:val="Table Grid"/>
    <w:basedOn w:val="a1"/>
    <w:uiPriority w:val="39"/>
    <w:qFormat/>
    <w:rsid w:val="003A7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rsid w:val="00954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23</Pages>
  <Words>6461</Words>
  <Characters>36828</Characters>
  <Application>Microsoft Office Word</Application>
  <DocSecurity>0</DocSecurity>
  <Lines>306</Lines>
  <Paragraphs>86</Paragraphs>
  <ScaleCrop>false</ScaleCrop>
  <Company/>
  <LinksUpToDate>false</LinksUpToDate>
  <CharactersWithSpaces>43203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qx wang</dc:creator>
  <cp:keywords/>
  <dc:description/>
  <cp:lastModifiedBy>qx wang</cp:lastModifiedBy>
  <cp:revision>14</cp:revision>
  <dcterms:created xsi:type="dcterms:W3CDTF">2024-10-21T05:48:00Z</dcterms:created>
  <dcterms:modified xsi:type="dcterms:W3CDTF">2025-02-18T07:37:00Z</dcterms:modified>
</cp:coreProperties>
</file>