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F74F" w14:textId="60B13C33" w:rsidR="00FC7771" w:rsidRPr="00FC7771" w:rsidRDefault="00FC7771" w:rsidP="00FC7771">
      <w:pPr>
        <w:widowControl/>
        <w:spacing w:afterLines="50" w:after="163" w:line="480" w:lineRule="auto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  <w:szCs w:val="24"/>
        </w:rPr>
      </w:pPr>
    </w:p>
    <w:p w14:paraId="2E9568B1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b/>
          <w:bCs/>
          <w:kern w:val="0"/>
          <w:sz w:val="28"/>
          <w:szCs w:val="28"/>
        </w:rPr>
      </w:pPr>
      <w:r w:rsidRPr="00ED114C">
        <w:rPr>
          <w:rFonts w:ascii="Times New Roman" w:eastAsia="宋体" w:hAnsi="Times New Roman" w:cs="Times New Roman"/>
          <w:b/>
          <w:bCs/>
          <w:noProof/>
          <w:kern w:val="0"/>
          <w:sz w:val="28"/>
          <w:szCs w:val="28"/>
        </w:rPr>
        <w:drawing>
          <wp:inline distT="0" distB="0" distL="0" distR="0" wp14:anchorId="4A4AD625" wp14:editId="3406192B">
            <wp:extent cx="4983480" cy="7025640"/>
            <wp:effectExtent l="0" t="0" r="7620" b="3810"/>
            <wp:docPr id="10606809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680964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702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23B8" w14:textId="77777777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Figure S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1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.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Correlation between circulating exhausted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cells and clinical features.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(A)</w:t>
      </w:r>
      <w:r w:rsidRPr="00ED114C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Flow cytometry was used to evaluate the production of IFN-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γ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, TNF-a, and IL-2 in CD44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PD-1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exhausted CD8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 cells 4.5 hours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after stimulation with PMA/ionomycin in PBMCs from T1D patients</w:t>
      </w:r>
      <w:bookmarkStart w:id="0" w:name="OLE_LINK12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(n=45) </w:t>
      </w:r>
      <w:bookmarkEnd w:id="0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and healthy controls(n=47).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(B)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IFN-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γ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, TNF-a, and IL-2 levels in TPEX and TEX from T1D patients.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(n=45). 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(C)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The frequencies of circulating exhausted CD8+ T cells in type 1 diabetic patients within 2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lastRenderedPageBreak/>
        <w:t>years from diagnosis (n =22) and in those with a disease duration &gt;2 years from diagnosis (n =37).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 (D)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The percentage of changes of circulating exhausted CD8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 cells subsets in type 1 diabetic patients followed 6 months investigation (n=10).</w:t>
      </w:r>
      <w:r w:rsidRPr="00ED114C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(E)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The frequency of circulating exhausted CD8+ T lymphocytes was measured in both rapid (n = 7) and slow (n = 5) T1D progressors. *P&lt;0.05; **P&lt;0.01; ****P&lt;0.0001. two-sided Student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’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s t-test (A-C, E); two-sided paired Student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’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s t-test (D).</w:t>
      </w:r>
    </w:p>
    <w:p w14:paraId="490D2661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18863D98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0F5A856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1B47ED52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16822DB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030DEAA7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7EFB9E5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2BB6CFF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B514534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69004449" wp14:editId="4A48912A">
            <wp:extent cx="5274310" cy="5239385"/>
            <wp:effectExtent l="0" t="0" r="2540" b="0"/>
            <wp:docPr id="11311325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32535" name="图片 11311325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3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8E289" w14:textId="2826C2B9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 w:hint="eastAsia"/>
          <w:b/>
          <w:bCs/>
          <w:color w:val="222222"/>
          <w:kern w:val="0"/>
          <w:sz w:val="24"/>
          <w:szCs w:val="24"/>
          <w:shd w:val="clear" w:color="auto" w:fill="FFFFFF"/>
        </w:rPr>
        <w:t>Figure S</w:t>
      </w:r>
      <w:r w:rsidRPr="00ED114C">
        <w:rPr>
          <w:rFonts w:ascii="Whitney" w:eastAsia="宋体" w:hAnsi="Whitney" w:cs="宋体" w:hint="eastAsia"/>
          <w:b/>
          <w:bCs/>
          <w:kern w:val="0"/>
          <w:sz w:val="24"/>
          <w:szCs w:val="24"/>
        </w:rPr>
        <w:t>2.</w:t>
      </w:r>
      <w:r w:rsidRPr="00ED114C">
        <w:rPr>
          <w:rFonts w:ascii="Whitney" w:eastAsia="宋体" w:hAnsi="Whitney" w:cs="宋体"/>
          <w:b/>
          <w:bCs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Quantification, functionality and Co-receptor expression of exhausted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cells in NOD mice</w:t>
      </w:r>
      <w:r w:rsidR="005D2EFC" w:rsidRPr="00ED114C">
        <w:rPr>
          <w:rFonts w:hint="eastAsia"/>
        </w:rPr>
        <w:t xml:space="preserve"> </w:t>
      </w:r>
      <w:r w:rsidR="005D2EFC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aged 8-13 weeks</w:t>
      </w:r>
      <w:r w:rsidR="00223D4C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(n=10/group)</w:t>
      </w:r>
      <w:r w:rsidR="005D2EFC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.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(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A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, C and E)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Immune checkpoint expression in non-exhausted and </w:t>
      </w:r>
      <w:bookmarkStart w:id="1" w:name="_Hlk182684586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exhausted </w:t>
      </w:r>
      <w:bookmarkEnd w:id="1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CD8+ T cells from </w:t>
      </w:r>
      <w:bookmarkStart w:id="2" w:name="_Hlk182684821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the lymph nodes and spleen </w:t>
      </w:r>
      <w:bookmarkEnd w:id="2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in NOD mice.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(B,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D and F)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Immune checkpoint expression in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subsets from Lymph nodes in NOD mice.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(G and H)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T-bet and </w:t>
      </w:r>
      <w:proofErr w:type="spellStart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Eomes</w:t>
      </w:r>
      <w:proofErr w:type="spellEnd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are expressed on non-exhausted and exhausted CD8+ T cells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from</w:t>
      </w:r>
      <w:r w:rsidRPr="00ED114C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the lymph nodes and spleen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NOD mice.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(I)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T-bet and </w:t>
      </w:r>
      <w:proofErr w:type="spellStart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Eomes</w:t>
      </w:r>
      <w:proofErr w:type="spellEnd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are expressed on 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xhausted CD8+ T subset from Lymph nodes in NOD mice.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(J)</w:t>
      </w:r>
      <w:r w:rsidRPr="00ED114C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CD36 expression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on non-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xhausted and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from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the lymph nodes and spleen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NOD mice. </w:t>
      </w: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(K)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CD36 expression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on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+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T subsets from Lymph nodes in NOD mice.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Mann-Whitney test (A-K). Data represent at least two independent experiments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56778B58" w14:textId="77777777" w:rsidR="00FC7771" w:rsidRPr="00ED114C" w:rsidRDefault="00FC7771" w:rsidP="00FC7771">
      <w:pPr>
        <w:widowControl/>
        <w:spacing w:line="480" w:lineRule="auto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43298643" w14:textId="77777777" w:rsidR="00FC7771" w:rsidRPr="00ED114C" w:rsidRDefault="00FC7771" w:rsidP="00FC7771">
      <w:pPr>
        <w:widowControl/>
        <w:spacing w:line="480" w:lineRule="auto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2B108345" w14:textId="77777777" w:rsidR="00FC7771" w:rsidRPr="00ED114C" w:rsidRDefault="00FC7771" w:rsidP="00FC7771">
      <w:pPr>
        <w:widowControl/>
        <w:spacing w:line="480" w:lineRule="auto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3388BA1F" w14:textId="77777777" w:rsidR="00FC7771" w:rsidRPr="00ED114C" w:rsidRDefault="00FC7771" w:rsidP="00FC7771">
      <w:pPr>
        <w:widowControl/>
        <w:rPr>
          <w:rFonts w:ascii="Times New Roman" w:eastAsia="宋体" w:hAnsi="Times New Roman" w:cs="Times New Roman"/>
          <w:b/>
          <w:bCs/>
          <w:color w:val="222222"/>
          <w:kern w:val="0"/>
          <w:sz w:val="24"/>
          <w:szCs w:val="24"/>
          <w:shd w:val="clear" w:color="auto" w:fill="FFFFFF"/>
        </w:rPr>
      </w:pPr>
      <w:r w:rsidRPr="00ED114C">
        <w:rPr>
          <w:rFonts w:ascii="Times New Roman" w:eastAsia="宋体" w:hAnsi="Times New Roman" w:cs="Times New Roman"/>
          <w:b/>
          <w:bCs/>
          <w:noProof/>
          <w:color w:val="222222"/>
          <w:kern w:val="0"/>
          <w:sz w:val="24"/>
          <w:szCs w:val="24"/>
          <w:shd w:val="clear" w:color="auto" w:fill="FFFFFF"/>
        </w:rPr>
        <w:lastRenderedPageBreak/>
        <w:drawing>
          <wp:inline distT="0" distB="0" distL="0" distR="0" wp14:anchorId="5CF5E0A2" wp14:editId="5FB781AA">
            <wp:extent cx="5274310" cy="5236210"/>
            <wp:effectExtent l="0" t="0" r="2540" b="2540"/>
            <wp:docPr id="116597033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970339" name="图片 11659703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3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8F8C0" w14:textId="24007926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 w:hint="eastAsia"/>
          <w:b/>
          <w:bCs/>
          <w:color w:val="222222"/>
          <w:kern w:val="0"/>
          <w:sz w:val="24"/>
          <w:szCs w:val="24"/>
          <w:shd w:val="clear" w:color="auto" w:fill="FFFFFF"/>
        </w:rPr>
        <w:t>Figure S</w:t>
      </w:r>
      <w:r w:rsidRPr="00ED114C">
        <w:rPr>
          <w:rFonts w:ascii="Whitney" w:eastAsia="宋体" w:hAnsi="Whitney" w:cs="宋体" w:hint="eastAsia"/>
          <w:b/>
          <w:bCs/>
          <w:kern w:val="0"/>
          <w:sz w:val="24"/>
          <w:szCs w:val="24"/>
        </w:rPr>
        <w:t>3.</w:t>
      </w:r>
      <w:r w:rsidRPr="00ED114C">
        <w:rPr>
          <w:rFonts w:ascii="Whitney" w:eastAsia="宋体" w:hAnsi="Whitney" w:cs="宋体"/>
          <w:b/>
          <w:bCs/>
          <w:kern w:val="0"/>
          <w:sz w:val="24"/>
          <w:szCs w:val="24"/>
        </w:rPr>
        <w:t xml:space="preserve"> </w:t>
      </w:r>
      <w:bookmarkStart w:id="3" w:name="_Hlk186993205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Exhausted CD8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 cells exhibit changes in glucose, lipid, and mitochondrial metabolism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NOD mice</w:t>
      </w:r>
      <w:bookmarkEnd w:id="3"/>
      <w:r w:rsidR="005D2EFC" w:rsidRPr="00ED114C">
        <w:rPr>
          <w:rFonts w:hint="eastAsia"/>
        </w:rPr>
        <w:t xml:space="preserve"> </w:t>
      </w:r>
      <w:r w:rsidR="005D2EFC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aged 8-13 weeks</w:t>
      </w:r>
      <w:r w:rsidR="00223D4C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(n=8/group)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(A) 2-NBDG, (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B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) Bodipy 493, (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C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) MTG and (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D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) MTR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expression of on non-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xhausted and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cells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f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rom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Lymph nodes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or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spleen or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T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PEX and TEX populations from Lymph nodes in NOD mice. (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) normalized ΔΨm (MTR/MTG ratio)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PEX and TEX populations from Lymph nodes in NOD mice.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(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F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proofErr w:type="spellStart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Cytoc</w:t>
      </w:r>
      <w:proofErr w:type="spellEnd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, (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G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)ATP5O and (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H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)</w:t>
      </w:r>
      <w:proofErr w:type="spellStart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MitoSOX</w:t>
      </w:r>
      <w:proofErr w:type="spellEnd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red on non-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xhausted and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e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from Lymph nodes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and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spleen or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T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PEX and TEX populations from Lymph nodes in NOD mice. *P&lt;0.05; **P&lt;0.01; ***P&lt;0.001; ****P&lt;0.0001.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Mann-Whitney test (A-H). Data represent at least two independent experiments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334BAE26" w14:textId="77777777" w:rsidR="00FC7771" w:rsidRPr="00ED114C" w:rsidRDefault="00FC7771" w:rsidP="00FC7771">
      <w:pPr>
        <w:widowControl/>
        <w:spacing w:line="480" w:lineRule="auto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7964BDD2" w14:textId="77777777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8D30F36" w14:textId="77777777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3FB5013" w14:textId="77777777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1B3BD15B" w14:textId="77777777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0DB4B7A" w14:textId="77777777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7EB62BB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/>
          <w:noProof/>
          <w:kern w:val="0"/>
          <w:sz w:val="24"/>
          <w:szCs w:val="24"/>
        </w:rPr>
        <w:drawing>
          <wp:inline distT="0" distB="0" distL="0" distR="0" wp14:anchorId="1DF6364B" wp14:editId="098DA56E">
            <wp:extent cx="5274310" cy="4738370"/>
            <wp:effectExtent l="0" t="0" r="2540" b="5080"/>
            <wp:docPr id="210625254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252546" name="图片 21062525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790D9" w14:textId="4B15CC01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 w:hint="eastAsia"/>
          <w:b/>
          <w:bCs/>
          <w:color w:val="222222"/>
          <w:kern w:val="0"/>
          <w:sz w:val="24"/>
          <w:szCs w:val="24"/>
          <w:shd w:val="clear" w:color="auto" w:fill="FFFFFF"/>
        </w:rPr>
        <w:t>Figure S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4.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bookmarkStart w:id="4" w:name="_Hlk186993306"/>
      <w:r w:rsidRPr="00ED114C">
        <w:rPr>
          <w:rFonts w:ascii="TradeGothicLTStd" w:eastAsia="宋体" w:hAnsi="TradeGothicLTStd" w:cs="宋体"/>
          <w:kern w:val="0"/>
          <w:sz w:val="24"/>
          <w:szCs w:val="24"/>
        </w:rPr>
        <w:t xml:space="preserve">Induction of TEX cells by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blockade of Mitochondrial fission</w:t>
      </w:r>
      <w:r w:rsidRPr="00ED114C">
        <w:rPr>
          <w:rFonts w:ascii="宋体" w:eastAsia="宋体" w:hAnsi="宋体" w:cs="宋体"/>
          <w:kern w:val="0"/>
          <w:sz w:val="24"/>
          <w:szCs w:val="24"/>
        </w:rPr>
        <w:t>.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CD44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PD-1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exhausted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cells</w:t>
      </w:r>
      <w:bookmarkEnd w:id="4"/>
      <w:r w:rsidR="00223D4C" w:rsidRPr="00ED114C">
        <w:rPr>
          <w:rFonts w:hint="eastAsia"/>
        </w:rPr>
        <w:t xml:space="preserve"> </w:t>
      </w:r>
      <w:r w:rsidR="00223D4C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(n=8/group)</w:t>
      </w:r>
      <w:r w:rsidR="00F40453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r w:rsidR="00CC6B31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(A) TPEX and TEX cells (B)were measured by flow cytometry from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cells after 4 h of </w:t>
      </w:r>
      <w:r w:rsidRPr="00ED114C">
        <w:rPr>
          <w:rFonts w:ascii="Times New Roman" w:eastAsia="宋体" w:hAnsi="Times New Roman" w:cs="Times New Roman"/>
          <w:kern w:val="0"/>
          <w:sz w:val="22"/>
          <w:szCs w:val="24"/>
        </w:rPr>
        <w:t>anti-CD3/anti-CD28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or IGPR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ED114C">
        <w:rPr>
          <w:rFonts w:ascii="Whitney" w:eastAsia="宋体" w:hAnsi="Whitney" w:cs="宋体"/>
          <w:kern w:val="0"/>
          <w:sz w:val="24"/>
          <w:szCs w:val="24"/>
        </w:rPr>
        <w:t>restimulation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cultured under indicated conditions.</w:t>
      </w:r>
      <w:r w:rsidRPr="00ED114C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Flow cytometry was used to evaluate IFN-</w:t>
      </w:r>
      <w:r w:rsidRPr="00ED114C">
        <w:rPr>
          <w:rFonts w:ascii="Symbol" w:eastAsia="宋体" w:hAnsi="Symbol" w:cs="Times New Roman"/>
          <w:kern w:val="0"/>
          <w:sz w:val="24"/>
          <w:szCs w:val="24"/>
        </w:rPr>
        <w:t>⁧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TNF-</w:t>
      </w:r>
      <w:r w:rsidRPr="00ED114C">
        <w:rPr>
          <w:rFonts w:ascii="Symbol" w:eastAsia="宋体" w:hAnsi="Symbol" w:cs="Times New Roman"/>
          <w:kern w:val="0"/>
          <w:sz w:val="24"/>
          <w:szCs w:val="24"/>
        </w:rPr>
        <w:t>⁡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expressions in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cells from TPEX (C) and TEX (D) cells after 4 hours of anti-CD3/anti-CD28 or IGPR restimulation under specific conditions *P &lt; 0.05, **P&lt;0.01, ***P &lt; 0.001, ****P &lt; 0.0001.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one-way ANOVA(A-D). Data represent at least two independent experiments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7ABCCAC4" w14:textId="77777777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</w:p>
    <w:p w14:paraId="37BBBDCF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86D8ABD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5D7034A6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34A0A2CA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1191FB19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</w:p>
    <w:p w14:paraId="285AAE26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/>
          <w:b/>
          <w:bCs/>
          <w:noProof/>
          <w:kern w:val="0"/>
          <w:sz w:val="24"/>
          <w:szCs w:val="24"/>
        </w:rPr>
        <w:lastRenderedPageBreak/>
        <w:drawing>
          <wp:inline distT="0" distB="0" distL="0" distR="0" wp14:anchorId="1A1019B2" wp14:editId="76B685FF">
            <wp:extent cx="5274310" cy="7618730"/>
            <wp:effectExtent l="0" t="0" r="2540" b="1270"/>
            <wp:docPr id="8110583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058316" name="图片 8110583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61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7A6E5" w14:textId="2252A147" w:rsidR="00FC7771" w:rsidRPr="00ED114C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Figure S5.</w:t>
      </w:r>
      <w:bookmarkStart w:id="5" w:name="_Hlk186993348"/>
      <w:r w:rsidRPr="00ED114C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  <w:bookmarkStart w:id="6" w:name="_Hlk182686316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Single-cell RNA sequencing was performed on CD8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 cells from NY8.3 mice 7 days after they were treated with anti-CD3mAb and IGRP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bscript"/>
        </w:rPr>
        <w:t>206-214</w:t>
      </w:r>
      <w:bookmarkEnd w:id="6"/>
      <w:r w:rsidR="00F40453"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bscript"/>
        </w:rPr>
        <w:t>.</w:t>
      </w:r>
      <w:r w:rsidR="00F40453" w:rsidRPr="00ED114C">
        <w:t xml:space="preserve"> </w:t>
      </w:r>
      <w:r w:rsidR="00F40453" w:rsidRPr="00ED114C">
        <w:rPr>
          <w:rFonts w:ascii="Times New Roman" w:eastAsia="宋体" w:hAnsi="Times New Roman" w:cs="Times New Roman"/>
          <w:kern w:val="0"/>
          <w:sz w:val="24"/>
          <w:szCs w:val="24"/>
        </w:rPr>
        <w:t>n = 2 biologically independent samples</w:t>
      </w:r>
      <w:r w:rsidR="00272B04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.</w:t>
      </w:r>
      <w:bookmarkEnd w:id="5"/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(A)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Pathway enrichment analysis of the up-regulated differentially expressed genes between Teff cells treated with anti-CD3 </w:t>
      </w:r>
      <w:proofErr w:type="spellStart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mAb</w:t>
      </w:r>
      <w:proofErr w:type="spellEnd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and Teff cells treated with IGRP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bscript"/>
        </w:rPr>
        <w:t>206-214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(B) </w:t>
      </w:r>
      <w:proofErr w:type="spellStart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AUCell</w:t>
      </w:r>
      <w:proofErr w:type="spellEnd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scores for T cell </w:t>
      </w:r>
      <w:proofErr w:type="spellStart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signalling</w:t>
      </w:r>
      <w:proofErr w:type="spellEnd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pathways in five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lastRenderedPageBreak/>
        <w:t>CD8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 cell subsets from various treatment groups.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 (C)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Interactions between individual cell subgroups and others. The link size reflects the strength of the interaction. 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(D)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Bubble plots depict ligand-receptor pairings from various CD8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 xml:space="preserve">+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T cell subsets in different treatment groups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.</w:t>
      </w:r>
    </w:p>
    <w:p w14:paraId="212A76C9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51BBD74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440136F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93672BF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8DCF907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004A741D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3552599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349026BE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192B05D1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28ADEA5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448C30DD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513B6EB8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701359EA" w14:textId="77777777" w:rsidR="00FC7771" w:rsidRPr="00ED114C" w:rsidRDefault="00FC7771" w:rsidP="00FC7771">
      <w:pPr>
        <w:widowControl/>
        <w:spacing w:line="480" w:lineRule="auto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533F7AA7" wp14:editId="45512B9D">
            <wp:extent cx="5274310" cy="5975350"/>
            <wp:effectExtent l="0" t="0" r="2540" b="6350"/>
            <wp:docPr id="98924848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48484" name="图片 98924848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7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D5461" w14:textId="6C35F64E" w:rsidR="00FC7771" w:rsidRPr="00FC7771" w:rsidRDefault="00FC7771" w:rsidP="00FC7771">
      <w:pPr>
        <w:widowControl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Fig</w:t>
      </w:r>
      <w:r w:rsidRPr="00ED114C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>ure S6.</w:t>
      </w:r>
      <w:bookmarkStart w:id="7" w:name="_Hlk186993392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Blockade of Mitochondrial fission improves immunotherapy efficacy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of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a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nti-CD3 </w:t>
      </w:r>
      <w:proofErr w:type="spellStart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mAb</w:t>
      </w:r>
      <w:proofErr w:type="spellEnd"/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vitro</w:t>
      </w:r>
      <w:r w:rsidR="00C826EF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(n=4/group)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  <w:bookmarkEnd w:id="7"/>
      <w:r w:rsidRPr="00ED114C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(A)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Scheme designed for experimentation.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CD8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T cells from NY8.3 mice </w:t>
      </w:r>
      <w:r w:rsidR="005D2EFC"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aged 8-13 weeks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were sorted and activated with IGRP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bscript"/>
        </w:rPr>
        <w:t>206-214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overnight in the presence of IL-2. After washing, the cells were divided into five groups. Each group was then expanded with IL-2 (for activation) or co-cultured with IL-2 and IGRP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  <w:vertAlign w:val="subscript"/>
        </w:rPr>
        <w:t>206-214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(for 'continuous' activation) for 5 days, with media changes on a frequent basis to prevent nutritional depletion. This continuous post-activation expansion stage was conducted on round-bottomed plates using one of the following treatments: anti-CD3 monoclonal antibody (</w:t>
      </w:r>
      <w:proofErr w:type="spellStart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mAb</w:t>
      </w:r>
      <w:proofErr w:type="spellEnd"/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), OA, Mdivi-1 (OAM), or a combination of all three.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Flow cytograms (B) and assessment (C-E) of CD44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PD-1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 xml:space="preserve">+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exhausted CD8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  <w:vertAlign w:val="superscript"/>
        </w:rPr>
        <w:t>+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T cells. TPEX and TEX cells were produced similarly in (A). Flow cytograms (F and I) and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Levels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of IFN-</w:t>
      </w:r>
      <w:r w:rsidRPr="00ED114C">
        <w:rPr>
          <w:rFonts w:ascii="Symbol" w:eastAsia="宋体" w:hAnsi="Symbol" w:cs="Times New Roman"/>
          <w:kern w:val="0"/>
          <w:sz w:val="24"/>
          <w:szCs w:val="24"/>
        </w:rPr>
        <w:t xml:space="preserve">⁧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and TNF-</w:t>
      </w:r>
      <w:r w:rsidRPr="00ED114C">
        <w:rPr>
          <w:rFonts w:ascii="Symbol" w:eastAsia="宋体" w:hAnsi="Symbol" w:cs="Times New Roman"/>
          <w:kern w:val="0"/>
          <w:sz w:val="24"/>
          <w:szCs w:val="24"/>
        </w:rPr>
        <w:t>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in TPEX (G and H) and TEX (J and K) cells, as shown in 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lastRenderedPageBreak/>
        <w:t>(A). Data represent mean ± SD. *P &lt; 0.05, **P&lt;0.01, ***P &lt; 0.001, ****P &lt; 0.0001.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 xml:space="preserve"> one-way ANOVA (C-E, J-H, J-K).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Pr="00ED114C">
        <w:rPr>
          <w:rFonts w:ascii="Times New Roman" w:eastAsia="宋体" w:hAnsi="Times New Roman" w:cs="Times New Roman" w:hint="eastAsia"/>
          <w:kern w:val="0"/>
          <w:sz w:val="24"/>
          <w:szCs w:val="24"/>
        </w:rPr>
        <w:t>Data represent at least two independent experiments</w:t>
      </w:r>
      <w:r w:rsidRPr="00ED114C">
        <w:rPr>
          <w:rFonts w:ascii="Times New Roman" w:eastAsia="宋体" w:hAnsi="Times New Roman" w:cs="Times New Roman"/>
          <w:kern w:val="0"/>
          <w:sz w:val="24"/>
          <w:szCs w:val="24"/>
        </w:rPr>
        <w:t>.</w:t>
      </w:r>
    </w:p>
    <w:p w14:paraId="34D031A3" w14:textId="77777777" w:rsidR="000B699C" w:rsidRDefault="000B699C">
      <w:pPr>
        <w:rPr>
          <w:rFonts w:hint="eastAsia"/>
        </w:rPr>
      </w:pPr>
    </w:p>
    <w:sectPr w:rsidR="000B699C" w:rsidSect="00FC7771">
      <w:footerReference w:type="default" r:id="rId12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D3A03" w14:textId="77777777" w:rsidR="00EC71F1" w:rsidRDefault="00EC71F1">
      <w:pPr>
        <w:rPr>
          <w:rFonts w:hint="eastAsia"/>
        </w:rPr>
      </w:pPr>
      <w:r>
        <w:separator/>
      </w:r>
    </w:p>
  </w:endnote>
  <w:endnote w:type="continuationSeparator" w:id="0">
    <w:p w14:paraId="361CF802" w14:textId="77777777" w:rsidR="00EC71F1" w:rsidRDefault="00EC71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hitney">
    <w:altName w:val="Cambria"/>
    <w:charset w:val="00"/>
    <w:family w:val="roman"/>
    <w:pitch w:val="default"/>
  </w:font>
  <w:font w:name="TradeGothicLTStd">
    <w:altName w:val="Cambria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3777040"/>
      <w:docPartObj>
        <w:docPartGallery w:val="Page Numbers (Bottom of Page)"/>
        <w:docPartUnique/>
      </w:docPartObj>
    </w:sdtPr>
    <w:sdtContent>
      <w:p w14:paraId="560302CC" w14:textId="77777777" w:rsidR="00CB70EF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C8F2101" w14:textId="77777777" w:rsidR="00CB70EF" w:rsidRDefault="00CB70EF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6BFDB" w14:textId="77777777" w:rsidR="00EC71F1" w:rsidRDefault="00EC71F1">
      <w:pPr>
        <w:rPr>
          <w:rFonts w:hint="eastAsia"/>
        </w:rPr>
      </w:pPr>
      <w:r>
        <w:separator/>
      </w:r>
    </w:p>
  </w:footnote>
  <w:footnote w:type="continuationSeparator" w:id="0">
    <w:p w14:paraId="0513D576" w14:textId="77777777" w:rsidR="00EC71F1" w:rsidRDefault="00EC71F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771"/>
    <w:rsid w:val="000A46F8"/>
    <w:rsid w:val="000B699C"/>
    <w:rsid w:val="001823E4"/>
    <w:rsid w:val="00223D4C"/>
    <w:rsid w:val="00231CB7"/>
    <w:rsid w:val="002576F0"/>
    <w:rsid w:val="00272B04"/>
    <w:rsid w:val="003B1EF8"/>
    <w:rsid w:val="004A4B35"/>
    <w:rsid w:val="00506057"/>
    <w:rsid w:val="0058520C"/>
    <w:rsid w:val="00597BF2"/>
    <w:rsid w:val="005C2540"/>
    <w:rsid w:val="005C4CE1"/>
    <w:rsid w:val="005D2EFC"/>
    <w:rsid w:val="006811F3"/>
    <w:rsid w:val="007B4390"/>
    <w:rsid w:val="007D7DE6"/>
    <w:rsid w:val="007F40DD"/>
    <w:rsid w:val="008E422B"/>
    <w:rsid w:val="00AD5299"/>
    <w:rsid w:val="00B14213"/>
    <w:rsid w:val="00B95E62"/>
    <w:rsid w:val="00C826EF"/>
    <w:rsid w:val="00CB70EF"/>
    <w:rsid w:val="00CC6B31"/>
    <w:rsid w:val="00E778A7"/>
    <w:rsid w:val="00EA15D3"/>
    <w:rsid w:val="00EC71F1"/>
    <w:rsid w:val="00ED114C"/>
    <w:rsid w:val="00F40453"/>
    <w:rsid w:val="00FC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5AD94"/>
  <w15:chartTrackingRefBased/>
  <w15:docId w15:val="{10E6ADF4-33E7-4CFB-9EFF-7D57DB00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C7771"/>
    <w:pPr>
      <w:widowControl/>
      <w:tabs>
        <w:tab w:val="center" w:pos="4153"/>
        <w:tab w:val="right" w:pos="8306"/>
      </w:tabs>
      <w:snapToGrid w:val="0"/>
      <w:jc w:val="left"/>
    </w:pPr>
    <w:rPr>
      <w:rFonts w:ascii="宋体" w:eastAsia="宋体" w:hAnsi="宋体" w:cs="宋体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C7771"/>
    <w:rPr>
      <w:rFonts w:ascii="宋体" w:eastAsia="宋体" w:hAnsi="宋体" w:cs="宋体"/>
      <w:kern w:val="0"/>
      <w:sz w:val="18"/>
      <w:szCs w:val="18"/>
    </w:rPr>
  </w:style>
  <w:style w:type="character" w:styleId="a5">
    <w:name w:val="line number"/>
    <w:basedOn w:val="a0"/>
    <w:uiPriority w:val="99"/>
    <w:semiHidden/>
    <w:unhideWhenUsed/>
    <w:rsid w:val="00FC7771"/>
  </w:style>
  <w:style w:type="paragraph" w:styleId="a6">
    <w:name w:val="header"/>
    <w:basedOn w:val="a"/>
    <w:link w:val="a7"/>
    <w:uiPriority w:val="99"/>
    <w:unhideWhenUsed/>
    <w:rsid w:val="00B142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142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9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xinyu xu</dc:creator>
  <cp:keywords/>
  <dc:description/>
  <cp:lastModifiedBy>xinyu xu</cp:lastModifiedBy>
  <cp:revision>7</cp:revision>
  <dcterms:created xsi:type="dcterms:W3CDTF">2025-01-05T08:46:00Z</dcterms:created>
  <dcterms:modified xsi:type="dcterms:W3CDTF">2025-02-25T15:08:00Z</dcterms:modified>
</cp:coreProperties>
</file>