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hint="default" w:ascii="Times New Roman" w:hAnsi="Times New Roman" w:eastAsia="宋体" w:cs="Times New Roman"/>
          <w:sz w:val="20"/>
          <w:szCs w:val="20"/>
          <w:highlight w:val="none"/>
        </w:rPr>
        <w:id w:val="147455757"/>
        <w15:color w:val="DBDBDB"/>
        <w:docPartObj>
          <w:docPartGallery w:val="Table of Contents"/>
          <w:docPartUnique/>
        </w:docPartObj>
      </w:sdtPr>
      <w:sdtEndPr>
        <w:rPr>
          <w:rFonts w:hint="default" w:ascii="Times New Roman" w:hAnsi="Times New Roman" w:eastAsia="CIDFont" w:cs="Times New Roman"/>
          <w:bCs/>
          <w:color w:val="000000"/>
          <w:kern w:val="0"/>
          <w:sz w:val="20"/>
          <w:szCs w:val="20"/>
          <w:highlight w:val="none"/>
          <w:lang w:bidi="ar"/>
        </w:rPr>
      </w:sdtEndPr>
      <w:sdtContent>
        <w:p w14:paraId="44AA497D">
          <w:pPr>
            <w:jc w:val="center"/>
            <w:rPr>
              <w:rFonts w:hint="default" w:ascii="Times New Roman" w:hAnsi="Times New Roman" w:cs="Times New Roman"/>
              <w:sz w:val="20"/>
              <w:szCs w:val="20"/>
              <w:highlight w:val="none"/>
            </w:rPr>
          </w:pPr>
          <w:bookmarkStart w:id="21" w:name="_GoBack"/>
          <w:r>
            <w:rPr>
              <w:rFonts w:hint="default" w:ascii="Times New Roman" w:hAnsi="Times New Roman" w:cs="Times New Roman"/>
              <w:b/>
              <w:bCs/>
              <w:i w:val="0"/>
              <w:iCs w:val="0"/>
              <w:color w:val="auto"/>
              <w:sz w:val="20"/>
              <w:szCs w:val="20"/>
              <w:shd w:val="clear" w:color="auto" w:fill="FFFFFF"/>
              <w:lang w:val="en-US" w:eastAsia="zh-CN" w:bidi="ar"/>
            </w:rPr>
            <w:t>Additional File</w:t>
          </w:r>
          <w:r>
            <w:rPr>
              <w:rFonts w:hint="default" w:ascii="Times New Roman" w:hAnsi="Times New Roman" w:eastAsia="CIDFont" w:cs="Times New Roman"/>
              <w:b/>
              <w:bCs/>
              <w:color w:val="000000"/>
              <w:kern w:val="0"/>
              <w:sz w:val="20"/>
              <w:szCs w:val="20"/>
              <w:highlight w:val="none"/>
              <w:lang w:bidi="ar"/>
            </w:rPr>
            <w:t>s</w:t>
          </w:r>
          <w:bookmarkEnd w:id="21"/>
        </w:p>
        <w:p w14:paraId="3F4862C4">
          <w:pPr>
            <w:pStyle w:val="6"/>
            <w:tabs>
              <w:tab w:val="right" w:leader="dot" w:pos="13958"/>
            </w:tabs>
            <w:rPr>
              <w:rFonts w:hint="default" w:ascii="Times New Roman" w:hAnsi="Times New Roman" w:cs="Times New Roman"/>
              <w:sz w:val="20"/>
              <w:szCs w:val="20"/>
            </w:rPr>
          </w:pPr>
          <w:r>
            <w:rPr>
              <w:rFonts w:hint="default" w:ascii="Times New Roman" w:hAnsi="Times New Roman" w:eastAsia="CIDFont" w:cs="Times New Roman"/>
              <w:b/>
              <w:bCs/>
              <w:color w:val="000000"/>
              <w:kern w:val="0"/>
              <w:sz w:val="20"/>
              <w:szCs w:val="20"/>
              <w:highlight w:val="none"/>
              <w:lang w:bidi="ar"/>
            </w:rPr>
            <w:fldChar w:fldCharType="begin"/>
          </w:r>
          <w:r>
            <w:rPr>
              <w:rFonts w:hint="default" w:ascii="Times New Roman" w:hAnsi="Times New Roman" w:eastAsia="CIDFont" w:cs="Times New Roman"/>
              <w:b/>
              <w:bCs/>
              <w:color w:val="000000"/>
              <w:kern w:val="0"/>
              <w:sz w:val="20"/>
              <w:szCs w:val="20"/>
              <w:highlight w:val="none"/>
              <w:lang w:bidi="ar"/>
            </w:rPr>
            <w:instrText xml:space="preserve">TOC \o "1-1" \h \u </w:instrText>
          </w:r>
          <w:r>
            <w:rPr>
              <w:rFonts w:hint="default" w:ascii="Times New Roman" w:hAnsi="Times New Roman" w:eastAsia="CIDFont" w:cs="Times New Roman"/>
              <w:b/>
              <w:bCs/>
              <w:color w:val="000000"/>
              <w:kern w:val="0"/>
              <w:sz w:val="20"/>
              <w:szCs w:val="20"/>
              <w:highlight w:val="none"/>
              <w:lang w:bidi="ar"/>
            </w:rPr>
            <w:fldChar w:fldCharType="separate"/>
          </w:r>
          <w:r>
            <w:rPr>
              <w:rFonts w:hint="default" w:ascii="Times New Roman" w:hAnsi="Times New Roman" w:eastAsia="CIDFont" w:cs="Times New Roman"/>
              <w:bCs/>
              <w:color w:val="000000"/>
              <w:kern w:val="0"/>
              <w:sz w:val="20"/>
              <w:szCs w:val="20"/>
              <w:highlight w:val="none"/>
              <w:lang w:bidi="ar"/>
            </w:rPr>
            <w:fldChar w:fldCharType="begin"/>
          </w:r>
          <w:r>
            <w:rPr>
              <w:rFonts w:hint="default" w:ascii="Times New Roman" w:hAnsi="Times New Roman" w:eastAsia="CIDFont" w:cs="Times New Roman"/>
              <w:bCs/>
              <w:kern w:val="0"/>
              <w:sz w:val="20"/>
              <w:szCs w:val="20"/>
              <w:highlight w:val="none"/>
              <w:lang w:bidi="ar"/>
            </w:rPr>
            <w:instrText xml:space="preserve"> HYPERLINK \l _Toc14219 </w:instrText>
          </w:r>
          <w:r>
            <w:rPr>
              <w:rFonts w:hint="default" w:ascii="Times New Roman" w:hAnsi="Times New Roman" w:eastAsia="CIDFont" w:cs="Times New Roman"/>
              <w:bCs/>
              <w:kern w:val="0"/>
              <w:sz w:val="20"/>
              <w:szCs w:val="20"/>
              <w:highlight w:val="none"/>
              <w:lang w:bidi="ar"/>
            </w:rPr>
            <w:fldChar w:fldCharType="separate"/>
          </w:r>
          <w:r>
            <w:rPr>
              <w:rFonts w:hint="default" w:ascii="Times New Roman" w:hAnsi="Times New Roman" w:eastAsia="宋体" w:cs="Times New Roman"/>
              <w:bCs/>
              <w:kern w:val="0"/>
              <w:sz w:val="20"/>
              <w:szCs w:val="20"/>
              <w:highlight w:val="none"/>
              <w:lang w:eastAsia="zh-CN" w:bidi="ar"/>
            </w:rPr>
            <w:t>Additional</w:t>
          </w:r>
          <w:r>
            <w:rPr>
              <w:rFonts w:hint="default" w:ascii="Times New Roman" w:hAnsi="Times New Roman" w:eastAsia="CIDFont" w:cs="Times New Roman"/>
              <w:bCs/>
              <w:kern w:val="0"/>
              <w:sz w:val="20"/>
              <w:szCs w:val="20"/>
              <w:highlight w:val="none"/>
              <w:lang w:bidi="ar"/>
            </w:rPr>
            <w:t xml:space="preserve"> Table 1. PRISMA Checklist</w:t>
          </w:r>
          <w:r>
            <w:rPr>
              <w:rFonts w:hint="default" w:ascii="Times New Roman" w:hAnsi="Times New Roman" w:cs="Times New Roman"/>
              <w:sz w:val="20"/>
              <w:szCs w:val="20"/>
            </w:rPr>
            <w:tab/>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PAGEREF _Toc14219 \h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2</w:t>
          </w:r>
          <w:r>
            <w:rPr>
              <w:rFonts w:hint="default" w:ascii="Times New Roman" w:hAnsi="Times New Roman" w:cs="Times New Roman"/>
              <w:sz w:val="20"/>
              <w:szCs w:val="20"/>
            </w:rPr>
            <w:fldChar w:fldCharType="end"/>
          </w:r>
          <w:r>
            <w:rPr>
              <w:rFonts w:hint="default" w:ascii="Times New Roman" w:hAnsi="Times New Roman" w:eastAsia="CIDFont" w:cs="Times New Roman"/>
              <w:bCs/>
              <w:color w:val="000000"/>
              <w:kern w:val="0"/>
              <w:sz w:val="20"/>
              <w:szCs w:val="20"/>
              <w:highlight w:val="none"/>
              <w:lang w:bidi="ar"/>
            </w:rPr>
            <w:fldChar w:fldCharType="end"/>
          </w:r>
        </w:p>
        <w:p w14:paraId="6B79C33C">
          <w:pPr>
            <w:pStyle w:val="6"/>
            <w:tabs>
              <w:tab w:val="right" w:leader="dot" w:pos="13958"/>
            </w:tabs>
            <w:rPr>
              <w:rFonts w:hint="default" w:ascii="Times New Roman" w:hAnsi="Times New Roman" w:cs="Times New Roman"/>
              <w:sz w:val="20"/>
              <w:szCs w:val="20"/>
            </w:rPr>
          </w:pPr>
          <w:r>
            <w:rPr>
              <w:rFonts w:hint="default" w:ascii="Times New Roman" w:hAnsi="Times New Roman" w:eastAsia="CIDFont" w:cs="Times New Roman"/>
              <w:bCs/>
              <w:color w:val="000000"/>
              <w:kern w:val="0"/>
              <w:sz w:val="20"/>
              <w:szCs w:val="20"/>
              <w:highlight w:val="none"/>
              <w:lang w:bidi="ar"/>
            </w:rPr>
            <w:fldChar w:fldCharType="begin"/>
          </w:r>
          <w:r>
            <w:rPr>
              <w:rFonts w:hint="default" w:ascii="Times New Roman" w:hAnsi="Times New Roman" w:eastAsia="CIDFont" w:cs="Times New Roman"/>
              <w:bCs/>
              <w:kern w:val="0"/>
              <w:sz w:val="20"/>
              <w:szCs w:val="20"/>
              <w:highlight w:val="none"/>
              <w:lang w:bidi="ar"/>
            </w:rPr>
            <w:instrText xml:space="preserve"> HYPERLINK \l _Toc29788 </w:instrText>
          </w:r>
          <w:r>
            <w:rPr>
              <w:rFonts w:hint="default" w:ascii="Times New Roman" w:hAnsi="Times New Roman" w:eastAsia="CIDFont" w:cs="Times New Roman"/>
              <w:bCs/>
              <w:kern w:val="0"/>
              <w:sz w:val="20"/>
              <w:szCs w:val="20"/>
              <w:highlight w:val="none"/>
              <w:lang w:bidi="ar"/>
            </w:rPr>
            <w:fldChar w:fldCharType="separate"/>
          </w:r>
          <w:r>
            <w:rPr>
              <w:rFonts w:hint="default" w:ascii="Times New Roman" w:hAnsi="Times New Roman" w:eastAsia="宋体" w:cs="Times New Roman"/>
              <w:bCs/>
              <w:kern w:val="0"/>
              <w:sz w:val="20"/>
              <w:szCs w:val="20"/>
              <w:highlight w:val="none"/>
              <w:lang w:eastAsia="zh-CN" w:bidi="ar"/>
            </w:rPr>
            <w:t>Additional</w:t>
          </w:r>
          <w:r>
            <w:rPr>
              <w:rFonts w:hint="default" w:ascii="Times New Roman" w:hAnsi="Times New Roman" w:eastAsia="CIDFont" w:cs="Times New Roman"/>
              <w:bCs/>
              <w:kern w:val="0"/>
              <w:sz w:val="20"/>
              <w:szCs w:val="20"/>
              <w:highlight w:val="none"/>
              <w:lang w:bidi="ar"/>
            </w:rPr>
            <w:t xml:space="preserve"> Table 2. </w:t>
          </w:r>
          <w:r>
            <w:rPr>
              <w:rFonts w:hint="default" w:ascii="Times New Roman" w:hAnsi="Times New Roman" w:cs="Times New Roman"/>
              <w:sz w:val="20"/>
              <w:szCs w:val="20"/>
              <w:highlight w:val="none"/>
            </w:rPr>
            <w:t>Literature Search Strategy</w:t>
          </w:r>
          <w:r>
            <w:rPr>
              <w:rFonts w:hint="default" w:ascii="Times New Roman" w:hAnsi="Times New Roman" w:cs="Times New Roman"/>
              <w:sz w:val="20"/>
              <w:szCs w:val="20"/>
            </w:rPr>
            <w:tab/>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PAGEREF _Toc29788 \h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6</w:t>
          </w:r>
          <w:r>
            <w:rPr>
              <w:rFonts w:hint="default" w:ascii="Times New Roman" w:hAnsi="Times New Roman" w:cs="Times New Roman"/>
              <w:sz w:val="20"/>
              <w:szCs w:val="20"/>
            </w:rPr>
            <w:fldChar w:fldCharType="end"/>
          </w:r>
          <w:r>
            <w:rPr>
              <w:rFonts w:hint="default" w:ascii="Times New Roman" w:hAnsi="Times New Roman" w:eastAsia="CIDFont" w:cs="Times New Roman"/>
              <w:bCs/>
              <w:color w:val="000000"/>
              <w:kern w:val="0"/>
              <w:sz w:val="20"/>
              <w:szCs w:val="20"/>
              <w:highlight w:val="none"/>
              <w:lang w:bidi="ar"/>
            </w:rPr>
            <w:fldChar w:fldCharType="end"/>
          </w:r>
        </w:p>
        <w:p w14:paraId="077DBC4D">
          <w:pPr>
            <w:pStyle w:val="6"/>
            <w:tabs>
              <w:tab w:val="right" w:leader="dot" w:pos="13958"/>
            </w:tabs>
            <w:rPr>
              <w:rFonts w:hint="default" w:ascii="Times New Roman" w:hAnsi="Times New Roman" w:cs="Times New Roman"/>
              <w:sz w:val="20"/>
              <w:szCs w:val="20"/>
            </w:rPr>
          </w:pPr>
          <w:r>
            <w:rPr>
              <w:rFonts w:hint="default" w:ascii="Times New Roman" w:hAnsi="Times New Roman" w:eastAsia="CIDFont" w:cs="Times New Roman"/>
              <w:bCs/>
              <w:color w:val="000000"/>
              <w:kern w:val="0"/>
              <w:sz w:val="20"/>
              <w:szCs w:val="20"/>
              <w:highlight w:val="none"/>
              <w:lang w:bidi="ar"/>
            </w:rPr>
            <w:fldChar w:fldCharType="begin"/>
          </w:r>
          <w:r>
            <w:rPr>
              <w:rFonts w:hint="default" w:ascii="Times New Roman" w:hAnsi="Times New Roman" w:eastAsia="CIDFont" w:cs="Times New Roman"/>
              <w:bCs/>
              <w:kern w:val="0"/>
              <w:sz w:val="20"/>
              <w:szCs w:val="20"/>
              <w:highlight w:val="none"/>
              <w:lang w:bidi="ar"/>
            </w:rPr>
            <w:instrText xml:space="preserve"> HYPERLINK \l _Toc18046 </w:instrText>
          </w:r>
          <w:r>
            <w:rPr>
              <w:rFonts w:hint="default" w:ascii="Times New Roman" w:hAnsi="Times New Roman" w:eastAsia="CIDFont" w:cs="Times New Roman"/>
              <w:bCs/>
              <w:kern w:val="0"/>
              <w:sz w:val="20"/>
              <w:szCs w:val="20"/>
              <w:highlight w:val="none"/>
              <w:lang w:bidi="ar"/>
            </w:rPr>
            <w:fldChar w:fldCharType="separate"/>
          </w:r>
          <w:r>
            <w:rPr>
              <w:rFonts w:hint="default" w:ascii="Times New Roman" w:hAnsi="Times New Roman" w:eastAsia="宋体" w:cs="Times New Roman"/>
              <w:bCs/>
              <w:kern w:val="0"/>
              <w:sz w:val="20"/>
              <w:szCs w:val="20"/>
              <w:highlight w:val="none"/>
              <w:lang w:eastAsia="zh-CN" w:bidi="ar"/>
            </w:rPr>
            <w:t>Additional</w:t>
          </w:r>
          <w:r>
            <w:rPr>
              <w:rFonts w:hint="default" w:ascii="Times New Roman" w:hAnsi="Times New Roman" w:eastAsia="宋体" w:cs="Times New Roman"/>
              <w:bCs/>
              <w:kern w:val="0"/>
              <w:sz w:val="20"/>
              <w:szCs w:val="20"/>
              <w:highlight w:val="none"/>
              <w:lang w:bidi="ar"/>
            </w:rPr>
            <w:t xml:space="preserve"> Table 3. Definition of the Clinical Outcome</w:t>
          </w:r>
          <w:r>
            <w:rPr>
              <w:rFonts w:hint="default" w:ascii="Times New Roman" w:hAnsi="Times New Roman" w:cs="Times New Roman"/>
              <w:sz w:val="20"/>
              <w:szCs w:val="20"/>
            </w:rPr>
            <w:tab/>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PAGEREF _Toc18046 \h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7</w:t>
          </w:r>
          <w:r>
            <w:rPr>
              <w:rFonts w:hint="default" w:ascii="Times New Roman" w:hAnsi="Times New Roman" w:cs="Times New Roman"/>
              <w:sz w:val="20"/>
              <w:szCs w:val="20"/>
            </w:rPr>
            <w:fldChar w:fldCharType="end"/>
          </w:r>
          <w:r>
            <w:rPr>
              <w:rFonts w:hint="default" w:ascii="Times New Roman" w:hAnsi="Times New Roman" w:eastAsia="CIDFont" w:cs="Times New Roman"/>
              <w:bCs/>
              <w:color w:val="000000"/>
              <w:kern w:val="0"/>
              <w:sz w:val="20"/>
              <w:szCs w:val="20"/>
              <w:highlight w:val="none"/>
              <w:lang w:bidi="ar"/>
            </w:rPr>
            <w:fldChar w:fldCharType="end"/>
          </w:r>
        </w:p>
        <w:p w14:paraId="0BB920F3">
          <w:pPr>
            <w:pStyle w:val="6"/>
            <w:tabs>
              <w:tab w:val="right" w:leader="dot" w:pos="13958"/>
            </w:tabs>
            <w:rPr>
              <w:rFonts w:hint="default" w:ascii="Times New Roman" w:hAnsi="Times New Roman" w:cs="Times New Roman"/>
              <w:sz w:val="20"/>
              <w:szCs w:val="20"/>
            </w:rPr>
          </w:pPr>
          <w:r>
            <w:rPr>
              <w:rFonts w:hint="default" w:ascii="Times New Roman" w:hAnsi="Times New Roman" w:eastAsia="CIDFont" w:cs="Times New Roman"/>
              <w:bCs/>
              <w:color w:val="000000"/>
              <w:kern w:val="0"/>
              <w:sz w:val="20"/>
              <w:szCs w:val="20"/>
              <w:highlight w:val="none"/>
              <w:lang w:bidi="ar"/>
            </w:rPr>
            <w:fldChar w:fldCharType="begin"/>
          </w:r>
          <w:r>
            <w:rPr>
              <w:rFonts w:hint="default" w:ascii="Times New Roman" w:hAnsi="Times New Roman" w:eastAsia="CIDFont" w:cs="Times New Roman"/>
              <w:bCs/>
              <w:kern w:val="0"/>
              <w:sz w:val="20"/>
              <w:szCs w:val="20"/>
              <w:highlight w:val="none"/>
              <w:lang w:bidi="ar"/>
            </w:rPr>
            <w:instrText xml:space="preserve"> HYPERLINK \l _Toc19074 </w:instrText>
          </w:r>
          <w:r>
            <w:rPr>
              <w:rFonts w:hint="default" w:ascii="Times New Roman" w:hAnsi="Times New Roman" w:eastAsia="CIDFont" w:cs="Times New Roman"/>
              <w:bCs/>
              <w:kern w:val="0"/>
              <w:sz w:val="20"/>
              <w:szCs w:val="20"/>
              <w:highlight w:val="none"/>
              <w:lang w:bidi="ar"/>
            </w:rPr>
            <w:fldChar w:fldCharType="separate"/>
          </w:r>
          <w:r>
            <w:rPr>
              <w:rFonts w:hint="default" w:ascii="Times New Roman" w:hAnsi="Times New Roman" w:eastAsia="宋体" w:cs="Times New Roman"/>
              <w:bCs/>
              <w:kern w:val="0"/>
              <w:sz w:val="20"/>
              <w:szCs w:val="20"/>
              <w:highlight w:val="none"/>
              <w:lang w:eastAsia="zh-CN" w:bidi="ar"/>
            </w:rPr>
            <w:t>Additional</w:t>
          </w:r>
          <w:r>
            <w:rPr>
              <w:rFonts w:hint="default" w:ascii="Times New Roman" w:hAnsi="Times New Roman" w:eastAsia="CIDFont" w:cs="Times New Roman"/>
              <w:bCs/>
              <w:kern w:val="0"/>
              <w:sz w:val="20"/>
              <w:szCs w:val="20"/>
              <w:highlight w:val="none"/>
              <w:lang w:bidi="ar"/>
            </w:rPr>
            <w:t xml:space="preserve"> Table </w:t>
          </w:r>
          <w:r>
            <w:rPr>
              <w:rFonts w:hint="default" w:ascii="Times New Roman" w:hAnsi="Times New Roman" w:eastAsia="宋体" w:cs="Times New Roman"/>
              <w:bCs/>
              <w:kern w:val="0"/>
              <w:sz w:val="20"/>
              <w:szCs w:val="20"/>
              <w:highlight w:val="none"/>
              <w:lang w:val="en-US" w:eastAsia="zh-CN" w:bidi="ar"/>
            </w:rPr>
            <w:t>4</w:t>
          </w:r>
          <w:r>
            <w:rPr>
              <w:rFonts w:hint="default" w:ascii="Times New Roman" w:hAnsi="Times New Roman" w:eastAsia="CIDFont" w:cs="Times New Roman"/>
              <w:bCs/>
              <w:kern w:val="0"/>
              <w:sz w:val="20"/>
              <w:szCs w:val="20"/>
              <w:highlight w:val="none"/>
              <w:lang w:bidi="ar"/>
            </w:rPr>
            <w:t xml:space="preserve">. Confounding </w:t>
          </w:r>
          <w:r>
            <w:rPr>
              <w:rFonts w:hint="default" w:ascii="Times New Roman" w:hAnsi="Times New Roman" w:eastAsia="宋体" w:cs="Times New Roman"/>
              <w:bCs/>
              <w:kern w:val="0"/>
              <w:sz w:val="20"/>
              <w:szCs w:val="20"/>
              <w:highlight w:val="none"/>
              <w:lang w:bidi="ar"/>
            </w:rPr>
            <w:t>V</w:t>
          </w:r>
          <w:r>
            <w:rPr>
              <w:rFonts w:hint="default" w:ascii="Times New Roman" w:hAnsi="Times New Roman" w:eastAsia="CIDFont" w:cs="Times New Roman"/>
              <w:bCs/>
              <w:kern w:val="0"/>
              <w:sz w:val="20"/>
              <w:szCs w:val="20"/>
              <w:highlight w:val="none"/>
              <w:lang w:bidi="ar"/>
            </w:rPr>
            <w:t xml:space="preserve">ariables of </w:t>
          </w:r>
          <w:r>
            <w:rPr>
              <w:rFonts w:hint="default" w:ascii="Times New Roman" w:hAnsi="Times New Roman" w:eastAsia="宋体" w:cs="Times New Roman"/>
              <w:bCs/>
              <w:kern w:val="0"/>
              <w:sz w:val="20"/>
              <w:szCs w:val="20"/>
              <w:highlight w:val="none"/>
              <w:lang w:bidi="ar"/>
            </w:rPr>
            <w:t>I</w:t>
          </w:r>
          <w:r>
            <w:rPr>
              <w:rFonts w:hint="default" w:ascii="Times New Roman" w:hAnsi="Times New Roman" w:eastAsia="CIDFont" w:cs="Times New Roman"/>
              <w:bCs/>
              <w:kern w:val="0"/>
              <w:sz w:val="20"/>
              <w:szCs w:val="20"/>
              <w:highlight w:val="none"/>
              <w:lang w:bidi="ar"/>
            </w:rPr>
            <w:t xml:space="preserve">ncluded </w:t>
          </w:r>
          <w:r>
            <w:rPr>
              <w:rFonts w:hint="default" w:ascii="Times New Roman" w:hAnsi="Times New Roman" w:eastAsia="宋体" w:cs="Times New Roman"/>
              <w:bCs/>
              <w:kern w:val="0"/>
              <w:sz w:val="20"/>
              <w:szCs w:val="20"/>
              <w:highlight w:val="none"/>
              <w:lang w:bidi="ar"/>
            </w:rPr>
            <w:t>S</w:t>
          </w:r>
          <w:r>
            <w:rPr>
              <w:rFonts w:hint="default" w:ascii="Times New Roman" w:hAnsi="Times New Roman" w:eastAsia="CIDFont" w:cs="Times New Roman"/>
              <w:bCs/>
              <w:kern w:val="0"/>
              <w:sz w:val="20"/>
              <w:szCs w:val="20"/>
              <w:highlight w:val="none"/>
              <w:lang w:bidi="ar"/>
            </w:rPr>
            <w:t>tudies</w:t>
          </w:r>
          <w:r>
            <w:rPr>
              <w:rFonts w:hint="default" w:ascii="Times New Roman" w:hAnsi="Times New Roman" w:cs="Times New Roman"/>
              <w:sz w:val="20"/>
              <w:szCs w:val="20"/>
            </w:rPr>
            <w:tab/>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PAGEREF _Toc19074 \h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10</w:t>
          </w:r>
          <w:r>
            <w:rPr>
              <w:rFonts w:hint="default" w:ascii="Times New Roman" w:hAnsi="Times New Roman" w:cs="Times New Roman"/>
              <w:sz w:val="20"/>
              <w:szCs w:val="20"/>
            </w:rPr>
            <w:fldChar w:fldCharType="end"/>
          </w:r>
          <w:r>
            <w:rPr>
              <w:rFonts w:hint="default" w:ascii="Times New Roman" w:hAnsi="Times New Roman" w:eastAsia="CIDFont" w:cs="Times New Roman"/>
              <w:bCs/>
              <w:color w:val="000000"/>
              <w:kern w:val="0"/>
              <w:sz w:val="20"/>
              <w:szCs w:val="20"/>
              <w:highlight w:val="none"/>
              <w:lang w:bidi="ar"/>
            </w:rPr>
            <w:fldChar w:fldCharType="end"/>
          </w:r>
        </w:p>
        <w:p w14:paraId="6BA5D0BE">
          <w:pPr>
            <w:pStyle w:val="6"/>
            <w:tabs>
              <w:tab w:val="right" w:leader="dot" w:pos="13958"/>
            </w:tabs>
            <w:rPr>
              <w:rFonts w:hint="default" w:ascii="Times New Roman" w:hAnsi="Times New Roman" w:cs="Times New Roman"/>
              <w:sz w:val="20"/>
              <w:szCs w:val="20"/>
            </w:rPr>
          </w:pPr>
          <w:r>
            <w:rPr>
              <w:rFonts w:hint="default" w:ascii="Times New Roman" w:hAnsi="Times New Roman" w:eastAsia="CIDFont" w:cs="Times New Roman"/>
              <w:bCs/>
              <w:color w:val="000000"/>
              <w:kern w:val="0"/>
              <w:sz w:val="20"/>
              <w:szCs w:val="20"/>
              <w:highlight w:val="none"/>
              <w:lang w:bidi="ar"/>
            </w:rPr>
            <w:fldChar w:fldCharType="begin"/>
          </w:r>
          <w:r>
            <w:rPr>
              <w:rFonts w:hint="default" w:ascii="Times New Roman" w:hAnsi="Times New Roman" w:eastAsia="CIDFont" w:cs="Times New Roman"/>
              <w:bCs/>
              <w:kern w:val="0"/>
              <w:sz w:val="20"/>
              <w:szCs w:val="20"/>
              <w:highlight w:val="none"/>
              <w:lang w:bidi="ar"/>
            </w:rPr>
            <w:instrText xml:space="preserve"> HYPERLINK \l _Toc21160 </w:instrText>
          </w:r>
          <w:r>
            <w:rPr>
              <w:rFonts w:hint="default" w:ascii="Times New Roman" w:hAnsi="Times New Roman" w:eastAsia="CIDFont" w:cs="Times New Roman"/>
              <w:bCs/>
              <w:kern w:val="0"/>
              <w:sz w:val="20"/>
              <w:szCs w:val="20"/>
              <w:highlight w:val="none"/>
              <w:lang w:bidi="ar"/>
            </w:rPr>
            <w:fldChar w:fldCharType="separate"/>
          </w:r>
          <w:r>
            <w:rPr>
              <w:rFonts w:hint="default" w:ascii="Times New Roman" w:hAnsi="Times New Roman" w:eastAsia="等线" w:cs="Times New Roman"/>
              <w:kern w:val="0"/>
              <w:sz w:val="20"/>
              <w:szCs w:val="20"/>
              <w:highlight w:val="none"/>
              <w:lang w:eastAsia="zh-CN" w:bidi="ar"/>
            </w:rPr>
            <w:t>Additional</w:t>
          </w:r>
          <w:r>
            <w:rPr>
              <w:rFonts w:hint="default" w:ascii="Times New Roman" w:hAnsi="Times New Roman" w:eastAsia="等线" w:cs="Times New Roman"/>
              <w:kern w:val="0"/>
              <w:sz w:val="20"/>
              <w:szCs w:val="20"/>
              <w:highlight w:val="none"/>
              <w:lang w:bidi="ar"/>
            </w:rPr>
            <w:t xml:space="preserve"> Table </w:t>
          </w:r>
          <w:r>
            <w:rPr>
              <w:rFonts w:hint="default" w:ascii="Times New Roman" w:hAnsi="Times New Roman" w:eastAsia="等线" w:cs="Times New Roman"/>
              <w:kern w:val="0"/>
              <w:sz w:val="20"/>
              <w:szCs w:val="20"/>
              <w:highlight w:val="none"/>
              <w:lang w:val="en-US" w:eastAsia="zh-CN" w:bidi="ar"/>
            </w:rPr>
            <w:t>5</w:t>
          </w:r>
          <w:r>
            <w:rPr>
              <w:rFonts w:hint="default" w:ascii="Times New Roman" w:hAnsi="Times New Roman" w:eastAsia="等线" w:cs="Times New Roman"/>
              <w:kern w:val="0"/>
              <w:sz w:val="20"/>
              <w:szCs w:val="20"/>
              <w:highlight w:val="none"/>
              <w:lang w:bidi="ar"/>
            </w:rPr>
            <w:t>. List of Excluded Studies After Full-Text Review and Reasons for Exclusion.</w:t>
          </w:r>
          <w:r>
            <w:rPr>
              <w:rFonts w:hint="default" w:ascii="Times New Roman" w:hAnsi="Times New Roman" w:cs="Times New Roman"/>
              <w:sz w:val="20"/>
              <w:szCs w:val="20"/>
            </w:rPr>
            <w:tab/>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PAGEREF _Toc21160 \h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12</w:t>
          </w:r>
          <w:r>
            <w:rPr>
              <w:rFonts w:hint="default" w:ascii="Times New Roman" w:hAnsi="Times New Roman" w:cs="Times New Roman"/>
              <w:sz w:val="20"/>
              <w:szCs w:val="20"/>
            </w:rPr>
            <w:fldChar w:fldCharType="end"/>
          </w:r>
          <w:r>
            <w:rPr>
              <w:rFonts w:hint="default" w:ascii="Times New Roman" w:hAnsi="Times New Roman" w:eastAsia="CIDFont" w:cs="Times New Roman"/>
              <w:bCs/>
              <w:color w:val="000000"/>
              <w:kern w:val="0"/>
              <w:sz w:val="20"/>
              <w:szCs w:val="20"/>
              <w:highlight w:val="none"/>
              <w:lang w:bidi="ar"/>
            </w:rPr>
            <w:fldChar w:fldCharType="end"/>
          </w:r>
        </w:p>
        <w:p w14:paraId="59C4FCC7">
          <w:pPr>
            <w:pStyle w:val="6"/>
            <w:tabs>
              <w:tab w:val="right" w:leader="dot" w:pos="13958"/>
            </w:tabs>
            <w:rPr>
              <w:rFonts w:hint="default" w:ascii="Times New Roman" w:hAnsi="Times New Roman" w:cs="Times New Roman"/>
              <w:sz w:val="20"/>
              <w:szCs w:val="20"/>
            </w:rPr>
          </w:pPr>
          <w:r>
            <w:rPr>
              <w:rFonts w:hint="default" w:ascii="Times New Roman" w:hAnsi="Times New Roman" w:eastAsia="CIDFont" w:cs="Times New Roman"/>
              <w:bCs/>
              <w:color w:val="000000"/>
              <w:kern w:val="0"/>
              <w:sz w:val="20"/>
              <w:szCs w:val="20"/>
              <w:highlight w:val="none"/>
              <w:lang w:bidi="ar"/>
            </w:rPr>
            <w:fldChar w:fldCharType="begin"/>
          </w:r>
          <w:r>
            <w:rPr>
              <w:rFonts w:hint="default" w:ascii="Times New Roman" w:hAnsi="Times New Roman" w:eastAsia="CIDFont" w:cs="Times New Roman"/>
              <w:bCs/>
              <w:kern w:val="0"/>
              <w:sz w:val="20"/>
              <w:szCs w:val="20"/>
              <w:highlight w:val="none"/>
              <w:lang w:bidi="ar"/>
            </w:rPr>
            <w:instrText xml:space="preserve"> HYPERLINK \l _Toc13139 </w:instrText>
          </w:r>
          <w:r>
            <w:rPr>
              <w:rFonts w:hint="default" w:ascii="Times New Roman" w:hAnsi="Times New Roman" w:eastAsia="CIDFont" w:cs="Times New Roman"/>
              <w:bCs/>
              <w:kern w:val="0"/>
              <w:sz w:val="20"/>
              <w:szCs w:val="20"/>
              <w:highlight w:val="none"/>
              <w:lang w:bidi="ar"/>
            </w:rPr>
            <w:fldChar w:fldCharType="separate"/>
          </w:r>
          <w:r>
            <w:rPr>
              <w:rFonts w:hint="default" w:ascii="Times New Roman" w:hAnsi="Times New Roman" w:eastAsia="宋体" w:cs="Times New Roman"/>
              <w:bCs/>
              <w:kern w:val="0"/>
              <w:sz w:val="20"/>
              <w:szCs w:val="20"/>
              <w:highlight w:val="none"/>
              <w:lang w:eastAsia="zh-CN" w:bidi="ar"/>
            </w:rPr>
            <w:t>Additional</w:t>
          </w:r>
          <w:r>
            <w:rPr>
              <w:rFonts w:hint="default" w:ascii="Times New Roman" w:hAnsi="Times New Roman" w:eastAsia="CIDFont" w:cs="Times New Roman"/>
              <w:bCs/>
              <w:kern w:val="0"/>
              <w:sz w:val="20"/>
              <w:szCs w:val="20"/>
              <w:highlight w:val="none"/>
              <w:lang w:bidi="ar"/>
            </w:rPr>
            <w:t xml:space="preserve"> </w:t>
          </w:r>
          <w:r>
            <w:rPr>
              <w:rFonts w:hint="default" w:ascii="Times New Roman" w:hAnsi="Times New Roman" w:cs="Times New Roman"/>
              <w:bCs/>
              <w:sz w:val="20"/>
              <w:szCs w:val="20"/>
              <w:highlight w:val="none"/>
            </w:rPr>
            <w:t>Table 6. Basic characteristics of Studies Included in the Analysis of Overall eGDR Levels</w:t>
          </w:r>
          <w:r>
            <w:rPr>
              <w:rFonts w:hint="default" w:ascii="Times New Roman" w:hAnsi="Times New Roman" w:cs="Times New Roman"/>
              <w:sz w:val="20"/>
              <w:szCs w:val="20"/>
            </w:rPr>
            <w:tab/>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PAGEREF _Toc13139 \h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15</w:t>
          </w:r>
          <w:r>
            <w:rPr>
              <w:rFonts w:hint="default" w:ascii="Times New Roman" w:hAnsi="Times New Roman" w:cs="Times New Roman"/>
              <w:sz w:val="20"/>
              <w:szCs w:val="20"/>
            </w:rPr>
            <w:fldChar w:fldCharType="end"/>
          </w:r>
          <w:r>
            <w:rPr>
              <w:rFonts w:hint="default" w:ascii="Times New Roman" w:hAnsi="Times New Roman" w:eastAsia="CIDFont" w:cs="Times New Roman"/>
              <w:bCs/>
              <w:color w:val="000000"/>
              <w:kern w:val="0"/>
              <w:sz w:val="20"/>
              <w:szCs w:val="20"/>
              <w:highlight w:val="none"/>
              <w:lang w:bidi="ar"/>
            </w:rPr>
            <w:fldChar w:fldCharType="end"/>
          </w:r>
        </w:p>
        <w:p w14:paraId="21ADBDEE">
          <w:pPr>
            <w:pStyle w:val="6"/>
            <w:tabs>
              <w:tab w:val="right" w:leader="dot" w:pos="13958"/>
            </w:tabs>
            <w:rPr>
              <w:rFonts w:hint="default" w:ascii="Times New Roman" w:hAnsi="Times New Roman" w:cs="Times New Roman"/>
              <w:sz w:val="20"/>
              <w:szCs w:val="20"/>
            </w:rPr>
          </w:pPr>
          <w:r>
            <w:rPr>
              <w:rFonts w:hint="default" w:ascii="Times New Roman" w:hAnsi="Times New Roman" w:eastAsia="CIDFont" w:cs="Times New Roman"/>
              <w:bCs/>
              <w:color w:val="000000"/>
              <w:kern w:val="0"/>
              <w:sz w:val="20"/>
              <w:szCs w:val="20"/>
              <w:highlight w:val="none"/>
              <w:lang w:bidi="ar"/>
            </w:rPr>
            <w:fldChar w:fldCharType="begin"/>
          </w:r>
          <w:r>
            <w:rPr>
              <w:rFonts w:hint="default" w:ascii="Times New Roman" w:hAnsi="Times New Roman" w:eastAsia="CIDFont" w:cs="Times New Roman"/>
              <w:bCs/>
              <w:kern w:val="0"/>
              <w:sz w:val="20"/>
              <w:szCs w:val="20"/>
              <w:highlight w:val="none"/>
              <w:lang w:bidi="ar"/>
            </w:rPr>
            <w:instrText xml:space="preserve"> HYPERLINK \l _Toc17648 </w:instrText>
          </w:r>
          <w:r>
            <w:rPr>
              <w:rFonts w:hint="default" w:ascii="Times New Roman" w:hAnsi="Times New Roman" w:eastAsia="CIDFont" w:cs="Times New Roman"/>
              <w:bCs/>
              <w:kern w:val="0"/>
              <w:sz w:val="20"/>
              <w:szCs w:val="20"/>
              <w:highlight w:val="none"/>
              <w:lang w:bidi="ar"/>
            </w:rPr>
            <w:fldChar w:fldCharType="separate"/>
          </w:r>
          <w:r>
            <w:rPr>
              <w:rFonts w:hint="default" w:ascii="Times New Roman" w:hAnsi="Times New Roman" w:eastAsia="宋体" w:cs="Times New Roman"/>
              <w:bCs/>
              <w:kern w:val="0"/>
              <w:sz w:val="20"/>
              <w:szCs w:val="20"/>
              <w:highlight w:val="none"/>
              <w:lang w:eastAsia="zh-CN" w:bidi="ar"/>
            </w:rPr>
            <w:t>Additional</w:t>
          </w:r>
          <w:r>
            <w:rPr>
              <w:rFonts w:hint="default" w:ascii="Times New Roman" w:hAnsi="Times New Roman" w:eastAsia="宋体" w:cs="Times New Roman"/>
              <w:bCs/>
              <w:kern w:val="0"/>
              <w:sz w:val="20"/>
              <w:szCs w:val="20"/>
              <w:highlight w:val="none"/>
              <w:lang w:bidi="ar"/>
            </w:rPr>
            <w:t xml:space="preserve"> Table 7. NIH Quality Assessment of Included Studies</w:t>
          </w:r>
          <w:r>
            <w:rPr>
              <w:rFonts w:hint="default" w:ascii="Times New Roman" w:hAnsi="Times New Roman" w:cs="Times New Roman"/>
              <w:bCs/>
              <w:sz w:val="20"/>
              <w:szCs w:val="20"/>
              <w:highlight w:val="none"/>
            </w:rPr>
            <w:t xml:space="preserve"> on the Risk of CVD, DMC and Mortality</w:t>
          </w:r>
          <w:r>
            <w:rPr>
              <w:rFonts w:hint="default" w:ascii="Times New Roman" w:hAnsi="Times New Roman" w:cs="Times New Roman"/>
              <w:sz w:val="20"/>
              <w:szCs w:val="20"/>
            </w:rPr>
            <w:tab/>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PAGEREF _Toc17648 \h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20</w:t>
          </w:r>
          <w:r>
            <w:rPr>
              <w:rFonts w:hint="default" w:ascii="Times New Roman" w:hAnsi="Times New Roman" w:cs="Times New Roman"/>
              <w:sz w:val="20"/>
              <w:szCs w:val="20"/>
            </w:rPr>
            <w:fldChar w:fldCharType="end"/>
          </w:r>
          <w:r>
            <w:rPr>
              <w:rFonts w:hint="default" w:ascii="Times New Roman" w:hAnsi="Times New Roman" w:eastAsia="CIDFont" w:cs="Times New Roman"/>
              <w:bCs/>
              <w:color w:val="000000"/>
              <w:kern w:val="0"/>
              <w:sz w:val="20"/>
              <w:szCs w:val="20"/>
              <w:highlight w:val="none"/>
              <w:lang w:bidi="ar"/>
            </w:rPr>
            <w:fldChar w:fldCharType="end"/>
          </w:r>
        </w:p>
        <w:p w14:paraId="020F1935">
          <w:pPr>
            <w:pStyle w:val="6"/>
            <w:tabs>
              <w:tab w:val="right" w:leader="dot" w:pos="13958"/>
            </w:tabs>
            <w:rPr>
              <w:rFonts w:hint="default" w:ascii="Times New Roman" w:hAnsi="Times New Roman" w:cs="Times New Roman"/>
              <w:sz w:val="20"/>
              <w:szCs w:val="20"/>
            </w:rPr>
          </w:pPr>
          <w:r>
            <w:rPr>
              <w:rFonts w:hint="default" w:ascii="Times New Roman" w:hAnsi="Times New Roman" w:eastAsia="CIDFont" w:cs="Times New Roman"/>
              <w:bCs/>
              <w:color w:val="000000"/>
              <w:kern w:val="0"/>
              <w:sz w:val="20"/>
              <w:szCs w:val="20"/>
              <w:highlight w:val="none"/>
              <w:lang w:bidi="ar"/>
            </w:rPr>
            <w:fldChar w:fldCharType="begin"/>
          </w:r>
          <w:r>
            <w:rPr>
              <w:rFonts w:hint="default" w:ascii="Times New Roman" w:hAnsi="Times New Roman" w:eastAsia="CIDFont" w:cs="Times New Roman"/>
              <w:bCs/>
              <w:kern w:val="0"/>
              <w:sz w:val="20"/>
              <w:szCs w:val="20"/>
              <w:highlight w:val="none"/>
              <w:lang w:bidi="ar"/>
            </w:rPr>
            <w:instrText xml:space="preserve"> HYPERLINK \l _Toc22636 </w:instrText>
          </w:r>
          <w:r>
            <w:rPr>
              <w:rFonts w:hint="default" w:ascii="Times New Roman" w:hAnsi="Times New Roman" w:eastAsia="CIDFont" w:cs="Times New Roman"/>
              <w:bCs/>
              <w:kern w:val="0"/>
              <w:sz w:val="20"/>
              <w:szCs w:val="20"/>
              <w:highlight w:val="none"/>
              <w:lang w:bidi="ar"/>
            </w:rPr>
            <w:fldChar w:fldCharType="separate"/>
          </w:r>
          <w:r>
            <w:rPr>
              <w:rFonts w:hint="default" w:ascii="Times New Roman" w:hAnsi="Times New Roman" w:eastAsia="宋体" w:cs="Times New Roman"/>
              <w:bCs/>
              <w:kern w:val="0"/>
              <w:sz w:val="20"/>
              <w:szCs w:val="20"/>
              <w:highlight w:val="none"/>
              <w:lang w:eastAsia="zh-CN" w:bidi="ar"/>
            </w:rPr>
            <w:t>Additional</w:t>
          </w:r>
          <w:r>
            <w:rPr>
              <w:rFonts w:hint="default" w:ascii="Times New Roman" w:hAnsi="Times New Roman" w:eastAsia="宋体" w:cs="Times New Roman"/>
              <w:bCs/>
              <w:kern w:val="0"/>
              <w:sz w:val="20"/>
              <w:szCs w:val="20"/>
              <w:highlight w:val="none"/>
              <w:lang w:bidi="ar"/>
            </w:rPr>
            <w:t xml:space="preserve"> Table 8. NIH Quality Assessment of S</w:t>
          </w:r>
          <w:r>
            <w:rPr>
              <w:rFonts w:hint="default" w:ascii="Times New Roman" w:hAnsi="Times New Roman" w:cs="Times New Roman"/>
              <w:bCs/>
              <w:sz w:val="20"/>
              <w:szCs w:val="20"/>
              <w:highlight w:val="none"/>
            </w:rPr>
            <w:t>tudies Included in the Analysis of Overall eGDR Levels</w:t>
          </w:r>
          <w:r>
            <w:rPr>
              <w:rFonts w:hint="default" w:ascii="Times New Roman" w:hAnsi="Times New Roman" w:cs="Times New Roman"/>
              <w:sz w:val="20"/>
              <w:szCs w:val="20"/>
            </w:rPr>
            <w:tab/>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PAGEREF _Toc22636 \h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22</w:t>
          </w:r>
          <w:r>
            <w:rPr>
              <w:rFonts w:hint="default" w:ascii="Times New Roman" w:hAnsi="Times New Roman" w:cs="Times New Roman"/>
              <w:sz w:val="20"/>
              <w:szCs w:val="20"/>
            </w:rPr>
            <w:fldChar w:fldCharType="end"/>
          </w:r>
          <w:r>
            <w:rPr>
              <w:rFonts w:hint="default" w:ascii="Times New Roman" w:hAnsi="Times New Roman" w:eastAsia="CIDFont" w:cs="Times New Roman"/>
              <w:bCs/>
              <w:color w:val="000000"/>
              <w:kern w:val="0"/>
              <w:sz w:val="20"/>
              <w:szCs w:val="20"/>
              <w:highlight w:val="none"/>
              <w:lang w:bidi="ar"/>
            </w:rPr>
            <w:fldChar w:fldCharType="end"/>
          </w:r>
        </w:p>
        <w:p w14:paraId="7AF9BDF3">
          <w:pPr>
            <w:pStyle w:val="6"/>
            <w:tabs>
              <w:tab w:val="right" w:leader="dot" w:pos="13958"/>
            </w:tabs>
            <w:rPr>
              <w:rFonts w:hint="default" w:ascii="Times New Roman" w:hAnsi="Times New Roman" w:cs="Times New Roman"/>
              <w:sz w:val="20"/>
              <w:szCs w:val="20"/>
            </w:rPr>
          </w:pPr>
          <w:r>
            <w:rPr>
              <w:rFonts w:hint="default" w:ascii="Times New Roman" w:hAnsi="Times New Roman" w:eastAsia="CIDFont" w:cs="Times New Roman"/>
              <w:bCs/>
              <w:color w:val="000000"/>
              <w:kern w:val="0"/>
              <w:sz w:val="20"/>
              <w:szCs w:val="20"/>
              <w:highlight w:val="none"/>
              <w:lang w:bidi="ar"/>
            </w:rPr>
            <w:fldChar w:fldCharType="begin"/>
          </w:r>
          <w:r>
            <w:rPr>
              <w:rFonts w:hint="default" w:ascii="Times New Roman" w:hAnsi="Times New Roman" w:eastAsia="CIDFont" w:cs="Times New Roman"/>
              <w:bCs/>
              <w:kern w:val="0"/>
              <w:sz w:val="20"/>
              <w:szCs w:val="20"/>
              <w:highlight w:val="none"/>
              <w:lang w:bidi="ar"/>
            </w:rPr>
            <w:instrText xml:space="preserve"> HYPERLINK \l _Toc23407 </w:instrText>
          </w:r>
          <w:r>
            <w:rPr>
              <w:rFonts w:hint="default" w:ascii="Times New Roman" w:hAnsi="Times New Roman" w:eastAsia="CIDFont" w:cs="Times New Roman"/>
              <w:bCs/>
              <w:kern w:val="0"/>
              <w:sz w:val="20"/>
              <w:szCs w:val="20"/>
              <w:highlight w:val="none"/>
              <w:lang w:bidi="ar"/>
            </w:rPr>
            <w:fldChar w:fldCharType="separate"/>
          </w:r>
          <w:r>
            <w:rPr>
              <w:rFonts w:hint="default" w:ascii="Times New Roman" w:hAnsi="Times New Roman" w:eastAsia="宋体" w:cs="Times New Roman"/>
              <w:bCs/>
              <w:kern w:val="0"/>
              <w:sz w:val="20"/>
              <w:szCs w:val="20"/>
              <w:highlight w:val="none"/>
              <w:lang w:eastAsia="zh-CN" w:bidi="ar"/>
            </w:rPr>
            <w:t>Additional</w:t>
          </w:r>
          <w:r>
            <w:rPr>
              <w:rFonts w:hint="default" w:ascii="Times New Roman" w:hAnsi="Times New Roman" w:eastAsia="宋体" w:cs="Times New Roman"/>
              <w:bCs/>
              <w:kern w:val="0"/>
              <w:sz w:val="20"/>
              <w:szCs w:val="20"/>
              <w:highlight w:val="none"/>
              <w:lang w:bidi="ar"/>
            </w:rPr>
            <w:t xml:space="preserve"> Table 9. Subgroup Analysis of </w:t>
          </w:r>
          <w:r>
            <w:rPr>
              <w:rFonts w:hint="default" w:ascii="Times New Roman" w:hAnsi="Times New Roman" w:cs="Times New Roman"/>
              <w:bCs/>
              <w:sz w:val="20"/>
              <w:szCs w:val="20"/>
              <w:highlight w:val="none"/>
            </w:rPr>
            <w:t>Overall eGDR Levels</w:t>
          </w:r>
          <w:r>
            <w:rPr>
              <w:rFonts w:hint="default" w:ascii="Times New Roman" w:hAnsi="Times New Roman" w:eastAsia="宋体" w:cs="Times New Roman"/>
              <w:bCs/>
              <w:kern w:val="0"/>
              <w:sz w:val="20"/>
              <w:szCs w:val="20"/>
              <w:highlight w:val="none"/>
              <w:lang w:bidi="ar"/>
            </w:rPr>
            <w:t xml:space="preserve"> in patients with DM</w:t>
          </w:r>
          <w:r>
            <w:rPr>
              <w:rFonts w:hint="default" w:ascii="Times New Roman" w:hAnsi="Times New Roman" w:cs="Times New Roman"/>
              <w:sz w:val="20"/>
              <w:szCs w:val="20"/>
            </w:rPr>
            <w:tab/>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PAGEREF _Toc23407 \h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25</w:t>
          </w:r>
          <w:r>
            <w:rPr>
              <w:rFonts w:hint="default" w:ascii="Times New Roman" w:hAnsi="Times New Roman" w:cs="Times New Roman"/>
              <w:sz w:val="20"/>
              <w:szCs w:val="20"/>
            </w:rPr>
            <w:fldChar w:fldCharType="end"/>
          </w:r>
          <w:r>
            <w:rPr>
              <w:rFonts w:hint="default" w:ascii="Times New Roman" w:hAnsi="Times New Roman" w:eastAsia="CIDFont" w:cs="Times New Roman"/>
              <w:bCs/>
              <w:color w:val="000000"/>
              <w:kern w:val="0"/>
              <w:sz w:val="20"/>
              <w:szCs w:val="20"/>
              <w:highlight w:val="none"/>
              <w:lang w:bidi="ar"/>
            </w:rPr>
            <w:fldChar w:fldCharType="end"/>
          </w:r>
        </w:p>
        <w:p w14:paraId="5A234F31">
          <w:pPr>
            <w:pStyle w:val="6"/>
            <w:tabs>
              <w:tab w:val="right" w:leader="dot" w:pos="13958"/>
            </w:tabs>
            <w:rPr>
              <w:rFonts w:hint="default" w:ascii="Times New Roman" w:hAnsi="Times New Roman" w:cs="Times New Roman"/>
              <w:sz w:val="20"/>
              <w:szCs w:val="20"/>
            </w:rPr>
          </w:pPr>
          <w:r>
            <w:rPr>
              <w:rFonts w:hint="default" w:ascii="Times New Roman" w:hAnsi="Times New Roman" w:eastAsia="CIDFont" w:cs="Times New Roman"/>
              <w:bCs/>
              <w:color w:val="000000"/>
              <w:kern w:val="0"/>
              <w:sz w:val="20"/>
              <w:szCs w:val="20"/>
              <w:highlight w:val="none"/>
              <w:lang w:bidi="ar"/>
            </w:rPr>
            <w:fldChar w:fldCharType="begin"/>
          </w:r>
          <w:r>
            <w:rPr>
              <w:rFonts w:hint="default" w:ascii="Times New Roman" w:hAnsi="Times New Roman" w:eastAsia="CIDFont" w:cs="Times New Roman"/>
              <w:bCs/>
              <w:kern w:val="0"/>
              <w:sz w:val="20"/>
              <w:szCs w:val="20"/>
              <w:highlight w:val="none"/>
              <w:lang w:bidi="ar"/>
            </w:rPr>
            <w:instrText xml:space="preserve"> HYPERLINK \l _Toc5809 </w:instrText>
          </w:r>
          <w:r>
            <w:rPr>
              <w:rFonts w:hint="default" w:ascii="Times New Roman" w:hAnsi="Times New Roman" w:eastAsia="CIDFont" w:cs="Times New Roman"/>
              <w:bCs/>
              <w:kern w:val="0"/>
              <w:sz w:val="20"/>
              <w:szCs w:val="20"/>
              <w:highlight w:val="none"/>
              <w:lang w:bidi="ar"/>
            </w:rPr>
            <w:fldChar w:fldCharType="separate"/>
          </w:r>
          <w:r>
            <w:rPr>
              <w:rFonts w:hint="default" w:ascii="Times New Roman" w:hAnsi="Times New Roman" w:eastAsia="宋体" w:cs="Times New Roman"/>
              <w:bCs/>
              <w:kern w:val="0"/>
              <w:sz w:val="20"/>
              <w:szCs w:val="20"/>
              <w:highlight w:val="none"/>
              <w:lang w:eastAsia="zh-CN" w:bidi="ar"/>
            </w:rPr>
            <w:t>Additional</w:t>
          </w:r>
          <w:r>
            <w:rPr>
              <w:rFonts w:hint="default" w:ascii="Times New Roman" w:hAnsi="Times New Roman" w:eastAsia="CIDFont" w:cs="Times New Roman"/>
              <w:bCs/>
              <w:kern w:val="0"/>
              <w:sz w:val="20"/>
              <w:szCs w:val="20"/>
              <w:highlight w:val="none"/>
              <w:lang w:bidi="ar"/>
            </w:rPr>
            <w:t xml:space="preserve"> Table </w:t>
          </w:r>
          <w:r>
            <w:rPr>
              <w:rFonts w:hint="default" w:ascii="Times New Roman" w:hAnsi="Times New Roman" w:eastAsia="宋体" w:cs="Times New Roman"/>
              <w:bCs/>
              <w:kern w:val="0"/>
              <w:sz w:val="20"/>
              <w:szCs w:val="20"/>
              <w:highlight w:val="none"/>
              <w:lang w:bidi="ar"/>
            </w:rPr>
            <w:t>10</w:t>
          </w:r>
          <w:r>
            <w:rPr>
              <w:rFonts w:hint="default" w:ascii="Times New Roman" w:hAnsi="Times New Roman" w:eastAsia="CIDFont" w:cs="Times New Roman"/>
              <w:bCs/>
              <w:kern w:val="0"/>
              <w:sz w:val="20"/>
              <w:szCs w:val="20"/>
              <w:highlight w:val="none"/>
              <w:lang w:bidi="ar"/>
            </w:rPr>
            <w:t xml:space="preserve">. </w:t>
          </w:r>
          <w:r>
            <w:rPr>
              <w:rFonts w:hint="default" w:ascii="Times New Roman" w:hAnsi="Times New Roman" w:eastAsia="Arial Narrow" w:cs="Times New Roman"/>
              <w:bCs/>
              <w:sz w:val="20"/>
              <w:szCs w:val="20"/>
              <w:highlight w:val="none"/>
              <w:lang w:bidi="ar"/>
            </w:rPr>
            <w:t>GRADE evidence profile</w:t>
          </w:r>
          <w:r>
            <w:rPr>
              <w:rFonts w:hint="default" w:ascii="Times New Roman" w:hAnsi="Times New Roman" w:cs="Times New Roman"/>
              <w:sz w:val="20"/>
              <w:szCs w:val="20"/>
            </w:rPr>
            <w:tab/>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PAGEREF _Toc5809 \h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26</w:t>
          </w:r>
          <w:r>
            <w:rPr>
              <w:rFonts w:hint="default" w:ascii="Times New Roman" w:hAnsi="Times New Roman" w:cs="Times New Roman"/>
              <w:sz w:val="20"/>
              <w:szCs w:val="20"/>
            </w:rPr>
            <w:fldChar w:fldCharType="end"/>
          </w:r>
          <w:r>
            <w:rPr>
              <w:rFonts w:hint="default" w:ascii="Times New Roman" w:hAnsi="Times New Roman" w:eastAsia="CIDFont" w:cs="Times New Roman"/>
              <w:bCs/>
              <w:color w:val="000000"/>
              <w:kern w:val="0"/>
              <w:sz w:val="20"/>
              <w:szCs w:val="20"/>
              <w:highlight w:val="none"/>
              <w:lang w:bidi="ar"/>
            </w:rPr>
            <w:fldChar w:fldCharType="end"/>
          </w:r>
        </w:p>
        <w:p w14:paraId="2CCC496F">
          <w:pPr>
            <w:pStyle w:val="6"/>
            <w:tabs>
              <w:tab w:val="right" w:leader="dot" w:pos="13958"/>
            </w:tabs>
            <w:rPr>
              <w:rFonts w:hint="default" w:ascii="Times New Roman" w:hAnsi="Times New Roman" w:cs="Times New Roman"/>
              <w:sz w:val="20"/>
              <w:szCs w:val="20"/>
            </w:rPr>
          </w:pPr>
          <w:r>
            <w:rPr>
              <w:rFonts w:hint="default" w:ascii="Times New Roman" w:hAnsi="Times New Roman" w:eastAsia="CIDFont" w:cs="Times New Roman"/>
              <w:bCs/>
              <w:color w:val="000000"/>
              <w:kern w:val="0"/>
              <w:sz w:val="20"/>
              <w:szCs w:val="20"/>
              <w:highlight w:val="none"/>
              <w:lang w:bidi="ar"/>
            </w:rPr>
            <w:fldChar w:fldCharType="begin"/>
          </w:r>
          <w:r>
            <w:rPr>
              <w:rFonts w:hint="default" w:ascii="Times New Roman" w:hAnsi="Times New Roman" w:eastAsia="CIDFont" w:cs="Times New Roman"/>
              <w:bCs/>
              <w:kern w:val="0"/>
              <w:sz w:val="20"/>
              <w:szCs w:val="20"/>
              <w:highlight w:val="none"/>
              <w:lang w:bidi="ar"/>
            </w:rPr>
            <w:instrText xml:space="preserve"> HYPERLINK \l _Toc25086 </w:instrText>
          </w:r>
          <w:r>
            <w:rPr>
              <w:rFonts w:hint="default" w:ascii="Times New Roman" w:hAnsi="Times New Roman" w:eastAsia="CIDFont" w:cs="Times New Roman"/>
              <w:bCs/>
              <w:kern w:val="0"/>
              <w:sz w:val="20"/>
              <w:szCs w:val="20"/>
              <w:highlight w:val="none"/>
              <w:lang w:bidi="ar"/>
            </w:rPr>
            <w:fldChar w:fldCharType="separate"/>
          </w:r>
          <w:r>
            <w:rPr>
              <w:rFonts w:hint="default" w:ascii="Times New Roman" w:hAnsi="Times New Roman" w:eastAsia="宋体" w:cs="Times New Roman"/>
              <w:bCs/>
              <w:sz w:val="20"/>
              <w:szCs w:val="20"/>
              <w:highlight w:val="none"/>
              <w:lang w:eastAsia="zh-CN" w:bidi="ar"/>
            </w:rPr>
            <w:t xml:space="preserve">Fig. </w:t>
          </w:r>
          <w:r>
            <w:rPr>
              <w:rFonts w:hint="default" w:ascii="Times New Roman" w:hAnsi="Times New Roman" w:eastAsia="宋体" w:cs="Times New Roman"/>
              <w:bCs/>
              <w:sz w:val="20"/>
              <w:szCs w:val="20"/>
              <w:highlight w:val="none"/>
              <w:lang w:val="en-US" w:eastAsia="zh-CN" w:bidi="ar"/>
            </w:rPr>
            <w:t>S</w:t>
          </w:r>
          <w:r>
            <w:rPr>
              <w:rFonts w:hint="default" w:ascii="Times New Roman" w:hAnsi="Times New Roman" w:eastAsia="CIDFont" w:cs="Times New Roman"/>
              <w:bCs/>
              <w:sz w:val="20"/>
              <w:szCs w:val="20"/>
              <w:highlight w:val="none"/>
              <w:lang w:bidi="ar"/>
            </w:rPr>
            <w:t xml:space="preserve">1. Forest </w:t>
          </w:r>
          <w:r>
            <w:rPr>
              <w:rFonts w:hint="default" w:ascii="Times New Roman" w:hAnsi="Times New Roman" w:eastAsia="宋体" w:cs="Times New Roman"/>
              <w:bCs/>
              <w:sz w:val="20"/>
              <w:szCs w:val="20"/>
              <w:highlight w:val="none"/>
              <w:lang w:bidi="ar"/>
            </w:rPr>
            <w:t>P</w:t>
          </w:r>
          <w:r>
            <w:rPr>
              <w:rFonts w:hint="default" w:ascii="Times New Roman" w:hAnsi="Times New Roman" w:eastAsia="CIDFont" w:cs="Times New Roman"/>
              <w:bCs/>
              <w:sz w:val="20"/>
              <w:szCs w:val="20"/>
              <w:highlight w:val="none"/>
              <w:lang w:bidi="ar"/>
            </w:rPr>
            <w:t>lot of the Overall eGDR Levels in Patien</w:t>
          </w:r>
          <w:r>
            <w:rPr>
              <w:rFonts w:hint="default" w:ascii="Times New Roman" w:hAnsi="Times New Roman" w:cs="Times New Roman"/>
              <w:bCs/>
              <w:sz w:val="20"/>
              <w:szCs w:val="20"/>
              <w:highlight w:val="none"/>
            </w:rPr>
            <w:t>ts with T1DM</w:t>
          </w:r>
          <w:r>
            <w:rPr>
              <w:rFonts w:hint="default" w:ascii="Times New Roman" w:hAnsi="Times New Roman" w:cs="Times New Roman"/>
              <w:sz w:val="20"/>
              <w:szCs w:val="20"/>
            </w:rPr>
            <w:tab/>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PAGEREF _Toc25086 \h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29</w:t>
          </w:r>
          <w:r>
            <w:rPr>
              <w:rFonts w:hint="default" w:ascii="Times New Roman" w:hAnsi="Times New Roman" w:cs="Times New Roman"/>
              <w:sz w:val="20"/>
              <w:szCs w:val="20"/>
            </w:rPr>
            <w:fldChar w:fldCharType="end"/>
          </w:r>
          <w:r>
            <w:rPr>
              <w:rFonts w:hint="default" w:ascii="Times New Roman" w:hAnsi="Times New Roman" w:eastAsia="CIDFont" w:cs="Times New Roman"/>
              <w:bCs/>
              <w:color w:val="000000"/>
              <w:kern w:val="0"/>
              <w:sz w:val="20"/>
              <w:szCs w:val="20"/>
              <w:highlight w:val="none"/>
              <w:lang w:bidi="ar"/>
            </w:rPr>
            <w:fldChar w:fldCharType="end"/>
          </w:r>
        </w:p>
        <w:p w14:paraId="271ABA2F">
          <w:pPr>
            <w:pStyle w:val="6"/>
            <w:tabs>
              <w:tab w:val="right" w:leader="dot" w:pos="13958"/>
            </w:tabs>
            <w:rPr>
              <w:rFonts w:hint="default" w:ascii="Times New Roman" w:hAnsi="Times New Roman" w:cs="Times New Roman"/>
              <w:sz w:val="20"/>
              <w:szCs w:val="20"/>
            </w:rPr>
          </w:pPr>
          <w:r>
            <w:rPr>
              <w:rFonts w:hint="default" w:ascii="Times New Roman" w:hAnsi="Times New Roman" w:eastAsia="CIDFont" w:cs="Times New Roman"/>
              <w:bCs/>
              <w:color w:val="000000"/>
              <w:kern w:val="0"/>
              <w:sz w:val="20"/>
              <w:szCs w:val="20"/>
              <w:highlight w:val="none"/>
              <w:lang w:bidi="ar"/>
            </w:rPr>
            <w:fldChar w:fldCharType="begin"/>
          </w:r>
          <w:r>
            <w:rPr>
              <w:rFonts w:hint="default" w:ascii="Times New Roman" w:hAnsi="Times New Roman" w:eastAsia="CIDFont" w:cs="Times New Roman"/>
              <w:bCs/>
              <w:kern w:val="0"/>
              <w:sz w:val="20"/>
              <w:szCs w:val="20"/>
              <w:highlight w:val="none"/>
              <w:lang w:bidi="ar"/>
            </w:rPr>
            <w:instrText xml:space="preserve"> HYPERLINK \l _Toc27405 </w:instrText>
          </w:r>
          <w:r>
            <w:rPr>
              <w:rFonts w:hint="default" w:ascii="Times New Roman" w:hAnsi="Times New Roman" w:eastAsia="CIDFont" w:cs="Times New Roman"/>
              <w:bCs/>
              <w:kern w:val="0"/>
              <w:sz w:val="20"/>
              <w:szCs w:val="20"/>
              <w:highlight w:val="none"/>
              <w:lang w:bidi="ar"/>
            </w:rPr>
            <w:fldChar w:fldCharType="separate"/>
          </w:r>
          <w:r>
            <w:rPr>
              <w:rFonts w:hint="default" w:ascii="Times New Roman" w:hAnsi="Times New Roman" w:eastAsia="宋体" w:cs="Times New Roman"/>
              <w:bCs/>
              <w:sz w:val="20"/>
              <w:szCs w:val="20"/>
              <w:highlight w:val="none"/>
              <w:lang w:eastAsia="zh-CN" w:bidi="ar"/>
            </w:rPr>
            <w:t xml:space="preserve">Fig. </w:t>
          </w:r>
          <w:r>
            <w:rPr>
              <w:rFonts w:hint="default" w:ascii="Times New Roman" w:hAnsi="Times New Roman" w:eastAsia="宋体" w:cs="Times New Roman"/>
              <w:bCs/>
              <w:sz w:val="20"/>
              <w:szCs w:val="20"/>
              <w:highlight w:val="none"/>
              <w:lang w:val="en-US" w:eastAsia="zh-CN" w:bidi="ar"/>
            </w:rPr>
            <w:t>S</w:t>
          </w:r>
          <w:r>
            <w:rPr>
              <w:rFonts w:hint="default" w:ascii="Times New Roman" w:hAnsi="Times New Roman" w:eastAsia="宋体" w:cs="Times New Roman"/>
              <w:bCs/>
              <w:sz w:val="20"/>
              <w:szCs w:val="20"/>
              <w:highlight w:val="none"/>
              <w:lang w:bidi="ar"/>
            </w:rPr>
            <w:t>2</w:t>
          </w:r>
          <w:r>
            <w:rPr>
              <w:rFonts w:hint="default" w:ascii="Times New Roman" w:hAnsi="Times New Roman" w:eastAsia="CIDFont" w:cs="Times New Roman"/>
              <w:bCs/>
              <w:sz w:val="20"/>
              <w:szCs w:val="20"/>
              <w:highlight w:val="none"/>
              <w:lang w:bidi="ar"/>
            </w:rPr>
            <w:t xml:space="preserve">. Forest </w:t>
          </w:r>
          <w:r>
            <w:rPr>
              <w:rFonts w:hint="default" w:ascii="Times New Roman" w:hAnsi="Times New Roman" w:eastAsia="宋体" w:cs="Times New Roman"/>
              <w:bCs/>
              <w:sz w:val="20"/>
              <w:szCs w:val="20"/>
              <w:highlight w:val="none"/>
              <w:lang w:bidi="ar"/>
            </w:rPr>
            <w:t>P</w:t>
          </w:r>
          <w:r>
            <w:rPr>
              <w:rFonts w:hint="default" w:ascii="Times New Roman" w:hAnsi="Times New Roman" w:eastAsia="CIDFont" w:cs="Times New Roman"/>
              <w:bCs/>
              <w:sz w:val="20"/>
              <w:szCs w:val="20"/>
              <w:highlight w:val="none"/>
              <w:lang w:bidi="ar"/>
            </w:rPr>
            <w:t>lot of the Overall eGDR Levels in Patien</w:t>
          </w:r>
          <w:r>
            <w:rPr>
              <w:rFonts w:hint="default" w:ascii="Times New Roman" w:hAnsi="Times New Roman" w:cs="Times New Roman"/>
              <w:bCs/>
              <w:sz w:val="20"/>
              <w:szCs w:val="20"/>
              <w:highlight w:val="none"/>
            </w:rPr>
            <w:t>ts with T2DM</w:t>
          </w:r>
          <w:r>
            <w:rPr>
              <w:rFonts w:hint="default" w:ascii="Times New Roman" w:hAnsi="Times New Roman" w:cs="Times New Roman"/>
              <w:sz w:val="20"/>
              <w:szCs w:val="20"/>
            </w:rPr>
            <w:tab/>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PAGEREF _Toc27405 \h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30</w:t>
          </w:r>
          <w:r>
            <w:rPr>
              <w:rFonts w:hint="default" w:ascii="Times New Roman" w:hAnsi="Times New Roman" w:cs="Times New Roman"/>
              <w:sz w:val="20"/>
              <w:szCs w:val="20"/>
            </w:rPr>
            <w:fldChar w:fldCharType="end"/>
          </w:r>
          <w:r>
            <w:rPr>
              <w:rFonts w:hint="default" w:ascii="Times New Roman" w:hAnsi="Times New Roman" w:eastAsia="CIDFont" w:cs="Times New Roman"/>
              <w:bCs/>
              <w:color w:val="000000"/>
              <w:kern w:val="0"/>
              <w:sz w:val="20"/>
              <w:szCs w:val="20"/>
              <w:highlight w:val="none"/>
              <w:lang w:bidi="ar"/>
            </w:rPr>
            <w:fldChar w:fldCharType="end"/>
          </w:r>
        </w:p>
        <w:p w14:paraId="343162CF">
          <w:pPr>
            <w:pStyle w:val="6"/>
            <w:tabs>
              <w:tab w:val="right" w:leader="dot" w:pos="13958"/>
            </w:tabs>
            <w:rPr>
              <w:rFonts w:hint="default" w:ascii="Times New Roman" w:hAnsi="Times New Roman" w:cs="Times New Roman"/>
              <w:sz w:val="20"/>
              <w:szCs w:val="20"/>
            </w:rPr>
          </w:pPr>
          <w:r>
            <w:rPr>
              <w:rFonts w:hint="default" w:ascii="Times New Roman" w:hAnsi="Times New Roman" w:eastAsia="CIDFont" w:cs="Times New Roman"/>
              <w:bCs/>
              <w:color w:val="000000"/>
              <w:kern w:val="0"/>
              <w:sz w:val="20"/>
              <w:szCs w:val="20"/>
              <w:highlight w:val="none"/>
              <w:lang w:bidi="ar"/>
            </w:rPr>
            <w:fldChar w:fldCharType="begin"/>
          </w:r>
          <w:r>
            <w:rPr>
              <w:rFonts w:hint="default" w:ascii="Times New Roman" w:hAnsi="Times New Roman" w:eastAsia="CIDFont" w:cs="Times New Roman"/>
              <w:bCs/>
              <w:kern w:val="0"/>
              <w:sz w:val="20"/>
              <w:szCs w:val="20"/>
              <w:highlight w:val="none"/>
              <w:lang w:bidi="ar"/>
            </w:rPr>
            <w:instrText xml:space="preserve"> HYPERLINK \l _Toc10347 </w:instrText>
          </w:r>
          <w:r>
            <w:rPr>
              <w:rFonts w:hint="default" w:ascii="Times New Roman" w:hAnsi="Times New Roman" w:eastAsia="CIDFont" w:cs="Times New Roman"/>
              <w:bCs/>
              <w:kern w:val="0"/>
              <w:sz w:val="20"/>
              <w:szCs w:val="20"/>
              <w:highlight w:val="none"/>
              <w:lang w:bidi="ar"/>
            </w:rPr>
            <w:fldChar w:fldCharType="separate"/>
          </w:r>
          <w:r>
            <w:rPr>
              <w:rFonts w:hint="default" w:ascii="Times New Roman" w:hAnsi="Times New Roman" w:eastAsia="宋体" w:cs="Times New Roman"/>
              <w:bCs/>
              <w:kern w:val="0"/>
              <w:sz w:val="20"/>
              <w:szCs w:val="20"/>
              <w:highlight w:val="none"/>
              <w:lang w:eastAsia="zh-CN" w:bidi="ar"/>
            </w:rPr>
            <w:t xml:space="preserve">Fig. </w:t>
          </w:r>
          <w:r>
            <w:rPr>
              <w:rFonts w:hint="default" w:ascii="Times New Roman" w:hAnsi="Times New Roman" w:eastAsia="宋体" w:cs="Times New Roman"/>
              <w:bCs/>
              <w:kern w:val="0"/>
              <w:sz w:val="20"/>
              <w:szCs w:val="20"/>
              <w:highlight w:val="none"/>
              <w:lang w:val="en-US" w:eastAsia="zh-CN" w:bidi="ar"/>
            </w:rPr>
            <w:t>S</w:t>
          </w:r>
          <w:r>
            <w:rPr>
              <w:rFonts w:hint="default" w:ascii="Times New Roman" w:hAnsi="Times New Roman" w:eastAsia="宋体" w:cs="Times New Roman"/>
              <w:bCs/>
              <w:kern w:val="0"/>
              <w:sz w:val="20"/>
              <w:szCs w:val="20"/>
              <w:highlight w:val="none"/>
              <w:lang w:bidi="ar"/>
            </w:rPr>
            <w:t>3</w:t>
          </w:r>
          <w:r>
            <w:rPr>
              <w:rFonts w:hint="default" w:ascii="Times New Roman" w:hAnsi="Times New Roman" w:eastAsia="Shaker2Lancet-BoldItalic" w:cs="Times New Roman"/>
              <w:bCs/>
              <w:kern w:val="0"/>
              <w:sz w:val="20"/>
              <w:szCs w:val="20"/>
              <w:highlight w:val="none"/>
              <w:lang w:bidi="ar"/>
            </w:rPr>
            <w:t>.</w:t>
          </w:r>
          <w:r>
            <w:rPr>
              <w:rFonts w:hint="default" w:ascii="Times New Roman" w:hAnsi="Times New Roman" w:eastAsia="Shaker2Lancet-Bold" w:cs="Times New Roman"/>
              <w:bCs/>
              <w:kern w:val="0"/>
              <w:sz w:val="20"/>
              <w:szCs w:val="20"/>
              <w:highlight w:val="none"/>
              <w:lang w:bidi="ar"/>
            </w:rPr>
            <w:t xml:space="preserve"> </w:t>
          </w:r>
          <w:r>
            <w:rPr>
              <w:rFonts w:hint="default" w:ascii="Times New Roman" w:hAnsi="Times New Roman" w:eastAsia="Shaker2Lancet-Bold" w:cs="Times New Roman"/>
              <w:bCs/>
              <w:sz w:val="20"/>
              <w:szCs w:val="20"/>
              <w:highlight w:val="none"/>
              <w:lang w:bidi="ar"/>
            </w:rPr>
            <w:t xml:space="preserve">Sensitivity </w:t>
          </w:r>
          <w:r>
            <w:rPr>
              <w:rFonts w:hint="default" w:ascii="Times New Roman" w:hAnsi="Times New Roman" w:eastAsia="宋体" w:cs="Times New Roman"/>
              <w:bCs/>
              <w:sz w:val="20"/>
              <w:szCs w:val="20"/>
              <w:highlight w:val="none"/>
              <w:lang w:bidi="ar"/>
            </w:rPr>
            <w:t>A</w:t>
          </w:r>
          <w:r>
            <w:rPr>
              <w:rFonts w:hint="default" w:ascii="Times New Roman" w:hAnsi="Times New Roman" w:eastAsia="Shaker2Lancet-Bold" w:cs="Times New Roman"/>
              <w:bCs/>
              <w:sz w:val="20"/>
              <w:szCs w:val="20"/>
              <w:highlight w:val="none"/>
              <w:lang w:bidi="ar"/>
            </w:rPr>
            <w:t xml:space="preserve">nalysis of the </w:t>
          </w:r>
          <w:r>
            <w:rPr>
              <w:rFonts w:hint="default" w:ascii="Times New Roman" w:hAnsi="Times New Roman" w:eastAsia="宋体" w:cs="Times New Roman"/>
              <w:bCs/>
              <w:sz w:val="20"/>
              <w:szCs w:val="20"/>
              <w:highlight w:val="none"/>
              <w:lang w:bidi="ar"/>
            </w:rPr>
            <w:t>R</w:t>
          </w:r>
          <w:r>
            <w:rPr>
              <w:rFonts w:hint="default" w:ascii="Times New Roman" w:hAnsi="Times New Roman" w:eastAsia="Shaker2Lancet-Bold" w:cs="Times New Roman"/>
              <w:bCs/>
              <w:sz w:val="20"/>
              <w:szCs w:val="20"/>
              <w:highlight w:val="none"/>
              <w:lang w:bidi="ar"/>
            </w:rPr>
            <w:t xml:space="preserve">isk of CVD in </w:t>
          </w:r>
          <w:r>
            <w:rPr>
              <w:rFonts w:hint="default" w:ascii="Times New Roman" w:hAnsi="Times New Roman" w:eastAsia="宋体" w:cs="Times New Roman"/>
              <w:bCs/>
              <w:sz w:val="20"/>
              <w:szCs w:val="20"/>
              <w:highlight w:val="none"/>
              <w:lang w:bidi="ar"/>
            </w:rPr>
            <w:t>P</w:t>
          </w:r>
          <w:r>
            <w:rPr>
              <w:rFonts w:hint="default" w:ascii="Times New Roman" w:hAnsi="Times New Roman" w:eastAsia="Shaker2Lancet-Bold" w:cs="Times New Roman"/>
              <w:bCs/>
              <w:sz w:val="20"/>
              <w:szCs w:val="20"/>
              <w:highlight w:val="none"/>
              <w:lang w:bidi="ar"/>
            </w:rPr>
            <w:t xml:space="preserve">atients with T1DM </w:t>
          </w:r>
          <w:r>
            <w:rPr>
              <w:rFonts w:hint="default" w:ascii="Times New Roman" w:hAnsi="Times New Roman" w:eastAsia="宋体" w:cs="Times New Roman"/>
              <w:bCs/>
              <w:sz w:val="20"/>
              <w:szCs w:val="20"/>
              <w:highlight w:val="none"/>
              <w:lang w:bidi="ar"/>
            </w:rPr>
            <w:t>B</w:t>
          </w:r>
          <w:r>
            <w:rPr>
              <w:rFonts w:hint="default" w:ascii="Times New Roman" w:hAnsi="Times New Roman" w:eastAsia="Shaker2Lancet-Bold" w:cs="Times New Roman"/>
              <w:bCs/>
              <w:sz w:val="20"/>
              <w:szCs w:val="20"/>
              <w:highlight w:val="none"/>
              <w:lang w:bidi="ar"/>
            </w:rPr>
            <w:t xml:space="preserve">ased on </w:t>
          </w:r>
          <w:r>
            <w:rPr>
              <w:rFonts w:hint="default" w:ascii="Times New Roman" w:hAnsi="Times New Roman" w:eastAsia="宋体" w:cs="Times New Roman"/>
              <w:bCs/>
              <w:sz w:val="20"/>
              <w:szCs w:val="20"/>
              <w:highlight w:val="none"/>
              <w:lang w:bidi="ar"/>
            </w:rPr>
            <w:t>D</w:t>
          </w:r>
          <w:r>
            <w:rPr>
              <w:rFonts w:hint="default" w:ascii="Times New Roman" w:hAnsi="Times New Roman" w:eastAsia="Shaker2Lancet-Bold" w:cs="Times New Roman"/>
              <w:bCs/>
              <w:sz w:val="20"/>
              <w:szCs w:val="20"/>
              <w:highlight w:val="none"/>
              <w:lang w:bidi="ar"/>
            </w:rPr>
            <w:t xml:space="preserve">ifferent </w:t>
          </w:r>
          <w:r>
            <w:rPr>
              <w:rFonts w:hint="default" w:ascii="Times New Roman" w:hAnsi="Times New Roman" w:eastAsia="宋体" w:cs="Times New Roman"/>
              <w:bCs/>
              <w:sz w:val="20"/>
              <w:szCs w:val="20"/>
              <w:highlight w:val="none"/>
              <w:lang w:bidi="ar"/>
            </w:rPr>
            <w:t>D</w:t>
          </w:r>
          <w:r>
            <w:rPr>
              <w:rFonts w:hint="default" w:ascii="Times New Roman" w:hAnsi="Times New Roman" w:eastAsia="Shaker2Lancet-Bold" w:cs="Times New Roman"/>
              <w:bCs/>
              <w:sz w:val="20"/>
              <w:szCs w:val="20"/>
              <w:highlight w:val="none"/>
              <w:lang w:bidi="ar"/>
            </w:rPr>
            <w:t xml:space="preserve">egrees of </w:t>
          </w:r>
          <w:r>
            <w:rPr>
              <w:rFonts w:hint="default" w:ascii="Times New Roman" w:hAnsi="Times New Roman" w:eastAsia="宋体" w:cs="Times New Roman"/>
              <w:bCs/>
              <w:sz w:val="20"/>
              <w:szCs w:val="20"/>
              <w:highlight w:val="none"/>
              <w:lang w:bidi="ar"/>
            </w:rPr>
            <w:t>A</w:t>
          </w:r>
          <w:r>
            <w:rPr>
              <w:rFonts w:hint="default" w:ascii="Times New Roman" w:hAnsi="Times New Roman" w:eastAsia="Shaker2Lancet-Bold" w:cs="Times New Roman"/>
              <w:bCs/>
              <w:sz w:val="20"/>
              <w:szCs w:val="20"/>
              <w:highlight w:val="none"/>
              <w:lang w:bidi="ar"/>
            </w:rPr>
            <w:t>djustment</w:t>
          </w:r>
          <w:r>
            <w:rPr>
              <w:rFonts w:hint="default" w:ascii="Times New Roman" w:hAnsi="Times New Roman" w:cs="Times New Roman"/>
              <w:sz w:val="20"/>
              <w:szCs w:val="20"/>
            </w:rPr>
            <w:tab/>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PAGEREF _Toc10347 \h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31</w:t>
          </w:r>
          <w:r>
            <w:rPr>
              <w:rFonts w:hint="default" w:ascii="Times New Roman" w:hAnsi="Times New Roman" w:cs="Times New Roman"/>
              <w:sz w:val="20"/>
              <w:szCs w:val="20"/>
            </w:rPr>
            <w:fldChar w:fldCharType="end"/>
          </w:r>
          <w:r>
            <w:rPr>
              <w:rFonts w:hint="default" w:ascii="Times New Roman" w:hAnsi="Times New Roman" w:eastAsia="CIDFont" w:cs="Times New Roman"/>
              <w:bCs/>
              <w:color w:val="000000"/>
              <w:kern w:val="0"/>
              <w:sz w:val="20"/>
              <w:szCs w:val="20"/>
              <w:highlight w:val="none"/>
              <w:lang w:bidi="ar"/>
            </w:rPr>
            <w:fldChar w:fldCharType="end"/>
          </w:r>
        </w:p>
        <w:p w14:paraId="44E6C7AF">
          <w:pPr>
            <w:pStyle w:val="6"/>
            <w:tabs>
              <w:tab w:val="right" w:leader="dot" w:pos="13958"/>
            </w:tabs>
            <w:rPr>
              <w:rFonts w:hint="default" w:ascii="Times New Roman" w:hAnsi="Times New Roman" w:cs="Times New Roman"/>
              <w:sz w:val="20"/>
              <w:szCs w:val="20"/>
            </w:rPr>
          </w:pPr>
          <w:r>
            <w:rPr>
              <w:rFonts w:hint="default" w:ascii="Times New Roman" w:hAnsi="Times New Roman" w:eastAsia="CIDFont" w:cs="Times New Roman"/>
              <w:bCs/>
              <w:color w:val="000000"/>
              <w:kern w:val="0"/>
              <w:sz w:val="20"/>
              <w:szCs w:val="20"/>
              <w:highlight w:val="none"/>
              <w:lang w:bidi="ar"/>
            </w:rPr>
            <w:fldChar w:fldCharType="begin"/>
          </w:r>
          <w:r>
            <w:rPr>
              <w:rFonts w:hint="default" w:ascii="Times New Roman" w:hAnsi="Times New Roman" w:eastAsia="CIDFont" w:cs="Times New Roman"/>
              <w:bCs/>
              <w:kern w:val="0"/>
              <w:sz w:val="20"/>
              <w:szCs w:val="20"/>
              <w:highlight w:val="none"/>
              <w:lang w:bidi="ar"/>
            </w:rPr>
            <w:instrText xml:space="preserve"> HYPERLINK \l _Toc23141 </w:instrText>
          </w:r>
          <w:r>
            <w:rPr>
              <w:rFonts w:hint="default" w:ascii="Times New Roman" w:hAnsi="Times New Roman" w:eastAsia="CIDFont" w:cs="Times New Roman"/>
              <w:bCs/>
              <w:kern w:val="0"/>
              <w:sz w:val="20"/>
              <w:szCs w:val="20"/>
              <w:highlight w:val="none"/>
              <w:lang w:bidi="ar"/>
            </w:rPr>
            <w:fldChar w:fldCharType="separate"/>
          </w:r>
          <w:r>
            <w:rPr>
              <w:rFonts w:hint="default" w:ascii="Times New Roman" w:hAnsi="Times New Roman" w:eastAsia="宋体" w:cs="Times New Roman"/>
              <w:bCs/>
              <w:sz w:val="20"/>
              <w:szCs w:val="20"/>
              <w:highlight w:val="none"/>
              <w:lang w:eastAsia="zh-CN" w:bidi="ar"/>
            </w:rPr>
            <w:t>Fig.</w:t>
          </w:r>
          <w:r>
            <w:rPr>
              <w:rFonts w:hint="default" w:ascii="Times New Roman" w:hAnsi="Times New Roman" w:eastAsia="Shaker2Lancet-Bold" w:cs="Times New Roman"/>
              <w:bCs/>
              <w:sz w:val="20"/>
              <w:szCs w:val="20"/>
              <w:highlight w:val="none"/>
              <w:lang w:bidi="ar"/>
            </w:rPr>
            <w:t xml:space="preserve"> </w:t>
          </w:r>
          <w:r>
            <w:rPr>
              <w:rFonts w:hint="default" w:ascii="Times New Roman" w:hAnsi="Times New Roman" w:eastAsia="宋体" w:cs="Times New Roman"/>
              <w:bCs/>
              <w:sz w:val="20"/>
              <w:szCs w:val="20"/>
              <w:highlight w:val="none"/>
              <w:lang w:val="en-US" w:eastAsia="zh-CN" w:bidi="ar"/>
            </w:rPr>
            <w:t>S</w:t>
          </w:r>
          <w:r>
            <w:rPr>
              <w:rFonts w:hint="default" w:ascii="Times New Roman" w:hAnsi="Times New Roman" w:eastAsia="Shaker2Lancet-Bold" w:cs="Times New Roman"/>
              <w:bCs/>
              <w:sz w:val="20"/>
              <w:szCs w:val="20"/>
              <w:highlight w:val="none"/>
              <w:lang w:bidi="ar"/>
            </w:rPr>
            <w:t xml:space="preserve">4. Sensitivity </w:t>
          </w:r>
          <w:r>
            <w:rPr>
              <w:rFonts w:hint="default" w:ascii="Times New Roman" w:hAnsi="Times New Roman" w:eastAsia="宋体" w:cs="Times New Roman"/>
              <w:bCs/>
              <w:sz w:val="20"/>
              <w:szCs w:val="20"/>
              <w:highlight w:val="none"/>
              <w:lang w:bidi="ar"/>
            </w:rPr>
            <w:t>A</w:t>
          </w:r>
          <w:r>
            <w:rPr>
              <w:rFonts w:hint="default" w:ascii="Times New Roman" w:hAnsi="Times New Roman" w:eastAsia="Shaker2Lancet-Bold" w:cs="Times New Roman"/>
              <w:bCs/>
              <w:sz w:val="20"/>
              <w:szCs w:val="20"/>
              <w:highlight w:val="none"/>
              <w:lang w:bidi="ar"/>
            </w:rPr>
            <w:t xml:space="preserve">nalysis of the </w:t>
          </w:r>
          <w:r>
            <w:rPr>
              <w:rFonts w:hint="default" w:ascii="Times New Roman" w:hAnsi="Times New Roman" w:eastAsia="宋体" w:cs="Times New Roman"/>
              <w:bCs/>
              <w:sz w:val="20"/>
              <w:szCs w:val="20"/>
              <w:highlight w:val="none"/>
              <w:lang w:bidi="ar"/>
            </w:rPr>
            <w:t>R</w:t>
          </w:r>
          <w:r>
            <w:rPr>
              <w:rFonts w:hint="default" w:ascii="Times New Roman" w:hAnsi="Times New Roman" w:eastAsia="Shaker2Lancet-Bold" w:cs="Times New Roman"/>
              <w:bCs/>
              <w:sz w:val="20"/>
              <w:szCs w:val="20"/>
              <w:highlight w:val="none"/>
              <w:lang w:bidi="ar"/>
            </w:rPr>
            <w:t xml:space="preserve">isk of </w:t>
          </w:r>
          <w:r>
            <w:rPr>
              <w:rFonts w:hint="default" w:ascii="Times New Roman" w:hAnsi="Times New Roman" w:eastAsia="宋体" w:cs="Times New Roman"/>
              <w:bCs/>
              <w:sz w:val="20"/>
              <w:szCs w:val="20"/>
              <w:highlight w:val="none"/>
              <w:lang w:bidi="ar"/>
            </w:rPr>
            <w:t>DMC</w:t>
          </w:r>
          <w:r>
            <w:rPr>
              <w:rFonts w:hint="default" w:ascii="Times New Roman" w:hAnsi="Times New Roman" w:eastAsia="Shaker2Lancet-Bold" w:cs="Times New Roman"/>
              <w:bCs/>
              <w:sz w:val="20"/>
              <w:szCs w:val="20"/>
              <w:highlight w:val="none"/>
              <w:lang w:bidi="ar"/>
            </w:rPr>
            <w:t xml:space="preserve"> in </w:t>
          </w:r>
          <w:r>
            <w:rPr>
              <w:rFonts w:hint="default" w:ascii="Times New Roman" w:hAnsi="Times New Roman" w:eastAsia="宋体" w:cs="Times New Roman"/>
              <w:bCs/>
              <w:sz w:val="20"/>
              <w:szCs w:val="20"/>
              <w:highlight w:val="none"/>
              <w:lang w:bidi="ar"/>
            </w:rPr>
            <w:t>P</w:t>
          </w:r>
          <w:r>
            <w:rPr>
              <w:rFonts w:hint="default" w:ascii="Times New Roman" w:hAnsi="Times New Roman" w:eastAsia="Shaker2Lancet-Bold" w:cs="Times New Roman"/>
              <w:bCs/>
              <w:sz w:val="20"/>
              <w:szCs w:val="20"/>
              <w:highlight w:val="none"/>
              <w:lang w:bidi="ar"/>
            </w:rPr>
            <w:t xml:space="preserve">atients with T1DM </w:t>
          </w:r>
          <w:r>
            <w:rPr>
              <w:rFonts w:hint="default" w:ascii="Times New Roman" w:hAnsi="Times New Roman" w:eastAsia="宋体" w:cs="Times New Roman"/>
              <w:bCs/>
              <w:sz w:val="20"/>
              <w:szCs w:val="20"/>
              <w:highlight w:val="none"/>
              <w:lang w:bidi="ar"/>
            </w:rPr>
            <w:t>B</w:t>
          </w:r>
          <w:r>
            <w:rPr>
              <w:rFonts w:hint="default" w:ascii="Times New Roman" w:hAnsi="Times New Roman" w:eastAsia="Shaker2Lancet-Bold" w:cs="Times New Roman"/>
              <w:bCs/>
              <w:sz w:val="20"/>
              <w:szCs w:val="20"/>
              <w:highlight w:val="none"/>
              <w:lang w:bidi="ar"/>
            </w:rPr>
            <w:t xml:space="preserve">ased on </w:t>
          </w:r>
          <w:r>
            <w:rPr>
              <w:rFonts w:hint="default" w:ascii="Times New Roman" w:hAnsi="Times New Roman" w:eastAsia="宋体" w:cs="Times New Roman"/>
              <w:bCs/>
              <w:sz w:val="20"/>
              <w:szCs w:val="20"/>
              <w:highlight w:val="none"/>
              <w:lang w:bidi="ar"/>
            </w:rPr>
            <w:t>D</w:t>
          </w:r>
          <w:r>
            <w:rPr>
              <w:rFonts w:hint="default" w:ascii="Times New Roman" w:hAnsi="Times New Roman" w:eastAsia="Shaker2Lancet-Bold" w:cs="Times New Roman"/>
              <w:bCs/>
              <w:sz w:val="20"/>
              <w:szCs w:val="20"/>
              <w:highlight w:val="none"/>
              <w:lang w:bidi="ar"/>
            </w:rPr>
            <w:t xml:space="preserve">ifferent </w:t>
          </w:r>
          <w:r>
            <w:rPr>
              <w:rFonts w:hint="default" w:ascii="Times New Roman" w:hAnsi="Times New Roman" w:eastAsia="宋体" w:cs="Times New Roman"/>
              <w:bCs/>
              <w:sz w:val="20"/>
              <w:szCs w:val="20"/>
              <w:highlight w:val="none"/>
              <w:lang w:bidi="ar"/>
            </w:rPr>
            <w:t>D</w:t>
          </w:r>
          <w:r>
            <w:rPr>
              <w:rFonts w:hint="default" w:ascii="Times New Roman" w:hAnsi="Times New Roman" w:eastAsia="Shaker2Lancet-Bold" w:cs="Times New Roman"/>
              <w:bCs/>
              <w:sz w:val="20"/>
              <w:szCs w:val="20"/>
              <w:highlight w:val="none"/>
              <w:lang w:bidi="ar"/>
            </w:rPr>
            <w:t xml:space="preserve">egrees of </w:t>
          </w:r>
          <w:r>
            <w:rPr>
              <w:rFonts w:hint="default" w:ascii="Times New Roman" w:hAnsi="Times New Roman" w:eastAsia="宋体" w:cs="Times New Roman"/>
              <w:bCs/>
              <w:sz w:val="20"/>
              <w:szCs w:val="20"/>
              <w:highlight w:val="none"/>
              <w:lang w:bidi="ar"/>
            </w:rPr>
            <w:t>A</w:t>
          </w:r>
          <w:r>
            <w:rPr>
              <w:rFonts w:hint="default" w:ascii="Times New Roman" w:hAnsi="Times New Roman" w:eastAsia="Shaker2Lancet-Bold" w:cs="Times New Roman"/>
              <w:bCs/>
              <w:sz w:val="20"/>
              <w:szCs w:val="20"/>
              <w:highlight w:val="none"/>
              <w:lang w:bidi="ar"/>
            </w:rPr>
            <w:t>djustment</w:t>
          </w:r>
          <w:r>
            <w:rPr>
              <w:rFonts w:hint="default" w:ascii="Times New Roman" w:hAnsi="Times New Roman" w:cs="Times New Roman"/>
              <w:sz w:val="20"/>
              <w:szCs w:val="20"/>
            </w:rPr>
            <w:tab/>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PAGEREF _Toc23141 \h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32</w:t>
          </w:r>
          <w:r>
            <w:rPr>
              <w:rFonts w:hint="default" w:ascii="Times New Roman" w:hAnsi="Times New Roman" w:cs="Times New Roman"/>
              <w:sz w:val="20"/>
              <w:szCs w:val="20"/>
            </w:rPr>
            <w:fldChar w:fldCharType="end"/>
          </w:r>
          <w:r>
            <w:rPr>
              <w:rFonts w:hint="default" w:ascii="Times New Roman" w:hAnsi="Times New Roman" w:eastAsia="CIDFont" w:cs="Times New Roman"/>
              <w:bCs/>
              <w:color w:val="000000"/>
              <w:kern w:val="0"/>
              <w:sz w:val="20"/>
              <w:szCs w:val="20"/>
              <w:highlight w:val="none"/>
              <w:lang w:bidi="ar"/>
            </w:rPr>
            <w:fldChar w:fldCharType="end"/>
          </w:r>
        </w:p>
        <w:p w14:paraId="319682CD">
          <w:pPr>
            <w:pStyle w:val="6"/>
            <w:tabs>
              <w:tab w:val="right" w:leader="dot" w:pos="13958"/>
            </w:tabs>
            <w:rPr>
              <w:rFonts w:hint="default" w:ascii="Times New Roman" w:hAnsi="Times New Roman" w:cs="Times New Roman"/>
              <w:sz w:val="20"/>
              <w:szCs w:val="20"/>
            </w:rPr>
          </w:pPr>
          <w:r>
            <w:rPr>
              <w:rFonts w:hint="default" w:ascii="Times New Roman" w:hAnsi="Times New Roman" w:eastAsia="CIDFont" w:cs="Times New Roman"/>
              <w:bCs/>
              <w:color w:val="000000"/>
              <w:kern w:val="0"/>
              <w:sz w:val="20"/>
              <w:szCs w:val="20"/>
              <w:highlight w:val="none"/>
              <w:lang w:bidi="ar"/>
            </w:rPr>
            <w:fldChar w:fldCharType="begin"/>
          </w:r>
          <w:r>
            <w:rPr>
              <w:rFonts w:hint="default" w:ascii="Times New Roman" w:hAnsi="Times New Roman" w:eastAsia="CIDFont" w:cs="Times New Roman"/>
              <w:bCs/>
              <w:kern w:val="0"/>
              <w:sz w:val="20"/>
              <w:szCs w:val="20"/>
              <w:highlight w:val="none"/>
              <w:lang w:bidi="ar"/>
            </w:rPr>
            <w:instrText xml:space="preserve"> HYPERLINK \l _Toc27433 </w:instrText>
          </w:r>
          <w:r>
            <w:rPr>
              <w:rFonts w:hint="default" w:ascii="Times New Roman" w:hAnsi="Times New Roman" w:eastAsia="CIDFont" w:cs="Times New Roman"/>
              <w:bCs/>
              <w:kern w:val="0"/>
              <w:sz w:val="20"/>
              <w:szCs w:val="20"/>
              <w:highlight w:val="none"/>
              <w:lang w:bidi="ar"/>
            </w:rPr>
            <w:fldChar w:fldCharType="separate"/>
          </w:r>
          <w:r>
            <w:rPr>
              <w:rFonts w:hint="default" w:ascii="Times New Roman" w:hAnsi="Times New Roman" w:eastAsia="宋体" w:cs="Times New Roman"/>
              <w:bCs/>
              <w:sz w:val="20"/>
              <w:szCs w:val="20"/>
              <w:highlight w:val="none"/>
              <w:lang w:eastAsia="zh-CN" w:bidi="ar"/>
            </w:rPr>
            <w:t>Fig.</w:t>
          </w:r>
          <w:r>
            <w:rPr>
              <w:rFonts w:hint="default" w:ascii="Times New Roman" w:hAnsi="Times New Roman" w:eastAsia="Shaker2Lancet-Bold" w:cs="Times New Roman"/>
              <w:bCs/>
              <w:sz w:val="20"/>
              <w:szCs w:val="20"/>
              <w:highlight w:val="none"/>
              <w:lang w:bidi="ar"/>
            </w:rPr>
            <w:t xml:space="preserve"> </w:t>
          </w:r>
          <w:r>
            <w:rPr>
              <w:rFonts w:hint="default" w:ascii="Times New Roman" w:hAnsi="Times New Roman" w:eastAsia="宋体" w:cs="Times New Roman"/>
              <w:bCs/>
              <w:sz w:val="20"/>
              <w:szCs w:val="20"/>
              <w:highlight w:val="none"/>
              <w:lang w:val="en-US" w:eastAsia="zh-CN" w:bidi="ar"/>
            </w:rPr>
            <w:t>S</w:t>
          </w:r>
          <w:r>
            <w:rPr>
              <w:rFonts w:hint="default" w:ascii="Times New Roman" w:hAnsi="Times New Roman" w:eastAsia="Shaker2Lancet-Bold" w:cs="Times New Roman"/>
              <w:bCs/>
              <w:sz w:val="20"/>
              <w:szCs w:val="20"/>
              <w:highlight w:val="none"/>
              <w:lang w:bidi="ar"/>
            </w:rPr>
            <w:t xml:space="preserve">5. Sensitivity </w:t>
          </w:r>
          <w:r>
            <w:rPr>
              <w:rFonts w:hint="default" w:ascii="Times New Roman" w:hAnsi="Times New Roman" w:eastAsia="宋体" w:cs="Times New Roman"/>
              <w:bCs/>
              <w:sz w:val="20"/>
              <w:szCs w:val="20"/>
              <w:highlight w:val="none"/>
              <w:lang w:bidi="ar"/>
            </w:rPr>
            <w:t>A</w:t>
          </w:r>
          <w:r>
            <w:rPr>
              <w:rFonts w:hint="default" w:ascii="Times New Roman" w:hAnsi="Times New Roman" w:eastAsia="Shaker2Lancet-Bold" w:cs="Times New Roman"/>
              <w:bCs/>
              <w:sz w:val="20"/>
              <w:szCs w:val="20"/>
              <w:highlight w:val="none"/>
              <w:lang w:bidi="ar"/>
            </w:rPr>
            <w:t xml:space="preserve">nalysis of the </w:t>
          </w:r>
          <w:r>
            <w:rPr>
              <w:rFonts w:hint="default" w:ascii="Times New Roman" w:hAnsi="Times New Roman" w:eastAsia="宋体" w:cs="Times New Roman"/>
              <w:bCs/>
              <w:sz w:val="20"/>
              <w:szCs w:val="20"/>
              <w:highlight w:val="none"/>
              <w:lang w:bidi="ar"/>
            </w:rPr>
            <w:t>R</w:t>
          </w:r>
          <w:r>
            <w:rPr>
              <w:rFonts w:hint="default" w:ascii="Times New Roman" w:hAnsi="Times New Roman" w:eastAsia="Shaker2Lancet-Bold" w:cs="Times New Roman"/>
              <w:bCs/>
              <w:sz w:val="20"/>
              <w:szCs w:val="20"/>
              <w:highlight w:val="none"/>
              <w:lang w:bidi="ar"/>
            </w:rPr>
            <w:t xml:space="preserve">isk of </w:t>
          </w:r>
          <w:r>
            <w:rPr>
              <w:rFonts w:hint="default" w:ascii="Times New Roman" w:hAnsi="Times New Roman" w:eastAsia="宋体" w:cs="Times New Roman"/>
              <w:bCs/>
              <w:sz w:val="20"/>
              <w:szCs w:val="20"/>
              <w:highlight w:val="none"/>
              <w:lang w:bidi="ar"/>
            </w:rPr>
            <w:t>Mortality</w:t>
          </w:r>
          <w:r>
            <w:rPr>
              <w:rFonts w:hint="default" w:ascii="Times New Roman" w:hAnsi="Times New Roman" w:eastAsia="Shaker2Lancet-Bold" w:cs="Times New Roman"/>
              <w:bCs/>
              <w:sz w:val="20"/>
              <w:szCs w:val="20"/>
              <w:highlight w:val="none"/>
              <w:lang w:bidi="ar"/>
            </w:rPr>
            <w:t xml:space="preserve"> in </w:t>
          </w:r>
          <w:r>
            <w:rPr>
              <w:rFonts w:hint="default" w:ascii="Times New Roman" w:hAnsi="Times New Roman" w:eastAsia="宋体" w:cs="Times New Roman"/>
              <w:bCs/>
              <w:sz w:val="20"/>
              <w:szCs w:val="20"/>
              <w:highlight w:val="none"/>
              <w:lang w:bidi="ar"/>
            </w:rPr>
            <w:t>P</w:t>
          </w:r>
          <w:r>
            <w:rPr>
              <w:rFonts w:hint="default" w:ascii="Times New Roman" w:hAnsi="Times New Roman" w:eastAsia="Shaker2Lancet-Bold" w:cs="Times New Roman"/>
              <w:bCs/>
              <w:sz w:val="20"/>
              <w:szCs w:val="20"/>
              <w:highlight w:val="none"/>
              <w:lang w:bidi="ar"/>
            </w:rPr>
            <w:t xml:space="preserve">atients with T1DM </w:t>
          </w:r>
          <w:r>
            <w:rPr>
              <w:rFonts w:hint="default" w:ascii="Times New Roman" w:hAnsi="Times New Roman" w:eastAsia="宋体" w:cs="Times New Roman"/>
              <w:bCs/>
              <w:sz w:val="20"/>
              <w:szCs w:val="20"/>
              <w:highlight w:val="none"/>
              <w:lang w:bidi="ar"/>
            </w:rPr>
            <w:t>B</w:t>
          </w:r>
          <w:r>
            <w:rPr>
              <w:rFonts w:hint="default" w:ascii="Times New Roman" w:hAnsi="Times New Roman" w:eastAsia="Shaker2Lancet-Bold" w:cs="Times New Roman"/>
              <w:bCs/>
              <w:sz w:val="20"/>
              <w:szCs w:val="20"/>
              <w:highlight w:val="none"/>
              <w:lang w:bidi="ar"/>
            </w:rPr>
            <w:t xml:space="preserve">ased on </w:t>
          </w:r>
          <w:r>
            <w:rPr>
              <w:rFonts w:hint="default" w:ascii="Times New Roman" w:hAnsi="Times New Roman" w:eastAsia="宋体" w:cs="Times New Roman"/>
              <w:bCs/>
              <w:sz w:val="20"/>
              <w:szCs w:val="20"/>
              <w:highlight w:val="none"/>
              <w:lang w:bidi="ar"/>
            </w:rPr>
            <w:t>D</w:t>
          </w:r>
          <w:r>
            <w:rPr>
              <w:rFonts w:hint="default" w:ascii="Times New Roman" w:hAnsi="Times New Roman" w:eastAsia="Shaker2Lancet-Bold" w:cs="Times New Roman"/>
              <w:bCs/>
              <w:sz w:val="20"/>
              <w:szCs w:val="20"/>
              <w:highlight w:val="none"/>
              <w:lang w:bidi="ar"/>
            </w:rPr>
            <w:t xml:space="preserve">ifferent </w:t>
          </w:r>
          <w:r>
            <w:rPr>
              <w:rFonts w:hint="default" w:ascii="Times New Roman" w:hAnsi="Times New Roman" w:eastAsia="宋体" w:cs="Times New Roman"/>
              <w:bCs/>
              <w:sz w:val="20"/>
              <w:szCs w:val="20"/>
              <w:highlight w:val="none"/>
              <w:lang w:bidi="ar"/>
            </w:rPr>
            <w:t>D</w:t>
          </w:r>
          <w:r>
            <w:rPr>
              <w:rFonts w:hint="default" w:ascii="Times New Roman" w:hAnsi="Times New Roman" w:eastAsia="Shaker2Lancet-Bold" w:cs="Times New Roman"/>
              <w:bCs/>
              <w:sz w:val="20"/>
              <w:szCs w:val="20"/>
              <w:highlight w:val="none"/>
              <w:lang w:bidi="ar"/>
            </w:rPr>
            <w:t xml:space="preserve">egrees of </w:t>
          </w:r>
          <w:r>
            <w:rPr>
              <w:rFonts w:hint="default" w:ascii="Times New Roman" w:hAnsi="Times New Roman" w:eastAsia="宋体" w:cs="Times New Roman"/>
              <w:bCs/>
              <w:sz w:val="20"/>
              <w:szCs w:val="20"/>
              <w:highlight w:val="none"/>
              <w:lang w:bidi="ar"/>
            </w:rPr>
            <w:t>A</w:t>
          </w:r>
          <w:r>
            <w:rPr>
              <w:rFonts w:hint="default" w:ascii="Times New Roman" w:hAnsi="Times New Roman" w:eastAsia="Shaker2Lancet-Bold" w:cs="Times New Roman"/>
              <w:bCs/>
              <w:sz w:val="20"/>
              <w:szCs w:val="20"/>
              <w:highlight w:val="none"/>
              <w:lang w:bidi="ar"/>
            </w:rPr>
            <w:t>djustment</w:t>
          </w:r>
          <w:r>
            <w:rPr>
              <w:rFonts w:hint="default" w:ascii="Times New Roman" w:hAnsi="Times New Roman" w:cs="Times New Roman"/>
              <w:sz w:val="20"/>
              <w:szCs w:val="20"/>
            </w:rPr>
            <w:tab/>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PAGEREF _Toc27433 \h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33</w:t>
          </w:r>
          <w:r>
            <w:rPr>
              <w:rFonts w:hint="default" w:ascii="Times New Roman" w:hAnsi="Times New Roman" w:cs="Times New Roman"/>
              <w:sz w:val="20"/>
              <w:szCs w:val="20"/>
            </w:rPr>
            <w:fldChar w:fldCharType="end"/>
          </w:r>
          <w:r>
            <w:rPr>
              <w:rFonts w:hint="default" w:ascii="Times New Roman" w:hAnsi="Times New Roman" w:eastAsia="CIDFont" w:cs="Times New Roman"/>
              <w:bCs/>
              <w:color w:val="000000"/>
              <w:kern w:val="0"/>
              <w:sz w:val="20"/>
              <w:szCs w:val="20"/>
              <w:highlight w:val="none"/>
              <w:lang w:bidi="ar"/>
            </w:rPr>
            <w:fldChar w:fldCharType="end"/>
          </w:r>
        </w:p>
        <w:p w14:paraId="25B74CCB">
          <w:pPr>
            <w:pStyle w:val="6"/>
            <w:tabs>
              <w:tab w:val="right" w:leader="dot" w:pos="13958"/>
            </w:tabs>
            <w:rPr>
              <w:rFonts w:hint="default" w:ascii="Times New Roman" w:hAnsi="Times New Roman" w:cs="Times New Roman"/>
              <w:sz w:val="20"/>
              <w:szCs w:val="20"/>
            </w:rPr>
          </w:pPr>
          <w:r>
            <w:rPr>
              <w:rFonts w:hint="default" w:ascii="Times New Roman" w:hAnsi="Times New Roman" w:eastAsia="CIDFont" w:cs="Times New Roman"/>
              <w:bCs/>
              <w:color w:val="000000"/>
              <w:kern w:val="0"/>
              <w:sz w:val="20"/>
              <w:szCs w:val="20"/>
              <w:highlight w:val="none"/>
              <w:lang w:bidi="ar"/>
            </w:rPr>
            <w:fldChar w:fldCharType="begin"/>
          </w:r>
          <w:r>
            <w:rPr>
              <w:rFonts w:hint="default" w:ascii="Times New Roman" w:hAnsi="Times New Roman" w:eastAsia="CIDFont" w:cs="Times New Roman"/>
              <w:bCs/>
              <w:kern w:val="0"/>
              <w:sz w:val="20"/>
              <w:szCs w:val="20"/>
              <w:highlight w:val="none"/>
              <w:lang w:bidi="ar"/>
            </w:rPr>
            <w:instrText xml:space="preserve"> HYPERLINK \l _Toc22005 </w:instrText>
          </w:r>
          <w:r>
            <w:rPr>
              <w:rFonts w:hint="default" w:ascii="Times New Roman" w:hAnsi="Times New Roman" w:eastAsia="CIDFont" w:cs="Times New Roman"/>
              <w:bCs/>
              <w:kern w:val="0"/>
              <w:sz w:val="20"/>
              <w:szCs w:val="20"/>
              <w:highlight w:val="none"/>
              <w:lang w:bidi="ar"/>
            </w:rPr>
            <w:fldChar w:fldCharType="separate"/>
          </w:r>
          <w:r>
            <w:rPr>
              <w:rFonts w:hint="default" w:ascii="Times New Roman" w:hAnsi="Times New Roman" w:eastAsia="宋体" w:cs="Times New Roman"/>
              <w:bCs/>
              <w:sz w:val="20"/>
              <w:szCs w:val="20"/>
              <w:highlight w:val="none"/>
              <w:lang w:eastAsia="zh-CN" w:bidi="ar"/>
            </w:rPr>
            <w:t>Fig.</w:t>
          </w:r>
          <w:r>
            <w:rPr>
              <w:rFonts w:hint="default" w:ascii="Times New Roman" w:hAnsi="Times New Roman" w:eastAsia="宋体" w:cs="Times New Roman"/>
              <w:bCs/>
              <w:sz w:val="20"/>
              <w:szCs w:val="20"/>
              <w:highlight w:val="none"/>
              <w:lang w:bidi="ar"/>
            </w:rPr>
            <w:t xml:space="preserve"> </w:t>
          </w:r>
          <w:r>
            <w:rPr>
              <w:rFonts w:hint="default" w:ascii="Times New Roman" w:hAnsi="Times New Roman" w:eastAsia="宋体" w:cs="Times New Roman"/>
              <w:bCs/>
              <w:sz w:val="20"/>
              <w:szCs w:val="20"/>
              <w:highlight w:val="none"/>
              <w:lang w:val="en-US" w:eastAsia="zh-CN" w:bidi="ar"/>
            </w:rPr>
            <w:t>S</w:t>
          </w:r>
          <w:r>
            <w:rPr>
              <w:rFonts w:hint="default" w:ascii="Times New Roman" w:hAnsi="Times New Roman" w:eastAsia="宋体" w:cs="Times New Roman"/>
              <w:bCs/>
              <w:sz w:val="20"/>
              <w:szCs w:val="20"/>
              <w:highlight w:val="none"/>
              <w:lang w:bidi="ar"/>
            </w:rPr>
            <w:t>6</w:t>
          </w:r>
          <w:r>
            <w:rPr>
              <w:rFonts w:hint="default" w:ascii="Times New Roman" w:hAnsi="Times New Roman" w:eastAsia="Shaker2Lancet-Bold" w:cs="Times New Roman"/>
              <w:bCs/>
              <w:sz w:val="20"/>
              <w:szCs w:val="20"/>
              <w:highlight w:val="none"/>
              <w:lang w:bidi="ar"/>
            </w:rPr>
            <w:t xml:space="preserve">. Sensitivity </w:t>
          </w:r>
          <w:r>
            <w:rPr>
              <w:rFonts w:hint="default" w:ascii="Times New Roman" w:hAnsi="Times New Roman" w:eastAsia="宋体" w:cs="Times New Roman"/>
              <w:bCs/>
              <w:sz w:val="20"/>
              <w:szCs w:val="20"/>
              <w:highlight w:val="none"/>
              <w:lang w:bidi="ar"/>
            </w:rPr>
            <w:t>A</w:t>
          </w:r>
          <w:r>
            <w:rPr>
              <w:rFonts w:hint="default" w:ascii="Times New Roman" w:hAnsi="Times New Roman" w:eastAsia="Shaker2Lancet-Bold" w:cs="Times New Roman"/>
              <w:bCs/>
              <w:sz w:val="20"/>
              <w:szCs w:val="20"/>
              <w:highlight w:val="none"/>
              <w:lang w:bidi="ar"/>
            </w:rPr>
            <w:t xml:space="preserve">nalysis of the </w:t>
          </w:r>
          <w:r>
            <w:rPr>
              <w:rFonts w:hint="default" w:ascii="Times New Roman" w:hAnsi="Times New Roman" w:eastAsia="宋体" w:cs="Times New Roman"/>
              <w:bCs/>
              <w:sz w:val="20"/>
              <w:szCs w:val="20"/>
              <w:highlight w:val="none"/>
              <w:lang w:bidi="ar"/>
            </w:rPr>
            <w:t>R</w:t>
          </w:r>
          <w:r>
            <w:rPr>
              <w:rFonts w:hint="default" w:ascii="Times New Roman" w:hAnsi="Times New Roman" w:eastAsia="Shaker2Lancet-Bold" w:cs="Times New Roman"/>
              <w:bCs/>
              <w:sz w:val="20"/>
              <w:szCs w:val="20"/>
              <w:highlight w:val="none"/>
              <w:lang w:bidi="ar"/>
            </w:rPr>
            <w:t xml:space="preserve">isk of CVD in </w:t>
          </w:r>
          <w:r>
            <w:rPr>
              <w:rFonts w:hint="default" w:ascii="Times New Roman" w:hAnsi="Times New Roman" w:eastAsia="宋体" w:cs="Times New Roman"/>
              <w:bCs/>
              <w:sz w:val="20"/>
              <w:szCs w:val="20"/>
              <w:highlight w:val="none"/>
              <w:lang w:bidi="ar"/>
            </w:rPr>
            <w:t>P</w:t>
          </w:r>
          <w:r>
            <w:rPr>
              <w:rFonts w:hint="default" w:ascii="Times New Roman" w:hAnsi="Times New Roman" w:eastAsia="Shaker2Lancet-Bold" w:cs="Times New Roman"/>
              <w:bCs/>
              <w:sz w:val="20"/>
              <w:szCs w:val="20"/>
              <w:highlight w:val="none"/>
              <w:lang w:bidi="ar"/>
            </w:rPr>
            <w:t xml:space="preserve">atients with T1DM </w:t>
          </w:r>
          <w:r>
            <w:rPr>
              <w:rFonts w:hint="default" w:ascii="Times New Roman" w:hAnsi="Times New Roman" w:eastAsia="宋体" w:cs="Times New Roman"/>
              <w:bCs/>
              <w:sz w:val="20"/>
              <w:szCs w:val="20"/>
              <w:highlight w:val="none"/>
              <w:lang w:bidi="ar"/>
            </w:rPr>
            <w:t>B</w:t>
          </w:r>
          <w:r>
            <w:rPr>
              <w:rFonts w:hint="default" w:ascii="Times New Roman" w:hAnsi="Times New Roman" w:eastAsia="Shaker2Lancet-Bold" w:cs="Times New Roman"/>
              <w:bCs/>
              <w:sz w:val="20"/>
              <w:szCs w:val="20"/>
              <w:highlight w:val="none"/>
              <w:lang w:bidi="ar"/>
            </w:rPr>
            <w:t xml:space="preserve">ased on </w:t>
          </w:r>
          <w:r>
            <w:rPr>
              <w:rFonts w:hint="default" w:ascii="Times New Roman" w:hAnsi="Times New Roman" w:eastAsia="宋体" w:cs="Times New Roman"/>
              <w:bCs/>
              <w:sz w:val="20"/>
              <w:szCs w:val="20"/>
              <w:highlight w:val="none"/>
              <w:lang w:bidi="ar"/>
            </w:rPr>
            <w:t>L</w:t>
          </w:r>
          <w:r>
            <w:rPr>
              <w:rFonts w:hint="default" w:ascii="Times New Roman" w:hAnsi="Times New Roman" w:eastAsia="Shaker2Lancet-Bold" w:cs="Times New Roman"/>
              <w:bCs/>
              <w:sz w:val="20"/>
              <w:szCs w:val="20"/>
              <w:highlight w:val="none"/>
              <w:lang w:bidi="ar"/>
            </w:rPr>
            <w:t>eave-</w:t>
          </w:r>
          <w:r>
            <w:rPr>
              <w:rFonts w:hint="default" w:ascii="Times New Roman" w:hAnsi="Times New Roman" w:eastAsia="宋体" w:cs="Times New Roman"/>
              <w:bCs/>
              <w:sz w:val="20"/>
              <w:szCs w:val="20"/>
              <w:highlight w:val="none"/>
              <w:lang w:bidi="ar"/>
            </w:rPr>
            <w:t>o</w:t>
          </w:r>
          <w:r>
            <w:rPr>
              <w:rFonts w:hint="default" w:ascii="Times New Roman" w:hAnsi="Times New Roman" w:eastAsia="Shaker2Lancet-Bold" w:cs="Times New Roman"/>
              <w:bCs/>
              <w:sz w:val="20"/>
              <w:szCs w:val="20"/>
              <w:highlight w:val="none"/>
              <w:lang w:bidi="ar"/>
            </w:rPr>
            <w:t>ne-</w:t>
          </w:r>
          <w:r>
            <w:rPr>
              <w:rFonts w:hint="default" w:ascii="Times New Roman" w:hAnsi="Times New Roman" w:eastAsia="宋体" w:cs="Times New Roman"/>
              <w:bCs/>
              <w:sz w:val="20"/>
              <w:szCs w:val="20"/>
              <w:highlight w:val="none"/>
              <w:lang w:bidi="ar"/>
            </w:rPr>
            <w:t>o</w:t>
          </w:r>
          <w:r>
            <w:rPr>
              <w:rFonts w:hint="default" w:ascii="Times New Roman" w:hAnsi="Times New Roman" w:eastAsia="Shaker2Lancet-Bold" w:cs="Times New Roman"/>
              <w:bCs/>
              <w:sz w:val="20"/>
              <w:szCs w:val="20"/>
              <w:highlight w:val="none"/>
              <w:lang w:bidi="ar"/>
            </w:rPr>
            <w:t xml:space="preserve">ut </w:t>
          </w:r>
          <w:r>
            <w:rPr>
              <w:rFonts w:hint="default" w:ascii="Times New Roman" w:hAnsi="Times New Roman" w:eastAsia="宋体" w:cs="Times New Roman"/>
              <w:bCs/>
              <w:sz w:val="20"/>
              <w:szCs w:val="20"/>
              <w:highlight w:val="none"/>
              <w:lang w:bidi="ar"/>
            </w:rPr>
            <w:t>M</w:t>
          </w:r>
          <w:r>
            <w:rPr>
              <w:rFonts w:hint="default" w:ascii="Times New Roman" w:hAnsi="Times New Roman" w:eastAsia="Shaker2Lancet-Bold" w:cs="Times New Roman"/>
              <w:bCs/>
              <w:sz w:val="20"/>
              <w:szCs w:val="20"/>
              <w:highlight w:val="none"/>
              <w:lang w:bidi="ar"/>
            </w:rPr>
            <w:t>ethod</w:t>
          </w:r>
          <w:r>
            <w:rPr>
              <w:rFonts w:hint="default" w:ascii="Times New Roman" w:hAnsi="Times New Roman" w:cs="Times New Roman"/>
              <w:sz w:val="20"/>
              <w:szCs w:val="20"/>
            </w:rPr>
            <w:tab/>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PAGEREF _Toc22005 \h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34</w:t>
          </w:r>
          <w:r>
            <w:rPr>
              <w:rFonts w:hint="default" w:ascii="Times New Roman" w:hAnsi="Times New Roman" w:cs="Times New Roman"/>
              <w:sz w:val="20"/>
              <w:szCs w:val="20"/>
            </w:rPr>
            <w:fldChar w:fldCharType="end"/>
          </w:r>
          <w:r>
            <w:rPr>
              <w:rFonts w:hint="default" w:ascii="Times New Roman" w:hAnsi="Times New Roman" w:eastAsia="CIDFont" w:cs="Times New Roman"/>
              <w:bCs/>
              <w:color w:val="000000"/>
              <w:kern w:val="0"/>
              <w:sz w:val="20"/>
              <w:szCs w:val="20"/>
              <w:highlight w:val="none"/>
              <w:lang w:bidi="ar"/>
            </w:rPr>
            <w:fldChar w:fldCharType="end"/>
          </w:r>
        </w:p>
        <w:p w14:paraId="18AD2EDC">
          <w:pPr>
            <w:pStyle w:val="6"/>
            <w:tabs>
              <w:tab w:val="right" w:leader="dot" w:pos="13958"/>
            </w:tabs>
            <w:rPr>
              <w:rFonts w:hint="default" w:ascii="Times New Roman" w:hAnsi="Times New Roman" w:cs="Times New Roman"/>
              <w:sz w:val="20"/>
              <w:szCs w:val="20"/>
            </w:rPr>
          </w:pPr>
          <w:r>
            <w:rPr>
              <w:rFonts w:hint="default" w:ascii="Times New Roman" w:hAnsi="Times New Roman" w:eastAsia="CIDFont" w:cs="Times New Roman"/>
              <w:bCs/>
              <w:color w:val="000000"/>
              <w:kern w:val="0"/>
              <w:sz w:val="20"/>
              <w:szCs w:val="20"/>
              <w:highlight w:val="none"/>
              <w:lang w:bidi="ar"/>
            </w:rPr>
            <w:fldChar w:fldCharType="begin"/>
          </w:r>
          <w:r>
            <w:rPr>
              <w:rFonts w:hint="default" w:ascii="Times New Roman" w:hAnsi="Times New Roman" w:eastAsia="CIDFont" w:cs="Times New Roman"/>
              <w:bCs/>
              <w:kern w:val="0"/>
              <w:sz w:val="20"/>
              <w:szCs w:val="20"/>
              <w:highlight w:val="none"/>
              <w:lang w:bidi="ar"/>
            </w:rPr>
            <w:instrText xml:space="preserve"> HYPERLINK \l _Toc19129 </w:instrText>
          </w:r>
          <w:r>
            <w:rPr>
              <w:rFonts w:hint="default" w:ascii="Times New Roman" w:hAnsi="Times New Roman" w:eastAsia="CIDFont" w:cs="Times New Roman"/>
              <w:bCs/>
              <w:kern w:val="0"/>
              <w:sz w:val="20"/>
              <w:szCs w:val="20"/>
              <w:highlight w:val="none"/>
              <w:lang w:bidi="ar"/>
            </w:rPr>
            <w:fldChar w:fldCharType="separate"/>
          </w:r>
          <w:r>
            <w:rPr>
              <w:rFonts w:hint="default" w:ascii="Times New Roman" w:hAnsi="Times New Roman" w:eastAsia="宋体" w:cs="Times New Roman"/>
              <w:bCs/>
              <w:sz w:val="20"/>
              <w:szCs w:val="20"/>
              <w:highlight w:val="none"/>
              <w:lang w:eastAsia="zh-CN" w:bidi="ar"/>
            </w:rPr>
            <w:t>Fig.</w:t>
          </w:r>
          <w:r>
            <w:rPr>
              <w:rFonts w:hint="default" w:ascii="Times New Roman" w:hAnsi="Times New Roman" w:eastAsia="宋体" w:cs="Times New Roman"/>
              <w:bCs/>
              <w:sz w:val="20"/>
              <w:szCs w:val="20"/>
              <w:highlight w:val="none"/>
              <w:lang w:bidi="ar"/>
            </w:rPr>
            <w:t xml:space="preserve"> </w:t>
          </w:r>
          <w:r>
            <w:rPr>
              <w:rFonts w:hint="default" w:ascii="Times New Roman" w:hAnsi="Times New Roman" w:eastAsia="宋体" w:cs="Times New Roman"/>
              <w:bCs/>
              <w:sz w:val="20"/>
              <w:szCs w:val="20"/>
              <w:highlight w:val="none"/>
              <w:lang w:val="en-US" w:eastAsia="zh-CN" w:bidi="ar"/>
            </w:rPr>
            <w:t>S</w:t>
          </w:r>
          <w:r>
            <w:rPr>
              <w:rFonts w:hint="default" w:ascii="Times New Roman" w:hAnsi="Times New Roman" w:eastAsia="宋体" w:cs="Times New Roman"/>
              <w:bCs/>
              <w:sz w:val="20"/>
              <w:szCs w:val="20"/>
              <w:highlight w:val="none"/>
              <w:lang w:bidi="ar"/>
            </w:rPr>
            <w:t>7</w:t>
          </w:r>
          <w:r>
            <w:rPr>
              <w:rFonts w:hint="default" w:ascii="Times New Roman" w:hAnsi="Times New Roman" w:eastAsia="Shaker2Lancet-Bold" w:cs="Times New Roman"/>
              <w:bCs/>
              <w:sz w:val="20"/>
              <w:szCs w:val="20"/>
              <w:highlight w:val="none"/>
              <w:lang w:bidi="ar"/>
            </w:rPr>
            <w:t xml:space="preserve">. Sensitivity </w:t>
          </w:r>
          <w:r>
            <w:rPr>
              <w:rFonts w:hint="default" w:ascii="Times New Roman" w:hAnsi="Times New Roman" w:eastAsia="宋体" w:cs="Times New Roman"/>
              <w:bCs/>
              <w:sz w:val="20"/>
              <w:szCs w:val="20"/>
              <w:highlight w:val="none"/>
              <w:lang w:bidi="ar"/>
            </w:rPr>
            <w:t>A</w:t>
          </w:r>
          <w:r>
            <w:rPr>
              <w:rFonts w:hint="default" w:ascii="Times New Roman" w:hAnsi="Times New Roman" w:eastAsia="Shaker2Lancet-Bold" w:cs="Times New Roman"/>
              <w:bCs/>
              <w:sz w:val="20"/>
              <w:szCs w:val="20"/>
              <w:highlight w:val="none"/>
              <w:lang w:bidi="ar"/>
            </w:rPr>
            <w:t xml:space="preserve">nalysis of the </w:t>
          </w:r>
          <w:r>
            <w:rPr>
              <w:rFonts w:hint="default" w:ascii="Times New Roman" w:hAnsi="Times New Roman" w:eastAsia="宋体" w:cs="Times New Roman"/>
              <w:bCs/>
              <w:sz w:val="20"/>
              <w:szCs w:val="20"/>
              <w:highlight w:val="none"/>
              <w:lang w:bidi="ar"/>
            </w:rPr>
            <w:t>R</w:t>
          </w:r>
          <w:r>
            <w:rPr>
              <w:rFonts w:hint="default" w:ascii="Times New Roman" w:hAnsi="Times New Roman" w:eastAsia="Shaker2Lancet-Bold" w:cs="Times New Roman"/>
              <w:bCs/>
              <w:sz w:val="20"/>
              <w:szCs w:val="20"/>
              <w:highlight w:val="none"/>
              <w:lang w:bidi="ar"/>
            </w:rPr>
            <w:t xml:space="preserve">isk of </w:t>
          </w:r>
          <w:r>
            <w:rPr>
              <w:rFonts w:hint="default" w:ascii="Times New Roman" w:hAnsi="Times New Roman" w:eastAsia="宋体" w:cs="Times New Roman"/>
              <w:bCs/>
              <w:sz w:val="20"/>
              <w:szCs w:val="20"/>
              <w:highlight w:val="none"/>
              <w:lang w:bidi="ar"/>
            </w:rPr>
            <w:t xml:space="preserve">DMC </w:t>
          </w:r>
          <w:r>
            <w:rPr>
              <w:rFonts w:hint="default" w:ascii="Times New Roman" w:hAnsi="Times New Roman" w:eastAsia="Shaker2Lancet-Bold" w:cs="Times New Roman"/>
              <w:bCs/>
              <w:sz w:val="20"/>
              <w:szCs w:val="20"/>
              <w:highlight w:val="none"/>
              <w:lang w:bidi="ar"/>
            </w:rPr>
            <w:t xml:space="preserve">in </w:t>
          </w:r>
          <w:r>
            <w:rPr>
              <w:rFonts w:hint="default" w:ascii="Times New Roman" w:hAnsi="Times New Roman" w:eastAsia="宋体" w:cs="Times New Roman"/>
              <w:bCs/>
              <w:sz w:val="20"/>
              <w:szCs w:val="20"/>
              <w:highlight w:val="none"/>
              <w:lang w:bidi="ar"/>
            </w:rPr>
            <w:t>P</w:t>
          </w:r>
          <w:r>
            <w:rPr>
              <w:rFonts w:hint="default" w:ascii="Times New Roman" w:hAnsi="Times New Roman" w:eastAsia="Shaker2Lancet-Bold" w:cs="Times New Roman"/>
              <w:bCs/>
              <w:sz w:val="20"/>
              <w:szCs w:val="20"/>
              <w:highlight w:val="none"/>
              <w:lang w:bidi="ar"/>
            </w:rPr>
            <w:t xml:space="preserve">atients with T1DM </w:t>
          </w:r>
          <w:r>
            <w:rPr>
              <w:rFonts w:hint="default" w:ascii="Times New Roman" w:hAnsi="Times New Roman" w:eastAsia="宋体" w:cs="Times New Roman"/>
              <w:bCs/>
              <w:sz w:val="20"/>
              <w:szCs w:val="20"/>
              <w:highlight w:val="none"/>
              <w:lang w:bidi="ar"/>
            </w:rPr>
            <w:t>B</w:t>
          </w:r>
          <w:r>
            <w:rPr>
              <w:rFonts w:hint="default" w:ascii="Times New Roman" w:hAnsi="Times New Roman" w:eastAsia="Shaker2Lancet-Bold" w:cs="Times New Roman"/>
              <w:bCs/>
              <w:sz w:val="20"/>
              <w:szCs w:val="20"/>
              <w:highlight w:val="none"/>
              <w:lang w:bidi="ar"/>
            </w:rPr>
            <w:t xml:space="preserve">ased on </w:t>
          </w:r>
          <w:r>
            <w:rPr>
              <w:rFonts w:hint="default" w:ascii="Times New Roman" w:hAnsi="Times New Roman" w:eastAsia="宋体" w:cs="Times New Roman"/>
              <w:bCs/>
              <w:sz w:val="20"/>
              <w:szCs w:val="20"/>
              <w:highlight w:val="none"/>
              <w:lang w:bidi="ar"/>
            </w:rPr>
            <w:t>L</w:t>
          </w:r>
          <w:r>
            <w:rPr>
              <w:rFonts w:hint="default" w:ascii="Times New Roman" w:hAnsi="Times New Roman" w:eastAsia="Shaker2Lancet-Bold" w:cs="Times New Roman"/>
              <w:bCs/>
              <w:sz w:val="20"/>
              <w:szCs w:val="20"/>
              <w:highlight w:val="none"/>
              <w:lang w:bidi="ar"/>
            </w:rPr>
            <w:t>eave-</w:t>
          </w:r>
          <w:r>
            <w:rPr>
              <w:rFonts w:hint="default" w:ascii="Times New Roman" w:hAnsi="Times New Roman" w:eastAsia="宋体" w:cs="Times New Roman"/>
              <w:bCs/>
              <w:sz w:val="20"/>
              <w:szCs w:val="20"/>
              <w:highlight w:val="none"/>
              <w:lang w:bidi="ar"/>
            </w:rPr>
            <w:t>o</w:t>
          </w:r>
          <w:r>
            <w:rPr>
              <w:rFonts w:hint="default" w:ascii="Times New Roman" w:hAnsi="Times New Roman" w:eastAsia="Shaker2Lancet-Bold" w:cs="Times New Roman"/>
              <w:bCs/>
              <w:sz w:val="20"/>
              <w:szCs w:val="20"/>
              <w:highlight w:val="none"/>
              <w:lang w:bidi="ar"/>
            </w:rPr>
            <w:t>ne-</w:t>
          </w:r>
          <w:r>
            <w:rPr>
              <w:rFonts w:hint="default" w:ascii="Times New Roman" w:hAnsi="Times New Roman" w:eastAsia="宋体" w:cs="Times New Roman"/>
              <w:bCs/>
              <w:sz w:val="20"/>
              <w:szCs w:val="20"/>
              <w:highlight w:val="none"/>
              <w:lang w:bidi="ar"/>
            </w:rPr>
            <w:t>o</w:t>
          </w:r>
          <w:r>
            <w:rPr>
              <w:rFonts w:hint="default" w:ascii="Times New Roman" w:hAnsi="Times New Roman" w:eastAsia="Shaker2Lancet-Bold" w:cs="Times New Roman"/>
              <w:bCs/>
              <w:sz w:val="20"/>
              <w:szCs w:val="20"/>
              <w:highlight w:val="none"/>
              <w:lang w:bidi="ar"/>
            </w:rPr>
            <w:t xml:space="preserve">ut </w:t>
          </w:r>
          <w:r>
            <w:rPr>
              <w:rFonts w:hint="default" w:ascii="Times New Roman" w:hAnsi="Times New Roman" w:eastAsia="宋体" w:cs="Times New Roman"/>
              <w:bCs/>
              <w:sz w:val="20"/>
              <w:szCs w:val="20"/>
              <w:highlight w:val="none"/>
              <w:lang w:bidi="ar"/>
            </w:rPr>
            <w:t>M</w:t>
          </w:r>
          <w:r>
            <w:rPr>
              <w:rFonts w:hint="default" w:ascii="Times New Roman" w:hAnsi="Times New Roman" w:eastAsia="Shaker2Lancet-Bold" w:cs="Times New Roman"/>
              <w:bCs/>
              <w:sz w:val="20"/>
              <w:szCs w:val="20"/>
              <w:highlight w:val="none"/>
              <w:lang w:bidi="ar"/>
            </w:rPr>
            <w:t>ethod</w:t>
          </w:r>
          <w:r>
            <w:rPr>
              <w:rFonts w:hint="default" w:ascii="Times New Roman" w:hAnsi="Times New Roman" w:cs="Times New Roman"/>
              <w:sz w:val="20"/>
              <w:szCs w:val="20"/>
            </w:rPr>
            <w:tab/>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PAGEREF _Toc19129 \h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35</w:t>
          </w:r>
          <w:r>
            <w:rPr>
              <w:rFonts w:hint="default" w:ascii="Times New Roman" w:hAnsi="Times New Roman" w:cs="Times New Roman"/>
              <w:sz w:val="20"/>
              <w:szCs w:val="20"/>
            </w:rPr>
            <w:fldChar w:fldCharType="end"/>
          </w:r>
          <w:r>
            <w:rPr>
              <w:rFonts w:hint="default" w:ascii="Times New Roman" w:hAnsi="Times New Roman" w:eastAsia="CIDFont" w:cs="Times New Roman"/>
              <w:bCs/>
              <w:color w:val="000000"/>
              <w:kern w:val="0"/>
              <w:sz w:val="20"/>
              <w:szCs w:val="20"/>
              <w:highlight w:val="none"/>
              <w:lang w:bidi="ar"/>
            </w:rPr>
            <w:fldChar w:fldCharType="end"/>
          </w:r>
        </w:p>
        <w:p w14:paraId="2ADA4EE7">
          <w:pPr>
            <w:pStyle w:val="6"/>
            <w:tabs>
              <w:tab w:val="right" w:leader="dot" w:pos="13958"/>
            </w:tabs>
            <w:rPr>
              <w:rFonts w:hint="default" w:ascii="Times New Roman" w:hAnsi="Times New Roman" w:cs="Times New Roman"/>
              <w:sz w:val="20"/>
              <w:szCs w:val="20"/>
            </w:rPr>
          </w:pPr>
          <w:r>
            <w:rPr>
              <w:rFonts w:hint="default" w:ascii="Times New Roman" w:hAnsi="Times New Roman" w:eastAsia="CIDFont" w:cs="Times New Roman"/>
              <w:bCs/>
              <w:color w:val="000000"/>
              <w:kern w:val="0"/>
              <w:sz w:val="20"/>
              <w:szCs w:val="20"/>
              <w:highlight w:val="none"/>
              <w:lang w:bidi="ar"/>
            </w:rPr>
            <w:fldChar w:fldCharType="begin"/>
          </w:r>
          <w:r>
            <w:rPr>
              <w:rFonts w:hint="default" w:ascii="Times New Roman" w:hAnsi="Times New Roman" w:eastAsia="CIDFont" w:cs="Times New Roman"/>
              <w:bCs/>
              <w:kern w:val="0"/>
              <w:sz w:val="20"/>
              <w:szCs w:val="20"/>
              <w:highlight w:val="none"/>
              <w:lang w:bidi="ar"/>
            </w:rPr>
            <w:instrText xml:space="preserve"> HYPERLINK \l _Toc26534 </w:instrText>
          </w:r>
          <w:r>
            <w:rPr>
              <w:rFonts w:hint="default" w:ascii="Times New Roman" w:hAnsi="Times New Roman" w:eastAsia="CIDFont" w:cs="Times New Roman"/>
              <w:bCs/>
              <w:kern w:val="0"/>
              <w:sz w:val="20"/>
              <w:szCs w:val="20"/>
              <w:highlight w:val="none"/>
              <w:lang w:bidi="ar"/>
            </w:rPr>
            <w:fldChar w:fldCharType="separate"/>
          </w:r>
          <w:r>
            <w:rPr>
              <w:rFonts w:hint="default" w:ascii="Times New Roman" w:hAnsi="Times New Roman" w:eastAsia="宋体" w:cs="Times New Roman"/>
              <w:bCs/>
              <w:sz w:val="20"/>
              <w:szCs w:val="20"/>
              <w:highlight w:val="none"/>
              <w:lang w:eastAsia="zh-CN" w:bidi="ar"/>
            </w:rPr>
            <w:t>Fig.</w:t>
          </w:r>
          <w:r>
            <w:rPr>
              <w:rFonts w:hint="default" w:ascii="Times New Roman" w:hAnsi="Times New Roman" w:eastAsia="宋体" w:cs="Times New Roman"/>
              <w:bCs/>
              <w:sz w:val="20"/>
              <w:szCs w:val="20"/>
              <w:highlight w:val="none"/>
              <w:lang w:bidi="ar"/>
            </w:rPr>
            <w:t xml:space="preserve"> </w:t>
          </w:r>
          <w:r>
            <w:rPr>
              <w:rFonts w:hint="default" w:ascii="Times New Roman" w:hAnsi="Times New Roman" w:eastAsia="宋体" w:cs="Times New Roman"/>
              <w:bCs/>
              <w:sz w:val="20"/>
              <w:szCs w:val="20"/>
              <w:highlight w:val="none"/>
              <w:lang w:val="en-US" w:eastAsia="zh-CN" w:bidi="ar"/>
            </w:rPr>
            <w:t>S</w:t>
          </w:r>
          <w:r>
            <w:rPr>
              <w:rFonts w:hint="default" w:ascii="Times New Roman" w:hAnsi="Times New Roman" w:eastAsia="宋体" w:cs="Times New Roman"/>
              <w:bCs/>
              <w:sz w:val="20"/>
              <w:szCs w:val="20"/>
              <w:highlight w:val="none"/>
              <w:lang w:bidi="ar"/>
            </w:rPr>
            <w:t>8</w:t>
          </w:r>
          <w:r>
            <w:rPr>
              <w:rFonts w:hint="default" w:ascii="Times New Roman" w:hAnsi="Times New Roman" w:eastAsia="Shaker2Lancet-Bold" w:cs="Times New Roman"/>
              <w:bCs/>
              <w:sz w:val="20"/>
              <w:szCs w:val="20"/>
              <w:highlight w:val="none"/>
              <w:lang w:bidi="ar"/>
            </w:rPr>
            <w:t xml:space="preserve">. Sensitivity </w:t>
          </w:r>
          <w:r>
            <w:rPr>
              <w:rFonts w:hint="default" w:ascii="Times New Roman" w:hAnsi="Times New Roman" w:eastAsia="宋体" w:cs="Times New Roman"/>
              <w:bCs/>
              <w:sz w:val="20"/>
              <w:szCs w:val="20"/>
              <w:highlight w:val="none"/>
              <w:lang w:bidi="ar"/>
            </w:rPr>
            <w:t>a</w:t>
          </w:r>
          <w:r>
            <w:rPr>
              <w:rFonts w:hint="default" w:ascii="Times New Roman" w:hAnsi="Times New Roman" w:eastAsia="Shaker2Lancet-Bold" w:cs="Times New Roman"/>
              <w:bCs/>
              <w:sz w:val="20"/>
              <w:szCs w:val="20"/>
              <w:highlight w:val="none"/>
              <w:lang w:bidi="ar"/>
            </w:rPr>
            <w:t xml:space="preserve">nalysis of the </w:t>
          </w:r>
          <w:r>
            <w:rPr>
              <w:rFonts w:hint="default" w:ascii="Times New Roman" w:hAnsi="Times New Roman" w:eastAsia="宋体" w:cs="Times New Roman"/>
              <w:bCs/>
              <w:sz w:val="20"/>
              <w:szCs w:val="20"/>
              <w:highlight w:val="none"/>
              <w:lang w:bidi="ar"/>
            </w:rPr>
            <w:t>R</w:t>
          </w:r>
          <w:r>
            <w:rPr>
              <w:rFonts w:hint="default" w:ascii="Times New Roman" w:hAnsi="Times New Roman" w:eastAsia="Shaker2Lancet-Bold" w:cs="Times New Roman"/>
              <w:bCs/>
              <w:sz w:val="20"/>
              <w:szCs w:val="20"/>
              <w:highlight w:val="none"/>
              <w:lang w:bidi="ar"/>
            </w:rPr>
            <w:t xml:space="preserve">isk of </w:t>
          </w:r>
          <w:r>
            <w:rPr>
              <w:rFonts w:hint="default" w:ascii="Times New Roman" w:hAnsi="Times New Roman" w:eastAsia="宋体" w:cs="Times New Roman"/>
              <w:bCs/>
              <w:sz w:val="20"/>
              <w:szCs w:val="20"/>
              <w:highlight w:val="none"/>
              <w:lang w:bidi="ar"/>
            </w:rPr>
            <w:t xml:space="preserve">Mortality </w:t>
          </w:r>
          <w:r>
            <w:rPr>
              <w:rFonts w:hint="default" w:ascii="Times New Roman" w:hAnsi="Times New Roman" w:eastAsia="Shaker2Lancet-Bold" w:cs="Times New Roman"/>
              <w:bCs/>
              <w:sz w:val="20"/>
              <w:szCs w:val="20"/>
              <w:highlight w:val="none"/>
              <w:lang w:bidi="ar"/>
            </w:rPr>
            <w:t xml:space="preserve">in </w:t>
          </w:r>
          <w:r>
            <w:rPr>
              <w:rFonts w:hint="default" w:ascii="Times New Roman" w:hAnsi="Times New Roman" w:eastAsia="宋体" w:cs="Times New Roman"/>
              <w:bCs/>
              <w:sz w:val="20"/>
              <w:szCs w:val="20"/>
              <w:highlight w:val="none"/>
              <w:lang w:bidi="ar"/>
            </w:rPr>
            <w:t>P</w:t>
          </w:r>
          <w:r>
            <w:rPr>
              <w:rFonts w:hint="default" w:ascii="Times New Roman" w:hAnsi="Times New Roman" w:eastAsia="Shaker2Lancet-Bold" w:cs="Times New Roman"/>
              <w:bCs/>
              <w:sz w:val="20"/>
              <w:szCs w:val="20"/>
              <w:highlight w:val="none"/>
              <w:lang w:bidi="ar"/>
            </w:rPr>
            <w:t xml:space="preserve">atients with T1DM </w:t>
          </w:r>
          <w:r>
            <w:rPr>
              <w:rFonts w:hint="default" w:ascii="Times New Roman" w:hAnsi="Times New Roman" w:eastAsia="宋体" w:cs="Times New Roman"/>
              <w:bCs/>
              <w:sz w:val="20"/>
              <w:szCs w:val="20"/>
              <w:highlight w:val="none"/>
              <w:lang w:bidi="ar"/>
            </w:rPr>
            <w:t>B</w:t>
          </w:r>
          <w:r>
            <w:rPr>
              <w:rFonts w:hint="default" w:ascii="Times New Roman" w:hAnsi="Times New Roman" w:eastAsia="Shaker2Lancet-Bold" w:cs="Times New Roman"/>
              <w:bCs/>
              <w:sz w:val="20"/>
              <w:szCs w:val="20"/>
              <w:highlight w:val="none"/>
              <w:lang w:bidi="ar"/>
            </w:rPr>
            <w:t xml:space="preserve">ased on </w:t>
          </w:r>
          <w:r>
            <w:rPr>
              <w:rFonts w:hint="default" w:ascii="Times New Roman" w:hAnsi="Times New Roman" w:eastAsia="宋体" w:cs="Times New Roman"/>
              <w:bCs/>
              <w:sz w:val="20"/>
              <w:szCs w:val="20"/>
              <w:highlight w:val="none"/>
              <w:lang w:bidi="ar"/>
            </w:rPr>
            <w:t>L</w:t>
          </w:r>
          <w:r>
            <w:rPr>
              <w:rFonts w:hint="default" w:ascii="Times New Roman" w:hAnsi="Times New Roman" w:eastAsia="Shaker2Lancet-Bold" w:cs="Times New Roman"/>
              <w:bCs/>
              <w:sz w:val="20"/>
              <w:szCs w:val="20"/>
              <w:highlight w:val="none"/>
              <w:lang w:bidi="ar"/>
            </w:rPr>
            <w:t>eave-</w:t>
          </w:r>
          <w:r>
            <w:rPr>
              <w:rFonts w:hint="default" w:ascii="Times New Roman" w:hAnsi="Times New Roman" w:eastAsia="宋体" w:cs="Times New Roman"/>
              <w:bCs/>
              <w:sz w:val="20"/>
              <w:szCs w:val="20"/>
              <w:highlight w:val="none"/>
              <w:lang w:bidi="ar"/>
            </w:rPr>
            <w:t>o</w:t>
          </w:r>
          <w:r>
            <w:rPr>
              <w:rFonts w:hint="default" w:ascii="Times New Roman" w:hAnsi="Times New Roman" w:eastAsia="Shaker2Lancet-Bold" w:cs="Times New Roman"/>
              <w:bCs/>
              <w:sz w:val="20"/>
              <w:szCs w:val="20"/>
              <w:highlight w:val="none"/>
              <w:lang w:bidi="ar"/>
            </w:rPr>
            <w:t>ne-</w:t>
          </w:r>
          <w:r>
            <w:rPr>
              <w:rFonts w:hint="default" w:ascii="Times New Roman" w:hAnsi="Times New Roman" w:eastAsia="宋体" w:cs="Times New Roman"/>
              <w:bCs/>
              <w:sz w:val="20"/>
              <w:szCs w:val="20"/>
              <w:highlight w:val="none"/>
              <w:lang w:bidi="ar"/>
            </w:rPr>
            <w:t>o</w:t>
          </w:r>
          <w:r>
            <w:rPr>
              <w:rFonts w:hint="default" w:ascii="Times New Roman" w:hAnsi="Times New Roman" w:eastAsia="Shaker2Lancet-Bold" w:cs="Times New Roman"/>
              <w:bCs/>
              <w:sz w:val="20"/>
              <w:szCs w:val="20"/>
              <w:highlight w:val="none"/>
              <w:lang w:bidi="ar"/>
            </w:rPr>
            <w:t xml:space="preserve">ut </w:t>
          </w:r>
          <w:r>
            <w:rPr>
              <w:rFonts w:hint="default" w:ascii="Times New Roman" w:hAnsi="Times New Roman" w:eastAsia="宋体" w:cs="Times New Roman"/>
              <w:bCs/>
              <w:sz w:val="20"/>
              <w:szCs w:val="20"/>
              <w:highlight w:val="none"/>
              <w:lang w:bidi="ar"/>
            </w:rPr>
            <w:t>M</w:t>
          </w:r>
          <w:r>
            <w:rPr>
              <w:rFonts w:hint="default" w:ascii="Times New Roman" w:hAnsi="Times New Roman" w:eastAsia="Shaker2Lancet-Bold" w:cs="Times New Roman"/>
              <w:bCs/>
              <w:sz w:val="20"/>
              <w:szCs w:val="20"/>
              <w:highlight w:val="none"/>
              <w:lang w:bidi="ar"/>
            </w:rPr>
            <w:t>ethod</w:t>
          </w:r>
          <w:r>
            <w:rPr>
              <w:rFonts w:hint="default" w:ascii="Times New Roman" w:hAnsi="Times New Roman" w:cs="Times New Roman"/>
              <w:sz w:val="20"/>
              <w:szCs w:val="20"/>
            </w:rPr>
            <w:tab/>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PAGEREF _Toc26534 \h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36</w:t>
          </w:r>
          <w:r>
            <w:rPr>
              <w:rFonts w:hint="default" w:ascii="Times New Roman" w:hAnsi="Times New Roman" w:cs="Times New Roman"/>
              <w:sz w:val="20"/>
              <w:szCs w:val="20"/>
            </w:rPr>
            <w:fldChar w:fldCharType="end"/>
          </w:r>
          <w:r>
            <w:rPr>
              <w:rFonts w:hint="default" w:ascii="Times New Roman" w:hAnsi="Times New Roman" w:eastAsia="CIDFont" w:cs="Times New Roman"/>
              <w:bCs/>
              <w:color w:val="000000"/>
              <w:kern w:val="0"/>
              <w:sz w:val="20"/>
              <w:szCs w:val="20"/>
              <w:highlight w:val="none"/>
              <w:lang w:bidi="ar"/>
            </w:rPr>
            <w:fldChar w:fldCharType="end"/>
          </w:r>
        </w:p>
        <w:p w14:paraId="13B3922A">
          <w:pPr>
            <w:pStyle w:val="6"/>
            <w:tabs>
              <w:tab w:val="right" w:leader="dot" w:pos="13958"/>
            </w:tabs>
            <w:rPr>
              <w:rFonts w:hint="default" w:ascii="Times New Roman" w:hAnsi="Times New Roman" w:cs="Times New Roman"/>
              <w:sz w:val="20"/>
              <w:szCs w:val="20"/>
            </w:rPr>
          </w:pPr>
          <w:r>
            <w:rPr>
              <w:rFonts w:hint="default" w:ascii="Times New Roman" w:hAnsi="Times New Roman" w:eastAsia="CIDFont" w:cs="Times New Roman"/>
              <w:bCs/>
              <w:color w:val="000000"/>
              <w:kern w:val="0"/>
              <w:sz w:val="20"/>
              <w:szCs w:val="20"/>
              <w:highlight w:val="none"/>
              <w:lang w:bidi="ar"/>
            </w:rPr>
            <w:fldChar w:fldCharType="begin"/>
          </w:r>
          <w:r>
            <w:rPr>
              <w:rFonts w:hint="default" w:ascii="Times New Roman" w:hAnsi="Times New Roman" w:eastAsia="CIDFont" w:cs="Times New Roman"/>
              <w:bCs/>
              <w:kern w:val="0"/>
              <w:sz w:val="20"/>
              <w:szCs w:val="20"/>
              <w:highlight w:val="none"/>
              <w:lang w:bidi="ar"/>
            </w:rPr>
            <w:instrText xml:space="preserve"> HYPERLINK \l _Toc3870 </w:instrText>
          </w:r>
          <w:r>
            <w:rPr>
              <w:rFonts w:hint="default" w:ascii="Times New Roman" w:hAnsi="Times New Roman" w:eastAsia="CIDFont" w:cs="Times New Roman"/>
              <w:bCs/>
              <w:kern w:val="0"/>
              <w:sz w:val="20"/>
              <w:szCs w:val="20"/>
              <w:highlight w:val="none"/>
              <w:lang w:bidi="ar"/>
            </w:rPr>
            <w:fldChar w:fldCharType="separate"/>
          </w:r>
          <w:r>
            <w:rPr>
              <w:rFonts w:hint="default" w:ascii="Times New Roman" w:hAnsi="Times New Roman" w:eastAsia="宋体" w:cs="Times New Roman"/>
              <w:bCs/>
              <w:sz w:val="20"/>
              <w:szCs w:val="20"/>
              <w:highlight w:val="none"/>
              <w:lang w:eastAsia="zh-CN" w:bidi="ar"/>
            </w:rPr>
            <w:t xml:space="preserve">Fig. </w:t>
          </w:r>
          <w:r>
            <w:rPr>
              <w:rFonts w:hint="default" w:ascii="Times New Roman" w:hAnsi="Times New Roman" w:eastAsia="宋体" w:cs="Times New Roman"/>
              <w:bCs/>
              <w:sz w:val="20"/>
              <w:szCs w:val="20"/>
              <w:highlight w:val="none"/>
              <w:lang w:val="en-US" w:eastAsia="zh-CN" w:bidi="ar"/>
            </w:rPr>
            <w:t>S</w:t>
          </w:r>
          <w:r>
            <w:rPr>
              <w:rFonts w:hint="default" w:ascii="Times New Roman" w:hAnsi="Times New Roman" w:eastAsia="宋体" w:cs="Times New Roman"/>
              <w:bCs/>
              <w:sz w:val="20"/>
              <w:szCs w:val="20"/>
              <w:highlight w:val="none"/>
              <w:lang w:bidi="ar"/>
            </w:rPr>
            <w:t>9</w:t>
          </w:r>
          <w:r>
            <w:rPr>
              <w:rFonts w:hint="default" w:ascii="Times New Roman" w:hAnsi="Times New Roman" w:eastAsia="Shaker2Lancet-Bold" w:cs="Times New Roman"/>
              <w:bCs/>
              <w:sz w:val="20"/>
              <w:szCs w:val="20"/>
              <w:highlight w:val="none"/>
              <w:lang w:bidi="ar"/>
            </w:rPr>
            <w:t xml:space="preserve">. Sensitivity </w:t>
          </w:r>
          <w:r>
            <w:rPr>
              <w:rFonts w:hint="default" w:ascii="Times New Roman" w:hAnsi="Times New Roman" w:eastAsia="宋体" w:cs="Times New Roman"/>
              <w:bCs/>
              <w:sz w:val="20"/>
              <w:szCs w:val="20"/>
              <w:highlight w:val="none"/>
              <w:lang w:bidi="ar"/>
            </w:rPr>
            <w:t>A</w:t>
          </w:r>
          <w:r>
            <w:rPr>
              <w:rFonts w:hint="default" w:ascii="Times New Roman" w:hAnsi="Times New Roman" w:eastAsia="Shaker2Lancet-Bold" w:cs="Times New Roman"/>
              <w:bCs/>
              <w:sz w:val="20"/>
              <w:szCs w:val="20"/>
              <w:highlight w:val="none"/>
              <w:lang w:bidi="ar"/>
            </w:rPr>
            <w:t xml:space="preserve">nalysis of the </w:t>
          </w:r>
          <w:r>
            <w:rPr>
              <w:rFonts w:hint="default" w:ascii="Times New Roman" w:hAnsi="Times New Roman" w:eastAsia="宋体" w:cs="Times New Roman"/>
              <w:bCs/>
              <w:sz w:val="20"/>
              <w:szCs w:val="20"/>
              <w:highlight w:val="none"/>
              <w:lang w:bidi="ar"/>
            </w:rPr>
            <w:t>R</w:t>
          </w:r>
          <w:r>
            <w:rPr>
              <w:rFonts w:hint="default" w:ascii="Times New Roman" w:hAnsi="Times New Roman" w:eastAsia="Shaker2Lancet-Bold" w:cs="Times New Roman"/>
              <w:bCs/>
              <w:sz w:val="20"/>
              <w:szCs w:val="20"/>
              <w:highlight w:val="none"/>
              <w:lang w:bidi="ar"/>
            </w:rPr>
            <w:t xml:space="preserve">isk of </w:t>
          </w:r>
          <w:r>
            <w:rPr>
              <w:rFonts w:hint="default" w:ascii="Times New Roman" w:hAnsi="Times New Roman" w:eastAsia="宋体" w:cs="Times New Roman"/>
              <w:bCs/>
              <w:sz w:val="20"/>
              <w:szCs w:val="20"/>
              <w:highlight w:val="none"/>
              <w:lang w:bidi="ar"/>
            </w:rPr>
            <w:t xml:space="preserve">Mortality </w:t>
          </w:r>
          <w:r>
            <w:rPr>
              <w:rFonts w:hint="default" w:ascii="Times New Roman" w:hAnsi="Times New Roman" w:eastAsia="Shaker2Lancet-Bold" w:cs="Times New Roman"/>
              <w:bCs/>
              <w:sz w:val="20"/>
              <w:szCs w:val="20"/>
              <w:highlight w:val="none"/>
              <w:lang w:bidi="ar"/>
            </w:rPr>
            <w:t xml:space="preserve">in </w:t>
          </w:r>
          <w:r>
            <w:rPr>
              <w:rFonts w:hint="default" w:ascii="Times New Roman" w:hAnsi="Times New Roman" w:eastAsia="宋体" w:cs="Times New Roman"/>
              <w:bCs/>
              <w:sz w:val="20"/>
              <w:szCs w:val="20"/>
              <w:highlight w:val="none"/>
              <w:lang w:bidi="ar"/>
            </w:rPr>
            <w:t>P</w:t>
          </w:r>
          <w:r>
            <w:rPr>
              <w:rFonts w:hint="default" w:ascii="Times New Roman" w:hAnsi="Times New Roman" w:eastAsia="Shaker2Lancet-Bold" w:cs="Times New Roman"/>
              <w:bCs/>
              <w:sz w:val="20"/>
              <w:szCs w:val="20"/>
              <w:highlight w:val="none"/>
              <w:lang w:bidi="ar"/>
            </w:rPr>
            <w:t>atients with T</w:t>
          </w:r>
          <w:r>
            <w:rPr>
              <w:rFonts w:hint="default" w:ascii="Times New Roman" w:hAnsi="Times New Roman" w:eastAsia="宋体" w:cs="Times New Roman"/>
              <w:bCs/>
              <w:sz w:val="20"/>
              <w:szCs w:val="20"/>
              <w:highlight w:val="none"/>
              <w:lang w:bidi="ar"/>
            </w:rPr>
            <w:t>2</w:t>
          </w:r>
          <w:r>
            <w:rPr>
              <w:rFonts w:hint="default" w:ascii="Times New Roman" w:hAnsi="Times New Roman" w:eastAsia="Shaker2Lancet-Bold" w:cs="Times New Roman"/>
              <w:bCs/>
              <w:sz w:val="20"/>
              <w:szCs w:val="20"/>
              <w:highlight w:val="none"/>
              <w:lang w:bidi="ar"/>
            </w:rPr>
            <w:t xml:space="preserve">DM </w:t>
          </w:r>
          <w:r>
            <w:rPr>
              <w:rFonts w:hint="default" w:ascii="Times New Roman" w:hAnsi="Times New Roman" w:eastAsia="宋体" w:cs="Times New Roman"/>
              <w:bCs/>
              <w:sz w:val="20"/>
              <w:szCs w:val="20"/>
              <w:highlight w:val="none"/>
              <w:lang w:bidi="ar"/>
            </w:rPr>
            <w:t>B</w:t>
          </w:r>
          <w:r>
            <w:rPr>
              <w:rFonts w:hint="default" w:ascii="Times New Roman" w:hAnsi="Times New Roman" w:eastAsia="Shaker2Lancet-Bold" w:cs="Times New Roman"/>
              <w:bCs/>
              <w:sz w:val="20"/>
              <w:szCs w:val="20"/>
              <w:highlight w:val="none"/>
              <w:lang w:bidi="ar"/>
            </w:rPr>
            <w:t xml:space="preserve">ased on </w:t>
          </w:r>
          <w:r>
            <w:rPr>
              <w:rFonts w:hint="default" w:ascii="Times New Roman" w:hAnsi="Times New Roman" w:eastAsia="宋体" w:cs="Times New Roman"/>
              <w:bCs/>
              <w:sz w:val="20"/>
              <w:szCs w:val="20"/>
              <w:highlight w:val="none"/>
              <w:lang w:bidi="ar"/>
            </w:rPr>
            <w:t>L</w:t>
          </w:r>
          <w:r>
            <w:rPr>
              <w:rFonts w:hint="default" w:ascii="Times New Roman" w:hAnsi="Times New Roman" w:eastAsia="Shaker2Lancet-Bold" w:cs="Times New Roman"/>
              <w:bCs/>
              <w:sz w:val="20"/>
              <w:szCs w:val="20"/>
              <w:highlight w:val="none"/>
              <w:lang w:bidi="ar"/>
            </w:rPr>
            <w:t>eave-</w:t>
          </w:r>
          <w:r>
            <w:rPr>
              <w:rFonts w:hint="default" w:ascii="Times New Roman" w:hAnsi="Times New Roman" w:eastAsia="宋体" w:cs="Times New Roman"/>
              <w:bCs/>
              <w:sz w:val="20"/>
              <w:szCs w:val="20"/>
              <w:highlight w:val="none"/>
              <w:lang w:bidi="ar"/>
            </w:rPr>
            <w:t>o</w:t>
          </w:r>
          <w:r>
            <w:rPr>
              <w:rFonts w:hint="default" w:ascii="Times New Roman" w:hAnsi="Times New Roman" w:eastAsia="Shaker2Lancet-Bold" w:cs="Times New Roman"/>
              <w:bCs/>
              <w:sz w:val="20"/>
              <w:szCs w:val="20"/>
              <w:highlight w:val="none"/>
              <w:lang w:bidi="ar"/>
            </w:rPr>
            <w:t>ne-</w:t>
          </w:r>
          <w:r>
            <w:rPr>
              <w:rFonts w:hint="default" w:ascii="Times New Roman" w:hAnsi="Times New Roman" w:eastAsia="宋体" w:cs="Times New Roman"/>
              <w:bCs/>
              <w:sz w:val="20"/>
              <w:szCs w:val="20"/>
              <w:highlight w:val="none"/>
              <w:lang w:bidi="ar"/>
            </w:rPr>
            <w:t>o</w:t>
          </w:r>
          <w:r>
            <w:rPr>
              <w:rFonts w:hint="default" w:ascii="Times New Roman" w:hAnsi="Times New Roman" w:eastAsia="Shaker2Lancet-Bold" w:cs="Times New Roman"/>
              <w:bCs/>
              <w:sz w:val="20"/>
              <w:szCs w:val="20"/>
              <w:highlight w:val="none"/>
              <w:lang w:bidi="ar"/>
            </w:rPr>
            <w:t xml:space="preserve">ut </w:t>
          </w:r>
          <w:r>
            <w:rPr>
              <w:rFonts w:hint="default" w:ascii="Times New Roman" w:hAnsi="Times New Roman" w:eastAsia="宋体" w:cs="Times New Roman"/>
              <w:bCs/>
              <w:sz w:val="20"/>
              <w:szCs w:val="20"/>
              <w:highlight w:val="none"/>
              <w:lang w:bidi="ar"/>
            </w:rPr>
            <w:t>M</w:t>
          </w:r>
          <w:r>
            <w:rPr>
              <w:rFonts w:hint="default" w:ascii="Times New Roman" w:hAnsi="Times New Roman" w:eastAsia="Shaker2Lancet-Bold" w:cs="Times New Roman"/>
              <w:bCs/>
              <w:sz w:val="20"/>
              <w:szCs w:val="20"/>
              <w:highlight w:val="none"/>
              <w:lang w:bidi="ar"/>
            </w:rPr>
            <w:t>ethod</w:t>
          </w:r>
          <w:r>
            <w:rPr>
              <w:rFonts w:hint="default" w:ascii="Times New Roman" w:hAnsi="Times New Roman" w:cs="Times New Roman"/>
              <w:sz w:val="20"/>
              <w:szCs w:val="20"/>
            </w:rPr>
            <w:tab/>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PAGEREF _Toc3870 \h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37</w:t>
          </w:r>
          <w:r>
            <w:rPr>
              <w:rFonts w:hint="default" w:ascii="Times New Roman" w:hAnsi="Times New Roman" w:cs="Times New Roman"/>
              <w:sz w:val="20"/>
              <w:szCs w:val="20"/>
            </w:rPr>
            <w:fldChar w:fldCharType="end"/>
          </w:r>
          <w:r>
            <w:rPr>
              <w:rFonts w:hint="default" w:ascii="Times New Roman" w:hAnsi="Times New Roman" w:eastAsia="CIDFont" w:cs="Times New Roman"/>
              <w:bCs/>
              <w:color w:val="000000"/>
              <w:kern w:val="0"/>
              <w:sz w:val="20"/>
              <w:szCs w:val="20"/>
              <w:highlight w:val="none"/>
              <w:lang w:bidi="ar"/>
            </w:rPr>
            <w:fldChar w:fldCharType="end"/>
          </w:r>
        </w:p>
        <w:p w14:paraId="4386E521">
          <w:pPr>
            <w:pStyle w:val="6"/>
            <w:tabs>
              <w:tab w:val="right" w:leader="dot" w:pos="13958"/>
            </w:tabs>
            <w:rPr>
              <w:rFonts w:hint="default" w:ascii="Times New Roman" w:hAnsi="Times New Roman" w:cs="Times New Roman"/>
              <w:sz w:val="20"/>
              <w:szCs w:val="20"/>
            </w:rPr>
          </w:pPr>
          <w:r>
            <w:rPr>
              <w:rFonts w:hint="default" w:ascii="Times New Roman" w:hAnsi="Times New Roman" w:eastAsia="CIDFont" w:cs="Times New Roman"/>
              <w:bCs/>
              <w:color w:val="000000"/>
              <w:kern w:val="0"/>
              <w:sz w:val="20"/>
              <w:szCs w:val="20"/>
              <w:highlight w:val="none"/>
              <w:lang w:bidi="ar"/>
            </w:rPr>
            <w:fldChar w:fldCharType="begin"/>
          </w:r>
          <w:r>
            <w:rPr>
              <w:rFonts w:hint="default" w:ascii="Times New Roman" w:hAnsi="Times New Roman" w:eastAsia="CIDFont" w:cs="Times New Roman"/>
              <w:bCs/>
              <w:kern w:val="0"/>
              <w:sz w:val="20"/>
              <w:szCs w:val="20"/>
              <w:highlight w:val="none"/>
              <w:lang w:bidi="ar"/>
            </w:rPr>
            <w:instrText xml:space="preserve"> HYPERLINK \l _Toc3629 </w:instrText>
          </w:r>
          <w:r>
            <w:rPr>
              <w:rFonts w:hint="default" w:ascii="Times New Roman" w:hAnsi="Times New Roman" w:eastAsia="CIDFont" w:cs="Times New Roman"/>
              <w:bCs/>
              <w:kern w:val="0"/>
              <w:sz w:val="20"/>
              <w:szCs w:val="20"/>
              <w:highlight w:val="none"/>
              <w:lang w:bidi="ar"/>
            </w:rPr>
            <w:fldChar w:fldCharType="separate"/>
          </w:r>
          <w:r>
            <w:rPr>
              <w:rFonts w:hint="default" w:ascii="Times New Roman" w:hAnsi="Times New Roman" w:eastAsia="宋体" w:cs="Times New Roman"/>
              <w:bCs/>
              <w:sz w:val="20"/>
              <w:szCs w:val="20"/>
              <w:highlight w:val="none"/>
              <w:lang w:eastAsia="zh-CN" w:bidi="ar"/>
            </w:rPr>
            <w:t>Fig.</w:t>
          </w:r>
          <w:r>
            <w:rPr>
              <w:rFonts w:hint="default" w:ascii="Times New Roman" w:hAnsi="Times New Roman" w:eastAsia="宋体" w:cs="Times New Roman"/>
              <w:bCs/>
              <w:sz w:val="20"/>
              <w:szCs w:val="20"/>
              <w:highlight w:val="none"/>
              <w:lang w:bidi="ar"/>
            </w:rPr>
            <w:t xml:space="preserve"> </w:t>
          </w:r>
          <w:r>
            <w:rPr>
              <w:rFonts w:hint="default" w:ascii="Times New Roman" w:hAnsi="Times New Roman" w:eastAsia="宋体" w:cs="Times New Roman"/>
              <w:bCs/>
              <w:sz w:val="20"/>
              <w:szCs w:val="20"/>
              <w:highlight w:val="none"/>
              <w:lang w:val="en-US" w:eastAsia="zh-CN" w:bidi="ar"/>
            </w:rPr>
            <w:t>S</w:t>
          </w:r>
          <w:r>
            <w:rPr>
              <w:rFonts w:hint="default" w:ascii="Times New Roman" w:hAnsi="Times New Roman" w:eastAsia="宋体" w:cs="Times New Roman"/>
              <w:bCs/>
              <w:sz w:val="20"/>
              <w:szCs w:val="20"/>
              <w:highlight w:val="none"/>
              <w:lang w:bidi="ar"/>
            </w:rPr>
            <w:t>10</w:t>
          </w:r>
          <w:r>
            <w:rPr>
              <w:rFonts w:hint="default" w:ascii="Times New Roman" w:hAnsi="Times New Roman" w:eastAsia="Shaker2Lancet-Bold" w:cs="Times New Roman"/>
              <w:bCs/>
              <w:sz w:val="20"/>
              <w:szCs w:val="20"/>
              <w:highlight w:val="none"/>
              <w:lang w:bidi="ar"/>
            </w:rPr>
            <w:t xml:space="preserve">. Sensitivity </w:t>
          </w:r>
          <w:r>
            <w:rPr>
              <w:rFonts w:hint="default" w:ascii="Times New Roman" w:hAnsi="Times New Roman" w:eastAsia="宋体" w:cs="Times New Roman"/>
              <w:bCs/>
              <w:sz w:val="20"/>
              <w:szCs w:val="20"/>
              <w:highlight w:val="none"/>
              <w:lang w:bidi="ar"/>
            </w:rPr>
            <w:t>A</w:t>
          </w:r>
          <w:r>
            <w:rPr>
              <w:rFonts w:hint="default" w:ascii="Times New Roman" w:hAnsi="Times New Roman" w:eastAsia="Shaker2Lancet-Bold" w:cs="Times New Roman"/>
              <w:bCs/>
              <w:sz w:val="20"/>
              <w:szCs w:val="20"/>
              <w:highlight w:val="none"/>
              <w:lang w:bidi="ar"/>
            </w:rPr>
            <w:t xml:space="preserve">nalysis of the </w:t>
          </w:r>
          <w:r>
            <w:rPr>
              <w:rFonts w:hint="default" w:ascii="Times New Roman" w:hAnsi="Times New Roman" w:eastAsia="宋体" w:cs="Times New Roman"/>
              <w:bCs/>
              <w:sz w:val="20"/>
              <w:szCs w:val="20"/>
              <w:highlight w:val="none"/>
              <w:lang w:bidi="ar"/>
            </w:rPr>
            <w:t>R</w:t>
          </w:r>
          <w:r>
            <w:rPr>
              <w:rFonts w:hint="default" w:ascii="Times New Roman" w:hAnsi="Times New Roman" w:eastAsia="Shaker2Lancet-Bold" w:cs="Times New Roman"/>
              <w:bCs/>
              <w:sz w:val="20"/>
              <w:szCs w:val="20"/>
              <w:highlight w:val="none"/>
              <w:lang w:bidi="ar"/>
            </w:rPr>
            <w:t xml:space="preserve">isk of </w:t>
          </w:r>
          <w:r>
            <w:rPr>
              <w:rFonts w:hint="default" w:ascii="Times New Roman" w:hAnsi="Times New Roman" w:eastAsia="宋体" w:cs="Times New Roman"/>
              <w:bCs/>
              <w:sz w:val="20"/>
              <w:szCs w:val="20"/>
              <w:highlight w:val="none"/>
              <w:lang w:bidi="ar"/>
            </w:rPr>
            <w:t xml:space="preserve">Mortality </w:t>
          </w:r>
          <w:r>
            <w:rPr>
              <w:rFonts w:hint="default" w:ascii="Times New Roman" w:hAnsi="Times New Roman" w:eastAsia="Shaker2Lancet-Bold" w:cs="Times New Roman"/>
              <w:bCs/>
              <w:sz w:val="20"/>
              <w:szCs w:val="20"/>
              <w:highlight w:val="none"/>
              <w:lang w:bidi="ar"/>
            </w:rPr>
            <w:t xml:space="preserve">in </w:t>
          </w:r>
          <w:r>
            <w:rPr>
              <w:rFonts w:hint="default" w:ascii="Times New Roman" w:hAnsi="Times New Roman" w:eastAsia="宋体" w:cs="Times New Roman"/>
              <w:bCs/>
              <w:sz w:val="20"/>
              <w:szCs w:val="20"/>
              <w:highlight w:val="none"/>
              <w:lang w:bidi="ar"/>
            </w:rPr>
            <w:t>General Population B</w:t>
          </w:r>
          <w:r>
            <w:rPr>
              <w:rFonts w:hint="default" w:ascii="Times New Roman" w:hAnsi="Times New Roman" w:eastAsia="Shaker2Lancet-Bold" w:cs="Times New Roman"/>
              <w:bCs/>
              <w:sz w:val="20"/>
              <w:szCs w:val="20"/>
              <w:highlight w:val="none"/>
              <w:lang w:bidi="ar"/>
            </w:rPr>
            <w:t xml:space="preserve">ased on </w:t>
          </w:r>
          <w:r>
            <w:rPr>
              <w:rFonts w:hint="default" w:ascii="Times New Roman" w:hAnsi="Times New Roman" w:eastAsia="宋体" w:cs="Times New Roman"/>
              <w:bCs/>
              <w:sz w:val="20"/>
              <w:szCs w:val="20"/>
              <w:highlight w:val="none"/>
              <w:lang w:bidi="ar"/>
            </w:rPr>
            <w:t>L</w:t>
          </w:r>
          <w:r>
            <w:rPr>
              <w:rFonts w:hint="default" w:ascii="Times New Roman" w:hAnsi="Times New Roman" w:eastAsia="Shaker2Lancet-Bold" w:cs="Times New Roman"/>
              <w:bCs/>
              <w:sz w:val="20"/>
              <w:szCs w:val="20"/>
              <w:highlight w:val="none"/>
              <w:lang w:bidi="ar"/>
            </w:rPr>
            <w:t>eave-</w:t>
          </w:r>
          <w:r>
            <w:rPr>
              <w:rFonts w:hint="default" w:ascii="Times New Roman" w:hAnsi="Times New Roman" w:eastAsia="宋体" w:cs="Times New Roman"/>
              <w:bCs/>
              <w:sz w:val="20"/>
              <w:szCs w:val="20"/>
              <w:highlight w:val="none"/>
              <w:lang w:bidi="ar"/>
            </w:rPr>
            <w:t>o</w:t>
          </w:r>
          <w:r>
            <w:rPr>
              <w:rFonts w:hint="default" w:ascii="Times New Roman" w:hAnsi="Times New Roman" w:eastAsia="Shaker2Lancet-Bold" w:cs="Times New Roman"/>
              <w:bCs/>
              <w:sz w:val="20"/>
              <w:szCs w:val="20"/>
              <w:highlight w:val="none"/>
              <w:lang w:bidi="ar"/>
            </w:rPr>
            <w:t>ne-</w:t>
          </w:r>
          <w:r>
            <w:rPr>
              <w:rFonts w:hint="default" w:ascii="Times New Roman" w:hAnsi="Times New Roman" w:eastAsia="宋体" w:cs="Times New Roman"/>
              <w:bCs/>
              <w:sz w:val="20"/>
              <w:szCs w:val="20"/>
              <w:highlight w:val="none"/>
              <w:lang w:bidi="ar"/>
            </w:rPr>
            <w:t>o</w:t>
          </w:r>
          <w:r>
            <w:rPr>
              <w:rFonts w:hint="default" w:ascii="Times New Roman" w:hAnsi="Times New Roman" w:eastAsia="Shaker2Lancet-Bold" w:cs="Times New Roman"/>
              <w:bCs/>
              <w:sz w:val="20"/>
              <w:szCs w:val="20"/>
              <w:highlight w:val="none"/>
              <w:lang w:bidi="ar"/>
            </w:rPr>
            <w:t xml:space="preserve">ut </w:t>
          </w:r>
          <w:r>
            <w:rPr>
              <w:rFonts w:hint="default" w:ascii="Times New Roman" w:hAnsi="Times New Roman" w:eastAsia="宋体" w:cs="Times New Roman"/>
              <w:bCs/>
              <w:sz w:val="20"/>
              <w:szCs w:val="20"/>
              <w:highlight w:val="none"/>
              <w:lang w:bidi="ar"/>
            </w:rPr>
            <w:t>M</w:t>
          </w:r>
          <w:r>
            <w:rPr>
              <w:rFonts w:hint="default" w:ascii="Times New Roman" w:hAnsi="Times New Roman" w:eastAsia="Shaker2Lancet-Bold" w:cs="Times New Roman"/>
              <w:bCs/>
              <w:sz w:val="20"/>
              <w:szCs w:val="20"/>
              <w:highlight w:val="none"/>
              <w:lang w:bidi="ar"/>
            </w:rPr>
            <w:t>ethod</w:t>
          </w:r>
          <w:r>
            <w:rPr>
              <w:rFonts w:hint="default" w:ascii="Times New Roman" w:hAnsi="Times New Roman" w:cs="Times New Roman"/>
              <w:sz w:val="20"/>
              <w:szCs w:val="20"/>
            </w:rPr>
            <w:tab/>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PAGEREF _Toc3629 \h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38</w:t>
          </w:r>
          <w:r>
            <w:rPr>
              <w:rFonts w:hint="default" w:ascii="Times New Roman" w:hAnsi="Times New Roman" w:cs="Times New Roman"/>
              <w:sz w:val="20"/>
              <w:szCs w:val="20"/>
            </w:rPr>
            <w:fldChar w:fldCharType="end"/>
          </w:r>
          <w:r>
            <w:rPr>
              <w:rFonts w:hint="default" w:ascii="Times New Roman" w:hAnsi="Times New Roman" w:eastAsia="CIDFont" w:cs="Times New Roman"/>
              <w:bCs/>
              <w:color w:val="000000"/>
              <w:kern w:val="0"/>
              <w:sz w:val="20"/>
              <w:szCs w:val="20"/>
              <w:highlight w:val="none"/>
              <w:lang w:bidi="ar"/>
            </w:rPr>
            <w:fldChar w:fldCharType="end"/>
          </w:r>
        </w:p>
        <w:p w14:paraId="066344A1">
          <w:pPr>
            <w:pStyle w:val="6"/>
            <w:tabs>
              <w:tab w:val="right" w:leader="dot" w:pos="13958"/>
            </w:tabs>
            <w:rPr>
              <w:rFonts w:hint="default" w:ascii="Times New Roman" w:hAnsi="Times New Roman" w:cs="Times New Roman"/>
              <w:sz w:val="20"/>
              <w:szCs w:val="20"/>
            </w:rPr>
          </w:pPr>
          <w:r>
            <w:rPr>
              <w:rFonts w:hint="default" w:ascii="Times New Roman" w:hAnsi="Times New Roman" w:eastAsia="CIDFont" w:cs="Times New Roman"/>
              <w:bCs/>
              <w:color w:val="000000"/>
              <w:kern w:val="0"/>
              <w:sz w:val="20"/>
              <w:szCs w:val="20"/>
              <w:highlight w:val="none"/>
              <w:lang w:bidi="ar"/>
            </w:rPr>
            <w:fldChar w:fldCharType="begin"/>
          </w:r>
          <w:r>
            <w:rPr>
              <w:rFonts w:hint="default" w:ascii="Times New Roman" w:hAnsi="Times New Roman" w:eastAsia="CIDFont" w:cs="Times New Roman"/>
              <w:bCs/>
              <w:kern w:val="0"/>
              <w:sz w:val="20"/>
              <w:szCs w:val="20"/>
              <w:highlight w:val="none"/>
              <w:lang w:bidi="ar"/>
            </w:rPr>
            <w:instrText xml:space="preserve"> HYPERLINK \l _Toc8208 </w:instrText>
          </w:r>
          <w:r>
            <w:rPr>
              <w:rFonts w:hint="default" w:ascii="Times New Roman" w:hAnsi="Times New Roman" w:eastAsia="CIDFont" w:cs="Times New Roman"/>
              <w:bCs/>
              <w:kern w:val="0"/>
              <w:sz w:val="20"/>
              <w:szCs w:val="20"/>
              <w:highlight w:val="none"/>
              <w:lang w:bidi="ar"/>
            </w:rPr>
            <w:fldChar w:fldCharType="separate"/>
          </w:r>
          <w:r>
            <w:rPr>
              <w:rFonts w:hint="default" w:ascii="Times New Roman" w:hAnsi="Times New Roman" w:eastAsia="宋体" w:cs="Times New Roman"/>
              <w:bCs/>
              <w:sz w:val="20"/>
              <w:szCs w:val="20"/>
              <w:highlight w:val="none"/>
              <w:lang w:eastAsia="zh-CN" w:bidi="ar"/>
            </w:rPr>
            <w:t xml:space="preserve">Fig. </w:t>
          </w:r>
          <w:r>
            <w:rPr>
              <w:rFonts w:hint="default" w:ascii="Times New Roman" w:hAnsi="Times New Roman" w:eastAsia="宋体" w:cs="Times New Roman"/>
              <w:bCs/>
              <w:sz w:val="20"/>
              <w:szCs w:val="20"/>
              <w:highlight w:val="none"/>
              <w:lang w:val="en-US" w:eastAsia="zh-CN" w:bidi="ar"/>
            </w:rPr>
            <w:t>S</w:t>
          </w:r>
          <w:r>
            <w:rPr>
              <w:rFonts w:hint="default" w:ascii="Times New Roman" w:hAnsi="Times New Roman" w:eastAsia="宋体" w:cs="Times New Roman"/>
              <w:bCs/>
              <w:sz w:val="20"/>
              <w:szCs w:val="20"/>
              <w:highlight w:val="none"/>
              <w:lang w:bidi="ar"/>
            </w:rPr>
            <w:t>11.</w:t>
          </w:r>
          <w:r>
            <w:rPr>
              <w:rFonts w:hint="default" w:ascii="Times New Roman" w:hAnsi="Times New Roman" w:eastAsia="Shaker2Lancet-BoldItalic" w:cs="Times New Roman"/>
              <w:bCs/>
              <w:sz w:val="20"/>
              <w:szCs w:val="20"/>
              <w:highlight w:val="none"/>
              <w:lang w:bidi="ar"/>
            </w:rPr>
            <w:t xml:space="preserve"> </w:t>
          </w:r>
          <w:r>
            <w:rPr>
              <w:rFonts w:hint="default" w:ascii="Times New Roman" w:hAnsi="Times New Roman" w:cs="Times New Roman"/>
              <w:bCs/>
              <w:sz w:val="20"/>
              <w:szCs w:val="20"/>
              <w:highlight w:val="none"/>
            </w:rPr>
            <w:t>Funnel Plot</w:t>
          </w:r>
          <w:r>
            <w:rPr>
              <w:rFonts w:hint="default" w:ascii="Times New Roman" w:hAnsi="Times New Roman" w:eastAsia="CIDFont" w:cs="Times New Roman"/>
              <w:bCs/>
              <w:sz w:val="20"/>
              <w:szCs w:val="20"/>
              <w:highlight w:val="none"/>
              <w:lang w:bidi="ar"/>
            </w:rPr>
            <w:t xml:space="preserve"> of </w:t>
          </w:r>
          <w:r>
            <w:rPr>
              <w:rFonts w:hint="default" w:ascii="Times New Roman" w:hAnsi="Times New Roman" w:eastAsia="宋体" w:cs="Times New Roman"/>
              <w:bCs/>
              <w:sz w:val="20"/>
              <w:szCs w:val="20"/>
              <w:highlight w:val="none"/>
              <w:lang w:bidi="ar"/>
            </w:rPr>
            <w:t xml:space="preserve">the </w:t>
          </w:r>
          <w:r>
            <w:rPr>
              <w:rFonts w:hint="default" w:ascii="Times New Roman" w:hAnsi="Times New Roman" w:cs="Times New Roman"/>
              <w:bCs/>
              <w:sz w:val="20"/>
              <w:szCs w:val="20"/>
              <w:highlight w:val="none"/>
            </w:rPr>
            <w:t>Overall eGDR Levels in Patients with T1DM</w:t>
          </w:r>
          <w:r>
            <w:rPr>
              <w:rFonts w:hint="default" w:ascii="Times New Roman" w:hAnsi="Times New Roman" w:cs="Times New Roman"/>
              <w:sz w:val="20"/>
              <w:szCs w:val="20"/>
            </w:rPr>
            <w:tab/>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PAGEREF _Toc8208 \h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39</w:t>
          </w:r>
          <w:r>
            <w:rPr>
              <w:rFonts w:hint="default" w:ascii="Times New Roman" w:hAnsi="Times New Roman" w:cs="Times New Roman"/>
              <w:sz w:val="20"/>
              <w:szCs w:val="20"/>
            </w:rPr>
            <w:fldChar w:fldCharType="end"/>
          </w:r>
          <w:r>
            <w:rPr>
              <w:rFonts w:hint="default" w:ascii="Times New Roman" w:hAnsi="Times New Roman" w:eastAsia="CIDFont" w:cs="Times New Roman"/>
              <w:bCs/>
              <w:color w:val="000000"/>
              <w:kern w:val="0"/>
              <w:sz w:val="20"/>
              <w:szCs w:val="20"/>
              <w:highlight w:val="none"/>
              <w:lang w:bidi="ar"/>
            </w:rPr>
            <w:fldChar w:fldCharType="end"/>
          </w:r>
        </w:p>
        <w:p w14:paraId="324EC115">
          <w:pPr>
            <w:widowControl/>
            <w:jc w:val="left"/>
            <w:rPr>
              <w:rFonts w:hint="default" w:ascii="Times New Roman" w:hAnsi="Times New Roman" w:eastAsia="CIDFont" w:cs="Times New Roman"/>
              <w:bCs/>
              <w:color w:val="000000"/>
              <w:kern w:val="0"/>
              <w:sz w:val="20"/>
              <w:szCs w:val="20"/>
              <w:highlight w:val="none"/>
              <w:lang w:bidi="ar"/>
            </w:rPr>
          </w:pPr>
          <w:r>
            <w:rPr>
              <w:rFonts w:hint="default" w:ascii="Times New Roman" w:hAnsi="Times New Roman" w:eastAsia="CIDFont" w:cs="Times New Roman"/>
              <w:bCs/>
              <w:color w:val="000000"/>
              <w:kern w:val="0"/>
              <w:sz w:val="20"/>
              <w:szCs w:val="20"/>
              <w:highlight w:val="none"/>
              <w:lang w:bidi="ar"/>
            </w:rPr>
            <w:fldChar w:fldCharType="end"/>
          </w:r>
        </w:p>
      </w:sdtContent>
    </w:sdt>
    <w:p w14:paraId="5BFCA2B6">
      <w:pPr>
        <w:widowControl/>
        <w:jc w:val="left"/>
        <w:rPr>
          <w:rFonts w:hint="default" w:ascii="Times New Roman" w:hAnsi="Times New Roman" w:eastAsia="CIDFont" w:cs="Times New Roman"/>
          <w:bCs/>
          <w:color w:val="000000"/>
          <w:kern w:val="0"/>
          <w:sz w:val="20"/>
          <w:szCs w:val="20"/>
          <w:highlight w:val="none"/>
          <w:lang w:bidi="ar"/>
        </w:rPr>
        <w:sectPr>
          <w:headerReference r:id="rId3" w:type="default"/>
          <w:footerReference r:id="rId4" w:type="default"/>
          <w:pgSz w:w="16838" w:h="11906" w:orient="landscape"/>
          <w:pgMar w:top="1800" w:right="1440" w:bottom="1800" w:left="1440" w:header="851" w:footer="992" w:gutter="0"/>
          <w:cols w:space="425" w:num="1"/>
          <w:docGrid w:type="lines" w:linePitch="312" w:charSpace="0"/>
        </w:sectPr>
      </w:pPr>
    </w:p>
    <w:p w14:paraId="705A8A1A">
      <w:pPr>
        <w:widowControl/>
        <w:jc w:val="left"/>
        <w:outlineLvl w:val="0"/>
        <w:rPr>
          <w:rFonts w:hint="default" w:ascii="Times New Roman" w:hAnsi="Times New Roman" w:eastAsia="CIDFont" w:cs="Times New Roman"/>
          <w:b/>
          <w:bCs/>
          <w:color w:val="000000"/>
          <w:kern w:val="0"/>
          <w:sz w:val="20"/>
          <w:szCs w:val="20"/>
          <w:highlight w:val="none"/>
          <w:lang w:bidi="ar"/>
        </w:rPr>
      </w:pPr>
      <w:bookmarkStart w:id="0" w:name="_Toc14219"/>
      <w:r>
        <w:rPr>
          <w:rFonts w:hint="default" w:ascii="Times New Roman" w:hAnsi="Times New Roman" w:eastAsia="宋体" w:cs="Times New Roman"/>
          <w:b/>
          <w:bCs/>
          <w:color w:val="000000"/>
          <w:kern w:val="0"/>
          <w:sz w:val="20"/>
          <w:szCs w:val="20"/>
          <w:highlight w:val="none"/>
          <w:lang w:eastAsia="zh-CN" w:bidi="ar"/>
        </w:rPr>
        <w:t>Additional</w:t>
      </w:r>
      <w:r>
        <w:rPr>
          <w:rFonts w:hint="default" w:ascii="Times New Roman" w:hAnsi="Times New Roman" w:eastAsia="CIDFont" w:cs="Times New Roman"/>
          <w:b/>
          <w:bCs/>
          <w:color w:val="000000"/>
          <w:kern w:val="0"/>
          <w:sz w:val="20"/>
          <w:szCs w:val="20"/>
          <w:highlight w:val="none"/>
          <w:lang w:bidi="ar"/>
        </w:rPr>
        <w:t xml:space="preserve"> Table 1. PRISMA Checklist</w:t>
      </w:r>
      <w:bookmarkEnd w:id="0"/>
      <w:r>
        <w:rPr>
          <w:rFonts w:hint="default" w:ascii="Times New Roman" w:hAnsi="Times New Roman" w:eastAsia="CIDFont" w:cs="Times New Roman"/>
          <w:b/>
          <w:bCs/>
          <w:color w:val="000000"/>
          <w:kern w:val="0"/>
          <w:sz w:val="20"/>
          <w:szCs w:val="20"/>
          <w:highlight w:val="none"/>
          <w:lang w:bidi="ar"/>
        </w:rPr>
        <w:t xml:space="preserve"> </w:t>
      </w:r>
    </w:p>
    <w:tbl>
      <w:tblPr>
        <w:tblStyle w:val="9"/>
        <w:tblpPr w:leftFromText="180" w:rightFromText="180" w:vertAnchor="text" w:horzAnchor="page" w:tblpX="1543" w:tblpY="156"/>
        <w:tblOverlap w:val="never"/>
        <w:tblW w:w="13937" w:type="dxa"/>
        <w:tblInd w:w="0" w:type="dxa"/>
        <w:tblLayout w:type="fixed"/>
        <w:tblCellMar>
          <w:top w:w="0" w:type="dxa"/>
          <w:left w:w="108" w:type="dxa"/>
          <w:bottom w:w="0" w:type="dxa"/>
          <w:right w:w="108" w:type="dxa"/>
        </w:tblCellMar>
      </w:tblPr>
      <w:tblGrid>
        <w:gridCol w:w="1984"/>
        <w:gridCol w:w="813"/>
        <w:gridCol w:w="9237"/>
        <w:gridCol w:w="1903"/>
      </w:tblGrid>
      <w:tr w14:paraId="25B17AC1">
        <w:tblPrEx>
          <w:tblCellMar>
            <w:top w:w="0" w:type="dxa"/>
            <w:left w:w="108" w:type="dxa"/>
            <w:bottom w:w="0" w:type="dxa"/>
            <w:right w:w="108" w:type="dxa"/>
          </w:tblCellMar>
        </w:tblPrEx>
        <w:trPr>
          <w:trHeight w:val="444" w:hRule="atLeast"/>
          <w:tblHeader/>
        </w:trPr>
        <w:tc>
          <w:tcPr>
            <w:tcW w:w="1984"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1362EE57">
            <w:pPr>
              <w:pStyle w:val="13"/>
              <w:rPr>
                <w:rFonts w:hint="default" w:ascii="Times New Roman" w:hAnsi="Times New Roman" w:cs="Times New Roman"/>
                <w:color w:val="FFFFFF"/>
                <w:sz w:val="20"/>
                <w:szCs w:val="20"/>
                <w:highlight w:val="none"/>
              </w:rPr>
            </w:pPr>
            <w:r>
              <w:rPr>
                <w:rFonts w:hint="default" w:ascii="Times New Roman" w:hAnsi="Times New Roman" w:cs="Times New Roman"/>
                <w:b/>
                <w:bCs/>
                <w:color w:val="FFFFFF"/>
                <w:sz w:val="20"/>
                <w:szCs w:val="20"/>
                <w:highlight w:val="none"/>
              </w:rPr>
              <w:t xml:space="preserve">Section and Topic </w:t>
            </w:r>
          </w:p>
        </w:tc>
        <w:tc>
          <w:tcPr>
            <w:tcW w:w="813"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3E0FAF52">
            <w:pPr>
              <w:pStyle w:val="13"/>
              <w:rPr>
                <w:rFonts w:hint="default" w:ascii="Times New Roman" w:hAnsi="Times New Roman" w:cs="Times New Roman"/>
                <w:b/>
                <w:bCs/>
                <w:color w:val="FFFFFF"/>
                <w:sz w:val="20"/>
                <w:szCs w:val="20"/>
                <w:highlight w:val="none"/>
              </w:rPr>
            </w:pPr>
            <w:r>
              <w:rPr>
                <w:rFonts w:hint="default" w:ascii="Times New Roman" w:hAnsi="Times New Roman" w:cs="Times New Roman"/>
                <w:b/>
                <w:bCs/>
                <w:color w:val="FFFFFF"/>
                <w:sz w:val="20"/>
                <w:szCs w:val="20"/>
                <w:highlight w:val="none"/>
              </w:rPr>
              <w:t>Item #</w:t>
            </w:r>
          </w:p>
        </w:tc>
        <w:tc>
          <w:tcPr>
            <w:tcW w:w="9237"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1922167D">
            <w:pPr>
              <w:pStyle w:val="13"/>
              <w:rPr>
                <w:rFonts w:hint="default" w:ascii="Times New Roman" w:hAnsi="Times New Roman" w:cs="Times New Roman"/>
                <w:color w:val="FFFFFF"/>
                <w:sz w:val="20"/>
                <w:szCs w:val="20"/>
                <w:highlight w:val="none"/>
              </w:rPr>
            </w:pPr>
            <w:r>
              <w:rPr>
                <w:rFonts w:hint="default" w:ascii="Times New Roman" w:hAnsi="Times New Roman" w:cs="Times New Roman"/>
                <w:b/>
                <w:bCs/>
                <w:color w:val="FFFFFF"/>
                <w:sz w:val="20"/>
                <w:szCs w:val="20"/>
                <w:highlight w:val="none"/>
              </w:rPr>
              <w:t xml:space="preserve">Checklist item </w:t>
            </w:r>
          </w:p>
        </w:tc>
        <w:tc>
          <w:tcPr>
            <w:tcW w:w="1903"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43C50A01">
            <w:pPr>
              <w:pStyle w:val="13"/>
              <w:rPr>
                <w:rFonts w:hint="default" w:ascii="Times New Roman" w:hAnsi="Times New Roman" w:cs="Times New Roman"/>
                <w:color w:val="FFFFFF"/>
                <w:sz w:val="20"/>
                <w:szCs w:val="20"/>
                <w:highlight w:val="none"/>
              </w:rPr>
            </w:pPr>
            <w:r>
              <w:rPr>
                <w:rFonts w:hint="default" w:ascii="Times New Roman" w:hAnsi="Times New Roman" w:cs="Times New Roman"/>
                <w:b/>
                <w:bCs/>
                <w:color w:val="FFFFFF"/>
                <w:sz w:val="20"/>
                <w:szCs w:val="20"/>
                <w:highlight w:val="none"/>
              </w:rPr>
              <w:t xml:space="preserve">Location where item is reported </w:t>
            </w:r>
          </w:p>
        </w:tc>
      </w:tr>
      <w:tr w14:paraId="7DFE0099">
        <w:tblPrEx>
          <w:tblCellMar>
            <w:top w:w="0" w:type="dxa"/>
            <w:left w:w="108" w:type="dxa"/>
            <w:bottom w:w="0" w:type="dxa"/>
            <w:right w:w="108" w:type="dxa"/>
          </w:tblCellMar>
        </w:tblPrEx>
        <w:trPr>
          <w:trHeight w:val="210" w:hRule="atLeast"/>
        </w:trPr>
        <w:tc>
          <w:tcPr>
            <w:tcW w:w="12034"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5B883FA3">
            <w:pPr>
              <w:pStyle w:val="13"/>
              <w:rPr>
                <w:rFonts w:hint="default" w:ascii="Times New Roman" w:hAnsi="Times New Roman" w:cs="Times New Roman"/>
                <w:sz w:val="20"/>
                <w:szCs w:val="20"/>
                <w:highlight w:val="none"/>
              </w:rPr>
            </w:pPr>
            <w:r>
              <w:rPr>
                <w:rFonts w:hint="default" w:ascii="Times New Roman" w:hAnsi="Times New Roman" w:cs="Times New Roman"/>
                <w:b/>
                <w:bCs/>
                <w:sz w:val="20"/>
                <w:szCs w:val="20"/>
                <w:highlight w:val="none"/>
              </w:rPr>
              <w:t xml:space="preserve">TITLE </w:t>
            </w:r>
          </w:p>
        </w:tc>
        <w:tc>
          <w:tcPr>
            <w:tcW w:w="1903" w:type="dxa"/>
            <w:tcBorders>
              <w:top w:val="double" w:color="000000" w:sz="4" w:space="0"/>
              <w:left w:val="single" w:color="000000" w:sz="4" w:space="0"/>
              <w:bottom w:val="single" w:color="000000" w:sz="4" w:space="0"/>
              <w:right w:val="single" w:color="000000" w:sz="4" w:space="0"/>
            </w:tcBorders>
            <w:shd w:val="clear" w:color="auto" w:fill="FFFFCC"/>
          </w:tcPr>
          <w:p w14:paraId="175DE1F3">
            <w:pPr>
              <w:pStyle w:val="13"/>
              <w:rPr>
                <w:rFonts w:hint="default" w:ascii="Times New Roman" w:hAnsi="Times New Roman" w:cs="Times New Roman"/>
                <w:color w:val="auto"/>
                <w:sz w:val="20"/>
                <w:szCs w:val="20"/>
                <w:highlight w:val="none"/>
              </w:rPr>
            </w:pPr>
          </w:p>
        </w:tc>
      </w:tr>
      <w:tr w14:paraId="5CBE86CC">
        <w:tblPrEx>
          <w:tblCellMar>
            <w:top w:w="0" w:type="dxa"/>
            <w:left w:w="108" w:type="dxa"/>
            <w:bottom w:w="0" w:type="dxa"/>
            <w:right w:w="108" w:type="dxa"/>
          </w:tblCellMar>
        </w:tblPrEx>
        <w:trPr>
          <w:trHeight w:val="238" w:hRule="atLeast"/>
        </w:trPr>
        <w:tc>
          <w:tcPr>
            <w:tcW w:w="1984" w:type="dxa"/>
            <w:tcBorders>
              <w:top w:val="single" w:color="000000" w:sz="4" w:space="0"/>
              <w:left w:val="single" w:color="000000" w:sz="4" w:space="0"/>
              <w:bottom w:val="double" w:color="FFFFCC" w:sz="2" w:space="0"/>
              <w:right w:val="single" w:color="000000" w:sz="4" w:space="0"/>
            </w:tcBorders>
          </w:tcPr>
          <w:p w14:paraId="1D7C41B7">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Title </w:t>
            </w:r>
          </w:p>
        </w:tc>
        <w:tc>
          <w:tcPr>
            <w:tcW w:w="813" w:type="dxa"/>
            <w:tcBorders>
              <w:top w:val="single" w:color="000000" w:sz="4" w:space="0"/>
              <w:left w:val="single" w:color="000000" w:sz="4" w:space="0"/>
              <w:bottom w:val="double" w:color="FFFFCC" w:sz="2" w:space="0"/>
              <w:right w:val="single" w:color="000000" w:sz="4" w:space="0"/>
            </w:tcBorders>
          </w:tcPr>
          <w:p w14:paraId="3384EC59">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w:t>
            </w:r>
          </w:p>
        </w:tc>
        <w:tc>
          <w:tcPr>
            <w:tcW w:w="9237" w:type="dxa"/>
            <w:tcBorders>
              <w:top w:val="single" w:color="000000" w:sz="4" w:space="0"/>
              <w:left w:val="single" w:color="000000" w:sz="4" w:space="0"/>
              <w:bottom w:val="double" w:color="000000" w:sz="4" w:space="0"/>
              <w:right w:val="single" w:color="000000" w:sz="4" w:space="0"/>
            </w:tcBorders>
          </w:tcPr>
          <w:p w14:paraId="6FD036F4">
            <w:pPr>
              <w:pStyle w:val="13"/>
              <w:spacing w:before="40" w:after="40"/>
              <w:rPr>
                <w:rFonts w:hint="default" w:ascii="Times New Roman" w:hAnsi="Times New Roman" w:cs="Times New Roman"/>
                <w:color w:val="000000" w:themeColor="text1"/>
                <w:sz w:val="20"/>
                <w:szCs w:val="20"/>
                <w:highlight w:val="none"/>
                <w14:textFill>
                  <w14:solidFill>
                    <w14:schemeClr w14:val="tx1"/>
                  </w14:solidFill>
                </w14:textFill>
              </w:rPr>
            </w:pPr>
            <w:r>
              <w:rPr>
                <w:rFonts w:hint="default" w:ascii="Times New Roman" w:hAnsi="Times New Roman" w:cs="Times New Roman"/>
                <w:color w:val="000000" w:themeColor="text1"/>
                <w:sz w:val="20"/>
                <w:szCs w:val="20"/>
                <w:highlight w:val="none"/>
                <w14:textFill>
                  <w14:solidFill>
                    <w14:schemeClr w14:val="tx1"/>
                  </w14:solidFill>
                </w14:textFill>
              </w:rPr>
              <w:t>Identify the report as a systematic review.</w:t>
            </w:r>
          </w:p>
        </w:tc>
        <w:tc>
          <w:tcPr>
            <w:tcW w:w="1903" w:type="dxa"/>
            <w:tcBorders>
              <w:top w:val="single" w:color="000000" w:sz="4" w:space="0"/>
              <w:left w:val="single" w:color="000000" w:sz="4" w:space="0"/>
              <w:bottom w:val="double" w:color="000000" w:sz="4" w:space="0"/>
              <w:right w:val="single" w:color="000000" w:sz="4" w:space="0"/>
            </w:tcBorders>
          </w:tcPr>
          <w:p w14:paraId="1E8A1A3D">
            <w:pPr>
              <w:pStyle w:val="13"/>
              <w:spacing w:before="40" w:after="40"/>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Page 1</w:t>
            </w:r>
          </w:p>
        </w:tc>
      </w:tr>
      <w:tr w14:paraId="0EAB68CD">
        <w:tblPrEx>
          <w:tblCellMar>
            <w:top w:w="0" w:type="dxa"/>
            <w:left w:w="108" w:type="dxa"/>
            <w:bottom w:w="0" w:type="dxa"/>
            <w:right w:w="108" w:type="dxa"/>
          </w:tblCellMar>
        </w:tblPrEx>
        <w:trPr>
          <w:trHeight w:val="210" w:hRule="atLeast"/>
        </w:trPr>
        <w:tc>
          <w:tcPr>
            <w:tcW w:w="12034"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3326EDED">
            <w:pPr>
              <w:pStyle w:val="13"/>
              <w:rPr>
                <w:rFonts w:hint="default" w:ascii="Times New Roman" w:hAnsi="Times New Roman" w:cs="Times New Roman"/>
                <w:sz w:val="20"/>
                <w:szCs w:val="20"/>
                <w:highlight w:val="none"/>
              </w:rPr>
            </w:pPr>
            <w:r>
              <w:rPr>
                <w:rFonts w:hint="default" w:ascii="Times New Roman" w:hAnsi="Times New Roman" w:cs="Times New Roman"/>
                <w:b/>
                <w:bCs/>
                <w:sz w:val="20"/>
                <w:szCs w:val="20"/>
                <w:highlight w:val="none"/>
              </w:rPr>
              <w:t xml:space="preserve">ABSTRACT </w:t>
            </w:r>
          </w:p>
        </w:tc>
        <w:tc>
          <w:tcPr>
            <w:tcW w:w="1903" w:type="dxa"/>
            <w:tcBorders>
              <w:top w:val="double" w:color="000000" w:sz="4" w:space="0"/>
              <w:left w:val="single" w:color="000000" w:sz="4" w:space="0"/>
              <w:bottom w:val="single" w:color="000000" w:sz="4" w:space="0"/>
              <w:right w:val="single" w:color="000000" w:sz="4" w:space="0"/>
            </w:tcBorders>
            <w:shd w:val="clear" w:color="auto" w:fill="FFFFCC"/>
          </w:tcPr>
          <w:p w14:paraId="16212DCA">
            <w:pPr>
              <w:pStyle w:val="13"/>
              <w:rPr>
                <w:rFonts w:hint="default" w:ascii="Times New Roman" w:hAnsi="Times New Roman" w:cs="Times New Roman"/>
                <w:color w:val="FF0000"/>
                <w:sz w:val="20"/>
                <w:szCs w:val="20"/>
                <w:highlight w:val="none"/>
              </w:rPr>
            </w:pPr>
          </w:p>
        </w:tc>
      </w:tr>
      <w:tr w14:paraId="4677019E">
        <w:tblPrEx>
          <w:tblCellMar>
            <w:top w:w="0" w:type="dxa"/>
            <w:left w:w="108" w:type="dxa"/>
            <w:bottom w:w="0" w:type="dxa"/>
            <w:right w:w="108" w:type="dxa"/>
          </w:tblCellMar>
        </w:tblPrEx>
        <w:trPr>
          <w:trHeight w:val="238" w:hRule="atLeast"/>
        </w:trPr>
        <w:tc>
          <w:tcPr>
            <w:tcW w:w="1984" w:type="dxa"/>
            <w:tcBorders>
              <w:top w:val="single" w:color="000000" w:sz="4" w:space="0"/>
              <w:left w:val="single" w:color="000000" w:sz="4" w:space="0"/>
              <w:bottom w:val="double" w:color="FFFFCC" w:sz="2" w:space="0"/>
              <w:right w:val="single" w:color="000000" w:sz="4" w:space="0"/>
            </w:tcBorders>
          </w:tcPr>
          <w:p w14:paraId="1999A6C5">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Abstract </w:t>
            </w:r>
          </w:p>
        </w:tc>
        <w:tc>
          <w:tcPr>
            <w:tcW w:w="813" w:type="dxa"/>
            <w:tcBorders>
              <w:top w:val="single" w:color="000000" w:sz="4" w:space="0"/>
              <w:left w:val="single" w:color="000000" w:sz="4" w:space="0"/>
              <w:bottom w:val="double" w:color="FFFFCC" w:sz="2" w:space="0"/>
              <w:right w:val="single" w:color="000000" w:sz="4" w:space="0"/>
            </w:tcBorders>
          </w:tcPr>
          <w:p w14:paraId="3F09DF2E">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w:t>
            </w:r>
          </w:p>
        </w:tc>
        <w:tc>
          <w:tcPr>
            <w:tcW w:w="9237" w:type="dxa"/>
            <w:tcBorders>
              <w:top w:val="single" w:color="000000" w:sz="4" w:space="0"/>
              <w:left w:val="single" w:color="000000" w:sz="4" w:space="0"/>
              <w:bottom w:val="double" w:color="000000" w:sz="4" w:space="0"/>
              <w:right w:val="single" w:color="000000" w:sz="4" w:space="0"/>
            </w:tcBorders>
          </w:tcPr>
          <w:p w14:paraId="2ADEEC61">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See the PRISMA 2020 for Abstracts checklist.</w:t>
            </w:r>
          </w:p>
        </w:tc>
        <w:tc>
          <w:tcPr>
            <w:tcW w:w="1903" w:type="dxa"/>
            <w:tcBorders>
              <w:top w:val="single" w:color="000000" w:sz="4" w:space="0"/>
              <w:left w:val="single" w:color="000000" w:sz="4" w:space="0"/>
              <w:bottom w:val="double" w:color="000000" w:sz="4" w:space="0"/>
              <w:right w:val="single" w:color="000000" w:sz="4" w:space="0"/>
            </w:tcBorders>
          </w:tcPr>
          <w:p w14:paraId="4C38C3B8">
            <w:pPr>
              <w:pStyle w:val="13"/>
              <w:spacing w:before="40" w:after="40"/>
              <w:rPr>
                <w:rFonts w:hint="default" w:ascii="Times New Roman" w:hAnsi="Times New Roman" w:cs="Times New Roman"/>
                <w:color w:val="000000" w:themeColor="text1"/>
                <w:sz w:val="20"/>
                <w:szCs w:val="20"/>
                <w:highlight w:val="none"/>
                <w:lang w:val="en-US"/>
                <w14:textFill>
                  <w14:solidFill>
                    <w14:schemeClr w14:val="tx1"/>
                  </w14:solidFill>
                </w14:textFill>
              </w:rPr>
            </w:pP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Page 2</w:t>
            </w:r>
          </w:p>
        </w:tc>
      </w:tr>
      <w:tr w14:paraId="3C5F1840">
        <w:tblPrEx>
          <w:tblCellMar>
            <w:top w:w="0" w:type="dxa"/>
            <w:left w:w="108" w:type="dxa"/>
            <w:bottom w:w="0" w:type="dxa"/>
            <w:right w:w="108" w:type="dxa"/>
          </w:tblCellMar>
        </w:tblPrEx>
        <w:trPr>
          <w:trHeight w:val="210" w:hRule="atLeast"/>
        </w:trPr>
        <w:tc>
          <w:tcPr>
            <w:tcW w:w="12034"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753464C5">
            <w:pPr>
              <w:pStyle w:val="13"/>
              <w:rPr>
                <w:rFonts w:hint="default" w:ascii="Times New Roman" w:hAnsi="Times New Roman" w:cs="Times New Roman"/>
                <w:sz w:val="20"/>
                <w:szCs w:val="20"/>
                <w:highlight w:val="none"/>
              </w:rPr>
            </w:pPr>
            <w:r>
              <w:rPr>
                <w:rFonts w:hint="default" w:ascii="Times New Roman" w:hAnsi="Times New Roman" w:cs="Times New Roman"/>
                <w:b/>
                <w:bCs/>
                <w:sz w:val="20"/>
                <w:szCs w:val="20"/>
                <w:highlight w:val="none"/>
              </w:rPr>
              <w:t xml:space="preserve">INTRODUCTION </w:t>
            </w:r>
          </w:p>
        </w:tc>
        <w:tc>
          <w:tcPr>
            <w:tcW w:w="1903" w:type="dxa"/>
            <w:tcBorders>
              <w:top w:val="double" w:color="000000" w:sz="4" w:space="0"/>
              <w:left w:val="single" w:color="000000" w:sz="4" w:space="0"/>
              <w:bottom w:val="single" w:color="000000" w:sz="4" w:space="0"/>
              <w:right w:val="single" w:color="000000" w:sz="4" w:space="0"/>
            </w:tcBorders>
            <w:shd w:val="clear" w:color="auto" w:fill="FFFFCC"/>
          </w:tcPr>
          <w:p w14:paraId="22953109">
            <w:pPr>
              <w:pStyle w:val="13"/>
              <w:rPr>
                <w:rFonts w:hint="default" w:ascii="Times New Roman" w:hAnsi="Times New Roman" w:cs="Times New Roman"/>
                <w:color w:val="000000" w:themeColor="text1"/>
                <w:sz w:val="20"/>
                <w:szCs w:val="20"/>
                <w:highlight w:val="none"/>
                <w14:textFill>
                  <w14:solidFill>
                    <w14:schemeClr w14:val="tx1"/>
                  </w14:solidFill>
                </w14:textFill>
              </w:rPr>
            </w:pPr>
          </w:p>
        </w:tc>
      </w:tr>
      <w:tr w14:paraId="25A0F583">
        <w:tblPrEx>
          <w:tblCellMar>
            <w:top w:w="0" w:type="dxa"/>
            <w:left w:w="108" w:type="dxa"/>
            <w:bottom w:w="0" w:type="dxa"/>
            <w:right w:w="108" w:type="dxa"/>
          </w:tblCellMar>
        </w:tblPrEx>
        <w:trPr>
          <w:trHeight w:val="238" w:hRule="atLeast"/>
        </w:trPr>
        <w:tc>
          <w:tcPr>
            <w:tcW w:w="1984" w:type="dxa"/>
            <w:tcBorders>
              <w:top w:val="single" w:color="000000" w:sz="4" w:space="0"/>
              <w:left w:val="single" w:color="000000" w:sz="4" w:space="0"/>
              <w:bottom w:val="single" w:color="000000" w:sz="4" w:space="0"/>
              <w:right w:val="single" w:color="000000" w:sz="4" w:space="0"/>
            </w:tcBorders>
          </w:tcPr>
          <w:p w14:paraId="377C3D23">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Rationale </w:t>
            </w:r>
          </w:p>
        </w:tc>
        <w:tc>
          <w:tcPr>
            <w:tcW w:w="813" w:type="dxa"/>
            <w:tcBorders>
              <w:top w:val="single" w:color="000000" w:sz="4" w:space="0"/>
              <w:left w:val="single" w:color="000000" w:sz="4" w:space="0"/>
              <w:bottom w:val="single" w:color="000000" w:sz="4" w:space="0"/>
              <w:right w:val="single" w:color="000000" w:sz="4" w:space="0"/>
            </w:tcBorders>
          </w:tcPr>
          <w:p w14:paraId="474F24E3">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3</w:t>
            </w:r>
          </w:p>
        </w:tc>
        <w:tc>
          <w:tcPr>
            <w:tcW w:w="9237" w:type="dxa"/>
            <w:tcBorders>
              <w:top w:val="single" w:color="000000" w:sz="4" w:space="0"/>
              <w:left w:val="single" w:color="000000" w:sz="4" w:space="0"/>
              <w:bottom w:val="single" w:color="000000" w:sz="4" w:space="0"/>
              <w:right w:val="single" w:color="000000" w:sz="4" w:space="0"/>
            </w:tcBorders>
          </w:tcPr>
          <w:p w14:paraId="2879D802">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Describe the rationale for the review in the context of existing knowledge.</w:t>
            </w:r>
          </w:p>
        </w:tc>
        <w:tc>
          <w:tcPr>
            <w:tcW w:w="1903" w:type="dxa"/>
            <w:tcBorders>
              <w:top w:val="single" w:color="000000" w:sz="4" w:space="0"/>
              <w:left w:val="single" w:color="000000" w:sz="4" w:space="0"/>
              <w:bottom w:val="single" w:color="000000" w:sz="4" w:space="0"/>
              <w:right w:val="single" w:color="000000" w:sz="4" w:space="0"/>
            </w:tcBorders>
          </w:tcPr>
          <w:p w14:paraId="1ADC127D">
            <w:pPr>
              <w:pStyle w:val="13"/>
              <w:spacing w:before="40" w:after="40"/>
              <w:rPr>
                <w:rFonts w:hint="default" w:ascii="Times New Roman" w:hAnsi="Times New Roman" w:cs="Times New Roman"/>
                <w:color w:val="000000" w:themeColor="text1"/>
                <w:sz w:val="20"/>
                <w:szCs w:val="20"/>
                <w:highlight w:val="none"/>
                <w:lang w:val="en-US"/>
                <w14:textFill>
                  <w14:solidFill>
                    <w14:schemeClr w14:val="tx1"/>
                  </w14:solidFill>
                </w14:textFill>
              </w:rPr>
            </w:pP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 xml:space="preserve">Page </w:t>
            </w: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3</w:t>
            </w:r>
          </w:p>
        </w:tc>
      </w:tr>
      <w:tr w14:paraId="1D1ACE2C">
        <w:tblPrEx>
          <w:tblCellMar>
            <w:top w:w="0" w:type="dxa"/>
            <w:left w:w="108" w:type="dxa"/>
            <w:bottom w:w="0" w:type="dxa"/>
            <w:right w:w="108" w:type="dxa"/>
          </w:tblCellMar>
        </w:tblPrEx>
        <w:trPr>
          <w:trHeight w:val="238" w:hRule="atLeast"/>
        </w:trPr>
        <w:tc>
          <w:tcPr>
            <w:tcW w:w="1984" w:type="dxa"/>
            <w:tcBorders>
              <w:top w:val="single" w:color="000000" w:sz="4" w:space="0"/>
              <w:left w:val="single" w:color="000000" w:sz="4" w:space="0"/>
              <w:bottom w:val="double" w:color="FFFFCC" w:sz="2" w:space="0"/>
              <w:right w:val="single" w:color="000000" w:sz="4" w:space="0"/>
            </w:tcBorders>
          </w:tcPr>
          <w:p w14:paraId="1A6D9A26">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Objectives </w:t>
            </w:r>
          </w:p>
        </w:tc>
        <w:tc>
          <w:tcPr>
            <w:tcW w:w="813" w:type="dxa"/>
            <w:tcBorders>
              <w:top w:val="single" w:color="000000" w:sz="4" w:space="0"/>
              <w:left w:val="single" w:color="000000" w:sz="4" w:space="0"/>
              <w:bottom w:val="double" w:color="FFFFCC" w:sz="2" w:space="0"/>
              <w:right w:val="single" w:color="000000" w:sz="4" w:space="0"/>
            </w:tcBorders>
          </w:tcPr>
          <w:p w14:paraId="04E8FB6A">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4</w:t>
            </w:r>
          </w:p>
        </w:tc>
        <w:tc>
          <w:tcPr>
            <w:tcW w:w="9237" w:type="dxa"/>
            <w:tcBorders>
              <w:top w:val="single" w:color="000000" w:sz="4" w:space="0"/>
              <w:left w:val="single" w:color="000000" w:sz="4" w:space="0"/>
              <w:bottom w:val="double" w:color="000000" w:sz="4" w:space="0"/>
              <w:right w:val="single" w:color="000000" w:sz="4" w:space="0"/>
            </w:tcBorders>
          </w:tcPr>
          <w:p w14:paraId="254F83B3">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Provide an explicit statement of the objective(s) or question(s) the review addresses.</w:t>
            </w:r>
          </w:p>
        </w:tc>
        <w:tc>
          <w:tcPr>
            <w:tcW w:w="1903" w:type="dxa"/>
            <w:tcBorders>
              <w:top w:val="single" w:color="000000" w:sz="4" w:space="0"/>
              <w:left w:val="single" w:color="000000" w:sz="4" w:space="0"/>
              <w:bottom w:val="double" w:color="000000" w:sz="4" w:space="0"/>
              <w:right w:val="single" w:color="000000" w:sz="4" w:space="0"/>
            </w:tcBorders>
          </w:tcPr>
          <w:p w14:paraId="6E232E55">
            <w:pPr>
              <w:pStyle w:val="13"/>
              <w:spacing w:before="40" w:after="40"/>
              <w:rPr>
                <w:rFonts w:hint="default" w:ascii="Times New Roman" w:hAnsi="Times New Roman" w:cs="Times New Roman"/>
                <w:color w:val="000000" w:themeColor="text1"/>
                <w:sz w:val="20"/>
                <w:szCs w:val="20"/>
                <w:highlight w:val="none"/>
                <w:lang w:val="en-US"/>
                <w14:textFill>
                  <w14:solidFill>
                    <w14:schemeClr w14:val="tx1"/>
                  </w14:solidFill>
                </w14:textFill>
              </w:rPr>
            </w:pP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 xml:space="preserve">Page </w:t>
            </w: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4</w:t>
            </w:r>
          </w:p>
        </w:tc>
      </w:tr>
      <w:tr w14:paraId="4F88DDFC">
        <w:tblPrEx>
          <w:tblCellMar>
            <w:top w:w="0" w:type="dxa"/>
            <w:left w:w="108" w:type="dxa"/>
            <w:bottom w:w="0" w:type="dxa"/>
            <w:right w:w="108" w:type="dxa"/>
          </w:tblCellMar>
        </w:tblPrEx>
        <w:trPr>
          <w:trHeight w:val="210" w:hRule="atLeast"/>
        </w:trPr>
        <w:tc>
          <w:tcPr>
            <w:tcW w:w="12034"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3D2B375">
            <w:pPr>
              <w:pStyle w:val="13"/>
              <w:rPr>
                <w:rFonts w:hint="default" w:ascii="Times New Roman" w:hAnsi="Times New Roman" w:cs="Times New Roman"/>
                <w:sz w:val="20"/>
                <w:szCs w:val="20"/>
                <w:highlight w:val="none"/>
              </w:rPr>
            </w:pPr>
            <w:r>
              <w:rPr>
                <w:rFonts w:hint="default" w:ascii="Times New Roman" w:hAnsi="Times New Roman" w:cs="Times New Roman"/>
                <w:b/>
                <w:bCs/>
                <w:sz w:val="20"/>
                <w:szCs w:val="20"/>
                <w:highlight w:val="none"/>
              </w:rPr>
              <w:t xml:space="preserve">METHODS </w:t>
            </w:r>
          </w:p>
        </w:tc>
        <w:tc>
          <w:tcPr>
            <w:tcW w:w="1903" w:type="dxa"/>
            <w:tcBorders>
              <w:top w:val="double" w:color="000000" w:sz="4" w:space="0"/>
              <w:left w:val="single" w:color="000000" w:sz="4" w:space="0"/>
              <w:bottom w:val="single" w:color="000000" w:sz="4" w:space="0"/>
              <w:right w:val="single" w:color="000000" w:sz="4" w:space="0"/>
            </w:tcBorders>
            <w:shd w:val="clear" w:color="auto" w:fill="FFFFCC"/>
          </w:tcPr>
          <w:p w14:paraId="29289BAB">
            <w:pPr>
              <w:pStyle w:val="13"/>
              <w:rPr>
                <w:rFonts w:hint="default" w:ascii="Times New Roman" w:hAnsi="Times New Roman" w:cs="Times New Roman"/>
                <w:color w:val="FF0000"/>
                <w:sz w:val="20"/>
                <w:szCs w:val="20"/>
                <w:highlight w:val="none"/>
              </w:rPr>
            </w:pPr>
          </w:p>
        </w:tc>
      </w:tr>
      <w:tr w14:paraId="31890BDC">
        <w:tblPrEx>
          <w:tblCellMar>
            <w:top w:w="0" w:type="dxa"/>
            <w:left w:w="108" w:type="dxa"/>
            <w:bottom w:w="0" w:type="dxa"/>
            <w:right w:w="108" w:type="dxa"/>
          </w:tblCellMar>
        </w:tblPrEx>
        <w:trPr>
          <w:trHeight w:val="238" w:hRule="atLeast"/>
        </w:trPr>
        <w:tc>
          <w:tcPr>
            <w:tcW w:w="1984" w:type="dxa"/>
            <w:tcBorders>
              <w:top w:val="single" w:color="000000" w:sz="4" w:space="0"/>
              <w:left w:val="single" w:color="000000" w:sz="4" w:space="0"/>
              <w:bottom w:val="single" w:color="000000" w:sz="4" w:space="0"/>
              <w:right w:val="single" w:color="000000" w:sz="4" w:space="0"/>
            </w:tcBorders>
          </w:tcPr>
          <w:p w14:paraId="02E7B46F">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Eligibility criteria </w:t>
            </w:r>
          </w:p>
        </w:tc>
        <w:tc>
          <w:tcPr>
            <w:tcW w:w="813" w:type="dxa"/>
            <w:tcBorders>
              <w:top w:val="single" w:color="000000" w:sz="4" w:space="0"/>
              <w:left w:val="single" w:color="000000" w:sz="4" w:space="0"/>
              <w:bottom w:val="single" w:color="000000" w:sz="4" w:space="0"/>
              <w:right w:val="single" w:color="000000" w:sz="4" w:space="0"/>
            </w:tcBorders>
          </w:tcPr>
          <w:p w14:paraId="475FA70A">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5</w:t>
            </w:r>
          </w:p>
        </w:tc>
        <w:tc>
          <w:tcPr>
            <w:tcW w:w="9237" w:type="dxa"/>
            <w:tcBorders>
              <w:top w:val="single" w:color="000000" w:sz="4" w:space="0"/>
              <w:left w:val="single" w:color="000000" w:sz="4" w:space="0"/>
              <w:bottom w:val="single" w:color="000000" w:sz="4" w:space="0"/>
              <w:right w:val="single" w:color="000000" w:sz="4" w:space="0"/>
            </w:tcBorders>
          </w:tcPr>
          <w:p w14:paraId="69188934">
            <w:pPr>
              <w:pStyle w:val="13"/>
              <w:spacing w:before="40" w:after="40"/>
              <w:rPr>
                <w:rFonts w:hint="default" w:ascii="Times New Roman" w:hAnsi="Times New Roman" w:cs="Times New Roman"/>
                <w:color w:val="000000" w:themeColor="text1"/>
                <w:sz w:val="20"/>
                <w:szCs w:val="20"/>
                <w:highlight w:val="none"/>
                <w14:textFill>
                  <w14:solidFill>
                    <w14:schemeClr w14:val="tx1"/>
                  </w14:solidFill>
                </w14:textFill>
              </w:rPr>
            </w:pPr>
            <w:r>
              <w:rPr>
                <w:rFonts w:hint="default" w:ascii="Times New Roman" w:hAnsi="Times New Roman" w:cs="Times New Roman"/>
                <w:color w:val="000000" w:themeColor="text1"/>
                <w:sz w:val="20"/>
                <w:szCs w:val="20"/>
                <w:highlight w:val="none"/>
                <w14:textFill>
                  <w14:solidFill>
                    <w14:schemeClr w14:val="tx1"/>
                  </w14:solidFill>
                </w14:textFill>
              </w:rPr>
              <w:t>Specify the inclusion and exclusion criteria for the review and how studies were grouped for the syntheses.</w:t>
            </w:r>
          </w:p>
        </w:tc>
        <w:tc>
          <w:tcPr>
            <w:tcW w:w="1903" w:type="dxa"/>
            <w:tcBorders>
              <w:top w:val="single" w:color="000000" w:sz="4" w:space="0"/>
              <w:left w:val="single" w:color="000000" w:sz="4" w:space="0"/>
              <w:bottom w:val="single" w:color="000000" w:sz="4" w:space="0"/>
              <w:right w:val="single" w:color="000000" w:sz="4" w:space="0"/>
            </w:tcBorders>
          </w:tcPr>
          <w:p w14:paraId="2C77B609">
            <w:pPr>
              <w:pStyle w:val="13"/>
              <w:spacing w:before="40" w:after="40"/>
              <w:rPr>
                <w:rFonts w:hint="default" w:ascii="Times New Roman" w:hAnsi="Times New Roman" w:cs="Times New Roman"/>
                <w:color w:val="000000" w:themeColor="text1"/>
                <w:sz w:val="20"/>
                <w:szCs w:val="20"/>
                <w:highlight w:val="none"/>
                <w:lang w:val="en-US"/>
                <w14:textFill>
                  <w14:solidFill>
                    <w14:schemeClr w14:val="tx1"/>
                  </w14:solidFill>
                </w14:textFill>
              </w:rPr>
            </w:pP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 xml:space="preserve">Page </w:t>
            </w: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4</w:t>
            </w:r>
            <w:r>
              <w:rPr>
                <w:rFonts w:hint="default" w:ascii="Times New Roman" w:hAnsi="Times New Roman" w:eastAsia="宋体" w:cs="Times New Roman"/>
                <w:i w:val="0"/>
                <w:iCs w:val="0"/>
                <w:color w:val="000000" w:themeColor="text1"/>
                <w:kern w:val="0"/>
                <w:sz w:val="20"/>
                <w:szCs w:val="20"/>
                <w:highlight w:val="none"/>
                <w:u w:val="none"/>
                <w:lang w:val="en-US" w:eastAsia="zh-CN" w:bidi="ar"/>
                <w14:textFill>
                  <w14:solidFill>
                    <w14:schemeClr w14:val="tx1"/>
                  </w14:solidFill>
                </w14:textFill>
              </w:rPr>
              <w:t>–</w:t>
            </w: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5</w:t>
            </w:r>
          </w:p>
        </w:tc>
      </w:tr>
      <w:tr w14:paraId="0DC4A118">
        <w:tblPrEx>
          <w:tblCellMar>
            <w:top w:w="0" w:type="dxa"/>
            <w:left w:w="108" w:type="dxa"/>
            <w:bottom w:w="0" w:type="dxa"/>
            <w:right w:w="108" w:type="dxa"/>
          </w:tblCellMar>
        </w:tblPrEx>
        <w:trPr>
          <w:trHeight w:val="422" w:hRule="atLeast"/>
        </w:trPr>
        <w:tc>
          <w:tcPr>
            <w:tcW w:w="1984" w:type="dxa"/>
            <w:tcBorders>
              <w:top w:val="single" w:color="000000" w:sz="4" w:space="0"/>
              <w:left w:val="single" w:color="000000" w:sz="4" w:space="0"/>
              <w:bottom w:val="single" w:color="000000" w:sz="4" w:space="0"/>
              <w:right w:val="single" w:color="000000" w:sz="4" w:space="0"/>
            </w:tcBorders>
          </w:tcPr>
          <w:p w14:paraId="4B950747">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Information sources </w:t>
            </w:r>
          </w:p>
        </w:tc>
        <w:tc>
          <w:tcPr>
            <w:tcW w:w="813" w:type="dxa"/>
            <w:tcBorders>
              <w:top w:val="single" w:color="000000" w:sz="4" w:space="0"/>
              <w:left w:val="single" w:color="000000" w:sz="4" w:space="0"/>
              <w:bottom w:val="single" w:color="000000" w:sz="4" w:space="0"/>
              <w:right w:val="single" w:color="000000" w:sz="4" w:space="0"/>
            </w:tcBorders>
          </w:tcPr>
          <w:p w14:paraId="218B8088">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6</w:t>
            </w:r>
          </w:p>
        </w:tc>
        <w:tc>
          <w:tcPr>
            <w:tcW w:w="9237" w:type="dxa"/>
            <w:tcBorders>
              <w:top w:val="single" w:color="000000" w:sz="4" w:space="0"/>
              <w:left w:val="single" w:color="000000" w:sz="4" w:space="0"/>
              <w:bottom w:val="single" w:color="000000" w:sz="4" w:space="0"/>
              <w:right w:val="single" w:color="000000" w:sz="4" w:space="0"/>
            </w:tcBorders>
          </w:tcPr>
          <w:p w14:paraId="55C64F8D">
            <w:pPr>
              <w:pStyle w:val="13"/>
              <w:spacing w:before="40" w:after="40"/>
              <w:rPr>
                <w:rFonts w:hint="default" w:ascii="Times New Roman" w:hAnsi="Times New Roman" w:cs="Times New Roman"/>
                <w:color w:val="000000" w:themeColor="text1"/>
                <w:sz w:val="20"/>
                <w:szCs w:val="20"/>
                <w:highlight w:val="none"/>
                <w14:textFill>
                  <w14:solidFill>
                    <w14:schemeClr w14:val="tx1"/>
                  </w14:solidFill>
                </w14:textFill>
              </w:rPr>
            </w:pPr>
            <w:r>
              <w:rPr>
                <w:rFonts w:hint="default" w:ascii="Times New Roman" w:hAnsi="Times New Roman" w:cs="Times New Roman"/>
                <w:color w:val="000000" w:themeColor="text1"/>
                <w:sz w:val="20"/>
                <w:szCs w:val="20"/>
                <w:highlight w:val="none"/>
                <w14:textFill>
                  <w14:solidFill>
                    <w14:schemeClr w14:val="tx1"/>
                  </w14:solidFill>
                </w14:textFill>
              </w:rPr>
              <w:t>Specify all databases, registers, websites, organisations, reference lists and other sources searched or consulted to identify studies. Specify the date when each source was last searched or consulted.</w:t>
            </w:r>
          </w:p>
        </w:tc>
        <w:tc>
          <w:tcPr>
            <w:tcW w:w="1903" w:type="dxa"/>
            <w:tcBorders>
              <w:top w:val="single" w:color="000000" w:sz="4" w:space="0"/>
              <w:left w:val="single" w:color="000000" w:sz="4" w:space="0"/>
              <w:bottom w:val="single" w:color="000000" w:sz="4" w:space="0"/>
              <w:right w:val="single" w:color="000000" w:sz="4" w:space="0"/>
            </w:tcBorders>
          </w:tcPr>
          <w:p w14:paraId="564DE5B1">
            <w:pPr>
              <w:pStyle w:val="13"/>
              <w:spacing w:before="40" w:after="40"/>
              <w:rPr>
                <w:rFonts w:hint="default" w:ascii="Times New Roman" w:hAnsi="Times New Roman" w:cs="Times New Roman"/>
                <w:color w:val="000000" w:themeColor="text1"/>
                <w:sz w:val="20"/>
                <w:szCs w:val="20"/>
                <w:highlight w:val="none"/>
                <w:lang w:val="en-US"/>
                <w14:textFill>
                  <w14:solidFill>
                    <w14:schemeClr w14:val="tx1"/>
                  </w14:solidFill>
                </w14:textFill>
              </w:rPr>
            </w:pP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 xml:space="preserve">Page </w:t>
            </w: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4</w:t>
            </w:r>
          </w:p>
        </w:tc>
      </w:tr>
      <w:tr w14:paraId="1C208B8F">
        <w:tblPrEx>
          <w:tblCellMar>
            <w:top w:w="0" w:type="dxa"/>
            <w:left w:w="108" w:type="dxa"/>
            <w:bottom w:w="0" w:type="dxa"/>
            <w:right w:w="108" w:type="dxa"/>
          </w:tblCellMar>
        </w:tblPrEx>
        <w:trPr>
          <w:trHeight w:val="90" w:hRule="atLeast"/>
        </w:trPr>
        <w:tc>
          <w:tcPr>
            <w:tcW w:w="1984" w:type="dxa"/>
            <w:tcBorders>
              <w:top w:val="single" w:color="000000" w:sz="4" w:space="0"/>
              <w:left w:val="single" w:color="000000" w:sz="4" w:space="0"/>
              <w:bottom w:val="single" w:color="000000" w:sz="4" w:space="0"/>
              <w:right w:val="single" w:color="000000" w:sz="4" w:space="0"/>
            </w:tcBorders>
          </w:tcPr>
          <w:p w14:paraId="66109E02">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Search strategy</w:t>
            </w:r>
          </w:p>
        </w:tc>
        <w:tc>
          <w:tcPr>
            <w:tcW w:w="813" w:type="dxa"/>
            <w:tcBorders>
              <w:top w:val="single" w:color="000000" w:sz="4" w:space="0"/>
              <w:left w:val="single" w:color="000000" w:sz="4" w:space="0"/>
              <w:bottom w:val="single" w:color="000000" w:sz="4" w:space="0"/>
              <w:right w:val="single" w:color="000000" w:sz="4" w:space="0"/>
            </w:tcBorders>
          </w:tcPr>
          <w:p w14:paraId="684E7584">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7</w:t>
            </w:r>
          </w:p>
        </w:tc>
        <w:tc>
          <w:tcPr>
            <w:tcW w:w="9237" w:type="dxa"/>
            <w:tcBorders>
              <w:top w:val="single" w:color="000000" w:sz="4" w:space="0"/>
              <w:left w:val="single" w:color="000000" w:sz="4" w:space="0"/>
              <w:bottom w:val="single" w:color="000000" w:sz="4" w:space="0"/>
              <w:right w:val="single" w:color="000000" w:sz="4" w:space="0"/>
            </w:tcBorders>
          </w:tcPr>
          <w:p w14:paraId="5DEE3365">
            <w:pPr>
              <w:pStyle w:val="13"/>
              <w:spacing w:before="40" w:after="40"/>
              <w:rPr>
                <w:rFonts w:hint="default" w:ascii="Times New Roman" w:hAnsi="Times New Roman" w:cs="Times New Roman"/>
                <w:color w:val="000000" w:themeColor="text1"/>
                <w:sz w:val="20"/>
                <w:szCs w:val="20"/>
                <w:highlight w:val="none"/>
                <w14:textFill>
                  <w14:solidFill>
                    <w14:schemeClr w14:val="tx1"/>
                  </w14:solidFill>
                </w14:textFill>
              </w:rPr>
            </w:pPr>
            <w:r>
              <w:rPr>
                <w:rFonts w:hint="default" w:ascii="Times New Roman" w:hAnsi="Times New Roman" w:cs="Times New Roman"/>
                <w:color w:val="000000" w:themeColor="text1"/>
                <w:sz w:val="20"/>
                <w:szCs w:val="20"/>
                <w:highlight w:val="none"/>
                <w14:textFill>
                  <w14:solidFill>
                    <w14:schemeClr w14:val="tx1"/>
                  </w14:solidFill>
                </w14:textFill>
              </w:rPr>
              <w:t>Present the full search strategies for all databases, registers and websites, including any filters and limits used.</w:t>
            </w:r>
          </w:p>
        </w:tc>
        <w:tc>
          <w:tcPr>
            <w:tcW w:w="1903" w:type="dxa"/>
            <w:tcBorders>
              <w:top w:val="single" w:color="000000" w:sz="4" w:space="0"/>
              <w:left w:val="single" w:color="000000" w:sz="4" w:space="0"/>
              <w:bottom w:val="single" w:color="000000" w:sz="4" w:space="0"/>
              <w:right w:val="single" w:color="000000" w:sz="4" w:space="0"/>
            </w:tcBorders>
          </w:tcPr>
          <w:p w14:paraId="5073ECE5">
            <w:pPr>
              <w:pStyle w:val="13"/>
              <w:spacing w:before="40" w:after="40"/>
              <w:rPr>
                <w:rFonts w:hint="default" w:ascii="Times New Roman" w:hAnsi="Times New Roman" w:cs="Times New Roman"/>
                <w:color w:val="000000" w:themeColor="text1"/>
                <w:sz w:val="20"/>
                <w:szCs w:val="20"/>
                <w:highlight w:val="none"/>
                <w:lang w:val="en-US"/>
                <w14:textFill>
                  <w14:solidFill>
                    <w14:schemeClr w14:val="tx1"/>
                  </w14:solidFill>
                </w14:textFill>
              </w:rPr>
            </w:pP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 xml:space="preserve">Page </w:t>
            </w: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4</w:t>
            </w:r>
          </w:p>
        </w:tc>
      </w:tr>
      <w:tr w14:paraId="0ADC9E94">
        <w:tblPrEx>
          <w:tblCellMar>
            <w:top w:w="0" w:type="dxa"/>
            <w:left w:w="108" w:type="dxa"/>
            <w:bottom w:w="0" w:type="dxa"/>
            <w:right w:w="108" w:type="dxa"/>
          </w:tblCellMar>
        </w:tblPrEx>
        <w:trPr>
          <w:trHeight w:val="606" w:hRule="atLeast"/>
        </w:trPr>
        <w:tc>
          <w:tcPr>
            <w:tcW w:w="1984" w:type="dxa"/>
            <w:tcBorders>
              <w:top w:val="single" w:color="000000" w:sz="4" w:space="0"/>
              <w:left w:val="single" w:color="000000" w:sz="4" w:space="0"/>
              <w:bottom w:val="single" w:color="000000" w:sz="4" w:space="0"/>
              <w:right w:val="single" w:color="000000" w:sz="4" w:space="0"/>
            </w:tcBorders>
          </w:tcPr>
          <w:p w14:paraId="43A8C237">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Selection process</w:t>
            </w:r>
          </w:p>
        </w:tc>
        <w:tc>
          <w:tcPr>
            <w:tcW w:w="813" w:type="dxa"/>
            <w:tcBorders>
              <w:top w:val="single" w:color="000000" w:sz="4" w:space="0"/>
              <w:left w:val="single" w:color="000000" w:sz="4" w:space="0"/>
              <w:bottom w:val="single" w:color="000000" w:sz="4" w:space="0"/>
              <w:right w:val="single" w:color="000000" w:sz="4" w:space="0"/>
            </w:tcBorders>
          </w:tcPr>
          <w:p w14:paraId="2828F4EE">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8</w:t>
            </w:r>
          </w:p>
        </w:tc>
        <w:tc>
          <w:tcPr>
            <w:tcW w:w="9237" w:type="dxa"/>
            <w:tcBorders>
              <w:top w:val="single" w:color="000000" w:sz="4" w:space="0"/>
              <w:left w:val="single" w:color="000000" w:sz="4" w:space="0"/>
              <w:bottom w:val="single" w:color="000000" w:sz="4" w:space="0"/>
              <w:right w:val="single" w:color="000000" w:sz="4" w:space="0"/>
            </w:tcBorders>
          </w:tcPr>
          <w:p w14:paraId="4B995AA4">
            <w:pPr>
              <w:pStyle w:val="13"/>
              <w:spacing w:before="40" w:after="40"/>
              <w:rPr>
                <w:rFonts w:hint="default" w:ascii="Times New Roman" w:hAnsi="Times New Roman" w:cs="Times New Roman"/>
                <w:color w:val="000000" w:themeColor="text1"/>
                <w:sz w:val="20"/>
                <w:szCs w:val="20"/>
                <w:highlight w:val="none"/>
                <w14:textFill>
                  <w14:solidFill>
                    <w14:schemeClr w14:val="tx1"/>
                  </w14:solidFill>
                </w14:textFill>
              </w:rPr>
            </w:pPr>
            <w:r>
              <w:rPr>
                <w:rFonts w:hint="default" w:ascii="Times New Roman" w:hAnsi="Times New Roman" w:cs="Times New Roman"/>
                <w:color w:val="000000" w:themeColor="text1"/>
                <w:sz w:val="20"/>
                <w:szCs w:val="20"/>
                <w:highlight w:val="none"/>
                <w14:textFill>
                  <w14:solidFill>
                    <w14:schemeClr w14:val="tx1"/>
                  </w14:solidFill>
                </w14:textFill>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903" w:type="dxa"/>
            <w:tcBorders>
              <w:top w:val="single" w:color="000000" w:sz="4" w:space="0"/>
              <w:left w:val="single" w:color="000000" w:sz="4" w:space="0"/>
              <w:bottom w:val="single" w:color="000000" w:sz="4" w:space="0"/>
              <w:right w:val="single" w:color="000000" w:sz="4" w:space="0"/>
            </w:tcBorders>
          </w:tcPr>
          <w:p w14:paraId="38FC49FC">
            <w:pPr>
              <w:pStyle w:val="13"/>
              <w:spacing w:before="40" w:after="40"/>
              <w:rPr>
                <w:rFonts w:hint="default" w:ascii="Times New Roman" w:hAnsi="Times New Roman" w:cs="Times New Roman"/>
                <w:color w:val="000000" w:themeColor="text1"/>
                <w:sz w:val="20"/>
                <w:szCs w:val="20"/>
                <w:highlight w:val="none"/>
                <w:lang w:val="en-US"/>
                <w14:textFill>
                  <w14:solidFill>
                    <w14:schemeClr w14:val="tx1"/>
                  </w14:solidFill>
                </w14:textFill>
              </w:rPr>
            </w:pP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Page 6</w:t>
            </w:r>
          </w:p>
        </w:tc>
      </w:tr>
      <w:tr w14:paraId="4AC17484">
        <w:tblPrEx>
          <w:tblCellMar>
            <w:top w:w="0" w:type="dxa"/>
            <w:left w:w="108" w:type="dxa"/>
            <w:bottom w:w="0" w:type="dxa"/>
            <w:right w:w="108" w:type="dxa"/>
          </w:tblCellMar>
        </w:tblPrEx>
        <w:trPr>
          <w:trHeight w:val="606" w:hRule="atLeast"/>
        </w:trPr>
        <w:tc>
          <w:tcPr>
            <w:tcW w:w="1984" w:type="dxa"/>
            <w:tcBorders>
              <w:top w:val="single" w:color="000000" w:sz="4" w:space="0"/>
              <w:left w:val="single" w:color="000000" w:sz="4" w:space="0"/>
              <w:bottom w:val="single" w:color="auto" w:sz="4" w:space="0"/>
              <w:right w:val="single" w:color="000000" w:sz="4" w:space="0"/>
            </w:tcBorders>
          </w:tcPr>
          <w:p w14:paraId="45FAEE2C">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Data collection process </w:t>
            </w:r>
          </w:p>
        </w:tc>
        <w:tc>
          <w:tcPr>
            <w:tcW w:w="813" w:type="dxa"/>
            <w:tcBorders>
              <w:top w:val="single" w:color="000000" w:sz="4" w:space="0"/>
              <w:left w:val="single" w:color="000000" w:sz="4" w:space="0"/>
              <w:bottom w:val="single" w:color="auto" w:sz="4" w:space="0"/>
              <w:right w:val="single" w:color="000000" w:sz="4" w:space="0"/>
            </w:tcBorders>
          </w:tcPr>
          <w:p w14:paraId="11AFF11F">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9</w:t>
            </w:r>
          </w:p>
        </w:tc>
        <w:tc>
          <w:tcPr>
            <w:tcW w:w="9237" w:type="dxa"/>
            <w:tcBorders>
              <w:top w:val="single" w:color="000000" w:sz="4" w:space="0"/>
              <w:left w:val="single" w:color="000000" w:sz="4" w:space="0"/>
              <w:bottom w:val="single" w:color="auto" w:sz="4" w:space="0"/>
              <w:right w:val="single" w:color="000000" w:sz="4" w:space="0"/>
            </w:tcBorders>
          </w:tcPr>
          <w:p w14:paraId="7A439FBD">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903" w:type="dxa"/>
            <w:tcBorders>
              <w:top w:val="single" w:color="000000" w:sz="4" w:space="0"/>
              <w:left w:val="single" w:color="000000" w:sz="4" w:space="0"/>
              <w:bottom w:val="single" w:color="000000" w:sz="4" w:space="0"/>
              <w:right w:val="single" w:color="000000" w:sz="4" w:space="0"/>
            </w:tcBorders>
          </w:tcPr>
          <w:p w14:paraId="0324AB37">
            <w:pPr>
              <w:pStyle w:val="13"/>
              <w:spacing w:before="40" w:after="40"/>
              <w:rPr>
                <w:rFonts w:hint="default" w:ascii="Times New Roman" w:hAnsi="Times New Roman" w:cs="Times New Roman"/>
                <w:color w:val="000000" w:themeColor="text1"/>
                <w:sz w:val="20"/>
                <w:szCs w:val="20"/>
                <w:highlight w:val="none"/>
                <w:lang w:val="en-US"/>
                <w14:textFill>
                  <w14:solidFill>
                    <w14:schemeClr w14:val="tx1"/>
                  </w14:solidFill>
                </w14:textFill>
              </w:rPr>
            </w:pP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 xml:space="preserve">Page </w:t>
            </w: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6</w:t>
            </w:r>
          </w:p>
        </w:tc>
      </w:tr>
      <w:tr w14:paraId="5536EA88">
        <w:tblPrEx>
          <w:tblCellMar>
            <w:top w:w="0" w:type="dxa"/>
            <w:left w:w="108" w:type="dxa"/>
            <w:bottom w:w="0" w:type="dxa"/>
            <w:right w:w="108" w:type="dxa"/>
          </w:tblCellMar>
        </w:tblPrEx>
        <w:trPr>
          <w:trHeight w:val="606" w:hRule="atLeast"/>
        </w:trPr>
        <w:tc>
          <w:tcPr>
            <w:tcW w:w="1984" w:type="dxa"/>
            <w:vMerge w:val="restart"/>
            <w:tcBorders>
              <w:top w:val="single" w:color="auto" w:sz="4" w:space="0"/>
              <w:left w:val="single" w:color="auto" w:sz="4" w:space="0"/>
              <w:bottom w:val="single" w:color="auto" w:sz="4" w:space="0"/>
              <w:right w:val="single" w:color="auto" w:sz="4" w:space="0"/>
            </w:tcBorders>
          </w:tcPr>
          <w:p w14:paraId="3D95D04E">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Data items </w:t>
            </w:r>
          </w:p>
        </w:tc>
        <w:tc>
          <w:tcPr>
            <w:tcW w:w="813" w:type="dxa"/>
            <w:tcBorders>
              <w:top w:val="single" w:color="auto" w:sz="4" w:space="0"/>
              <w:left w:val="single" w:color="auto" w:sz="4" w:space="0"/>
              <w:bottom w:val="single" w:color="auto" w:sz="4" w:space="0"/>
              <w:right w:val="single" w:color="auto" w:sz="4" w:space="0"/>
            </w:tcBorders>
          </w:tcPr>
          <w:p w14:paraId="3276B6DE">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10a</w:t>
            </w:r>
          </w:p>
        </w:tc>
        <w:tc>
          <w:tcPr>
            <w:tcW w:w="9237" w:type="dxa"/>
            <w:tcBorders>
              <w:top w:val="single" w:color="auto" w:sz="4" w:space="0"/>
              <w:left w:val="single" w:color="auto" w:sz="4" w:space="0"/>
              <w:bottom w:val="single" w:color="auto" w:sz="4" w:space="0"/>
              <w:right w:val="single" w:color="auto" w:sz="4" w:space="0"/>
            </w:tcBorders>
          </w:tcPr>
          <w:p w14:paraId="23B7FB35">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903" w:type="dxa"/>
            <w:tcBorders>
              <w:top w:val="single" w:color="000000" w:sz="4" w:space="0"/>
              <w:left w:val="single" w:color="auto" w:sz="4" w:space="0"/>
              <w:bottom w:val="single" w:color="000000" w:sz="4" w:space="0"/>
              <w:right w:val="single" w:color="000000" w:sz="4" w:space="0"/>
            </w:tcBorders>
          </w:tcPr>
          <w:p w14:paraId="1F91EBAB">
            <w:pPr>
              <w:pStyle w:val="13"/>
              <w:spacing w:before="40" w:after="40"/>
              <w:rPr>
                <w:rFonts w:hint="default" w:ascii="Times New Roman" w:hAnsi="Times New Roman" w:cs="Times New Roman"/>
                <w:color w:val="000000" w:themeColor="text1"/>
                <w:sz w:val="20"/>
                <w:szCs w:val="20"/>
                <w:highlight w:val="none"/>
                <w:lang w:val="en-US"/>
                <w14:textFill>
                  <w14:solidFill>
                    <w14:schemeClr w14:val="tx1"/>
                  </w14:solidFill>
                </w14:textFill>
              </w:rPr>
            </w:pP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 xml:space="preserve">Page </w:t>
            </w: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5</w:t>
            </w:r>
          </w:p>
        </w:tc>
      </w:tr>
      <w:tr w14:paraId="4429BD1E">
        <w:tblPrEx>
          <w:tblCellMar>
            <w:top w:w="0" w:type="dxa"/>
            <w:left w:w="108" w:type="dxa"/>
            <w:bottom w:w="0" w:type="dxa"/>
            <w:right w:w="108" w:type="dxa"/>
          </w:tblCellMar>
        </w:tblPrEx>
        <w:trPr>
          <w:trHeight w:val="422" w:hRule="atLeast"/>
        </w:trPr>
        <w:tc>
          <w:tcPr>
            <w:tcW w:w="1984" w:type="dxa"/>
            <w:vMerge w:val="continue"/>
            <w:tcBorders>
              <w:top w:val="single" w:color="auto" w:sz="4" w:space="0"/>
              <w:left w:val="single" w:color="auto" w:sz="4" w:space="0"/>
              <w:bottom w:val="single" w:color="000000" w:sz="4" w:space="0"/>
              <w:right w:val="single" w:color="000000" w:sz="4" w:space="0"/>
            </w:tcBorders>
          </w:tcPr>
          <w:p w14:paraId="3DCF7F07">
            <w:pPr>
              <w:pStyle w:val="13"/>
              <w:spacing w:before="40" w:after="40"/>
              <w:rPr>
                <w:rFonts w:hint="default" w:ascii="Times New Roman" w:hAnsi="Times New Roman" w:cs="Times New Roman"/>
                <w:sz w:val="20"/>
                <w:szCs w:val="20"/>
                <w:highlight w:val="none"/>
              </w:rPr>
            </w:pPr>
          </w:p>
        </w:tc>
        <w:tc>
          <w:tcPr>
            <w:tcW w:w="813" w:type="dxa"/>
            <w:tcBorders>
              <w:top w:val="single" w:color="auto" w:sz="4" w:space="0"/>
              <w:left w:val="single" w:color="000000" w:sz="4" w:space="0"/>
              <w:bottom w:val="single" w:color="000000" w:sz="4" w:space="0"/>
              <w:right w:val="single" w:color="000000" w:sz="4" w:space="0"/>
            </w:tcBorders>
          </w:tcPr>
          <w:p w14:paraId="31AAE1E3">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10b</w:t>
            </w:r>
          </w:p>
        </w:tc>
        <w:tc>
          <w:tcPr>
            <w:tcW w:w="9237" w:type="dxa"/>
            <w:tcBorders>
              <w:top w:val="single" w:color="auto" w:sz="4" w:space="0"/>
              <w:left w:val="single" w:color="000000" w:sz="4" w:space="0"/>
              <w:bottom w:val="single" w:color="000000" w:sz="4" w:space="0"/>
              <w:right w:val="single" w:color="000000" w:sz="4" w:space="0"/>
            </w:tcBorders>
          </w:tcPr>
          <w:p w14:paraId="61EF0723">
            <w:pPr>
              <w:pStyle w:val="13"/>
              <w:spacing w:before="40" w:after="40"/>
              <w:rPr>
                <w:rFonts w:hint="default" w:ascii="Times New Roman" w:hAnsi="Times New Roman" w:cs="Times New Roman"/>
                <w:color w:val="000000" w:themeColor="text1"/>
                <w:sz w:val="20"/>
                <w:szCs w:val="20"/>
                <w:highlight w:val="none"/>
                <w14:textFill>
                  <w14:solidFill>
                    <w14:schemeClr w14:val="tx1"/>
                  </w14:solidFill>
                </w14:textFill>
              </w:rPr>
            </w:pPr>
            <w:r>
              <w:rPr>
                <w:rFonts w:hint="default" w:ascii="Times New Roman" w:hAnsi="Times New Roman" w:cs="Times New Roman"/>
                <w:color w:val="000000" w:themeColor="text1"/>
                <w:sz w:val="20"/>
                <w:szCs w:val="20"/>
                <w:highlight w:val="none"/>
                <w14:textFill>
                  <w14:solidFill>
                    <w14:schemeClr w14:val="tx1"/>
                  </w14:solidFill>
                </w14:textFill>
              </w:rPr>
              <w:t>List and define all other variables for which data were sought (e.g. participant and intervention characteristics, funding sources). Describe any assumptions made about any missing or unclear information.</w:t>
            </w:r>
          </w:p>
        </w:tc>
        <w:tc>
          <w:tcPr>
            <w:tcW w:w="1903" w:type="dxa"/>
            <w:tcBorders>
              <w:top w:val="single" w:color="000000" w:sz="4" w:space="0"/>
              <w:left w:val="single" w:color="000000" w:sz="4" w:space="0"/>
              <w:bottom w:val="single" w:color="000000" w:sz="4" w:space="0"/>
              <w:right w:val="single" w:color="000000" w:sz="4" w:space="0"/>
            </w:tcBorders>
          </w:tcPr>
          <w:p w14:paraId="387987B2">
            <w:pPr>
              <w:pStyle w:val="13"/>
              <w:spacing w:before="40" w:after="40"/>
              <w:rPr>
                <w:rFonts w:hint="default" w:ascii="Times New Roman" w:hAnsi="Times New Roman" w:cs="Times New Roman"/>
                <w:color w:val="000000" w:themeColor="text1"/>
                <w:sz w:val="20"/>
                <w:szCs w:val="20"/>
                <w:highlight w:val="none"/>
                <w:lang w:val="en-US"/>
                <w14:textFill>
                  <w14:solidFill>
                    <w14:schemeClr w14:val="tx1"/>
                  </w14:solidFill>
                </w14:textFill>
              </w:rPr>
            </w:pP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P</w:t>
            </w: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 xml:space="preserve">age </w:t>
            </w: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5</w:t>
            </w:r>
          </w:p>
        </w:tc>
      </w:tr>
      <w:tr w14:paraId="32FF6101">
        <w:tblPrEx>
          <w:tblCellMar>
            <w:top w:w="0" w:type="dxa"/>
            <w:left w:w="108" w:type="dxa"/>
            <w:bottom w:w="0" w:type="dxa"/>
            <w:right w:w="108" w:type="dxa"/>
          </w:tblCellMar>
        </w:tblPrEx>
        <w:trPr>
          <w:trHeight w:val="606" w:hRule="atLeast"/>
        </w:trPr>
        <w:tc>
          <w:tcPr>
            <w:tcW w:w="1984" w:type="dxa"/>
            <w:tcBorders>
              <w:top w:val="single" w:color="000000" w:sz="4" w:space="0"/>
              <w:left w:val="single" w:color="000000" w:sz="4" w:space="0"/>
              <w:bottom w:val="single" w:color="000000" w:sz="4" w:space="0"/>
              <w:right w:val="single" w:color="000000" w:sz="4" w:space="0"/>
            </w:tcBorders>
          </w:tcPr>
          <w:p w14:paraId="13262813">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Study risk of bias assessment</w:t>
            </w:r>
          </w:p>
        </w:tc>
        <w:tc>
          <w:tcPr>
            <w:tcW w:w="813" w:type="dxa"/>
            <w:tcBorders>
              <w:top w:val="single" w:color="000000" w:sz="4" w:space="0"/>
              <w:left w:val="single" w:color="000000" w:sz="4" w:space="0"/>
              <w:bottom w:val="single" w:color="000000" w:sz="4" w:space="0"/>
              <w:right w:val="single" w:color="000000" w:sz="4" w:space="0"/>
            </w:tcBorders>
          </w:tcPr>
          <w:p w14:paraId="1EBC8D1D">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11</w:t>
            </w:r>
          </w:p>
        </w:tc>
        <w:tc>
          <w:tcPr>
            <w:tcW w:w="9237" w:type="dxa"/>
            <w:tcBorders>
              <w:top w:val="single" w:color="000000" w:sz="4" w:space="0"/>
              <w:left w:val="single" w:color="000000" w:sz="4" w:space="0"/>
              <w:bottom w:val="single" w:color="000000" w:sz="4" w:space="0"/>
              <w:right w:val="single" w:color="000000" w:sz="4" w:space="0"/>
            </w:tcBorders>
          </w:tcPr>
          <w:p w14:paraId="2BE1534C">
            <w:pPr>
              <w:pStyle w:val="13"/>
              <w:spacing w:before="40" w:after="40"/>
              <w:rPr>
                <w:rFonts w:hint="default" w:ascii="Times New Roman" w:hAnsi="Times New Roman" w:cs="Times New Roman"/>
                <w:color w:val="000000" w:themeColor="text1"/>
                <w:sz w:val="20"/>
                <w:szCs w:val="20"/>
                <w:highlight w:val="none"/>
                <w14:textFill>
                  <w14:solidFill>
                    <w14:schemeClr w14:val="tx1"/>
                  </w14:solidFill>
                </w14:textFill>
              </w:rPr>
            </w:pPr>
            <w:r>
              <w:rPr>
                <w:rFonts w:hint="default" w:ascii="Times New Roman" w:hAnsi="Times New Roman" w:cs="Times New Roman"/>
                <w:color w:val="000000" w:themeColor="text1"/>
                <w:sz w:val="20"/>
                <w:szCs w:val="20"/>
                <w:highlight w:val="none"/>
                <w14:textFill>
                  <w14:solidFill>
                    <w14:schemeClr w14:val="tx1"/>
                  </w14:solidFill>
                </w14:textFill>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903" w:type="dxa"/>
            <w:tcBorders>
              <w:top w:val="single" w:color="000000" w:sz="4" w:space="0"/>
              <w:left w:val="single" w:color="000000" w:sz="4" w:space="0"/>
              <w:bottom w:val="single" w:color="000000" w:sz="4" w:space="0"/>
              <w:right w:val="single" w:color="000000" w:sz="4" w:space="0"/>
            </w:tcBorders>
          </w:tcPr>
          <w:p w14:paraId="647D03EC">
            <w:pPr>
              <w:pStyle w:val="13"/>
              <w:spacing w:before="40" w:after="40"/>
              <w:rPr>
                <w:rFonts w:hint="default" w:ascii="Times New Roman" w:hAnsi="Times New Roman" w:cs="Times New Roman"/>
                <w:color w:val="000000" w:themeColor="text1"/>
                <w:sz w:val="20"/>
                <w:szCs w:val="20"/>
                <w:highlight w:val="none"/>
                <w:lang w:val="en-US"/>
                <w14:textFill>
                  <w14:solidFill>
                    <w14:schemeClr w14:val="tx1"/>
                  </w14:solidFill>
                </w14:textFill>
              </w:rPr>
            </w:pP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 xml:space="preserve">Page </w:t>
            </w: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8</w:t>
            </w:r>
          </w:p>
        </w:tc>
      </w:tr>
      <w:tr w14:paraId="17814A0D">
        <w:tblPrEx>
          <w:tblCellMar>
            <w:top w:w="0" w:type="dxa"/>
            <w:left w:w="108" w:type="dxa"/>
            <w:bottom w:w="0" w:type="dxa"/>
            <w:right w:w="108" w:type="dxa"/>
          </w:tblCellMar>
        </w:tblPrEx>
        <w:trPr>
          <w:trHeight w:val="422" w:hRule="atLeast"/>
        </w:trPr>
        <w:tc>
          <w:tcPr>
            <w:tcW w:w="1984" w:type="dxa"/>
            <w:tcBorders>
              <w:top w:val="single" w:color="000000" w:sz="4" w:space="0"/>
              <w:left w:val="single" w:color="000000" w:sz="4" w:space="0"/>
              <w:bottom w:val="single" w:color="000000" w:sz="4" w:space="0"/>
              <w:right w:val="single" w:color="000000" w:sz="4" w:space="0"/>
            </w:tcBorders>
          </w:tcPr>
          <w:p w14:paraId="3BD739F1">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Effect measures </w:t>
            </w:r>
          </w:p>
        </w:tc>
        <w:tc>
          <w:tcPr>
            <w:tcW w:w="813" w:type="dxa"/>
            <w:tcBorders>
              <w:top w:val="single" w:color="000000" w:sz="4" w:space="0"/>
              <w:left w:val="single" w:color="000000" w:sz="4" w:space="0"/>
              <w:bottom w:val="single" w:color="000000" w:sz="4" w:space="0"/>
              <w:right w:val="single" w:color="000000" w:sz="4" w:space="0"/>
            </w:tcBorders>
          </w:tcPr>
          <w:p w14:paraId="335A600C">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12</w:t>
            </w:r>
          </w:p>
        </w:tc>
        <w:tc>
          <w:tcPr>
            <w:tcW w:w="9237" w:type="dxa"/>
            <w:tcBorders>
              <w:top w:val="single" w:color="000000" w:sz="4" w:space="0"/>
              <w:left w:val="single" w:color="000000" w:sz="4" w:space="0"/>
              <w:bottom w:val="single" w:color="000000" w:sz="4" w:space="0"/>
              <w:right w:val="single" w:color="000000" w:sz="4" w:space="0"/>
            </w:tcBorders>
          </w:tcPr>
          <w:p w14:paraId="61CD1C54">
            <w:pPr>
              <w:pStyle w:val="13"/>
              <w:spacing w:before="40" w:after="40"/>
              <w:rPr>
                <w:rFonts w:hint="default" w:ascii="Times New Roman" w:hAnsi="Times New Roman" w:cs="Times New Roman"/>
                <w:color w:val="000000" w:themeColor="text1"/>
                <w:sz w:val="20"/>
                <w:szCs w:val="20"/>
                <w:highlight w:val="none"/>
                <w14:textFill>
                  <w14:solidFill>
                    <w14:schemeClr w14:val="tx1"/>
                  </w14:solidFill>
                </w14:textFill>
              </w:rPr>
            </w:pPr>
            <w:r>
              <w:rPr>
                <w:rFonts w:hint="default" w:ascii="Times New Roman" w:hAnsi="Times New Roman" w:cs="Times New Roman"/>
                <w:color w:val="000000" w:themeColor="text1"/>
                <w:sz w:val="20"/>
                <w:szCs w:val="20"/>
                <w:highlight w:val="none"/>
                <w14:textFill>
                  <w14:solidFill>
                    <w14:schemeClr w14:val="tx1"/>
                  </w14:solidFill>
                </w14:textFill>
              </w:rPr>
              <w:t>Specify for each outcome the effect measure(s) (e.g. risk ratio, mean difference) used in the synthesis or presentation of results.</w:t>
            </w:r>
          </w:p>
        </w:tc>
        <w:tc>
          <w:tcPr>
            <w:tcW w:w="1903" w:type="dxa"/>
            <w:tcBorders>
              <w:top w:val="single" w:color="000000" w:sz="4" w:space="0"/>
              <w:left w:val="single" w:color="000000" w:sz="4" w:space="0"/>
              <w:bottom w:val="single" w:color="000000" w:sz="4" w:space="0"/>
              <w:right w:val="single" w:color="000000" w:sz="4" w:space="0"/>
            </w:tcBorders>
          </w:tcPr>
          <w:p w14:paraId="474B8485">
            <w:pPr>
              <w:pStyle w:val="13"/>
              <w:spacing w:before="40" w:after="40"/>
              <w:rPr>
                <w:rFonts w:hint="default" w:ascii="Times New Roman" w:hAnsi="Times New Roman" w:cs="Times New Roman"/>
                <w:color w:val="000000" w:themeColor="text1"/>
                <w:sz w:val="20"/>
                <w:szCs w:val="20"/>
                <w:highlight w:val="none"/>
                <w:lang w:val="en-US"/>
                <w14:textFill>
                  <w14:solidFill>
                    <w14:schemeClr w14:val="tx1"/>
                  </w14:solidFill>
                </w14:textFill>
              </w:rPr>
            </w:pP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 xml:space="preserve">Page </w:t>
            </w: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6</w:t>
            </w:r>
            <w:r>
              <w:rPr>
                <w:rFonts w:hint="default" w:ascii="Times New Roman" w:hAnsi="Times New Roman" w:eastAsia="宋体" w:cs="Times New Roman"/>
                <w:i w:val="0"/>
                <w:iCs w:val="0"/>
                <w:color w:val="auto"/>
                <w:kern w:val="0"/>
                <w:sz w:val="20"/>
                <w:szCs w:val="20"/>
                <w:highlight w:val="none"/>
                <w:u w:val="none"/>
                <w:lang w:val="en-US" w:eastAsia="zh-CN" w:bidi="ar"/>
              </w:rPr>
              <w:t>–</w:t>
            </w: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7</w:t>
            </w:r>
          </w:p>
        </w:tc>
      </w:tr>
      <w:tr w14:paraId="7E0D2090">
        <w:tblPrEx>
          <w:tblCellMar>
            <w:top w:w="0" w:type="dxa"/>
            <w:left w:w="108" w:type="dxa"/>
            <w:bottom w:w="0" w:type="dxa"/>
            <w:right w:w="108" w:type="dxa"/>
          </w:tblCellMar>
        </w:tblPrEx>
        <w:trPr>
          <w:trHeight w:val="422" w:hRule="atLeast"/>
        </w:trPr>
        <w:tc>
          <w:tcPr>
            <w:tcW w:w="1984" w:type="dxa"/>
            <w:vMerge w:val="restart"/>
            <w:tcBorders>
              <w:top w:val="single" w:color="000000" w:sz="4" w:space="0"/>
              <w:left w:val="single" w:color="000000" w:sz="4" w:space="0"/>
              <w:right w:val="single" w:color="000000" w:sz="4" w:space="0"/>
            </w:tcBorders>
          </w:tcPr>
          <w:p w14:paraId="43245A96">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Synthesis methods</w:t>
            </w:r>
          </w:p>
        </w:tc>
        <w:tc>
          <w:tcPr>
            <w:tcW w:w="813" w:type="dxa"/>
            <w:tcBorders>
              <w:top w:val="single" w:color="000000" w:sz="4" w:space="0"/>
              <w:left w:val="single" w:color="000000" w:sz="4" w:space="0"/>
              <w:bottom w:val="single" w:color="000000" w:sz="4" w:space="0"/>
              <w:right w:val="single" w:color="000000" w:sz="4" w:space="0"/>
            </w:tcBorders>
          </w:tcPr>
          <w:p w14:paraId="10A387B3">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13a</w:t>
            </w:r>
          </w:p>
        </w:tc>
        <w:tc>
          <w:tcPr>
            <w:tcW w:w="9237" w:type="dxa"/>
            <w:tcBorders>
              <w:top w:val="single" w:color="000000" w:sz="4" w:space="0"/>
              <w:left w:val="single" w:color="000000" w:sz="4" w:space="0"/>
              <w:bottom w:val="single" w:color="000000" w:sz="4" w:space="0"/>
              <w:right w:val="single" w:color="000000" w:sz="4" w:space="0"/>
            </w:tcBorders>
          </w:tcPr>
          <w:p w14:paraId="49A230D7">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Describe the processes used to decide which studies were eligible for each synthesis (e.g. tabulating the study intervention characteristics and comparing against the planned groups for each synthesis (item #5)).</w:t>
            </w:r>
          </w:p>
        </w:tc>
        <w:tc>
          <w:tcPr>
            <w:tcW w:w="1903" w:type="dxa"/>
            <w:tcBorders>
              <w:top w:val="single" w:color="000000" w:sz="4" w:space="0"/>
              <w:left w:val="single" w:color="000000" w:sz="4" w:space="0"/>
              <w:bottom w:val="single" w:color="000000" w:sz="4" w:space="0"/>
              <w:right w:val="single" w:color="000000" w:sz="4" w:space="0"/>
            </w:tcBorders>
          </w:tcPr>
          <w:p w14:paraId="70772AF0">
            <w:pPr>
              <w:pStyle w:val="13"/>
              <w:spacing w:before="40" w:after="40"/>
              <w:rPr>
                <w:rFonts w:hint="default" w:ascii="Times New Roman" w:hAnsi="Times New Roman" w:cs="Times New Roman"/>
                <w:color w:val="FF0000"/>
                <w:sz w:val="20"/>
                <w:szCs w:val="20"/>
                <w:highlight w:val="none"/>
                <w:lang w:val="en-US"/>
              </w:rPr>
            </w:pP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 xml:space="preserve">Page </w:t>
            </w: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6</w:t>
            </w:r>
            <w:r>
              <w:rPr>
                <w:rFonts w:hint="default" w:ascii="Times New Roman" w:hAnsi="Times New Roman" w:eastAsia="宋体" w:cs="Times New Roman"/>
                <w:i w:val="0"/>
                <w:iCs w:val="0"/>
                <w:color w:val="auto"/>
                <w:kern w:val="0"/>
                <w:sz w:val="20"/>
                <w:szCs w:val="20"/>
                <w:highlight w:val="none"/>
                <w:u w:val="none"/>
                <w:lang w:val="en-US" w:eastAsia="zh-CN" w:bidi="ar"/>
              </w:rPr>
              <w:t>–</w:t>
            </w: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7</w:t>
            </w:r>
          </w:p>
        </w:tc>
      </w:tr>
      <w:tr w14:paraId="129647C7">
        <w:tblPrEx>
          <w:tblCellMar>
            <w:top w:w="0" w:type="dxa"/>
            <w:left w:w="108" w:type="dxa"/>
            <w:bottom w:w="0" w:type="dxa"/>
            <w:right w:w="108" w:type="dxa"/>
          </w:tblCellMar>
        </w:tblPrEx>
        <w:trPr>
          <w:trHeight w:val="422" w:hRule="atLeast"/>
        </w:trPr>
        <w:tc>
          <w:tcPr>
            <w:tcW w:w="1984" w:type="dxa"/>
            <w:vMerge w:val="continue"/>
            <w:tcBorders>
              <w:left w:val="single" w:color="000000" w:sz="4" w:space="0"/>
              <w:right w:val="single" w:color="000000" w:sz="4" w:space="0"/>
            </w:tcBorders>
          </w:tcPr>
          <w:p w14:paraId="5B0EF0D8">
            <w:pPr>
              <w:pStyle w:val="13"/>
              <w:spacing w:before="40" w:after="40"/>
              <w:rPr>
                <w:rFonts w:hint="default" w:ascii="Times New Roman" w:hAnsi="Times New Roman" w:cs="Times New Roman"/>
                <w:sz w:val="20"/>
                <w:szCs w:val="20"/>
                <w:highlight w:val="none"/>
              </w:rPr>
            </w:pPr>
          </w:p>
        </w:tc>
        <w:tc>
          <w:tcPr>
            <w:tcW w:w="813" w:type="dxa"/>
            <w:tcBorders>
              <w:top w:val="single" w:color="000000" w:sz="4" w:space="0"/>
              <w:left w:val="single" w:color="000000" w:sz="4" w:space="0"/>
              <w:bottom w:val="single" w:color="000000" w:sz="4" w:space="0"/>
              <w:right w:val="single" w:color="000000" w:sz="4" w:space="0"/>
            </w:tcBorders>
          </w:tcPr>
          <w:p w14:paraId="07A7BDCE">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13b</w:t>
            </w:r>
          </w:p>
        </w:tc>
        <w:tc>
          <w:tcPr>
            <w:tcW w:w="9237" w:type="dxa"/>
            <w:tcBorders>
              <w:top w:val="single" w:color="000000" w:sz="4" w:space="0"/>
              <w:left w:val="single" w:color="000000" w:sz="4" w:space="0"/>
              <w:bottom w:val="single" w:color="000000" w:sz="4" w:space="0"/>
              <w:right w:val="single" w:color="000000" w:sz="4" w:space="0"/>
            </w:tcBorders>
          </w:tcPr>
          <w:p w14:paraId="066AAF89">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Describe any methods required to prepare the data for presentation or synthesis, such as handling of missing summary statistics, or data conversions.</w:t>
            </w:r>
          </w:p>
        </w:tc>
        <w:tc>
          <w:tcPr>
            <w:tcW w:w="1903" w:type="dxa"/>
            <w:tcBorders>
              <w:top w:val="single" w:color="000000" w:sz="4" w:space="0"/>
              <w:left w:val="single" w:color="000000" w:sz="4" w:space="0"/>
              <w:bottom w:val="single" w:color="000000" w:sz="4" w:space="0"/>
              <w:right w:val="single" w:color="000000" w:sz="4" w:space="0"/>
            </w:tcBorders>
          </w:tcPr>
          <w:p w14:paraId="33642A6D">
            <w:pPr>
              <w:pStyle w:val="13"/>
              <w:spacing w:before="40" w:after="40"/>
              <w:rPr>
                <w:rFonts w:hint="default" w:ascii="Times New Roman" w:hAnsi="Times New Roman" w:cs="Times New Roman"/>
                <w:color w:val="FF0000"/>
                <w:sz w:val="20"/>
                <w:szCs w:val="20"/>
                <w:highlight w:val="none"/>
              </w:rPr>
            </w:pP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 xml:space="preserve">Page </w:t>
            </w: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6</w:t>
            </w:r>
            <w:r>
              <w:rPr>
                <w:rFonts w:hint="default" w:ascii="Times New Roman" w:hAnsi="Times New Roman" w:eastAsia="宋体" w:cs="Times New Roman"/>
                <w:i w:val="0"/>
                <w:iCs w:val="0"/>
                <w:color w:val="auto"/>
                <w:kern w:val="0"/>
                <w:sz w:val="20"/>
                <w:szCs w:val="20"/>
                <w:highlight w:val="none"/>
                <w:u w:val="none"/>
                <w:lang w:val="en-US" w:eastAsia="zh-CN" w:bidi="ar"/>
              </w:rPr>
              <w:t>–</w:t>
            </w: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7</w:t>
            </w:r>
          </w:p>
        </w:tc>
      </w:tr>
      <w:tr w14:paraId="19B67EDF">
        <w:tblPrEx>
          <w:tblCellMar>
            <w:top w:w="0" w:type="dxa"/>
            <w:left w:w="108" w:type="dxa"/>
            <w:bottom w:w="0" w:type="dxa"/>
            <w:right w:w="108" w:type="dxa"/>
          </w:tblCellMar>
        </w:tblPrEx>
        <w:trPr>
          <w:trHeight w:val="238" w:hRule="atLeast"/>
        </w:trPr>
        <w:tc>
          <w:tcPr>
            <w:tcW w:w="1984" w:type="dxa"/>
            <w:vMerge w:val="continue"/>
            <w:tcBorders>
              <w:left w:val="single" w:color="000000" w:sz="4" w:space="0"/>
              <w:right w:val="single" w:color="000000" w:sz="4" w:space="0"/>
            </w:tcBorders>
          </w:tcPr>
          <w:p w14:paraId="7E2BB233">
            <w:pPr>
              <w:pStyle w:val="13"/>
              <w:spacing w:before="40" w:after="40"/>
              <w:rPr>
                <w:rFonts w:hint="default" w:ascii="Times New Roman" w:hAnsi="Times New Roman" w:cs="Times New Roman"/>
                <w:sz w:val="20"/>
                <w:szCs w:val="20"/>
                <w:highlight w:val="none"/>
              </w:rPr>
            </w:pPr>
          </w:p>
        </w:tc>
        <w:tc>
          <w:tcPr>
            <w:tcW w:w="813" w:type="dxa"/>
            <w:tcBorders>
              <w:top w:val="single" w:color="000000" w:sz="4" w:space="0"/>
              <w:left w:val="single" w:color="000000" w:sz="4" w:space="0"/>
              <w:bottom w:val="single" w:color="000000" w:sz="4" w:space="0"/>
              <w:right w:val="single" w:color="000000" w:sz="4" w:space="0"/>
            </w:tcBorders>
          </w:tcPr>
          <w:p w14:paraId="65314A83">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13c</w:t>
            </w:r>
          </w:p>
        </w:tc>
        <w:tc>
          <w:tcPr>
            <w:tcW w:w="9237" w:type="dxa"/>
            <w:tcBorders>
              <w:top w:val="single" w:color="000000" w:sz="4" w:space="0"/>
              <w:left w:val="single" w:color="000000" w:sz="4" w:space="0"/>
              <w:bottom w:val="single" w:color="000000" w:sz="4" w:space="0"/>
              <w:right w:val="single" w:color="000000" w:sz="4" w:space="0"/>
            </w:tcBorders>
          </w:tcPr>
          <w:p w14:paraId="06A0FD8A">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Describe any methods used to tabulate or visually display results of individual studies and syntheses.</w:t>
            </w:r>
          </w:p>
        </w:tc>
        <w:tc>
          <w:tcPr>
            <w:tcW w:w="1903" w:type="dxa"/>
            <w:tcBorders>
              <w:top w:val="single" w:color="000000" w:sz="4" w:space="0"/>
              <w:left w:val="single" w:color="000000" w:sz="4" w:space="0"/>
              <w:bottom w:val="single" w:color="000000" w:sz="4" w:space="0"/>
              <w:right w:val="single" w:color="000000" w:sz="4" w:space="0"/>
            </w:tcBorders>
          </w:tcPr>
          <w:p w14:paraId="6E44FF3A">
            <w:pPr>
              <w:pStyle w:val="13"/>
              <w:spacing w:before="40" w:after="40"/>
              <w:rPr>
                <w:rFonts w:hint="default" w:ascii="Times New Roman" w:hAnsi="Times New Roman" w:cs="Times New Roman"/>
                <w:color w:val="FF0000"/>
                <w:sz w:val="20"/>
                <w:szCs w:val="20"/>
                <w:highlight w:val="none"/>
              </w:rPr>
            </w:pP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 xml:space="preserve">Page </w:t>
            </w: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7</w:t>
            </w:r>
          </w:p>
        </w:tc>
      </w:tr>
      <w:tr w14:paraId="54DA19ED">
        <w:tblPrEx>
          <w:tblCellMar>
            <w:top w:w="0" w:type="dxa"/>
            <w:left w:w="108" w:type="dxa"/>
            <w:bottom w:w="0" w:type="dxa"/>
            <w:right w:w="108" w:type="dxa"/>
          </w:tblCellMar>
        </w:tblPrEx>
        <w:trPr>
          <w:trHeight w:val="606" w:hRule="atLeast"/>
        </w:trPr>
        <w:tc>
          <w:tcPr>
            <w:tcW w:w="1984" w:type="dxa"/>
            <w:vMerge w:val="continue"/>
            <w:tcBorders>
              <w:left w:val="single" w:color="000000" w:sz="4" w:space="0"/>
              <w:right w:val="single" w:color="000000" w:sz="4" w:space="0"/>
            </w:tcBorders>
          </w:tcPr>
          <w:p w14:paraId="0F8E0EF9">
            <w:pPr>
              <w:pStyle w:val="13"/>
              <w:spacing w:before="40" w:after="40"/>
              <w:rPr>
                <w:rFonts w:hint="default" w:ascii="Times New Roman" w:hAnsi="Times New Roman" w:cs="Times New Roman"/>
                <w:sz w:val="20"/>
                <w:szCs w:val="20"/>
                <w:highlight w:val="none"/>
              </w:rPr>
            </w:pPr>
          </w:p>
        </w:tc>
        <w:tc>
          <w:tcPr>
            <w:tcW w:w="813" w:type="dxa"/>
            <w:tcBorders>
              <w:top w:val="single" w:color="000000" w:sz="4" w:space="0"/>
              <w:left w:val="single" w:color="000000" w:sz="4" w:space="0"/>
              <w:bottom w:val="single" w:color="000000" w:sz="4" w:space="0"/>
              <w:right w:val="single" w:color="000000" w:sz="4" w:space="0"/>
            </w:tcBorders>
          </w:tcPr>
          <w:p w14:paraId="00103D4F">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13d</w:t>
            </w:r>
          </w:p>
        </w:tc>
        <w:tc>
          <w:tcPr>
            <w:tcW w:w="9237" w:type="dxa"/>
            <w:tcBorders>
              <w:top w:val="single" w:color="000000" w:sz="4" w:space="0"/>
              <w:left w:val="single" w:color="000000" w:sz="4" w:space="0"/>
              <w:bottom w:val="single" w:color="000000" w:sz="4" w:space="0"/>
              <w:right w:val="single" w:color="000000" w:sz="4" w:space="0"/>
            </w:tcBorders>
          </w:tcPr>
          <w:p w14:paraId="51154444">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Describe any methods used to synthesize results and provide a rationale for the choice(s). If meta-analysis was performed, describe the model(s), method(s) to identify the presence and extent of statistical heterogeneity, and software package(s) used.</w:t>
            </w:r>
          </w:p>
        </w:tc>
        <w:tc>
          <w:tcPr>
            <w:tcW w:w="1903" w:type="dxa"/>
            <w:tcBorders>
              <w:top w:val="single" w:color="000000" w:sz="4" w:space="0"/>
              <w:left w:val="single" w:color="000000" w:sz="4" w:space="0"/>
              <w:bottom w:val="single" w:color="000000" w:sz="4" w:space="0"/>
              <w:right w:val="single" w:color="000000" w:sz="4" w:space="0"/>
            </w:tcBorders>
          </w:tcPr>
          <w:p w14:paraId="009E4BF1">
            <w:pPr>
              <w:pStyle w:val="13"/>
              <w:spacing w:before="40" w:after="40"/>
              <w:rPr>
                <w:rFonts w:hint="default" w:ascii="Times New Roman" w:hAnsi="Times New Roman" w:cs="Times New Roman"/>
                <w:color w:val="FF0000"/>
                <w:sz w:val="20"/>
                <w:szCs w:val="20"/>
                <w:highlight w:val="none"/>
              </w:rPr>
            </w:pP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Page</w:t>
            </w: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 xml:space="preserve"> 7</w:t>
            </w:r>
          </w:p>
        </w:tc>
      </w:tr>
      <w:tr w14:paraId="0DBF20EE">
        <w:tblPrEx>
          <w:tblCellMar>
            <w:top w:w="0" w:type="dxa"/>
            <w:left w:w="108" w:type="dxa"/>
            <w:bottom w:w="0" w:type="dxa"/>
            <w:right w:w="108" w:type="dxa"/>
          </w:tblCellMar>
        </w:tblPrEx>
        <w:trPr>
          <w:trHeight w:val="422" w:hRule="atLeast"/>
        </w:trPr>
        <w:tc>
          <w:tcPr>
            <w:tcW w:w="1984" w:type="dxa"/>
            <w:vMerge w:val="continue"/>
            <w:tcBorders>
              <w:left w:val="single" w:color="000000" w:sz="4" w:space="0"/>
              <w:right w:val="single" w:color="000000" w:sz="4" w:space="0"/>
            </w:tcBorders>
          </w:tcPr>
          <w:p w14:paraId="0EA00BC7">
            <w:pPr>
              <w:pStyle w:val="13"/>
              <w:spacing w:before="40" w:after="40"/>
              <w:rPr>
                <w:rFonts w:hint="default" w:ascii="Times New Roman" w:hAnsi="Times New Roman" w:cs="Times New Roman"/>
                <w:sz w:val="20"/>
                <w:szCs w:val="20"/>
                <w:highlight w:val="none"/>
              </w:rPr>
            </w:pPr>
          </w:p>
        </w:tc>
        <w:tc>
          <w:tcPr>
            <w:tcW w:w="813" w:type="dxa"/>
            <w:tcBorders>
              <w:top w:val="single" w:color="000000" w:sz="4" w:space="0"/>
              <w:left w:val="single" w:color="000000" w:sz="4" w:space="0"/>
              <w:bottom w:val="single" w:color="000000" w:sz="4" w:space="0"/>
              <w:right w:val="single" w:color="000000" w:sz="4" w:space="0"/>
            </w:tcBorders>
          </w:tcPr>
          <w:p w14:paraId="7BA067D1">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13e</w:t>
            </w:r>
          </w:p>
        </w:tc>
        <w:tc>
          <w:tcPr>
            <w:tcW w:w="9237" w:type="dxa"/>
            <w:tcBorders>
              <w:top w:val="single" w:color="000000" w:sz="4" w:space="0"/>
              <w:left w:val="single" w:color="000000" w:sz="4" w:space="0"/>
              <w:bottom w:val="single" w:color="000000" w:sz="4" w:space="0"/>
              <w:right w:val="single" w:color="000000" w:sz="4" w:space="0"/>
            </w:tcBorders>
          </w:tcPr>
          <w:p w14:paraId="037942FC">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Describe any methods used to explore possible causes of heterogeneity among study results (e.g. subgroup analysis, meta-regression).</w:t>
            </w:r>
          </w:p>
        </w:tc>
        <w:tc>
          <w:tcPr>
            <w:tcW w:w="1903" w:type="dxa"/>
            <w:tcBorders>
              <w:top w:val="single" w:color="000000" w:sz="4" w:space="0"/>
              <w:left w:val="single" w:color="000000" w:sz="4" w:space="0"/>
              <w:bottom w:val="single" w:color="000000" w:sz="4" w:space="0"/>
              <w:right w:val="single" w:color="000000" w:sz="4" w:space="0"/>
            </w:tcBorders>
          </w:tcPr>
          <w:p w14:paraId="6C92789D">
            <w:pPr>
              <w:pStyle w:val="13"/>
              <w:spacing w:before="40" w:after="40"/>
              <w:rPr>
                <w:rFonts w:hint="default" w:ascii="Times New Roman" w:hAnsi="Times New Roman" w:cs="Times New Roman"/>
                <w:color w:val="FF0000"/>
                <w:sz w:val="20"/>
                <w:szCs w:val="20"/>
                <w:highlight w:val="none"/>
              </w:rPr>
            </w:pP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Page</w:t>
            </w: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 xml:space="preserve"> 7</w:t>
            </w:r>
          </w:p>
        </w:tc>
      </w:tr>
      <w:tr w14:paraId="3E0C987C">
        <w:tblPrEx>
          <w:tblCellMar>
            <w:top w:w="0" w:type="dxa"/>
            <w:left w:w="108" w:type="dxa"/>
            <w:bottom w:w="0" w:type="dxa"/>
            <w:right w:w="108" w:type="dxa"/>
          </w:tblCellMar>
        </w:tblPrEx>
        <w:trPr>
          <w:trHeight w:val="90" w:hRule="atLeast"/>
        </w:trPr>
        <w:tc>
          <w:tcPr>
            <w:tcW w:w="1984" w:type="dxa"/>
            <w:vMerge w:val="continue"/>
            <w:tcBorders>
              <w:left w:val="single" w:color="000000" w:sz="4" w:space="0"/>
              <w:bottom w:val="single" w:color="000000" w:sz="4" w:space="0"/>
              <w:right w:val="single" w:color="000000" w:sz="4" w:space="0"/>
            </w:tcBorders>
          </w:tcPr>
          <w:p w14:paraId="0D45EAEF">
            <w:pPr>
              <w:pStyle w:val="13"/>
              <w:spacing w:before="40" w:after="40"/>
              <w:rPr>
                <w:rFonts w:hint="default" w:ascii="Times New Roman" w:hAnsi="Times New Roman" w:cs="Times New Roman"/>
                <w:sz w:val="20"/>
                <w:szCs w:val="20"/>
                <w:highlight w:val="none"/>
              </w:rPr>
            </w:pPr>
          </w:p>
        </w:tc>
        <w:tc>
          <w:tcPr>
            <w:tcW w:w="813" w:type="dxa"/>
            <w:tcBorders>
              <w:top w:val="single" w:color="000000" w:sz="4" w:space="0"/>
              <w:left w:val="single" w:color="000000" w:sz="4" w:space="0"/>
              <w:bottom w:val="single" w:color="000000" w:sz="4" w:space="0"/>
              <w:right w:val="single" w:color="000000" w:sz="4" w:space="0"/>
            </w:tcBorders>
          </w:tcPr>
          <w:p w14:paraId="07D6236D">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13f</w:t>
            </w:r>
          </w:p>
        </w:tc>
        <w:tc>
          <w:tcPr>
            <w:tcW w:w="9237" w:type="dxa"/>
            <w:tcBorders>
              <w:top w:val="single" w:color="000000" w:sz="4" w:space="0"/>
              <w:left w:val="single" w:color="000000" w:sz="4" w:space="0"/>
              <w:bottom w:val="single" w:color="000000" w:sz="4" w:space="0"/>
              <w:right w:val="single" w:color="000000" w:sz="4" w:space="0"/>
            </w:tcBorders>
          </w:tcPr>
          <w:p w14:paraId="4FB39027">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Describe any sensitivity analyses conducted to assess robustness of the synthesized results.</w:t>
            </w:r>
          </w:p>
        </w:tc>
        <w:tc>
          <w:tcPr>
            <w:tcW w:w="1903" w:type="dxa"/>
            <w:tcBorders>
              <w:top w:val="single" w:color="000000" w:sz="4" w:space="0"/>
              <w:left w:val="single" w:color="000000" w:sz="4" w:space="0"/>
              <w:bottom w:val="single" w:color="000000" w:sz="4" w:space="0"/>
              <w:right w:val="single" w:color="000000" w:sz="4" w:space="0"/>
            </w:tcBorders>
          </w:tcPr>
          <w:p w14:paraId="12BDD385">
            <w:pPr>
              <w:pStyle w:val="13"/>
              <w:spacing w:before="40" w:after="40"/>
              <w:rPr>
                <w:rFonts w:hint="default" w:ascii="Times New Roman" w:hAnsi="Times New Roman" w:cs="Times New Roman"/>
                <w:color w:val="FF0000"/>
                <w:sz w:val="20"/>
                <w:szCs w:val="20"/>
                <w:highlight w:val="none"/>
                <w:lang w:val="en-US"/>
              </w:rPr>
            </w:pP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Page</w:t>
            </w: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 xml:space="preserve"> 7</w:t>
            </w:r>
            <w:r>
              <w:rPr>
                <w:rFonts w:hint="default" w:ascii="Times New Roman" w:hAnsi="Times New Roman" w:eastAsia="宋体" w:cs="Times New Roman"/>
                <w:i w:val="0"/>
                <w:iCs w:val="0"/>
                <w:color w:val="auto"/>
                <w:kern w:val="0"/>
                <w:sz w:val="20"/>
                <w:szCs w:val="20"/>
                <w:highlight w:val="none"/>
                <w:u w:val="none"/>
                <w:lang w:val="en-US" w:eastAsia="zh-CN" w:bidi="ar"/>
              </w:rPr>
              <w:t>–</w:t>
            </w:r>
            <w:r>
              <w:rPr>
                <w:rFonts w:hint="default" w:ascii="Times New Roman" w:hAnsi="Times New Roman" w:eastAsia="宋体" w:cs="Times New Roman"/>
                <w:i w:val="0"/>
                <w:iCs w:val="0"/>
                <w:color w:val="auto"/>
                <w:kern w:val="0"/>
                <w:sz w:val="20"/>
                <w:szCs w:val="20"/>
                <w:highlight w:val="none"/>
                <w:u w:val="none"/>
                <w:lang w:val="en-US" w:eastAsia="zh-CN" w:bidi="ar"/>
              </w:rPr>
              <w:t>8</w:t>
            </w:r>
          </w:p>
        </w:tc>
      </w:tr>
      <w:tr w14:paraId="32944FC4">
        <w:tblPrEx>
          <w:tblCellMar>
            <w:top w:w="0" w:type="dxa"/>
            <w:left w:w="108" w:type="dxa"/>
            <w:bottom w:w="0" w:type="dxa"/>
            <w:right w:w="108" w:type="dxa"/>
          </w:tblCellMar>
        </w:tblPrEx>
        <w:trPr>
          <w:trHeight w:val="422" w:hRule="atLeast"/>
        </w:trPr>
        <w:tc>
          <w:tcPr>
            <w:tcW w:w="1984" w:type="dxa"/>
            <w:tcBorders>
              <w:top w:val="single" w:color="000000" w:sz="4" w:space="0"/>
              <w:left w:val="single" w:color="000000" w:sz="4" w:space="0"/>
              <w:bottom w:val="single" w:color="000000" w:sz="4" w:space="0"/>
              <w:right w:val="single" w:color="000000" w:sz="4" w:space="0"/>
            </w:tcBorders>
          </w:tcPr>
          <w:p w14:paraId="5F6E9B8F">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Reporting bias assessment</w:t>
            </w:r>
          </w:p>
        </w:tc>
        <w:tc>
          <w:tcPr>
            <w:tcW w:w="813" w:type="dxa"/>
            <w:tcBorders>
              <w:top w:val="single" w:color="000000" w:sz="4" w:space="0"/>
              <w:left w:val="single" w:color="000000" w:sz="4" w:space="0"/>
              <w:bottom w:val="single" w:color="000000" w:sz="4" w:space="0"/>
              <w:right w:val="single" w:color="000000" w:sz="4" w:space="0"/>
            </w:tcBorders>
          </w:tcPr>
          <w:p w14:paraId="043796A2">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14</w:t>
            </w:r>
          </w:p>
        </w:tc>
        <w:tc>
          <w:tcPr>
            <w:tcW w:w="9237" w:type="dxa"/>
            <w:tcBorders>
              <w:top w:val="single" w:color="000000" w:sz="4" w:space="0"/>
              <w:left w:val="single" w:color="000000" w:sz="4" w:space="0"/>
              <w:bottom w:val="single" w:color="000000" w:sz="4" w:space="0"/>
              <w:right w:val="single" w:color="000000" w:sz="4" w:space="0"/>
            </w:tcBorders>
          </w:tcPr>
          <w:p w14:paraId="0D485384">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Describe any methods used to assess risk of bias due to missing results in a synthesis (arising from reporting biases).</w:t>
            </w:r>
          </w:p>
        </w:tc>
        <w:tc>
          <w:tcPr>
            <w:tcW w:w="1903" w:type="dxa"/>
            <w:tcBorders>
              <w:top w:val="single" w:color="000000" w:sz="4" w:space="0"/>
              <w:left w:val="single" w:color="000000" w:sz="4" w:space="0"/>
              <w:bottom w:val="single" w:color="000000" w:sz="4" w:space="0"/>
              <w:right w:val="single" w:color="000000" w:sz="4" w:space="0"/>
            </w:tcBorders>
          </w:tcPr>
          <w:p w14:paraId="30F4FEE1">
            <w:pPr>
              <w:pStyle w:val="13"/>
              <w:spacing w:before="40" w:after="40"/>
              <w:rPr>
                <w:rFonts w:hint="default" w:ascii="Times New Roman" w:hAnsi="Times New Roman" w:cs="Times New Roman"/>
                <w:color w:val="000000" w:themeColor="text1"/>
                <w:sz w:val="20"/>
                <w:szCs w:val="20"/>
                <w:highlight w:val="none"/>
                <w:lang w:val="en-US"/>
                <w14:textFill>
                  <w14:solidFill>
                    <w14:schemeClr w14:val="tx1"/>
                  </w14:solidFill>
                </w14:textFill>
              </w:rPr>
            </w:pP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 xml:space="preserve">Page 8 </w:t>
            </w:r>
          </w:p>
        </w:tc>
      </w:tr>
      <w:tr w14:paraId="5F3F6EFB">
        <w:tblPrEx>
          <w:tblCellMar>
            <w:top w:w="0" w:type="dxa"/>
            <w:left w:w="108" w:type="dxa"/>
            <w:bottom w:w="0" w:type="dxa"/>
            <w:right w:w="108" w:type="dxa"/>
          </w:tblCellMar>
        </w:tblPrEx>
        <w:trPr>
          <w:trHeight w:val="238" w:hRule="atLeast"/>
        </w:trPr>
        <w:tc>
          <w:tcPr>
            <w:tcW w:w="1984" w:type="dxa"/>
            <w:tcBorders>
              <w:top w:val="single" w:color="000000" w:sz="4" w:space="0"/>
              <w:left w:val="single" w:color="000000" w:sz="4" w:space="0"/>
              <w:bottom w:val="single" w:color="000000" w:sz="4" w:space="0"/>
              <w:right w:val="single" w:color="000000" w:sz="4" w:space="0"/>
            </w:tcBorders>
          </w:tcPr>
          <w:p w14:paraId="0D40D307">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Certainty assessment</w:t>
            </w:r>
          </w:p>
        </w:tc>
        <w:tc>
          <w:tcPr>
            <w:tcW w:w="813" w:type="dxa"/>
            <w:tcBorders>
              <w:top w:val="single" w:color="000000" w:sz="4" w:space="0"/>
              <w:left w:val="single" w:color="000000" w:sz="4" w:space="0"/>
              <w:bottom w:val="single" w:color="000000" w:sz="4" w:space="0"/>
              <w:right w:val="single" w:color="000000" w:sz="4" w:space="0"/>
            </w:tcBorders>
          </w:tcPr>
          <w:p w14:paraId="7B2459DC">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15</w:t>
            </w:r>
          </w:p>
        </w:tc>
        <w:tc>
          <w:tcPr>
            <w:tcW w:w="9237" w:type="dxa"/>
            <w:tcBorders>
              <w:top w:val="single" w:color="000000" w:sz="4" w:space="0"/>
              <w:left w:val="single" w:color="000000" w:sz="4" w:space="0"/>
              <w:bottom w:val="single" w:color="000000" w:sz="4" w:space="0"/>
              <w:right w:val="single" w:color="000000" w:sz="4" w:space="0"/>
            </w:tcBorders>
          </w:tcPr>
          <w:p w14:paraId="589589BB">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Describe any methods used to assess certainty (or confidence) in the body of evidence for an outcome.</w:t>
            </w:r>
          </w:p>
        </w:tc>
        <w:tc>
          <w:tcPr>
            <w:tcW w:w="1903" w:type="dxa"/>
            <w:tcBorders>
              <w:top w:val="single" w:color="000000" w:sz="4" w:space="0"/>
              <w:left w:val="single" w:color="000000" w:sz="4" w:space="0"/>
              <w:bottom w:val="single" w:color="000000" w:sz="4" w:space="0"/>
              <w:right w:val="single" w:color="000000" w:sz="4" w:space="0"/>
            </w:tcBorders>
          </w:tcPr>
          <w:p w14:paraId="76E714AE">
            <w:pPr>
              <w:pStyle w:val="13"/>
              <w:spacing w:before="40" w:after="40"/>
              <w:rPr>
                <w:rFonts w:hint="default" w:ascii="Times New Roman" w:hAnsi="Times New Roman" w:cs="Times New Roman"/>
                <w:color w:val="000000" w:themeColor="text1"/>
                <w:sz w:val="20"/>
                <w:szCs w:val="20"/>
                <w:highlight w:val="none"/>
                <w:lang w:val="en-US"/>
                <w14:textFill>
                  <w14:solidFill>
                    <w14:schemeClr w14:val="tx1"/>
                  </w14:solidFill>
                </w14:textFill>
              </w:rPr>
            </w:pP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 xml:space="preserve">Page </w:t>
            </w: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8</w:t>
            </w:r>
          </w:p>
        </w:tc>
      </w:tr>
      <w:tr w14:paraId="322788ED">
        <w:tblPrEx>
          <w:tblCellMar>
            <w:top w:w="0" w:type="dxa"/>
            <w:left w:w="108" w:type="dxa"/>
            <w:bottom w:w="0" w:type="dxa"/>
            <w:right w:w="108" w:type="dxa"/>
          </w:tblCellMar>
        </w:tblPrEx>
        <w:trPr>
          <w:trHeight w:val="210" w:hRule="atLeast"/>
        </w:trPr>
        <w:tc>
          <w:tcPr>
            <w:tcW w:w="12034"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02373222">
            <w:pPr>
              <w:pStyle w:val="13"/>
              <w:rPr>
                <w:rFonts w:hint="default" w:ascii="Times New Roman" w:hAnsi="Times New Roman" w:cs="Times New Roman"/>
                <w:sz w:val="20"/>
                <w:szCs w:val="20"/>
                <w:highlight w:val="none"/>
              </w:rPr>
            </w:pPr>
            <w:r>
              <w:rPr>
                <w:rFonts w:hint="default" w:ascii="Times New Roman" w:hAnsi="Times New Roman" w:cs="Times New Roman"/>
                <w:b/>
                <w:bCs/>
                <w:sz w:val="20"/>
                <w:szCs w:val="20"/>
                <w:highlight w:val="none"/>
              </w:rPr>
              <w:t xml:space="preserve">RESULTS </w:t>
            </w:r>
          </w:p>
        </w:tc>
        <w:tc>
          <w:tcPr>
            <w:tcW w:w="1903" w:type="dxa"/>
            <w:tcBorders>
              <w:top w:val="double" w:color="000000" w:sz="4" w:space="0"/>
              <w:left w:val="single" w:color="000000" w:sz="4" w:space="0"/>
              <w:bottom w:val="single" w:color="000000" w:sz="4" w:space="0"/>
              <w:right w:val="single" w:color="000000" w:sz="4" w:space="0"/>
            </w:tcBorders>
            <w:shd w:val="clear" w:color="auto" w:fill="FFFFCC"/>
          </w:tcPr>
          <w:p w14:paraId="20543FF7">
            <w:pPr>
              <w:pStyle w:val="13"/>
              <w:rPr>
                <w:rFonts w:hint="default" w:ascii="Times New Roman" w:hAnsi="Times New Roman" w:cs="Times New Roman"/>
                <w:color w:val="FF0000"/>
                <w:sz w:val="20"/>
                <w:szCs w:val="20"/>
                <w:highlight w:val="none"/>
              </w:rPr>
            </w:pPr>
          </w:p>
        </w:tc>
      </w:tr>
      <w:tr w14:paraId="10A741F8">
        <w:tblPrEx>
          <w:tblCellMar>
            <w:top w:w="0" w:type="dxa"/>
            <w:left w:w="108" w:type="dxa"/>
            <w:bottom w:w="0" w:type="dxa"/>
            <w:right w:w="108" w:type="dxa"/>
          </w:tblCellMar>
        </w:tblPrEx>
        <w:trPr>
          <w:trHeight w:val="422" w:hRule="atLeast"/>
        </w:trPr>
        <w:tc>
          <w:tcPr>
            <w:tcW w:w="1984" w:type="dxa"/>
            <w:vMerge w:val="restart"/>
            <w:tcBorders>
              <w:top w:val="single" w:color="000000" w:sz="4" w:space="0"/>
              <w:left w:val="single" w:color="000000" w:sz="4" w:space="0"/>
              <w:right w:val="single" w:color="000000" w:sz="4" w:space="0"/>
            </w:tcBorders>
          </w:tcPr>
          <w:p w14:paraId="04DC74B4">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Study selection </w:t>
            </w:r>
          </w:p>
        </w:tc>
        <w:tc>
          <w:tcPr>
            <w:tcW w:w="813" w:type="dxa"/>
            <w:tcBorders>
              <w:top w:val="single" w:color="000000" w:sz="4" w:space="0"/>
              <w:left w:val="single" w:color="000000" w:sz="4" w:space="0"/>
              <w:bottom w:val="single" w:color="000000" w:sz="4" w:space="0"/>
              <w:right w:val="single" w:color="000000" w:sz="4" w:space="0"/>
            </w:tcBorders>
          </w:tcPr>
          <w:p w14:paraId="59949251">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16a</w:t>
            </w:r>
          </w:p>
        </w:tc>
        <w:tc>
          <w:tcPr>
            <w:tcW w:w="9237" w:type="dxa"/>
            <w:tcBorders>
              <w:top w:val="single" w:color="000000" w:sz="4" w:space="0"/>
              <w:left w:val="single" w:color="000000" w:sz="4" w:space="0"/>
              <w:bottom w:val="single" w:color="000000" w:sz="4" w:space="0"/>
              <w:right w:val="single" w:color="000000" w:sz="4" w:space="0"/>
            </w:tcBorders>
          </w:tcPr>
          <w:p w14:paraId="249CC674">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Describe the results of the search and selection process, from the number of records identified in the search to the number of studies included in the review, ideally using a flow diagram.</w:t>
            </w:r>
          </w:p>
        </w:tc>
        <w:tc>
          <w:tcPr>
            <w:tcW w:w="1903" w:type="dxa"/>
            <w:tcBorders>
              <w:top w:val="single" w:color="000000" w:sz="4" w:space="0"/>
              <w:left w:val="single" w:color="000000" w:sz="4" w:space="0"/>
              <w:bottom w:val="single" w:color="000000" w:sz="4" w:space="0"/>
              <w:right w:val="single" w:color="000000" w:sz="4" w:space="0"/>
            </w:tcBorders>
          </w:tcPr>
          <w:p w14:paraId="7D0BA198">
            <w:pPr>
              <w:pStyle w:val="13"/>
              <w:spacing w:before="40" w:after="40"/>
              <w:rPr>
                <w:rFonts w:hint="default" w:ascii="Times New Roman" w:hAnsi="Times New Roman" w:cs="Times New Roman"/>
                <w:color w:val="000000" w:themeColor="text1"/>
                <w:sz w:val="20"/>
                <w:szCs w:val="20"/>
                <w:highlight w:val="none"/>
                <w:lang w:val="en-US"/>
                <w14:textFill>
                  <w14:solidFill>
                    <w14:schemeClr w14:val="tx1"/>
                  </w14:solidFill>
                </w14:textFill>
              </w:rPr>
            </w:pP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 xml:space="preserve">Page </w:t>
            </w: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8</w:t>
            </w:r>
          </w:p>
        </w:tc>
      </w:tr>
      <w:tr w14:paraId="413C491C">
        <w:tblPrEx>
          <w:tblCellMar>
            <w:top w:w="0" w:type="dxa"/>
            <w:left w:w="108" w:type="dxa"/>
            <w:bottom w:w="0" w:type="dxa"/>
            <w:right w:w="108" w:type="dxa"/>
          </w:tblCellMar>
        </w:tblPrEx>
        <w:trPr>
          <w:trHeight w:val="422" w:hRule="atLeast"/>
        </w:trPr>
        <w:tc>
          <w:tcPr>
            <w:tcW w:w="1984" w:type="dxa"/>
            <w:vMerge w:val="continue"/>
            <w:tcBorders>
              <w:left w:val="single" w:color="000000" w:sz="4" w:space="0"/>
              <w:bottom w:val="single" w:color="000000" w:sz="4" w:space="0"/>
              <w:right w:val="single" w:color="000000" w:sz="4" w:space="0"/>
            </w:tcBorders>
          </w:tcPr>
          <w:p w14:paraId="57DE1EA6">
            <w:pPr>
              <w:pStyle w:val="13"/>
              <w:spacing w:before="40" w:after="40"/>
              <w:rPr>
                <w:rFonts w:hint="default" w:ascii="Times New Roman" w:hAnsi="Times New Roman" w:cs="Times New Roman"/>
                <w:sz w:val="20"/>
                <w:szCs w:val="20"/>
                <w:highlight w:val="none"/>
              </w:rPr>
            </w:pPr>
          </w:p>
        </w:tc>
        <w:tc>
          <w:tcPr>
            <w:tcW w:w="813" w:type="dxa"/>
            <w:tcBorders>
              <w:top w:val="single" w:color="000000" w:sz="4" w:space="0"/>
              <w:left w:val="single" w:color="000000" w:sz="4" w:space="0"/>
              <w:bottom w:val="single" w:color="000000" w:sz="4" w:space="0"/>
              <w:right w:val="single" w:color="000000" w:sz="4" w:space="0"/>
            </w:tcBorders>
          </w:tcPr>
          <w:p w14:paraId="6182E394">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16b</w:t>
            </w:r>
          </w:p>
        </w:tc>
        <w:tc>
          <w:tcPr>
            <w:tcW w:w="9237" w:type="dxa"/>
            <w:tcBorders>
              <w:top w:val="single" w:color="000000" w:sz="4" w:space="0"/>
              <w:left w:val="single" w:color="000000" w:sz="4" w:space="0"/>
              <w:bottom w:val="single" w:color="000000" w:sz="4" w:space="0"/>
              <w:right w:val="single" w:color="000000" w:sz="4" w:space="0"/>
            </w:tcBorders>
          </w:tcPr>
          <w:p w14:paraId="6E9743EF">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Cite studies that might appear to meet the inclusion criteria, but which were excluded, and explain why they were excluded.</w:t>
            </w:r>
          </w:p>
        </w:tc>
        <w:tc>
          <w:tcPr>
            <w:tcW w:w="1903" w:type="dxa"/>
            <w:tcBorders>
              <w:top w:val="single" w:color="000000" w:sz="4" w:space="0"/>
              <w:left w:val="single" w:color="000000" w:sz="4" w:space="0"/>
              <w:bottom w:val="single" w:color="000000" w:sz="4" w:space="0"/>
              <w:right w:val="single" w:color="000000" w:sz="4" w:space="0"/>
            </w:tcBorders>
          </w:tcPr>
          <w:p w14:paraId="6D1A8C83">
            <w:pPr>
              <w:pStyle w:val="13"/>
              <w:spacing w:before="40" w:after="40"/>
              <w:rPr>
                <w:rFonts w:hint="default" w:ascii="Times New Roman" w:hAnsi="Times New Roman" w:cs="Times New Roman"/>
                <w:color w:val="000000" w:themeColor="text1"/>
                <w:sz w:val="20"/>
                <w:szCs w:val="20"/>
                <w:highlight w:val="none"/>
                <w14:textFill>
                  <w14:solidFill>
                    <w14:schemeClr w14:val="tx1"/>
                  </w14:solidFill>
                </w14:textFill>
              </w:rPr>
            </w:pP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Page</w:t>
            </w: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 xml:space="preserve"> 8</w:t>
            </w:r>
          </w:p>
        </w:tc>
      </w:tr>
      <w:tr w14:paraId="5DFE179A">
        <w:tblPrEx>
          <w:tblCellMar>
            <w:top w:w="0" w:type="dxa"/>
            <w:left w:w="108" w:type="dxa"/>
            <w:bottom w:w="0" w:type="dxa"/>
            <w:right w:w="108" w:type="dxa"/>
          </w:tblCellMar>
        </w:tblPrEx>
        <w:trPr>
          <w:trHeight w:val="238" w:hRule="atLeast"/>
        </w:trPr>
        <w:tc>
          <w:tcPr>
            <w:tcW w:w="1984" w:type="dxa"/>
            <w:tcBorders>
              <w:top w:val="single" w:color="000000" w:sz="4" w:space="0"/>
              <w:left w:val="single" w:color="000000" w:sz="4" w:space="0"/>
              <w:bottom w:val="single" w:color="000000" w:sz="4" w:space="0"/>
              <w:right w:val="single" w:color="000000" w:sz="4" w:space="0"/>
            </w:tcBorders>
          </w:tcPr>
          <w:p w14:paraId="216C5AFF">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Study characteristics </w:t>
            </w:r>
          </w:p>
        </w:tc>
        <w:tc>
          <w:tcPr>
            <w:tcW w:w="813" w:type="dxa"/>
            <w:tcBorders>
              <w:top w:val="single" w:color="000000" w:sz="4" w:space="0"/>
              <w:left w:val="single" w:color="000000" w:sz="4" w:space="0"/>
              <w:bottom w:val="single" w:color="000000" w:sz="4" w:space="0"/>
              <w:right w:val="single" w:color="000000" w:sz="4" w:space="0"/>
            </w:tcBorders>
          </w:tcPr>
          <w:p w14:paraId="743FBD6E">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17</w:t>
            </w:r>
          </w:p>
        </w:tc>
        <w:tc>
          <w:tcPr>
            <w:tcW w:w="9237" w:type="dxa"/>
            <w:tcBorders>
              <w:top w:val="single" w:color="000000" w:sz="4" w:space="0"/>
              <w:left w:val="single" w:color="000000" w:sz="4" w:space="0"/>
              <w:bottom w:val="single" w:color="000000" w:sz="4" w:space="0"/>
              <w:right w:val="single" w:color="000000" w:sz="4" w:space="0"/>
            </w:tcBorders>
          </w:tcPr>
          <w:p w14:paraId="47410A95">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Cite each included study and present its characteristics.</w:t>
            </w:r>
          </w:p>
        </w:tc>
        <w:tc>
          <w:tcPr>
            <w:tcW w:w="1903" w:type="dxa"/>
            <w:tcBorders>
              <w:top w:val="single" w:color="000000" w:sz="4" w:space="0"/>
              <w:left w:val="single" w:color="000000" w:sz="4" w:space="0"/>
              <w:bottom w:val="single" w:color="000000" w:sz="4" w:space="0"/>
              <w:right w:val="single" w:color="000000" w:sz="4" w:space="0"/>
            </w:tcBorders>
          </w:tcPr>
          <w:p w14:paraId="48D8DCFE">
            <w:pPr>
              <w:pStyle w:val="13"/>
              <w:spacing w:before="40" w:after="40"/>
              <w:rPr>
                <w:rFonts w:hint="default" w:ascii="Times New Roman" w:hAnsi="Times New Roman" w:cs="Times New Roman"/>
                <w:color w:val="000000" w:themeColor="text1"/>
                <w:sz w:val="20"/>
                <w:szCs w:val="20"/>
                <w:highlight w:val="none"/>
                <w:lang w:val="en-US"/>
                <w14:textFill>
                  <w14:solidFill>
                    <w14:schemeClr w14:val="tx1"/>
                  </w14:solidFill>
                </w14:textFill>
              </w:rPr>
            </w:pP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 xml:space="preserve">Page </w:t>
            </w: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8</w:t>
            </w:r>
          </w:p>
        </w:tc>
      </w:tr>
      <w:tr w14:paraId="53D88927">
        <w:tblPrEx>
          <w:tblCellMar>
            <w:top w:w="0" w:type="dxa"/>
            <w:left w:w="108" w:type="dxa"/>
            <w:bottom w:w="0" w:type="dxa"/>
            <w:right w:w="108" w:type="dxa"/>
          </w:tblCellMar>
        </w:tblPrEx>
        <w:trPr>
          <w:trHeight w:val="238" w:hRule="atLeast"/>
        </w:trPr>
        <w:tc>
          <w:tcPr>
            <w:tcW w:w="1984" w:type="dxa"/>
            <w:tcBorders>
              <w:top w:val="single" w:color="000000" w:sz="4" w:space="0"/>
              <w:left w:val="single" w:color="000000" w:sz="4" w:space="0"/>
              <w:bottom w:val="single" w:color="000000" w:sz="4" w:space="0"/>
              <w:right w:val="single" w:color="000000" w:sz="4" w:space="0"/>
            </w:tcBorders>
          </w:tcPr>
          <w:p w14:paraId="1ADB7593">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Risk of bias in studies </w:t>
            </w:r>
          </w:p>
        </w:tc>
        <w:tc>
          <w:tcPr>
            <w:tcW w:w="813" w:type="dxa"/>
            <w:tcBorders>
              <w:top w:val="single" w:color="000000" w:sz="4" w:space="0"/>
              <w:left w:val="single" w:color="000000" w:sz="4" w:space="0"/>
              <w:bottom w:val="single" w:color="000000" w:sz="4" w:space="0"/>
              <w:right w:val="single" w:color="000000" w:sz="4" w:space="0"/>
            </w:tcBorders>
          </w:tcPr>
          <w:p w14:paraId="4F1960BC">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18</w:t>
            </w:r>
          </w:p>
        </w:tc>
        <w:tc>
          <w:tcPr>
            <w:tcW w:w="9237" w:type="dxa"/>
            <w:tcBorders>
              <w:top w:val="single" w:color="000000" w:sz="4" w:space="0"/>
              <w:left w:val="single" w:color="000000" w:sz="4" w:space="0"/>
              <w:bottom w:val="single" w:color="000000" w:sz="4" w:space="0"/>
              <w:right w:val="single" w:color="000000" w:sz="4" w:space="0"/>
            </w:tcBorders>
          </w:tcPr>
          <w:p w14:paraId="7763B4B5">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Present assessments of risk of bias for each included study.</w:t>
            </w:r>
          </w:p>
        </w:tc>
        <w:tc>
          <w:tcPr>
            <w:tcW w:w="1903" w:type="dxa"/>
            <w:tcBorders>
              <w:top w:val="single" w:color="000000" w:sz="4" w:space="0"/>
              <w:left w:val="single" w:color="000000" w:sz="4" w:space="0"/>
              <w:bottom w:val="single" w:color="000000" w:sz="4" w:space="0"/>
              <w:right w:val="single" w:color="000000" w:sz="4" w:space="0"/>
            </w:tcBorders>
          </w:tcPr>
          <w:p w14:paraId="1DA49C7E">
            <w:pPr>
              <w:pStyle w:val="13"/>
              <w:spacing w:before="40" w:after="40"/>
              <w:rPr>
                <w:rFonts w:hint="default" w:ascii="Times New Roman" w:hAnsi="Times New Roman" w:cs="Times New Roman"/>
                <w:color w:val="000000" w:themeColor="text1"/>
                <w:sz w:val="20"/>
                <w:szCs w:val="20"/>
                <w:highlight w:val="none"/>
                <w:lang w:val="en-US"/>
                <w14:textFill>
                  <w14:solidFill>
                    <w14:schemeClr w14:val="tx1"/>
                  </w14:solidFill>
                </w14:textFill>
              </w:rPr>
            </w:pP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 xml:space="preserve">Page </w:t>
            </w: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9</w:t>
            </w:r>
          </w:p>
        </w:tc>
      </w:tr>
      <w:tr w14:paraId="35006233">
        <w:tblPrEx>
          <w:tblCellMar>
            <w:top w:w="0" w:type="dxa"/>
            <w:left w:w="108" w:type="dxa"/>
            <w:bottom w:w="0" w:type="dxa"/>
            <w:right w:w="108" w:type="dxa"/>
          </w:tblCellMar>
        </w:tblPrEx>
        <w:trPr>
          <w:trHeight w:val="422" w:hRule="atLeast"/>
        </w:trPr>
        <w:tc>
          <w:tcPr>
            <w:tcW w:w="1984" w:type="dxa"/>
            <w:tcBorders>
              <w:top w:val="single" w:color="000000" w:sz="4" w:space="0"/>
              <w:left w:val="single" w:color="000000" w:sz="4" w:space="0"/>
              <w:bottom w:val="single" w:color="000000" w:sz="4" w:space="0"/>
              <w:right w:val="single" w:color="000000" w:sz="4" w:space="0"/>
            </w:tcBorders>
          </w:tcPr>
          <w:p w14:paraId="2B95E11A">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Results of individual studies </w:t>
            </w:r>
          </w:p>
        </w:tc>
        <w:tc>
          <w:tcPr>
            <w:tcW w:w="813" w:type="dxa"/>
            <w:tcBorders>
              <w:top w:val="single" w:color="000000" w:sz="4" w:space="0"/>
              <w:left w:val="single" w:color="000000" w:sz="4" w:space="0"/>
              <w:bottom w:val="single" w:color="000000" w:sz="4" w:space="0"/>
              <w:right w:val="single" w:color="000000" w:sz="4" w:space="0"/>
            </w:tcBorders>
          </w:tcPr>
          <w:p w14:paraId="622F26FA">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19</w:t>
            </w:r>
          </w:p>
        </w:tc>
        <w:tc>
          <w:tcPr>
            <w:tcW w:w="9237" w:type="dxa"/>
            <w:tcBorders>
              <w:top w:val="single" w:color="000000" w:sz="4" w:space="0"/>
              <w:left w:val="single" w:color="000000" w:sz="4" w:space="0"/>
              <w:bottom w:val="single" w:color="000000" w:sz="4" w:space="0"/>
              <w:right w:val="single" w:color="000000" w:sz="4" w:space="0"/>
            </w:tcBorders>
          </w:tcPr>
          <w:p w14:paraId="13772B9A">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For all outcomes, present, for each study: (a) summary statistics for each group (where appropriate) and (b) an effect estimate and its precision (e.g. confidence/credible interval), ideally using structured tables or plots.</w:t>
            </w:r>
          </w:p>
        </w:tc>
        <w:tc>
          <w:tcPr>
            <w:tcW w:w="1903" w:type="dxa"/>
            <w:tcBorders>
              <w:top w:val="single" w:color="000000" w:sz="4" w:space="0"/>
              <w:left w:val="single" w:color="000000" w:sz="4" w:space="0"/>
              <w:bottom w:val="single" w:color="000000" w:sz="4" w:space="0"/>
              <w:right w:val="single" w:color="000000" w:sz="4" w:space="0"/>
            </w:tcBorders>
          </w:tcPr>
          <w:p w14:paraId="2EAC3641">
            <w:pPr>
              <w:pStyle w:val="13"/>
              <w:spacing w:before="40" w:after="40"/>
              <w:rPr>
                <w:rFonts w:hint="default" w:ascii="Times New Roman" w:hAnsi="Times New Roman" w:cs="Times New Roman"/>
                <w:color w:val="000000" w:themeColor="text1"/>
                <w:sz w:val="20"/>
                <w:szCs w:val="20"/>
                <w:highlight w:val="none"/>
                <w:lang w:val="en-US"/>
                <w14:textFill>
                  <w14:solidFill>
                    <w14:schemeClr w14:val="tx1"/>
                  </w14:solidFill>
                </w14:textFill>
              </w:rPr>
            </w:pP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 xml:space="preserve">Page </w:t>
            </w: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9</w:t>
            </w:r>
            <w:r>
              <w:rPr>
                <w:rFonts w:hint="default" w:ascii="Times New Roman" w:hAnsi="Times New Roman" w:eastAsia="宋体" w:cs="Times New Roman"/>
                <w:i w:val="0"/>
                <w:iCs w:val="0"/>
                <w:color w:val="000000" w:themeColor="text1"/>
                <w:kern w:val="0"/>
                <w:sz w:val="20"/>
                <w:szCs w:val="20"/>
                <w:highlight w:val="none"/>
                <w:u w:val="none"/>
                <w:lang w:val="en-US" w:eastAsia="zh-CN" w:bidi="ar"/>
                <w14:textFill>
                  <w14:solidFill>
                    <w14:schemeClr w14:val="tx1"/>
                  </w14:solidFill>
                </w14:textFill>
              </w:rPr>
              <w:t>–</w:t>
            </w: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11</w:t>
            </w:r>
          </w:p>
        </w:tc>
      </w:tr>
      <w:tr w14:paraId="6F8F4986">
        <w:tblPrEx>
          <w:tblCellMar>
            <w:top w:w="0" w:type="dxa"/>
            <w:left w:w="108" w:type="dxa"/>
            <w:bottom w:w="0" w:type="dxa"/>
            <w:right w:w="108" w:type="dxa"/>
          </w:tblCellMar>
        </w:tblPrEx>
        <w:trPr>
          <w:trHeight w:val="238" w:hRule="atLeast"/>
        </w:trPr>
        <w:tc>
          <w:tcPr>
            <w:tcW w:w="1984" w:type="dxa"/>
            <w:vMerge w:val="restart"/>
            <w:tcBorders>
              <w:top w:val="single" w:color="000000" w:sz="4" w:space="0"/>
              <w:left w:val="single" w:color="000000" w:sz="4" w:space="0"/>
              <w:right w:val="single" w:color="000000" w:sz="4" w:space="0"/>
            </w:tcBorders>
          </w:tcPr>
          <w:p w14:paraId="1B76C989">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Results of syntheses</w:t>
            </w:r>
          </w:p>
        </w:tc>
        <w:tc>
          <w:tcPr>
            <w:tcW w:w="813" w:type="dxa"/>
            <w:tcBorders>
              <w:top w:val="single" w:color="000000" w:sz="4" w:space="0"/>
              <w:left w:val="single" w:color="000000" w:sz="4" w:space="0"/>
              <w:bottom w:val="single" w:color="000000" w:sz="4" w:space="0"/>
              <w:right w:val="single" w:color="000000" w:sz="4" w:space="0"/>
            </w:tcBorders>
          </w:tcPr>
          <w:p w14:paraId="116281D9">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20a</w:t>
            </w:r>
          </w:p>
        </w:tc>
        <w:tc>
          <w:tcPr>
            <w:tcW w:w="9237" w:type="dxa"/>
            <w:tcBorders>
              <w:top w:val="single" w:color="000000" w:sz="4" w:space="0"/>
              <w:left w:val="single" w:color="000000" w:sz="4" w:space="0"/>
              <w:bottom w:val="single" w:color="000000" w:sz="4" w:space="0"/>
              <w:right w:val="single" w:color="000000" w:sz="4" w:space="0"/>
            </w:tcBorders>
          </w:tcPr>
          <w:p w14:paraId="0B2EEB48">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For each synthesis, briefly summarise the characteristics and risk of bias among contributing studies.</w:t>
            </w:r>
          </w:p>
        </w:tc>
        <w:tc>
          <w:tcPr>
            <w:tcW w:w="1903" w:type="dxa"/>
            <w:tcBorders>
              <w:top w:val="single" w:color="000000" w:sz="4" w:space="0"/>
              <w:left w:val="single" w:color="000000" w:sz="4" w:space="0"/>
              <w:bottom w:val="single" w:color="000000" w:sz="4" w:space="0"/>
              <w:right w:val="single" w:color="000000" w:sz="4" w:space="0"/>
            </w:tcBorders>
          </w:tcPr>
          <w:p w14:paraId="7C725CFE">
            <w:pPr>
              <w:pStyle w:val="13"/>
              <w:spacing w:before="40" w:after="40"/>
              <w:rPr>
                <w:rFonts w:hint="default" w:ascii="Times New Roman" w:hAnsi="Times New Roman" w:cs="Times New Roman"/>
                <w:color w:val="FF0000"/>
                <w:sz w:val="20"/>
                <w:szCs w:val="20"/>
                <w:highlight w:val="none"/>
              </w:rPr>
            </w:pP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 xml:space="preserve">Page </w:t>
            </w: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9</w:t>
            </w:r>
            <w:r>
              <w:rPr>
                <w:rFonts w:hint="default" w:ascii="Times New Roman" w:hAnsi="Times New Roman" w:eastAsia="宋体" w:cs="Times New Roman"/>
                <w:i w:val="0"/>
                <w:iCs w:val="0"/>
                <w:color w:val="000000" w:themeColor="text1"/>
                <w:kern w:val="0"/>
                <w:sz w:val="20"/>
                <w:szCs w:val="20"/>
                <w:highlight w:val="none"/>
                <w:u w:val="none"/>
                <w:lang w:val="en-US" w:eastAsia="zh-CN" w:bidi="ar"/>
                <w14:textFill>
                  <w14:solidFill>
                    <w14:schemeClr w14:val="tx1"/>
                  </w14:solidFill>
                </w14:textFill>
              </w:rPr>
              <w:t>–</w:t>
            </w: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11</w:t>
            </w:r>
          </w:p>
        </w:tc>
      </w:tr>
      <w:tr w14:paraId="441195DE">
        <w:tblPrEx>
          <w:tblCellMar>
            <w:top w:w="0" w:type="dxa"/>
            <w:left w:w="108" w:type="dxa"/>
            <w:bottom w:w="0" w:type="dxa"/>
            <w:right w:w="108" w:type="dxa"/>
          </w:tblCellMar>
        </w:tblPrEx>
        <w:trPr>
          <w:trHeight w:val="726" w:hRule="atLeast"/>
        </w:trPr>
        <w:tc>
          <w:tcPr>
            <w:tcW w:w="1984" w:type="dxa"/>
            <w:vMerge w:val="continue"/>
            <w:tcBorders>
              <w:left w:val="single" w:color="000000" w:sz="4" w:space="0"/>
              <w:right w:val="single" w:color="000000" w:sz="4" w:space="0"/>
            </w:tcBorders>
          </w:tcPr>
          <w:p w14:paraId="63656FC0">
            <w:pPr>
              <w:pStyle w:val="13"/>
              <w:spacing w:before="40" w:after="40"/>
              <w:rPr>
                <w:rFonts w:hint="default" w:ascii="Times New Roman" w:hAnsi="Times New Roman" w:cs="Times New Roman"/>
                <w:sz w:val="20"/>
                <w:szCs w:val="20"/>
                <w:highlight w:val="none"/>
              </w:rPr>
            </w:pPr>
          </w:p>
        </w:tc>
        <w:tc>
          <w:tcPr>
            <w:tcW w:w="813" w:type="dxa"/>
            <w:tcBorders>
              <w:top w:val="single" w:color="000000" w:sz="4" w:space="0"/>
              <w:left w:val="single" w:color="000000" w:sz="4" w:space="0"/>
              <w:bottom w:val="single" w:color="000000" w:sz="4" w:space="0"/>
              <w:right w:val="single" w:color="000000" w:sz="4" w:space="0"/>
            </w:tcBorders>
          </w:tcPr>
          <w:p w14:paraId="6F293AB7">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20b</w:t>
            </w:r>
          </w:p>
        </w:tc>
        <w:tc>
          <w:tcPr>
            <w:tcW w:w="9237" w:type="dxa"/>
            <w:tcBorders>
              <w:top w:val="single" w:color="000000" w:sz="4" w:space="0"/>
              <w:left w:val="single" w:color="000000" w:sz="4" w:space="0"/>
              <w:bottom w:val="single" w:color="000000" w:sz="4" w:space="0"/>
              <w:right w:val="single" w:color="000000" w:sz="4" w:space="0"/>
            </w:tcBorders>
          </w:tcPr>
          <w:p w14:paraId="019A2910">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903" w:type="dxa"/>
            <w:tcBorders>
              <w:top w:val="single" w:color="000000" w:sz="4" w:space="0"/>
              <w:left w:val="single" w:color="000000" w:sz="4" w:space="0"/>
              <w:bottom w:val="single" w:color="000000" w:sz="4" w:space="0"/>
              <w:right w:val="single" w:color="000000" w:sz="4" w:space="0"/>
            </w:tcBorders>
          </w:tcPr>
          <w:p w14:paraId="2AD89584">
            <w:pPr>
              <w:pStyle w:val="13"/>
              <w:spacing w:before="40" w:after="40"/>
              <w:rPr>
                <w:rFonts w:hint="default" w:ascii="Times New Roman" w:hAnsi="Times New Roman" w:cs="Times New Roman"/>
                <w:color w:val="FF0000"/>
                <w:sz w:val="20"/>
                <w:szCs w:val="20"/>
                <w:highlight w:val="none"/>
              </w:rPr>
            </w:pP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 xml:space="preserve">Page </w:t>
            </w: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9</w:t>
            </w:r>
            <w:r>
              <w:rPr>
                <w:rFonts w:hint="default" w:ascii="Times New Roman" w:hAnsi="Times New Roman" w:eastAsia="宋体" w:cs="Times New Roman"/>
                <w:i w:val="0"/>
                <w:iCs w:val="0"/>
                <w:color w:val="000000" w:themeColor="text1"/>
                <w:kern w:val="0"/>
                <w:sz w:val="20"/>
                <w:szCs w:val="20"/>
                <w:highlight w:val="none"/>
                <w:u w:val="none"/>
                <w:lang w:val="en-US" w:eastAsia="zh-CN" w:bidi="ar"/>
                <w14:textFill>
                  <w14:solidFill>
                    <w14:schemeClr w14:val="tx1"/>
                  </w14:solidFill>
                </w14:textFill>
              </w:rPr>
              <w:t>–</w:t>
            </w: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11</w:t>
            </w:r>
          </w:p>
        </w:tc>
      </w:tr>
      <w:tr w14:paraId="78B5722C">
        <w:tblPrEx>
          <w:tblCellMar>
            <w:top w:w="0" w:type="dxa"/>
            <w:left w:w="108" w:type="dxa"/>
            <w:bottom w:w="0" w:type="dxa"/>
            <w:right w:w="108" w:type="dxa"/>
          </w:tblCellMar>
        </w:tblPrEx>
        <w:trPr>
          <w:trHeight w:val="238" w:hRule="atLeast"/>
        </w:trPr>
        <w:tc>
          <w:tcPr>
            <w:tcW w:w="1984" w:type="dxa"/>
            <w:vMerge w:val="continue"/>
            <w:tcBorders>
              <w:left w:val="single" w:color="000000" w:sz="4" w:space="0"/>
              <w:right w:val="single" w:color="000000" w:sz="4" w:space="0"/>
            </w:tcBorders>
          </w:tcPr>
          <w:p w14:paraId="5B435B62">
            <w:pPr>
              <w:pStyle w:val="13"/>
              <w:spacing w:before="40" w:after="40"/>
              <w:rPr>
                <w:rFonts w:hint="default" w:ascii="Times New Roman" w:hAnsi="Times New Roman" w:cs="Times New Roman"/>
                <w:sz w:val="20"/>
                <w:szCs w:val="20"/>
                <w:highlight w:val="none"/>
              </w:rPr>
            </w:pPr>
          </w:p>
        </w:tc>
        <w:tc>
          <w:tcPr>
            <w:tcW w:w="813" w:type="dxa"/>
            <w:tcBorders>
              <w:top w:val="single" w:color="000000" w:sz="4" w:space="0"/>
              <w:left w:val="single" w:color="000000" w:sz="4" w:space="0"/>
              <w:bottom w:val="single" w:color="000000" w:sz="4" w:space="0"/>
              <w:right w:val="single" w:color="000000" w:sz="4" w:space="0"/>
            </w:tcBorders>
          </w:tcPr>
          <w:p w14:paraId="42ADCAD4">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20c</w:t>
            </w:r>
          </w:p>
        </w:tc>
        <w:tc>
          <w:tcPr>
            <w:tcW w:w="9237" w:type="dxa"/>
            <w:tcBorders>
              <w:top w:val="single" w:color="000000" w:sz="4" w:space="0"/>
              <w:left w:val="single" w:color="000000" w:sz="4" w:space="0"/>
              <w:bottom w:val="single" w:color="000000" w:sz="4" w:space="0"/>
              <w:right w:val="single" w:color="000000" w:sz="4" w:space="0"/>
            </w:tcBorders>
          </w:tcPr>
          <w:p w14:paraId="1ECC41D3">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Present results of all investigations of possible causes of heterogeneity among study results.</w:t>
            </w:r>
          </w:p>
        </w:tc>
        <w:tc>
          <w:tcPr>
            <w:tcW w:w="1903" w:type="dxa"/>
            <w:tcBorders>
              <w:top w:val="single" w:color="000000" w:sz="4" w:space="0"/>
              <w:left w:val="single" w:color="000000" w:sz="4" w:space="0"/>
              <w:bottom w:val="single" w:color="000000" w:sz="4" w:space="0"/>
              <w:right w:val="single" w:color="000000" w:sz="4" w:space="0"/>
            </w:tcBorders>
          </w:tcPr>
          <w:p w14:paraId="2AA1E1D2">
            <w:pPr>
              <w:spacing w:before="40" w:after="40"/>
              <w:rPr>
                <w:rFonts w:hint="default" w:ascii="Times New Roman" w:hAnsi="Times New Roman" w:cs="Times New Roman"/>
                <w:color w:val="FF0000"/>
                <w:sz w:val="20"/>
                <w:szCs w:val="20"/>
                <w:highlight w:val="none"/>
                <w:lang w:val="en-US"/>
              </w:rPr>
            </w:pP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 xml:space="preserve">Page </w:t>
            </w: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9</w:t>
            </w:r>
            <w:r>
              <w:rPr>
                <w:rFonts w:hint="default" w:ascii="Times New Roman" w:hAnsi="Times New Roman" w:eastAsia="宋体" w:cs="Times New Roman"/>
                <w:i w:val="0"/>
                <w:iCs w:val="0"/>
                <w:color w:val="000000" w:themeColor="text1"/>
                <w:kern w:val="0"/>
                <w:sz w:val="20"/>
                <w:szCs w:val="20"/>
                <w:highlight w:val="none"/>
                <w:u w:val="none"/>
                <w:lang w:val="en-US" w:eastAsia="zh-CN" w:bidi="ar"/>
                <w14:textFill>
                  <w14:solidFill>
                    <w14:schemeClr w14:val="tx1"/>
                  </w14:solidFill>
                </w14:textFill>
              </w:rPr>
              <w:t>–</w:t>
            </w: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11</w:t>
            </w:r>
          </w:p>
        </w:tc>
      </w:tr>
      <w:tr w14:paraId="78DF924F">
        <w:tblPrEx>
          <w:tblCellMar>
            <w:top w:w="0" w:type="dxa"/>
            <w:left w:w="108" w:type="dxa"/>
            <w:bottom w:w="0" w:type="dxa"/>
            <w:right w:w="108" w:type="dxa"/>
          </w:tblCellMar>
        </w:tblPrEx>
        <w:trPr>
          <w:trHeight w:val="238" w:hRule="atLeast"/>
        </w:trPr>
        <w:tc>
          <w:tcPr>
            <w:tcW w:w="1984" w:type="dxa"/>
            <w:vMerge w:val="continue"/>
            <w:tcBorders>
              <w:left w:val="single" w:color="000000" w:sz="4" w:space="0"/>
              <w:bottom w:val="single" w:color="000000" w:sz="4" w:space="0"/>
              <w:right w:val="single" w:color="000000" w:sz="4" w:space="0"/>
            </w:tcBorders>
          </w:tcPr>
          <w:p w14:paraId="1717934B">
            <w:pPr>
              <w:pStyle w:val="13"/>
              <w:spacing w:before="40" w:after="40"/>
              <w:rPr>
                <w:rFonts w:hint="default" w:ascii="Times New Roman" w:hAnsi="Times New Roman" w:cs="Times New Roman"/>
                <w:sz w:val="20"/>
                <w:szCs w:val="20"/>
                <w:highlight w:val="none"/>
              </w:rPr>
            </w:pPr>
          </w:p>
        </w:tc>
        <w:tc>
          <w:tcPr>
            <w:tcW w:w="813" w:type="dxa"/>
            <w:tcBorders>
              <w:top w:val="single" w:color="000000" w:sz="4" w:space="0"/>
              <w:left w:val="single" w:color="000000" w:sz="4" w:space="0"/>
              <w:bottom w:val="single" w:color="000000" w:sz="4" w:space="0"/>
              <w:right w:val="single" w:color="000000" w:sz="4" w:space="0"/>
            </w:tcBorders>
          </w:tcPr>
          <w:p w14:paraId="067E71E9">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20d</w:t>
            </w:r>
          </w:p>
        </w:tc>
        <w:tc>
          <w:tcPr>
            <w:tcW w:w="9237" w:type="dxa"/>
            <w:tcBorders>
              <w:top w:val="single" w:color="000000" w:sz="4" w:space="0"/>
              <w:left w:val="single" w:color="000000" w:sz="4" w:space="0"/>
              <w:bottom w:val="single" w:color="000000" w:sz="4" w:space="0"/>
              <w:right w:val="single" w:color="000000" w:sz="4" w:space="0"/>
            </w:tcBorders>
          </w:tcPr>
          <w:p w14:paraId="61BD02C5">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Present results of all sensitivity analyses conducted to assess the robustness of the synthesized results.</w:t>
            </w:r>
          </w:p>
        </w:tc>
        <w:tc>
          <w:tcPr>
            <w:tcW w:w="1903" w:type="dxa"/>
            <w:tcBorders>
              <w:top w:val="single" w:color="000000" w:sz="4" w:space="0"/>
              <w:left w:val="single" w:color="000000" w:sz="4" w:space="0"/>
              <w:bottom w:val="single" w:color="000000" w:sz="4" w:space="0"/>
              <w:right w:val="single" w:color="000000" w:sz="4" w:space="0"/>
            </w:tcBorders>
          </w:tcPr>
          <w:p w14:paraId="45BF38E6">
            <w:pPr>
              <w:spacing w:before="40" w:after="40"/>
              <w:rPr>
                <w:rFonts w:hint="default" w:ascii="Times New Roman" w:hAnsi="Times New Roman" w:cs="Times New Roman"/>
                <w:color w:val="FF0000"/>
                <w:sz w:val="20"/>
                <w:szCs w:val="20"/>
                <w:highlight w:val="none"/>
                <w:lang w:val="en-US"/>
              </w:rPr>
            </w:pP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 xml:space="preserve">Page </w:t>
            </w: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9</w:t>
            </w:r>
            <w:r>
              <w:rPr>
                <w:rFonts w:hint="default" w:ascii="Times New Roman" w:hAnsi="Times New Roman" w:eastAsia="宋体" w:cs="Times New Roman"/>
                <w:i w:val="0"/>
                <w:iCs w:val="0"/>
                <w:color w:val="000000" w:themeColor="text1"/>
                <w:kern w:val="0"/>
                <w:sz w:val="20"/>
                <w:szCs w:val="20"/>
                <w:highlight w:val="none"/>
                <w:u w:val="none"/>
                <w:lang w:val="en-US" w:eastAsia="zh-CN" w:bidi="ar"/>
                <w14:textFill>
                  <w14:solidFill>
                    <w14:schemeClr w14:val="tx1"/>
                  </w14:solidFill>
                </w14:textFill>
              </w:rPr>
              <w:t>–</w:t>
            </w: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11</w:t>
            </w:r>
          </w:p>
        </w:tc>
      </w:tr>
      <w:tr w14:paraId="21DB192C">
        <w:tblPrEx>
          <w:tblCellMar>
            <w:top w:w="0" w:type="dxa"/>
            <w:left w:w="108" w:type="dxa"/>
            <w:bottom w:w="0" w:type="dxa"/>
            <w:right w:w="108" w:type="dxa"/>
          </w:tblCellMar>
        </w:tblPrEx>
        <w:trPr>
          <w:trHeight w:val="422" w:hRule="atLeast"/>
        </w:trPr>
        <w:tc>
          <w:tcPr>
            <w:tcW w:w="1984" w:type="dxa"/>
            <w:tcBorders>
              <w:top w:val="single" w:color="000000" w:sz="4" w:space="0"/>
              <w:left w:val="single" w:color="000000" w:sz="4" w:space="0"/>
              <w:bottom w:val="single" w:color="000000" w:sz="4" w:space="0"/>
              <w:right w:val="single" w:color="000000" w:sz="4" w:space="0"/>
            </w:tcBorders>
          </w:tcPr>
          <w:p w14:paraId="159FCA7A">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Reporting biases</w:t>
            </w:r>
          </w:p>
        </w:tc>
        <w:tc>
          <w:tcPr>
            <w:tcW w:w="813" w:type="dxa"/>
            <w:tcBorders>
              <w:top w:val="single" w:color="000000" w:sz="4" w:space="0"/>
              <w:left w:val="single" w:color="000000" w:sz="4" w:space="0"/>
              <w:bottom w:val="single" w:color="000000" w:sz="4" w:space="0"/>
              <w:right w:val="single" w:color="000000" w:sz="4" w:space="0"/>
            </w:tcBorders>
          </w:tcPr>
          <w:p w14:paraId="58EB186C">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21</w:t>
            </w:r>
          </w:p>
        </w:tc>
        <w:tc>
          <w:tcPr>
            <w:tcW w:w="9237" w:type="dxa"/>
            <w:tcBorders>
              <w:top w:val="single" w:color="000000" w:sz="4" w:space="0"/>
              <w:left w:val="single" w:color="000000" w:sz="4" w:space="0"/>
              <w:bottom w:val="single" w:color="000000" w:sz="4" w:space="0"/>
              <w:right w:val="single" w:color="000000" w:sz="4" w:space="0"/>
            </w:tcBorders>
          </w:tcPr>
          <w:p w14:paraId="7BC38C4F">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Present assessments of risk of bias due to missing results (arising from reporting biases) for each synthesis assessed.</w:t>
            </w:r>
          </w:p>
        </w:tc>
        <w:tc>
          <w:tcPr>
            <w:tcW w:w="1903" w:type="dxa"/>
            <w:tcBorders>
              <w:top w:val="single" w:color="000000" w:sz="4" w:space="0"/>
              <w:left w:val="single" w:color="000000" w:sz="4" w:space="0"/>
              <w:bottom w:val="single" w:color="000000" w:sz="4" w:space="0"/>
              <w:right w:val="single" w:color="000000" w:sz="4" w:space="0"/>
            </w:tcBorders>
          </w:tcPr>
          <w:p w14:paraId="6CCFB8BF">
            <w:pPr>
              <w:pStyle w:val="13"/>
              <w:spacing w:before="40" w:after="40"/>
              <w:rPr>
                <w:rFonts w:hint="default" w:ascii="Times New Roman" w:hAnsi="Times New Roman" w:cs="Times New Roman"/>
                <w:color w:val="000000" w:themeColor="text1"/>
                <w:sz w:val="20"/>
                <w:szCs w:val="20"/>
                <w:highlight w:val="none"/>
                <w:lang w:val="en-US"/>
                <w14:textFill>
                  <w14:solidFill>
                    <w14:schemeClr w14:val="tx1"/>
                  </w14:solidFill>
                </w14:textFill>
              </w:rPr>
            </w:pP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 xml:space="preserve">Page </w:t>
            </w: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11</w:t>
            </w:r>
          </w:p>
        </w:tc>
      </w:tr>
      <w:tr w14:paraId="2AD91495">
        <w:tblPrEx>
          <w:tblCellMar>
            <w:top w:w="0" w:type="dxa"/>
            <w:left w:w="108" w:type="dxa"/>
            <w:bottom w:w="0" w:type="dxa"/>
            <w:right w:w="108" w:type="dxa"/>
          </w:tblCellMar>
        </w:tblPrEx>
        <w:trPr>
          <w:trHeight w:val="238" w:hRule="atLeast"/>
        </w:trPr>
        <w:tc>
          <w:tcPr>
            <w:tcW w:w="1984" w:type="dxa"/>
            <w:tcBorders>
              <w:top w:val="single" w:color="000000" w:sz="4" w:space="0"/>
              <w:left w:val="single" w:color="000000" w:sz="4" w:space="0"/>
              <w:bottom w:val="single" w:color="000000" w:sz="4" w:space="0"/>
              <w:right w:val="single" w:color="000000" w:sz="4" w:space="0"/>
            </w:tcBorders>
          </w:tcPr>
          <w:p w14:paraId="2BADCD48">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Certainty of evidence </w:t>
            </w:r>
          </w:p>
        </w:tc>
        <w:tc>
          <w:tcPr>
            <w:tcW w:w="813" w:type="dxa"/>
            <w:tcBorders>
              <w:top w:val="single" w:color="000000" w:sz="4" w:space="0"/>
              <w:left w:val="single" w:color="000000" w:sz="4" w:space="0"/>
              <w:bottom w:val="single" w:color="000000" w:sz="4" w:space="0"/>
              <w:right w:val="single" w:color="000000" w:sz="4" w:space="0"/>
            </w:tcBorders>
          </w:tcPr>
          <w:p w14:paraId="71C2D63F">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22</w:t>
            </w:r>
          </w:p>
        </w:tc>
        <w:tc>
          <w:tcPr>
            <w:tcW w:w="9237" w:type="dxa"/>
            <w:tcBorders>
              <w:top w:val="single" w:color="000000" w:sz="4" w:space="0"/>
              <w:left w:val="single" w:color="000000" w:sz="4" w:space="0"/>
              <w:bottom w:val="single" w:color="000000" w:sz="4" w:space="0"/>
              <w:right w:val="single" w:color="000000" w:sz="4" w:space="0"/>
            </w:tcBorders>
          </w:tcPr>
          <w:p w14:paraId="37986198">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Present assessments of certainty (or confidence) in the body of evidence for each outcome assessed.</w:t>
            </w:r>
          </w:p>
        </w:tc>
        <w:tc>
          <w:tcPr>
            <w:tcW w:w="1903" w:type="dxa"/>
            <w:tcBorders>
              <w:top w:val="single" w:color="000000" w:sz="4" w:space="0"/>
              <w:left w:val="single" w:color="000000" w:sz="4" w:space="0"/>
              <w:bottom w:val="single" w:color="000000" w:sz="4" w:space="0"/>
              <w:right w:val="single" w:color="000000" w:sz="4" w:space="0"/>
            </w:tcBorders>
          </w:tcPr>
          <w:p w14:paraId="19060266">
            <w:pPr>
              <w:pStyle w:val="13"/>
              <w:spacing w:before="40" w:after="40"/>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 xml:space="preserve">Page </w:t>
            </w: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11</w:t>
            </w:r>
          </w:p>
        </w:tc>
      </w:tr>
      <w:tr w14:paraId="5BC37435">
        <w:tblPrEx>
          <w:tblCellMar>
            <w:top w:w="0" w:type="dxa"/>
            <w:left w:w="108" w:type="dxa"/>
            <w:bottom w:w="0" w:type="dxa"/>
            <w:right w:w="108" w:type="dxa"/>
          </w:tblCellMar>
        </w:tblPrEx>
        <w:trPr>
          <w:trHeight w:val="210" w:hRule="atLeast"/>
        </w:trPr>
        <w:tc>
          <w:tcPr>
            <w:tcW w:w="12034"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02E694D2">
            <w:pPr>
              <w:pStyle w:val="13"/>
              <w:rPr>
                <w:rFonts w:hint="default" w:ascii="Times New Roman" w:hAnsi="Times New Roman" w:cs="Times New Roman"/>
                <w:sz w:val="20"/>
                <w:szCs w:val="20"/>
                <w:highlight w:val="none"/>
              </w:rPr>
            </w:pPr>
            <w:r>
              <w:rPr>
                <w:rFonts w:hint="default" w:ascii="Times New Roman" w:hAnsi="Times New Roman" w:cs="Times New Roman"/>
                <w:b/>
                <w:bCs/>
                <w:sz w:val="20"/>
                <w:szCs w:val="20"/>
                <w:highlight w:val="none"/>
              </w:rPr>
              <w:t xml:space="preserve">DISCUSSION </w:t>
            </w:r>
          </w:p>
        </w:tc>
        <w:tc>
          <w:tcPr>
            <w:tcW w:w="1903" w:type="dxa"/>
            <w:tcBorders>
              <w:top w:val="double" w:color="000000" w:sz="4" w:space="0"/>
              <w:left w:val="single" w:color="000000" w:sz="4" w:space="0"/>
              <w:bottom w:val="single" w:color="000000" w:sz="4" w:space="0"/>
              <w:right w:val="single" w:color="000000" w:sz="4" w:space="0"/>
            </w:tcBorders>
            <w:shd w:val="clear" w:color="auto" w:fill="FFFFCC"/>
          </w:tcPr>
          <w:p w14:paraId="5A3BC5C2">
            <w:pPr>
              <w:pStyle w:val="13"/>
              <w:rPr>
                <w:rFonts w:hint="default" w:ascii="Times New Roman" w:hAnsi="Times New Roman" w:cs="Times New Roman"/>
                <w:color w:val="FF0000"/>
                <w:sz w:val="20"/>
                <w:szCs w:val="20"/>
                <w:highlight w:val="none"/>
              </w:rPr>
            </w:pPr>
          </w:p>
        </w:tc>
      </w:tr>
      <w:tr w14:paraId="723CBDEC">
        <w:tblPrEx>
          <w:tblCellMar>
            <w:top w:w="0" w:type="dxa"/>
            <w:left w:w="108" w:type="dxa"/>
            <w:bottom w:w="0" w:type="dxa"/>
            <w:right w:w="108" w:type="dxa"/>
          </w:tblCellMar>
        </w:tblPrEx>
        <w:trPr>
          <w:trHeight w:val="238" w:hRule="atLeast"/>
        </w:trPr>
        <w:tc>
          <w:tcPr>
            <w:tcW w:w="1984" w:type="dxa"/>
            <w:vMerge w:val="restart"/>
            <w:tcBorders>
              <w:top w:val="single" w:color="000000" w:sz="4" w:space="0"/>
              <w:left w:val="single" w:color="000000" w:sz="4" w:space="0"/>
              <w:right w:val="single" w:color="000000" w:sz="4" w:space="0"/>
            </w:tcBorders>
          </w:tcPr>
          <w:p w14:paraId="44F6784C">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Discussion </w:t>
            </w:r>
          </w:p>
        </w:tc>
        <w:tc>
          <w:tcPr>
            <w:tcW w:w="813" w:type="dxa"/>
            <w:tcBorders>
              <w:top w:val="single" w:color="000000" w:sz="4" w:space="0"/>
              <w:left w:val="single" w:color="000000" w:sz="4" w:space="0"/>
              <w:bottom w:val="single" w:color="000000" w:sz="4" w:space="0"/>
              <w:right w:val="single" w:color="000000" w:sz="4" w:space="0"/>
            </w:tcBorders>
          </w:tcPr>
          <w:p w14:paraId="515E576B">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23a</w:t>
            </w:r>
          </w:p>
        </w:tc>
        <w:tc>
          <w:tcPr>
            <w:tcW w:w="9237" w:type="dxa"/>
            <w:tcBorders>
              <w:top w:val="single" w:color="000000" w:sz="4" w:space="0"/>
              <w:left w:val="single" w:color="000000" w:sz="4" w:space="0"/>
              <w:bottom w:val="single" w:color="000000" w:sz="4" w:space="0"/>
              <w:right w:val="single" w:color="000000" w:sz="4" w:space="0"/>
            </w:tcBorders>
          </w:tcPr>
          <w:p w14:paraId="317E4A6B">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Provide a general interpretation of the results in the context of other evidence.</w:t>
            </w:r>
          </w:p>
        </w:tc>
        <w:tc>
          <w:tcPr>
            <w:tcW w:w="1903" w:type="dxa"/>
            <w:tcBorders>
              <w:top w:val="single" w:color="000000" w:sz="4" w:space="0"/>
              <w:left w:val="single" w:color="000000" w:sz="4" w:space="0"/>
              <w:bottom w:val="single" w:color="000000" w:sz="4" w:space="0"/>
              <w:right w:val="single" w:color="000000" w:sz="4" w:space="0"/>
            </w:tcBorders>
          </w:tcPr>
          <w:p w14:paraId="1A9AFE72">
            <w:pPr>
              <w:pStyle w:val="13"/>
              <w:spacing w:before="40" w:after="40"/>
              <w:rPr>
                <w:rFonts w:hint="default" w:ascii="Times New Roman" w:hAnsi="Times New Roman" w:cs="Times New Roman"/>
                <w:color w:val="000000" w:themeColor="text1"/>
                <w:sz w:val="20"/>
                <w:szCs w:val="20"/>
                <w:highlight w:val="none"/>
                <w:lang w:val="en-US"/>
                <w14:textFill>
                  <w14:solidFill>
                    <w14:schemeClr w14:val="tx1"/>
                  </w14:solidFill>
                </w14:textFill>
              </w:rPr>
            </w:pP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 xml:space="preserve">Page </w:t>
            </w: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11</w:t>
            </w:r>
            <w:r>
              <w:rPr>
                <w:rFonts w:hint="default" w:ascii="Times New Roman" w:hAnsi="Times New Roman" w:eastAsia="宋体" w:cs="Times New Roman"/>
                <w:i w:val="0"/>
                <w:iCs w:val="0"/>
                <w:color w:val="000000" w:themeColor="text1"/>
                <w:kern w:val="0"/>
                <w:sz w:val="20"/>
                <w:szCs w:val="20"/>
                <w:highlight w:val="none"/>
                <w:u w:val="none"/>
                <w:lang w:val="en-US" w:eastAsia="zh-CN" w:bidi="ar"/>
                <w14:textFill>
                  <w14:solidFill>
                    <w14:schemeClr w14:val="tx1"/>
                  </w14:solidFill>
                </w14:textFill>
              </w:rPr>
              <w:t>–</w:t>
            </w: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12</w:t>
            </w:r>
          </w:p>
        </w:tc>
      </w:tr>
      <w:tr w14:paraId="2FE6C864">
        <w:tblPrEx>
          <w:tblCellMar>
            <w:top w:w="0" w:type="dxa"/>
            <w:left w:w="108" w:type="dxa"/>
            <w:bottom w:w="0" w:type="dxa"/>
            <w:right w:w="108" w:type="dxa"/>
          </w:tblCellMar>
        </w:tblPrEx>
        <w:trPr>
          <w:trHeight w:val="238" w:hRule="atLeast"/>
        </w:trPr>
        <w:tc>
          <w:tcPr>
            <w:tcW w:w="1984" w:type="dxa"/>
            <w:vMerge w:val="continue"/>
            <w:tcBorders>
              <w:left w:val="single" w:color="000000" w:sz="4" w:space="0"/>
              <w:right w:val="single" w:color="000000" w:sz="4" w:space="0"/>
            </w:tcBorders>
          </w:tcPr>
          <w:p w14:paraId="2D640596">
            <w:pPr>
              <w:pStyle w:val="13"/>
              <w:spacing w:before="40" w:after="40"/>
              <w:rPr>
                <w:rFonts w:hint="default" w:ascii="Times New Roman" w:hAnsi="Times New Roman" w:cs="Times New Roman"/>
                <w:sz w:val="20"/>
                <w:szCs w:val="20"/>
                <w:highlight w:val="none"/>
              </w:rPr>
            </w:pPr>
          </w:p>
        </w:tc>
        <w:tc>
          <w:tcPr>
            <w:tcW w:w="813" w:type="dxa"/>
            <w:tcBorders>
              <w:top w:val="single" w:color="000000" w:sz="4" w:space="0"/>
              <w:left w:val="single" w:color="000000" w:sz="4" w:space="0"/>
              <w:bottom w:val="single" w:color="000000" w:sz="4" w:space="0"/>
              <w:right w:val="single" w:color="000000" w:sz="4" w:space="0"/>
            </w:tcBorders>
          </w:tcPr>
          <w:p w14:paraId="17CC4232">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23b</w:t>
            </w:r>
          </w:p>
        </w:tc>
        <w:tc>
          <w:tcPr>
            <w:tcW w:w="9237" w:type="dxa"/>
            <w:tcBorders>
              <w:top w:val="single" w:color="000000" w:sz="4" w:space="0"/>
              <w:left w:val="single" w:color="000000" w:sz="4" w:space="0"/>
              <w:bottom w:val="single" w:color="000000" w:sz="4" w:space="0"/>
              <w:right w:val="single" w:color="000000" w:sz="4" w:space="0"/>
            </w:tcBorders>
          </w:tcPr>
          <w:p w14:paraId="2FAAB828">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Discuss any limitations of the evidence included in the review.</w:t>
            </w:r>
          </w:p>
        </w:tc>
        <w:tc>
          <w:tcPr>
            <w:tcW w:w="1903" w:type="dxa"/>
            <w:tcBorders>
              <w:top w:val="single" w:color="000000" w:sz="4" w:space="0"/>
              <w:left w:val="single" w:color="000000" w:sz="4" w:space="0"/>
              <w:bottom w:val="single" w:color="000000" w:sz="4" w:space="0"/>
              <w:right w:val="single" w:color="000000" w:sz="4" w:space="0"/>
            </w:tcBorders>
          </w:tcPr>
          <w:p w14:paraId="3656594A">
            <w:pPr>
              <w:pStyle w:val="13"/>
              <w:spacing w:before="40" w:after="40"/>
              <w:rPr>
                <w:rFonts w:hint="default" w:ascii="Times New Roman" w:hAnsi="Times New Roman" w:cs="Times New Roman"/>
                <w:color w:val="000000" w:themeColor="text1"/>
                <w:sz w:val="20"/>
                <w:szCs w:val="20"/>
                <w:highlight w:val="none"/>
                <w:lang w:val="en-US"/>
                <w14:textFill>
                  <w14:solidFill>
                    <w14:schemeClr w14:val="tx1"/>
                  </w14:solidFill>
                </w14:textFill>
              </w:rPr>
            </w:pP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 xml:space="preserve">Page </w:t>
            </w: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13</w:t>
            </w:r>
            <w:r>
              <w:rPr>
                <w:rFonts w:hint="default" w:ascii="Times New Roman" w:hAnsi="Times New Roman" w:eastAsia="宋体" w:cs="Times New Roman"/>
                <w:i w:val="0"/>
                <w:iCs w:val="0"/>
                <w:color w:val="000000" w:themeColor="text1"/>
                <w:kern w:val="0"/>
                <w:sz w:val="20"/>
                <w:szCs w:val="20"/>
                <w:highlight w:val="none"/>
                <w:u w:val="none"/>
                <w:lang w:val="en-US" w:eastAsia="zh-CN" w:bidi="ar"/>
                <w14:textFill>
                  <w14:solidFill>
                    <w14:schemeClr w14:val="tx1"/>
                  </w14:solidFill>
                </w14:textFill>
              </w:rPr>
              <w:t>–</w:t>
            </w: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14</w:t>
            </w:r>
          </w:p>
        </w:tc>
      </w:tr>
      <w:tr w14:paraId="703B848F">
        <w:tblPrEx>
          <w:tblCellMar>
            <w:top w:w="0" w:type="dxa"/>
            <w:left w:w="108" w:type="dxa"/>
            <w:bottom w:w="0" w:type="dxa"/>
            <w:right w:w="108" w:type="dxa"/>
          </w:tblCellMar>
        </w:tblPrEx>
        <w:trPr>
          <w:trHeight w:val="238" w:hRule="atLeast"/>
        </w:trPr>
        <w:tc>
          <w:tcPr>
            <w:tcW w:w="1984" w:type="dxa"/>
            <w:vMerge w:val="continue"/>
            <w:tcBorders>
              <w:left w:val="single" w:color="000000" w:sz="4" w:space="0"/>
              <w:right w:val="single" w:color="000000" w:sz="4" w:space="0"/>
            </w:tcBorders>
          </w:tcPr>
          <w:p w14:paraId="6A4F61CF">
            <w:pPr>
              <w:pStyle w:val="13"/>
              <w:spacing w:before="40" w:after="40"/>
              <w:rPr>
                <w:rFonts w:hint="default" w:ascii="Times New Roman" w:hAnsi="Times New Roman" w:cs="Times New Roman"/>
                <w:sz w:val="20"/>
                <w:szCs w:val="20"/>
                <w:highlight w:val="none"/>
              </w:rPr>
            </w:pPr>
          </w:p>
        </w:tc>
        <w:tc>
          <w:tcPr>
            <w:tcW w:w="813" w:type="dxa"/>
            <w:tcBorders>
              <w:top w:val="single" w:color="000000" w:sz="4" w:space="0"/>
              <w:left w:val="single" w:color="000000" w:sz="4" w:space="0"/>
              <w:bottom w:val="single" w:color="auto" w:sz="4" w:space="0"/>
              <w:right w:val="single" w:color="000000" w:sz="4" w:space="0"/>
            </w:tcBorders>
          </w:tcPr>
          <w:p w14:paraId="410F1BBC">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23c</w:t>
            </w:r>
          </w:p>
        </w:tc>
        <w:tc>
          <w:tcPr>
            <w:tcW w:w="9237" w:type="dxa"/>
            <w:tcBorders>
              <w:top w:val="single" w:color="000000" w:sz="4" w:space="0"/>
              <w:left w:val="single" w:color="000000" w:sz="4" w:space="0"/>
              <w:bottom w:val="single" w:color="000000" w:sz="4" w:space="0"/>
              <w:right w:val="single" w:color="000000" w:sz="4" w:space="0"/>
            </w:tcBorders>
          </w:tcPr>
          <w:p w14:paraId="24674169">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Discuss any limitations of the review processes used.</w:t>
            </w:r>
          </w:p>
        </w:tc>
        <w:tc>
          <w:tcPr>
            <w:tcW w:w="1903" w:type="dxa"/>
            <w:tcBorders>
              <w:top w:val="single" w:color="000000" w:sz="4" w:space="0"/>
              <w:left w:val="single" w:color="000000" w:sz="4" w:space="0"/>
              <w:bottom w:val="single" w:color="000000" w:sz="4" w:space="0"/>
              <w:right w:val="single" w:color="000000" w:sz="4" w:space="0"/>
            </w:tcBorders>
          </w:tcPr>
          <w:p w14:paraId="4FEB2D32">
            <w:pPr>
              <w:pStyle w:val="13"/>
              <w:spacing w:before="40" w:after="40"/>
              <w:rPr>
                <w:rFonts w:hint="default" w:ascii="Times New Roman" w:hAnsi="Times New Roman" w:cs="Times New Roman"/>
                <w:color w:val="000000" w:themeColor="text1"/>
                <w:sz w:val="20"/>
                <w:szCs w:val="20"/>
                <w:highlight w:val="none"/>
                <w14:textFill>
                  <w14:solidFill>
                    <w14:schemeClr w14:val="tx1"/>
                  </w14:solidFill>
                </w14:textFill>
              </w:rPr>
            </w:pP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 xml:space="preserve">Page </w:t>
            </w: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13</w:t>
            </w:r>
            <w:r>
              <w:rPr>
                <w:rFonts w:hint="default" w:ascii="Times New Roman" w:hAnsi="Times New Roman" w:eastAsia="宋体" w:cs="Times New Roman"/>
                <w:i w:val="0"/>
                <w:iCs w:val="0"/>
                <w:color w:val="000000" w:themeColor="text1"/>
                <w:kern w:val="0"/>
                <w:sz w:val="20"/>
                <w:szCs w:val="20"/>
                <w:highlight w:val="none"/>
                <w:u w:val="none"/>
                <w:lang w:val="en-US" w:eastAsia="zh-CN" w:bidi="ar"/>
                <w14:textFill>
                  <w14:solidFill>
                    <w14:schemeClr w14:val="tx1"/>
                  </w14:solidFill>
                </w14:textFill>
              </w:rPr>
              <w:t>–</w:t>
            </w: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14</w:t>
            </w:r>
          </w:p>
        </w:tc>
      </w:tr>
      <w:tr w14:paraId="24458D36">
        <w:tblPrEx>
          <w:tblCellMar>
            <w:top w:w="0" w:type="dxa"/>
            <w:left w:w="108" w:type="dxa"/>
            <w:bottom w:w="0" w:type="dxa"/>
            <w:right w:w="108" w:type="dxa"/>
          </w:tblCellMar>
        </w:tblPrEx>
        <w:trPr>
          <w:trHeight w:val="238" w:hRule="atLeast"/>
        </w:trPr>
        <w:tc>
          <w:tcPr>
            <w:tcW w:w="1984" w:type="dxa"/>
            <w:vMerge w:val="continue"/>
            <w:tcBorders>
              <w:left w:val="single" w:color="000000" w:sz="4" w:space="0"/>
              <w:bottom w:val="single" w:color="auto" w:sz="4" w:space="0"/>
              <w:right w:val="single" w:color="000000" w:sz="4" w:space="0"/>
            </w:tcBorders>
          </w:tcPr>
          <w:p w14:paraId="539A6010">
            <w:pPr>
              <w:pStyle w:val="13"/>
              <w:spacing w:before="40" w:after="40"/>
              <w:rPr>
                <w:rFonts w:hint="default" w:ascii="Times New Roman" w:hAnsi="Times New Roman" w:cs="Times New Roman"/>
                <w:sz w:val="20"/>
                <w:szCs w:val="20"/>
                <w:highlight w:val="none"/>
              </w:rPr>
            </w:pPr>
          </w:p>
        </w:tc>
        <w:tc>
          <w:tcPr>
            <w:tcW w:w="813" w:type="dxa"/>
            <w:tcBorders>
              <w:top w:val="single" w:color="auto" w:sz="4" w:space="0"/>
              <w:left w:val="single" w:color="000000" w:sz="4" w:space="0"/>
              <w:bottom w:val="single" w:color="auto" w:sz="4" w:space="0"/>
              <w:right w:val="single" w:color="auto" w:sz="4" w:space="0"/>
            </w:tcBorders>
          </w:tcPr>
          <w:p w14:paraId="20676045">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23d</w:t>
            </w:r>
          </w:p>
        </w:tc>
        <w:tc>
          <w:tcPr>
            <w:tcW w:w="9237" w:type="dxa"/>
            <w:tcBorders>
              <w:top w:val="single" w:color="000000" w:sz="4" w:space="0"/>
              <w:left w:val="single" w:color="auto" w:sz="4" w:space="0"/>
              <w:bottom w:val="double" w:color="000000" w:sz="4" w:space="0"/>
              <w:right w:val="single" w:color="000000" w:sz="4" w:space="0"/>
            </w:tcBorders>
          </w:tcPr>
          <w:p w14:paraId="0EFEBAB9">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Discuss implications of the results for practice, policy, and future research.</w:t>
            </w:r>
          </w:p>
        </w:tc>
        <w:tc>
          <w:tcPr>
            <w:tcW w:w="1903" w:type="dxa"/>
            <w:tcBorders>
              <w:top w:val="single" w:color="000000" w:sz="4" w:space="0"/>
              <w:left w:val="single" w:color="000000" w:sz="4" w:space="0"/>
              <w:bottom w:val="double" w:color="000000" w:sz="4" w:space="0"/>
              <w:right w:val="single" w:color="000000" w:sz="4" w:space="0"/>
            </w:tcBorders>
          </w:tcPr>
          <w:p w14:paraId="7E2B9E8A">
            <w:pPr>
              <w:pStyle w:val="13"/>
              <w:spacing w:before="40" w:after="40"/>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 xml:space="preserve">Page </w:t>
            </w: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12</w:t>
            </w:r>
            <w:r>
              <w:rPr>
                <w:rFonts w:hint="default" w:ascii="Times New Roman" w:hAnsi="Times New Roman" w:eastAsia="宋体" w:cs="Times New Roman"/>
                <w:i w:val="0"/>
                <w:iCs w:val="0"/>
                <w:color w:val="000000" w:themeColor="text1"/>
                <w:kern w:val="0"/>
                <w:sz w:val="20"/>
                <w:szCs w:val="20"/>
                <w:highlight w:val="none"/>
                <w:u w:val="none"/>
                <w:lang w:val="en-US" w:eastAsia="zh-CN" w:bidi="ar"/>
                <w14:textFill>
                  <w14:solidFill>
                    <w14:schemeClr w14:val="tx1"/>
                  </w14:solidFill>
                </w14:textFill>
              </w:rPr>
              <w:t>–</w:t>
            </w: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14</w:t>
            </w:r>
          </w:p>
        </w:tc>
      </w:tr>
      <w:tr w14:paraId="6CD7556B">
        <w:tblPrEx>
          <w:tblCellMar>
            <w:top w:w="0" w:type="dxa"/>
            <w:left w:w="108" w:type="dxa"/>
            <w:bottom w:w="0" w:type="dxa"/>
            <w:right w:w="108" w:type="dxa"/>
          </w:tblCellMar>
        </w:tblPrEx>
        <w:trPr>
          <w:trHeight w:val="210" w:hRule="atLeast"/>
        </w:trPr>
        <w:tc>
          <w:tcPr>
            <w:tcW w:w="12034"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68035623">
            <w:pPr>
              <w:pStyle w:val="13"/>
              <w:rPr>
                <w:rFonts w:hint="default" w:ascii="Times New Roman" w:hAnsi="Times New Roman" w:cs="Times New Roman"/>
                <w:sz w:val="20"/>
                <w:szCs w:val="20"/>
                <w:highlight w:val="none"/>
              </w:rPr>
            </w:pPr>
            <w:r>
              <w:rPr>
                <w:rFonts w:hint="default" w:ascii="Times New Roman" w:hAnsi="Times New Roman" w:cs="Times New Roman"/>
                <w:b/>
                <w:bCs/>
                <w:sz w:val="20"/>
                <w:szCs w:val="20"/>
                <w:highlight w:val="none"/>
              </w:rPr>
              <w:t>OTHER INFORMATION</w:t>
            </w:r>
          </w:p>
        </w:tc>
        <w:tc>
          <w:tcPr>
            <w:tcW w:w="1903" w:type="dxa"/>
            <w:tcBorders>
              <w:top w:val="double" w:color="000000" w:sz="4" w:space="0"/>
              <w:left w:val="single" w:color="000000" w:sz="4" w:space="0"/>
              <w:bottom w:val="single" w:color="000000" w:sz="4" w:space="0"/>
              <w:right w:val="single" w:color="000000" w:sz="4" w:space="0"/>
            </w:tcBorders>
            <w:shd w:val="clear" w:color="auto" w:fill="FFFFCC"/>
          </w:tcPr>
          <w:p w14:paraId="06C9B13B">
            <w:pPr>
              <w:pStyle w:val="13"/>
              <w:rPr>
                <w:rFonts w:hint="default" w:ascii="Times New Roman" w:hAnsi="Times New Roman" w:cs="Times New Roman"/>
                <w:color w:val="000000" w:themeColor="text1"/>
                <w:sz w:val="20"/>
                <w:szCs w:val="20"/>
                <w:highlight w:val="none"/>
                <w14:textFill>
                  <w14:solidFill>
                    <w14:schemeClr w14:val="tx1"/>
                  </w14:solidFill>
                </w14:textFill>
              </w:rPr>
            </w:pPr>
          </w:p>
        </w:tc>
      </w:tr>
      <w:tr w14:paraId="3D836BE1">
        <w:tblPrEx>
          <w:tblCellMar>
            <w:top w:w="0" w:type="dxa"/>
            <w:left w:w="108" w:type="dxa"/>
            <w:bottom w:w="0" w:type="dxa"/>
            <w:right w:w="108" w:type="dxa"/>
          </w:tblCellMar>
        </w:tblPrEx>
        <w:trPr>
          <w:trHeight w:val="422" w:hRule="atLeast"/>
        </w:trPr>
        <w:tc>
          <w:tcPr>
            <w:tcW w:w="1984" w:type="dxa"/>
            <w:vMerge w:val="restart"/>
            <w:tcBorders>
              <w:top w:val="single" w:color="000000" w:sz="4" w:space="0"/>
              <w:left w:val="single" w:color="000000" w:sz="4" w:space="0"/>
              <w:right w:val="single" w:color="000000" w:sz="4" w:space="0"/>
            </w:tcBorders>
          </w:tcPr>
          <w:p w14:paraId="782C9ED8">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Registration and protocol</w:t>
            </w:r>
          </w:p>
        </w:tc>
        <w:tc>
          <w:tcPr>
            <w:tcW w:w="813" w:type="dxa"/>
            <w:tcBorders>
              <w:top w:val="single" w:color="000000" w:sz="4" w:space="0"/>
              <w:left w:val="single" w:color="000000" w:sz="4" w:space="0"/>
              <w:bottom w:val="single" w:color="000000" w:sz="4" w:space="0"/>
              <w:right w:val="single" w:color="000000" w:sz="4" w:space="0"/>
            </w:tcBorders>
          </w:tcPr>
          <w:p w14:paraId="5222A9B0">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24a</w:t>
            </w:r>
          </w:p>
        </w:tc>
        <w:tc>
          <w:tcPr>
            <w:tcW w:w="9237" w:type="dxa"/>
            <w:tcBorders>
              <w:top w:val="single" w:color="000000" w:sz="4" w:space="0"/>
              <w:left w:val="single" w:color="000000" w:sz="4" w:space="0"/>
              <w:bottom w:val="single" w:color="000000" w:sz="4" w:space="0"/>
              <w:right w:val="single" w:color="000000" w:sz="4" w:space="0"/>
            </w:tcBorders>
          </w:tcPr>
          <w:p w14:paraId="7780EEFD">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Provide registration information for the review, including register name and registration number, or state that the review was not registered.</w:t>
            </w:r>
          </w:p>
        </w:tc>
        <w:tc>
          <w:tcPr>
            <w:tcW w:w="1903" w:type="dxa"/>
            <w:tcBorders>
              <w:top w:val="single" w:color="000000" w:sz="4" w:space="0"/>
              <w:left w:val="single" w:color="000000" w:sz="4" w:space="0"/>
              <w:bottom w:val="single" w:color="000000" w:sz="4" w:space="0"/>
              <w:right w:val="single" w:color="000000" w:sz="4" w:space="0"/>
            </w:tcBorders>
          </w:tcPr>
          <w:p w14:paraId="6E8F4576">
            <w:pPr>
              <w:pStyle w:val="13"/>
              <w:spacing w:before="40" w:after="40"/>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pPr>
            <w:r>
              <w:rPr>
                <w:rFonts w:hint="default" w:ascii="Times New Roman" w:hAnsi="Times New Roman" w:eastAsia="URWPalladioL-Roma" w:cs="Times New Roman"/>
                <w:color w:val="000000" w:themeColor="text1"/>
                <w:sz w:val="20"/>
                <w:szCs w:val="20"/>
                <w:highlight w:val="none"/>
                <w:lang w:bidi="ar"/>
                <w14:textFill>
                  <w14:solidFill>
                    <w14:schemeClr w14:val="tx1"/>
                  </w14:solidFill>
                </w14:textFill>
              </w:rPr>
              <w:t>PROSPERO</w:t>
            </w:r>
            <w:r>
              <w:rPr>
                <w:rFonts w:hint="default" w:ascii="Times New Roman" w:hAnsi="Times New Roman" w:eastAsia="宋体" w:cs="Times New Roman"/>
                <w:color w:val="000000" w:themeColor="text1"/>
                <w:sz w:val="20"/>
                <w:szCs w:val="20"/>
                <w:highlight w:val="none"/>
                <w:lang w:val="en-US" w:eastAsia="zh-CN" w:bidi="ar"/>
                <w14:textFill>
                  <w14:solidFill>
                    <w14:schemeClr w14:val="tx1"/>
                  </w14:solidFill>
                </w14:textFill>
              </w:rPr>
              <w:t xml:space="preserve">: </w:t>
            </w:r>
            <w:r>
              <w:rPr>
                <w:rFonts w:hint="default" w:ascii="Times New Roman" w:hAnsi="Times New Roman" w:cs="Times New Roman"/>
                <w:color w:val="000000" w:themeColor="text1"/>
                <w:sz w:val="20"/>
                <w:szCs w:val="20"/>
                <w:highlight w:val="none"/>
                <w:lang w:val="en-US" w:eastAsia="zh-CN"/>
                <w14:textFill>
                  <w14:solidFill>
                    <w14:schemeClr w14:val="tx1"/>
                  </w14:solidFill>
                </w14:textFill>
              </w:rPr>
              <w:t>CRD42024527263</w:t>
            </w:r>
          </w:p>
        </w:tc>
      </w:tr>
      <w:tr w14:paraId="6A6EF927">
        <w:tblPrEx>
          <w:tblCellMar>
            <w:top w:w="0" w:type="dxa"/>
            <w:left w:w="108" w:type="dxa"/>
            <w:bottom w:w="0" w:type="dxa"/>
            <w:right w:w="108" w:type="dxa"/>
          </w:tblCellMar>
        </w:tblPrEx>
        <w:trPr>
          <w:trHeight w:val="238" w:hRule="atLeast"/>
        </w:trPr>
        <w:tc>
          <w:tcPr>
            <w:tcW w:w="1984" w:type="dxa"/>
            <w:vMerge w:val="continue"/>
            <w:tcBorders>
              <w:left w:val="single" w:color="000000" w:sz="4" w:space="0"/>
              <w:right w:val="single" w:color="000000" w:sz="4" w:space="0"/>
            </w:tcBorders>
          </w:tcPr>
          <w:p w14:paraId="500A553D">
            <w:pPr>
              <w:pStyle w:val="13"/>
              <w:spacing w:before="40" w:after="40"/>
              <w:rPr>
                <w:rFonts w:hint="default" w:ascii="Times New Roman" w:hAnsi="Times New Roman" w:cs="Times New Roman"/>
                <w:sz w:val="20"/>
                <w:szCs w:val="20"/>
                <w:highlight w:val="none"/>
              </w:rPr>
            </w:pPr>
          </w:p>
        </w:tc>
        <w:tc>
          <w:tcPr>
            <w:tcW w:w="813" w:type="dxa"/>
            <w:tcBorders>
              <w:top w:val="single" w:color="000000" w:sz="4" w:space="0"/>
              <w:left w:val="single" w:color="000000" w:sz="4" w:space="0"/>
              <w:bottom w:val="single" w:color="000000" w:sz="4" w:space="0"/>
              <w:right w:val="single" w:color="000000" w:sz="4" w:space="0"/>
            </w:tcBorders>
          </w:tcPr>
          <w:p w14:paraId="4437F3D4">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24b</w:t>
            </w:r>
          </w:p>
        </w:tc>
        <w:tc>
          <w:tcPr>
            <w:tcW w:w="9237" w:type="dxa"/>
            <w:tcBorders>
              <w:top w:val="single" w:color="000000" w:sz="4" w:space="0"/>
              <w:left w:val="single" w:color="000000" w:sz="4" w:space="0"/>
              <w:bottom w:val="single" w:color="000000" w:sz="4" w:space="0"/>
              <w:right w:val="single" w:color="000000" w:sz="4" w:space="0"/>
            </w:tcBorders>
          </w:tcPr>
          <w:p w14:paraId="2DB54A3F">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Indicate where the review protocol can be accessed, or state that a protocol was not prepared.</w:t>
            </w:r>
          </w:p>
        </w:tc>
        <w:tc>
          <w:tcPr>
            <w:tcW w:w="1903" w:type="dxa"/>
            <w:tcBorders>
              <w:top w:val="single" w:color="000000" w:sz="4" w:space="0"/>
              <w:left w:val="single" w:color="000000" w:sz="4" w:space="0"/>
              <w:bottom w:val="single" w:color="000000" w:sz="4" w:space="0"/>
              <w:right w:val="single" w:color="000000" w:sz="4" w:space="0"/>
            </w:tcBorders>
          </w:tcPr>
          <w:p w14:paraId="074B48F2">
            <w:pPr>
              <w:pStyle w:val="13"/>
              <w:spacing w:before="40" w:after="40"/>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 xml:space="preserve">Page </w:t>
            </w: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4</w:t>
            </w:r>
          </w:p>
        </w:tc>
      </w:tr>
      <w:tr w14:paraId="7FF34282">
        <w:tblPrEx>
          <w:tblCellMar>
            <w:top w:w="0" w:type="dxa"/>
            <w:left w:w="108" w:type="dxa"/>
            <w:bottom w:w="0" w:type="dxa"/>
            <w:right w:w="108" w:type="dxa"/>
          </w:tblCellMar>
        </w:tblPrEx>
        <w:trPr>
          <w:trHeight w:val="238" w:hRule="atLeast"/>
        </w:trPr>
        <w:tc>
          <w:tcPr>
            <w:tcW w:w="1984" w:type="dxa"/>
            <w:vMerge w:val="continue"/>
            <w:tcBorders>
              <w:left w:val="single" w:color="000000" w:sz="4" w:space="0"/>
              <w:bottom w:val="single" w:color="000000" w:sz="4" w:space="0"/>
              <w:right w:val="single" w:color="000000" w:sz="4" w:space="0"/>
            </w:tcBorders>
          </w:tcPr>
          <w:p w14:paraId="79CC3634">
            <w:pPr>
              <w:pStyle w:val="13"/>
              <w:spacing w:before="40" w:after="40"/>
              <w:rPr>
                <w:rFonts w:hint="default" w:ascii="Times New Roman" w:hAnsi="Times New Roman" w:cs="Times New Roman"/>
                <w:sz w:val="20"/>
                <w:szCs w:val="20"/>
                <w:highlight w:val="none"/>
              </w:rPr>
            </w:pPr>
          </w:p>
        </w:tc>
        <w:tc>
          <w:tcPr>
            <w:tcW w:w="813" w:type="dxa"/>
            <w:tcBorders>
              <w:top w:val="single" w:color="000000" w:sz="4" w:space="0"/>
              <w:left w:val="single" w:color="000000" w:sz="4" w:space="0"/>
              <w:bottom w:val="single" w:color="000000" w:sz="4" w:space="0"/>
              <w:right w:val="single" w:color="000000" w:sz="4" w:space="0"/>
            </w:tcBorders>
          </w:tcPr>
          <w:p w14:paraId="5DD2ABEC">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24c</w:t>
            </w:r>
          </w:p>
        </w:tc>
        <w:tc>
          <w:tcPr>
            <w:tcW w:w="9237" w:type="dxa"/>
            <w:tcBorders>
              <w:top w:val="single" w:color="000000" w:sz="4" w:space="0"/>
              <w:left w:val="single" w:color="000000" w:sz="4" w:space="0"/>
              <w:bottom w:val="single" w:color="000000" w:sz="4" w:space="0"/>
              <w:right w:val="single" w:color="000000" w:sz="4" w:space="0"/>
            </w:tcBorders>
          </w:tcPr>
          <w:p w14:paraId="12260889">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Describe and explain any amendments to information provided at registration or in the protocol.</w:t>
            </w:r>
          </w:p>
        </w:tc>
        <w:tc>
          <w:tcPr>
            <w:tcW w:w="1903" w:type="dxa"/>
            <w:tcBorders>
              <w:top w:val="single" w:color="000000" w:sz="4" w:space="0"/>
              <w:left w:val="single" w:color="000000" w:sz="4" w:space="0"/>
              <w:bottom w:val="single" w:color="000000" w:sz="4" w:space="0"/>
              <w:right w:val="single" w:color="000000" w:sz="4" w:space="0"/>
            </w:tcBorders>
          </w:tcPr>
          <w:p w14:paraId="015020E3">
            <w:pPr>
              <w:pStyle w:val="13"/>
              <w:spacing w:before="40" w:after="40"/>
              <w:rPr>
                <w:rFonts w:hint="default" w:ascii="Times New Roman" w:hAnsi="Times New Roman" w:cs="Times New Roman"/>
                <w:color w:val="FF0000"/>
                <w:sz w:val="20"/>
                <w:szCs w:val="20"/>
                <w:highlight w:val="none"/>
                <w:lang w:val="en-US"/>
              </w:rPr>
            </w:pP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 xml:space="preserve">Page </w:t>
            </w: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4</w:t>
            </w:r>
          </w:p>
        </w:tc>
      </w:tr>
      <w:tr w14:paraId="00CF5A20">
        <w:tblPrEx>
          <w:tblCellMar>
            <w:top w:w="0" w:type="dxa"/>
            <w:left w:w="108" w:type="dxa"/>
            <w:bottom w:w="0" w:type="dxa"/>
            <w:right w:w="108" w:type="dxa"/>
          </w:tblCellMar>
        </w:tblPrEx>
        <w:trPr>
          <w:trHeight w:val="422" w:hRule="atLeast"/>
        </w:trPr>
        <w:tc>
          <w:tcPr>
            <w:tcW w:w="1984" w:type="dxa"/>
            <w:tcBorders>
              <w:top w:val="single" w:color="000000" w:sz="4" w:space="0"/>
              <w:left w:val="single" w:color="000000" w:sz="4" w:space="0"/>
              <w:bottom w:val="single" w:color="000000" w:sz="4" w:space="0"/>
              <w:right w:val="single" w:color="000000" w:sz="4" w:space="0"/>
            </w:tcBorders>
          </w:tcPr>
          <w:p w14:paraId="794DCE88">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Support</w:t>
            </w:r>
          </w:p>
        </w:tc>
        <w:tc>
          <w:tcPr>
            <w:tcW w:w="813" w:type="dxa"/>
            <w:tcBorders>
              <w:top w:val="single" w:color="000000" w:sz="4" w:space="0"/>
              <w:left w:val="single" w:color="000000" w:sz="4" w:space="0"/>
              <w:bottom w:val="single" w:color="000000" w:sz="4" w:space="0"/>
              <w:right w:val="single" w:color="000000" w:sz="4" w:space="0"/>
            </w:tcBorders>
          </w:tcPr>
          <w:p w14:paraId="6172E726">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25</w:t>
            </w:r>
          </w:p>
        </w:tc>
        <w:tc>
          <w:tcPr>
            <w:tcW w:w="9237" w:type="dxa"/>
            <w:tcBorders>
              <w:top w:val="single" w:color="000000" w:sz="4" w:space="0"/>
              <w:left w:val="single" w:color="000000" w:sz="4" w:space="0"/>
              <w:bottom w:val="single" w:color="000000" w:sz="4" w:space="0"/>
              <w:right w:val="single" w:color="000000" w:sz="4" w:space="0"/>
            </w:tcBorders>
          </w:tcPr>
          <w:p w14:paraId="3ACA274E">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Describe sources of financial or non-financial support for the review, and the role of the funders or sponsors in the review.</w:t>
            </w:r>
          </w:p>
        </w:tc>
        <w:tc>
          <w:tcPr>
            <w:tcW w:w="1903" w:type="dxa"/>
            <w:tcBorders>
              <w:top w:val="single" w:color="000000" w:sz="4" w:space="0"/>
              <w:left w:val="single" w:color="000000" w:sz="4" w:space="0"/>
              <w:bottom w:val="single" w:color="000000" w:sz="4" w:space="0"/>
              <w:right w:val="single" w:color="000000" w:sz="4" w:space="0"/>
            </w:tcBorders>
          </w:tcPr>
          <w:p w14:paraId="522CD876">
            <w:pPr>
              <w:pStyle w:val="13"/>
              <w:spacing w:before="40" w:after="40"/>
              <w:rPr>
                <w:rFonts w:hint="default" w:ascii="Times New Roman" w:hAnsi="Times New Roman" w:cs="Times New Roman"/>
                <w:color w:val="FF0000"/>
                <w:sz w:val="20"/>
                <w:szCs w:val="20"/>
                <w:highlight w:val="none"/>
                <w:lang w:val="en-US"/>
              </w:rPr>
            </w:pP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 xml:space="preserve">Page </w:t>
            </w: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16</w:t>
            </w:r>
          </w:p>
        </w:tc>
      </w:tr>
      <w:tr w14:paraId="24C5E6B4">
        <w:tblPrEx>
          <w:tblCellMar>
            <w:top w:w="0" w:type="dxa"/>
            <w:left w:w="108" w:type="dxa"/>
            <w:bottom w:w="0" w:type="dxa"/>
            <w:right w:w="108" w:type="dxa"/>
          </w:tblCellMar>
        </w:tblPrEx>
        <w:trPr>
          <w:trHeight w:val="238" w:hRule="atLeast"/>
        </w:trPr>
        <w:tc>
          <w:tcPr>
            <w:tcW w:w="1984" w:type="dxa"/>
            <w:tcBorders>
              <w:top w:val="single" w:color="000000" w:sz="4" w:space="0"/>
              <w:left w:val="single" w:color="000000" w:sz="4" w:space="0"/>
              <w:bottom w:val="single" w:color="000000" w:sz="4" w:space="0"/>
              <w:right w:val="single" w:color="000000" w:sz="4" w:space="0"/>
            </w:tcBorders>
          </w:tcPr>
          <w:p w14:paraId="26059453">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Competing interests</w:t>
            </w:r>
          </w:p>
        </w:tc>
        <w:tc>
          <w:tcPr>
            <w:tcW w:w="813" w:type="dxa"/>
            <w:tcBorders>
              <w:top w:val="single" w:color="000000" w:sz="4" w:space="0"/>
              <w:left w:val="single" w:color="000000" w:sz="4" w:space="0"/>
              <w:bottom w:val="single" w:color="000000" w:sz="4" w:space="0"/>
              <w:right w:val="single" w:color="000000" w:sz="4" w:space="0"/>
            </w:tcBorders>
          </w:tcPr>
          <w:p w14:paraId="0593C1D9">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26</w:t>
            </w:r>
          </w:p>
        </w:tc>
        <w:tc>
          <w:tcPr>
            <w:tcW w:w="9237" w:type="dxa"/>
            <w:tcBorders>
              <w:top w:val="single" w:color="000000" w:sz="4" w:space="0"/>
              <w:left w:val="single" w:color="000000" w:sz="4" w:space="0"/>
              <w:bottom w:val="single" w:color="000000" w:sz="4" w:space="0"/>
              <w:right w:val="single" w:color="000000" w:sz="4" w:space="0"/>
            </w:tcBorders>
          </w:tcPr>
          <w:p w14:paraId="0D2992CD">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Declare any competing interests of review authors.</w:t>
            </w:r>
          </w:p>
        </w:tc>
        <w:tc>
          <w:tcPr>
            <w:tcW w:w="1903" w:type="dxa"/>
            <w:tcBorders>
              <w:top w:val="single" w:color="000000" w:sz="4" w:space="0"/>
              <w:left w:val="single" w:color="000000" w:sz="4" w:space="0"/>
              <w:bottom w:val="single" w:color="000000" w:sz="4" w:space="0"/>
              <w:right w:val="single" w:color="000000" w:sz="4" w:space="0"/>
            </w:tcBorders>
          </w:tcPr>
          <w:p w14:paraId="43A10792">
            <w:pPr>
              <w:pStyle w:val="13"/>
              <w:spacing w:before="40" w:after="40"/>
              <w:rPr>
                <w:rFonts w:hint="default" w:ascii="Times New Roman" w:hAnsi="Times New Roman" w:cs="Times New Roman"/>
                <w:color w:val="FF0000"/>
                <w:sz w:val="20"/>
                <w:szCs w:val="20"/>
                <w:highlight w:val="none"/>
                <w:lang w:val="en-US"/>
              </w:rPr>
            </w:pP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 xml:space="preserve">Page </w:t>
            </w: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16</w:t>
            </w:r>
          </w:p>
        </w:tc>
      </w:tr>
      <w:tr w14:paraId="31D6711E">
        <w:tblPrEx>
          <w:tblCellMar>
            <w:top w:w="0" w:type="dxa"/>
            <w:left w:w="108" w:type="dxa"/>
            <w:bottom w:w="0" w:type="dxa"/>
            <w:right w:w="108" w:type="dxa"/>
          </w:tblCellMar>
        </w:tblPrEx>
        <w:trPr>
          <w:trHeight w:val="623" w:hRule="atLeast"/>
        </w:trPr>
        <w:tc>
          <w:tcPr>
            <w:tcW w:w="1984" w:type="dxa"/>
            <w:tcBorders>
              <w:top w:val="single" w:color="000000" w:sz="4" w:space="0"/>
              <w:left w:val="single" w:color="000000" w:sz="4" w:space="0"/>
              <w:bottom w:val="double" w:color="000000" w:sz="4" w:space="0"/>
              <w:right w:val="single" w:color="000000" w:sz="4" w:space="0"/>
            </w:tcBorders>
          </w:tcPr>
          <w:p w14:paraId="772CC45C">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Availability of data, code and other materials</w:t>
            </w:r>
          </w:p>
        </w:tc>
        <w:tc>
          <w:tcPr>
            <w:tcW w:w="813" w:type="dxa"/>
            <w:tcBorders>
              <w:top w:val="single" w:color="000000" w:sz="4" w:space="0"/>
              <w:left w:val="single" w:color="000000" w:sz="4" w:space="0"/>
              <w:bottom w:val="double" w:color="000000" w:sz="4" w:space="0"/>
              <w:right w:val="single" w:color="000000" w:sz="4" w:space="0"/>
            </w:tcBorders>
          </w:tcPr>
          <w:p w14:paraId="758F8655">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27</w:t>
            </w:r>
          </w:p>
        </w:tc>
        <w:tc>
          <w:tcPr>
            <w:tcW w:w="9237" w:type="dxa"/>
            <w:tcBorders>
              <w:top w:val="single" w:color="000000" w:sz="4" w:space="0"/>
              <w:left w:val="single" w:color="000000" w:sz="4" w:space="0"/>
              <w:bottom w:val="double" w:color="000000" w:sz="4" w:space="0"/>
              <w:right w:val="single" w:color="000000" w:sz="4" w:space="0"/>
            </w:tcBorders>
          </w:tcPr>
          <w:p w14:paraId="1F39C07A">
            <w:pPr>
              <w:pStyle w:val="13"/>
              <w:spacing w:before="40" w:after="40"/>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Report which of the following are publicly available and where they can be found: template data collection forms; data extracted from included studies; data used for all analyses; analytic code; any other materials used in the review.</w:t>
            </w:r>
          </w:p>
        </w:tc>
        <w:tc>
          <w:tcPr>
            <w:tcW w:w="1903" w:type="dxa"/>
            <w:tcBorders>
              <w:top w:val="single" w:color="000000" w:sz="4" w:space="0"/>
              <w:left w:val="single" w:color="000000" w:sz="4" w:space="0"/>
              <w:bottom w:val="double" w:color="000000" w:sz="4" w:space="0"/>
              <w:right w:val="single" w:color="000000" w:sz="4" w:space="0"/>
            </w:tcBorders>
          </w:tcPr>
          <w:p w14:paraId="12CDDEF9">
            <w:pPr>
              <w:pStyle w:val="13"/>
              <w:spacing w:before="40" w:after="40"/>
              <w:rPr>
                <w:rFonts w:hint="default" w:ascii="Times New Roman" w:hAnsi="Times New Roman" w:cs="Times New Roman"/>
                <w:color w:val="FF0000"/>
                <w:sz w:val="20"/>
                <w:szCs w:val="20"/>
                <w:highlight w:val="none"/>
                <w:lang w:val="en-US"/>
              </w:rPr>
            </w:pP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 xml:space="preserve">Page </w:t>
            </w: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15</w:t>
            </w:r>
            <w:r>
              <w:rPr>
                <w:rFonts w:hint="default" w:ascii="Times New Roman" w:hAnsi="Times New Roman" w:eastAsia="宋体" w:cs="Times New Roman"/>
                <w:i w:val="0"/>
                <w:iCs w:val="0"/>
                <w:color w:val="000000" w:themeColor="text1"/>
                <w:kern w:val="0"/>
                <w:sz w:val="20"/>
                <w:szCs w:val="20"/>
                <w:highlight w:val="none"/>
                <w:u w:val="none"/>
                <w:lang w:val="en-US" w:eastAsia="zh-CN" w:bidi="ar"/>
                <w14:textFill>
                  <w14:solidFill>
                    <w14:schemeClr w14:val="tx1"/>
                  </w14:solidFill>
                </w14:textFill>
              </w:rPr>
              <w:t>–</w:t>
            </w:r>
            <w:r>
              <w:rPr>
                <w:rFonts w:hint="default" w:ascii="Times New Roman" w:hAnsi="Times New Roman" w:eastAsia="宋体" w:cs="Times New Roman"/>
                <w:color w:val="000000" w:themeColor="text1"/>
                <w:sz w:val="20"/>
                <w:szCs w:val="20"/>
                <w:highlight w:val="none"/>
                <w:lang w:val="en-US" w:eastAsia="zh-CN"/>
                <w14:textFill>
                  <w14:solidFill>
                    <w14:schemeClr w14:val="tx1"/>
                  </w14:solidFill>
                </w14:textFill>
              </w:rPr>
              <w:t>16</w:t>
            </w:r>
          </w:p>
        </w:tc>
      </w:tr>
    </w:tbl>
    <w:p w14:paraId="4AFA55C3">
      <w:pPr>
        <w:pStyle w:val="13"/>
        <w:spacing w:before="40" w:after="40"/>
        <w:rPr>
          <w:rFonts w:hint="default" w:ascii="Times New Roman" w:hAnsi="Times New Roman" w:cs="Times New Roman"/>
          <w:sz w:val="20"/>
          <w:szCs w:val="20"/>
          <w:highlight w:val="none"/>
          <w:lang w:val="en-US"/>
        </w:rPr>
      </w:pPr>
      <w:r>
        <w:rPr>
          <w:rFonts w:hint="default" w:ascii="Times New Roman" w:hAnsi="Times New Roman" w:cs="Times New Roman"/>
          <w:sz w:val="20"/>
          <w:szCs w:val="20"/>
          <w:highlight w:val="none"/>
        </w:rPr>
        <w:t>From:</w:t>
      </w:r>
      <w:r>
        <w:rPr>
          <w:rFonts w:hint="default"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rPr>
        <w:t>Page MJ, McKenzie JE, Bossuyt PM, Boutron I, Hoffmann TC, Mulrow CD, et al. The PRISMA 2020 statement: an updated guideline for reporting systematic reviews. BMJ 2021;372:n71. doi: 10.1136/bmj.n71</w:t>
      </w:r>
      <w:r>
        <w:rPr>
          <w:rFonts w:hint="default" w:ascii="Times New Roman" w:hAnsi="Times New Roman" w:eastAsia="宋体" w:cs="Times New Roman"/>
          <w:sz w:val="20"/>
          <w:szCs w:val="20"/>
          <w:highlight w:val="none"/>
          <w:lang w:val="en-US" w:eastAsia="zh-CN"/>
        </w:rPr>
        <w:t xml:space="preserve">  </w:t>
      </w:r>
      <w:r>
        <w:rPr>
          <w:rFonts w:hint="default" w:ascii="Times New Roman" w:hAnsi="Times New Roman" w:cs="Times New Roman"/>
          <w:sz w:val="20"/>
          <w:szCs w:val="20"/>
          <w:highlight w:val="none"/>
        </w:rPr>
        <w:t>For more information, visit:</w:t>
      </w:r>
      <w:r>
        <w:rPr>
          <w:rFonts w:hint="default" w:ascii="Times New Roman" w:hAnsi="Times New Roman" w:cs="Times New Roman"/>
          <w:sz w:val="20"/>
          <w:szCs w:val="20"/>
          <w:highlight w:val="none"/>
          <w:lang w:val="en-US"/>
        </w:rPr>
        <w:t xml:space="preserve"> </w:t>
      </w:r>
      <w:r>
        <w:rPr>
          <w:rFonts w:hint="default" w:ascii="Times New Roman" w:hAnsi="Times New Roman" w:cs="Times New Roman"/>
          <w:sz w:val="20"/>
          <w:szCs w:val="20"/>
          <w:highlight w:val="none"/>
        </w:rPr>
        <w:fldChar w:fldCharType="begin"/>
      </w:r>
      <w:r>
        <w:rPr>
          <w:rFonts w:hint="default" w:ascii="Times New Roman" w:hAnsi="Times New Roman" w:cs="Times New Roman"/>
          <w:sz w:val="20"/>
          <w:szCs w:val="20"/>
          <w:highlight w:val="none"/>
        </w:rPr>
        <w:instrText xml:space="preserve"> HYPERLINK "http://www.prisma-statement.org/" </w:instrText>
      </w:r>
      <w:r>
        <w:rPr>
          <w:rFonts w:hint="default" w:ascii="Times New Roman" w:hAnsi="Times New Roman" w:cs="Times New Roman"/>
          <w:sz w:val="20"/>
          <w:szCs w:val="20"/>
          <w:highlight w:val="none"/>
        </w:rPr>
        <w:fldChar w:fldCharType="separate"/>
      </w:r>
      <w:r>
        <w:rPr>
          <w:rFonts w:hint="default" w:ascii="Times New Roman" w:hAnsi="Times New Roman" w:cs="Times New Roman"/>
          <w:sz w:val="20"/>
          <w:szCs w:val="20"/>
          <w:highlight w:val="none"/>
          <w:lang w:val="en-US"/>
        </w:rPr>
        <w:t>http://www.prisma-statement.org/</w:t>
      </w:r>
      <w:r>
        <w:rPr>
          <w:rFonts w:hint="default" w:ascii="Times New Roman" w:hAnsi="Times New Roman" w:cs="Times New Roman"/>
          <w:sz w:val="20"/>
          <w:szCs w:val="20"/>
          <w:highlight w:val="none"/>
          <w:lang w:val="en-US"/>
        </w:rPr>
        <w:fldChar w:fldCharType="end"/>
      </w:r>
      <w:r>
        <w:rPr>
          <w:rFonts w:hint="default" w:ascii="Times New Roman" w:hAnsi="Times New Roman" w:cs="Times New Roman"/>
          <w:sz w:val="20"/>
          <w:szCs w:val="20"/>
          <w:highlight w:val="none"/>
          <w:lang w:val="en-US"/>
        </w:rPr>
        <w:t xml:space="preserve"> </w:t>
      </w:r>
    </w:p>
    <w:p w14:paraId="76FE665C">
      <w:pPr>
        <w:rPr>
          <w:rFonts w:hint="default" w:ascii="Times New Roman" w:hAnsi="Times New Roman" w:cs="Times New Roman"/>
          <w:sz w:val="20"/>
          <w:szCs w:val="20"/>
          <w:highlight w:val="none"/>
          <w:lang w:val="en-US"/>
        </w:rPr>
      </w:pPr>
      <w:r>
        <w:rPr>
          <w:rFonts w:hint="default" w:ascii="Times New Roman" w:hAnsi="Times New Roman" w:cs="Times New Roman"/>
          <w:sz w:val="20"/>
          <w:szCs w:val="20"/>
          <w:highlight w:val="none"/>
          <w:lang w:val="en-US"/>
        </w:rPr>
        <w:br w:type="page"/>
      </w:r>
    </w:p>
    <w:p w14:paraId="2B549CA3">
      <w:pPr>
        <w:widowControl/>
        <w:spacing w:line="360" w:lineRule="auto"/>
        <w:jc w:val="left"/>
        <w:outlineLvl w:val="0"/>
        <w:rPr>
          <w:rFonts w:hint="default" w:ascii="Times New Roman" w:hAnsi="Times New Roman" w:cs="Times New Roman"/>
          <w:b/>
          <w:sz w:val="20"/>
          <w:szCs w:val="20"/>
          <w:highlight w:val="none"/>
        </w:rPr>
      </w:pPr>
      <w:bookmarkStart w:id="1" w:name="_Toc29788"/>
      <w:r>
        <w:rPr>
          <w:rFonts w:hint="default" w:ascii="Times New Roman" w:hAnsi="Times New Roman" w:eastAsia="宋体" w:cs="Times New Roman"/>
          <w:b/>
          <w:bCs/>
          <w:color w:val="000000"/>
          <w:kern w:val="0"/>
          <w:sz w:val="20"/>
          <w:szCs w:val="20"/>
          <w:highlight w:val="none"/>
          <w:lang w:eastAsia="zh-CN" w:bidi="ar"/>
        </w:rPr>
        <w:t>Additional</w:t>
      </w:r>
      <w:r>
        <w:rPr>
          <w:rFonts w:hint="default" w:ascii="Times New Roman" w:hAnsi="Times New Roman" w:eastAsia="CIDFont" w:cs="Times New Roman"/>
          <w:b/>
          <w:bCs/>
          <w:color w:val="000000"/>
          <w:kern w:val="0"/>
          <w:sz w:val="20"/>
          <w:szCs w:val="20"/>
          <w:highlight w:val="none"/>
          <w:lang w:bidi="ar"/>
        </w:rPr>
        <w:t xml:space="preserve"> Table 2. </w:t>
      </w:r>
      <w:r>
        <w:rPr>
          <w:rFonts w:hint="default" w:ascii="Times New Roman" w:hAnsi="Times New Roman" w:cs="Times New Roman"/>
          <w:b/>
          <w:sz w:val="20"/>
          <w:szCs w:val="20"/>
          <w:highlight w:val="none"/>
        </w:rPr>
        <w:t>Literature Search Strategy</w:t>
      </w:r>
      <w:bookmarkEnd w:id="1"/>
    </w:p>
    <w:tbl>
      <w:tblPr>
        <w:tblStyle w:val="10"/>
        <w:tblW w:w="0" w:type="auto"/>
        <w:tblInd w:w="107"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19"/>
        <w:gridCol w:w="10868"/>
        <w:gridCol w:w="1193"/>
      </w:tblGrid>
      <w:tr w14:paraId="6830513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1819" w:type="dxa"/>
            <w:tcBorders>
              <w:top w:val="single" w:color="auto" w:sz="4" w:space="0"/>
              <w:bottom w:val="single" w:color="auto" w:sz="4" w:space="0"/>
            </w:tcBorders>
          </w:tcPr>
          <w:p w14:paraId="57B1C2DC">
            <w:pPr>
              <w:rPr>
                <w:rFonts w:hint="default" w:ascii="Times New Roman" w:hAnsi="Times New Roman" w:cs="Times New Roman"/>
                <w:sz w:val="20"/>
                <w:szCs w:val="20"/>
                <w:highlight w:val="none"/>
                <w:lang w:val="en-AU"/>
              </w:rPr>
            </w:pPr>
            <w:r>
              <w:rPr>
                <w:rFonts w:hint="default" w:ascii="Times New Roman" w:hAnsi="Times New Roman" w:cs="Times New Roman"/>
                <w:sz w:val="20"/>
                <w:szCs w:val="20"/>
                <w:highlight w:val="none"/>
                <w:lang w:val="en-AU"/>
              </w:rPr>
              <w:t>Database</w:t>
            </w:r>
          </w:p>
        </w:tc>
        <w:tc>
          <w:tcPr>
            <w:tcW w:w="10868" w:type="dxa"/>
            <w:tcBorders>
              <w:top w:val="single" w:color="auto" w:sz="4" w:space="0"/>
              <w:bottom w:val="single" w:color="auto" w:sz="4" w:space="0"/>
            </w:tcBorders>
          </w:tcPr>
          <w:p w14:paraId="01A085AB">
            <w:pPr>
              <w:rPr>
                <w:rFonts w:hint="default" w:ascii="Times New Roman" w:hAnsi="Times New Roman" w:cs="Times New Roman"/>
                <w:sz w:val="20"/>
                <w:szCs w:val="20"/>
                <w:highlight w:val="none"/>
                <w:lang w:val="en-AU"/>
              </w:rPr>
            </w:pPr>
            <w:r>
              <w:rPr>
                <w:rFonts w:hint="default" w:ascii="Times New Roman" w:hAnsi="Times New Roman" w:cs="Times New Roman"/>
                <w:sz w:val="20"/>
                <w:szCs w:val="20"/>
                <w:highlight w:val="none"/>
                <w:lang w:val="en-AU"/>
              </w:rPr>
              <w:t>Search strategies</w:t>
            </w:r>
          </w:p>
        </w:tc>
        <w:tc>
          <w:tcPr>
            <w:tcW w:w="1193" w:type="dxa"/>
            <w:tcBorders>
              <w:top w:val="single" w:color="auto" w:sz="4" w:space="0"/>
              <w:bottom w:val="single" w:color="auto" w:sz="4" w:space="0"/>
            </w:tcBorders>
          </w:tcPr>
          <w:p w14:paraId="6FE9CE51">
            <w:pPr>
              <w:rPr>
                <w:rFonts w:hint="default" w:ascii="Times New Roman" w:hAnsi="Times New Roman" w:cs="Times New Roman"/>
                <w:sz w:val="20"/>
                <w:szCs w:val="20"/>
                <w:highlight w:val="none"/>
                <w:lang w:val="en-AU"/>
              </w:rPr>
            </w:pPr>
            <w:r>
              <w:rPr>
                <w:rFonts w:hint="default" w:ascii="Times New Roman" w:hAnsi="Times New Roman" w:cs="Times New Roman"/>
                <w:sz w:val="20"/>
                <w:szCs w:val="20"/>
                <w:highlight w:val="none"/>
                <w:lang w:val="en-AU"/>
              </w:rPr>
              <w:t>Results</w:t>
            </w:r>
          </w:p>
        </w:tc>
      </w:tr>
      <w:tr w14:paraId="27197AC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8" w:hRule="atLeast"/>
        </w:trPr>
        <w:tc>
          <w:tcPr>
            <w:tcW w:w="1819" w:type="dxa"/>
            <w:tcBorders>
              <w:top w:val="single" w:color="auto" w:sz="4" w:space="0"/>
            </w:tcBorders>
          </w:tcPr>
          <w:p w14:paraId="428F052F">
            <w:pPr>
              <w:rPr>
                <w:rFonts w:hint="default" w:ascii="Times New Roman" w:hAnsi="Times New Roman" w:cs="Times New Roman"/>
                <w:sz w:val="20"/>
                <w:szCs w:val="20"/>
                <w:highlight w:val="none"/>
                <w:lang w:val="en-AU"/>
              </w:rPr>
            </w:pPr>
            <w:r>
              <w:rPr>
                <w:rFonts w:hint="default" w:ascii="Times New Roman" w:hAnsi="Times New Roman" w:cs="Times New Roman"/>
                <w:sz w:val="20"/>
                <w:szCs w:val="20"/>
                <w:highlight w:val="none"/>
                <w:lang w:val="en-AU"/>
              </w:rPr>
              <w:t>MEDLINE</w:t>
            </w:r>
          </w:p>
        </w:tc>
        <w:tc>
          <w:tcPr>
            <w:tcW w:w="10868" w:type="dxa"/>
            <w:tcBorders>
              <w:top w:val="single" w:color="auto" w:sz="4" w:space="0"/>
            </w:tcBorders>
          </w:tcPr>
          <w:p w14:paraId="04FB6498">
            <w:pPr>
              <w:rPr>
                <w:rFonts w:hint="default" w:ascii="Times New Roman" w:hAnsi="Times New Roman" w:cs="Times New Roman"/>
                <w:sz w:val="20"/>
                <w:szCs w:val="20"/>
                <w:highlight w:val="none"/>
                <w:lang w:val="en-AU"/>
              </w:rPr>
            </w:pPr>
            <w:r>
              <w:rPr>
                <w:rFonts w:hint="default" w:ascii="Times New Roman" w:hAnsi="Times New Roman" w:cs="Times New Roman"/>
                <w:sz w:val="20"/>
                <w:szCs w:val="20"/>
                <w:highlight w:val="none"/>
                <w:lang w:val="en-AU"/>
              </w:rPr>
              <w:t>(</w:t>
            </w:r>
            <w:r>
              <w:rPr>
                <w:rFonts w:hint="default" w:ascii="Times New Roman" w:hAnsi="Times New Roman" w:cs="Times New Roman"/>
                <w:sz w:val="20"/>
                <w:szCs w:val="20"/>
                <w:highlight w:val="none"/>
              </w:rPr>
              <w:t xml:space="preserve">eGDR) OR (Estimated glucose disposal rate) </w:t>
            </w:r>
            <w:r>
              <w:rPr>
                <w:rFonts w:hint="default" w:ascii="Times New Roman" w:hAnsi="Times New Roman" w:cs="Times New Roman"/>
                <w:sz w:val="20"/>
                <w:szCs w:val="20"/>
                <w:highlight w:val="none"/>
                <w:lang w:val="en-AU"/>
              </w:rPr>
              <w:t>AND ((((((((((((cardiovascular disease) OR (coronary artery disease)) OR (stroke)) OR (peripheral arterial disease)) OR (major adverse cardiac events)) OR (diabetes microangiopathy)) OR (diabetic nephropathy)) OR (diabetic peripheral neuropathy )) OR (diabetic neuropathy)) OR (diabetic retinopathy)) OR (mortality)) OR ( all-cause mortality)) OR (death rate)</w:t>
            </w:r>
          </w:p>
        </w:tc>
        <w:tc>
          <w:tcPr>
            <w:tcW w:w="1193" w:type="dxa"/>
            <w:tcBorders>
              <w:top w:val="single" w:color="auto" w:sz="4" w:space="0"/>
            </w:tcBorders>
          </w:tcPr>
          <w:p w14:paraId="426EB22B">
            <w:pPr>
              <w:rPr>
                <w:rFonts w:hint="default" w:ascii="Times New Roman" w:hAnsi="Times New Roman" w:eastAsia="宋体" w:cs="Times New Roman"/>
                <w:sz w:val="20"/>
                <w:szCs w:val="20"/>
                <w:highlight w:val="none"/>
              </w:rPr>
            </w:pPr>
            <w:r>
              <w:rPr>
                <w:rFonts w:hint="default" w:ascii="Times New Roman" w:hAnsi="Times New Roman" w:cs="Times New Roman"/>
                <w:sz w:val="20"/>
                <w:szCs w:val="20"/>
                <w:highlight w:val="none"/>
              </w:rPr>
              <w:t>380</w:t>
            </w:r>
          </w:p>
          <w:p w14:paraId="56BB2785">
            <w:pPr>
              <w:rPr>
                <w:rFonts w:hint="default" w:ascii="Times New Roman" w:hAnsi="Times New Roman" w:cs="Times New Roman"/>
                <w:sz w:val="20"/>
                <w:szCs w:val="20"/>
                <w:highlight w:val="none"/>
              </w:rPr>
            </w:pPr>
          </w:p>
          <w:p w14:paraId="1DA77BE9">
            <w:pPr>
              <w:rPr>
                <w:rFonts w:hint="default" w:ascii="Times New Roman" w:hAnsi="Times New Roman" w:cs="Times New Roman"/>
                <w:sz w:val="20"/>
                <w:szCs w:val="20"/>
                <w:highlight w:val="none"/>
              </w:rPr>
            </w:pPr>
          </w:p>
        </w:tc>
      </w:tr>
      <w:tr w14:paraId="5EF8880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atLeast"/>
        </w:trPr>
        <w:tc>
          <w:tcPr>
            <w:tcW w:w="1819" w:type="dxa"/>
            <w:tcBorders>
              <w:top w:val="single" w:color="auto" w:sz="4" w:space="0"/>
            </w:tcBorders>
          </w:tcPr>
          <w:p w14:paraId="0987C0BF">
            <w:pPr>
              <w:rPr>
                <w:rFonts w:hint="default" w:ascii="Times New Roman" w:hAnsi="Times New Roman" w:cs="Times New Roman"/>
                <w:sz w:val="20"/>
                <w:szCs w:val="20"/>
                <w:highlight w:val="none"/>
                <w:lang w:val="en-AU"/>
              </w:rPr>
            </w:pPr>
            <w:r>
              <w:rPr>
                <w:rFonts w:hint="default" w:ascii="Times New Roman" w:hAnsi="Times New Roman" w:cs="Times New Roman"/>
                <w:sz w:val="20"/>
                <w:szCs w:val="20"/>
                <w:highlight w:val="none"/>
                <w:lang w:val="en-AU"/>
              </w:rPr>
              <w:t>Embase</w:t>
            </w:r>
          </w:p>
        </w:tc>
        <w:tc>
          <w:tcPr>
            <w:tcW w:w="10868" w:type="dxa"/>
            <w:tcBorders>
              <w:top w:val="single" w:color="auto" w:sz="4" w:space="0"/>
            </w:tcBorders>
          </w:tcPr>
          <w:p w14:paraId="749A0E6F">
            <w:pPr>
              <w:rPr>
                <w:rFonts w:hint="default" w:ascii="Times New Roman" w:hAnsi="Times New Roman" w:cs="Times New Roman"/>
                <w:sz w:val="20"/>
                <w:szCs w:val="20"/>
                <w:highlight w:val="none"/>
                <w:lang w:val="en-AU"/>
              </w:rPr>
            </w:pPr>
            <w:r>
              <w:rPr>
                <w:rFonts w:hint="default" w:ascii="Times New Roman" w:hAnsi="Times New Roman" w:cs="Times New Roman"/>
                <w:sz w:val="20"/>
                <w:szCs w:val="20"/>
                <w:highlight w:val="none"/>
                <w:lang w:val="en-AU"/>
              </w:rPr>
              <w:t>('eGDR'</w:t>
            </w:r>
            <w:r>
              <w:rPr>
                <w:rFonts w:hint="default" w:ascii="Times New Roman" w:hAnsi="Times New Roman" w:cs="Times New Roman"/>
                <w:sz w:val="20"/>
                <w:szCs w:val="20"/>
                <w:highlight w:val="none"/>
              </w:rPr>
              <w:t xml:space="preserve"> OR </w:t>
            </w:r>
            <w:r>
              <w:rPr>
                <w:rFonts w:hint="default" w:ascii="Times New Roman" w:hAnsi="Times New Roman" w:cs="Times New Roman"/>
                <w:sz w:val="20"/>
                <w:szCs w:val="20"/>
                <w:highlight w:val="none"/>
                <w:lang w:val="en-AU"/>
              </w:rPr>
              <w:t>'</w:t>
            </w:r>
            <w:r>
              <w:rPr>
                <w:rFonts w:hint="default" w:ascii="Times New Roman" w:hAnsi="Times New Roman" w:cs="Times New Roman"/>
                <w:sz w:val="20"/>
                <w:szCs w:val="20"/>
                <w:highlight w:val="none"/>
              </w:rPr>
              <w:t>e</w:t>
            </w:r>
            <w:r>
              <w:rPr>
                <w:rFonts w:hint="default" w:ascii="Times New Roman" w:hAnsi="Times New Roman" w:cs="Times New Roman"/>
                <w:sz w:val="20"/>
                <w:szCs w:val="20"/>
                <w:highlight w:val="none"/>
                <w:lang w:val="en-AU"/>
              </w:rPr>
              <w:t>stimated glucose disposal rate') AND ('cardiovascular disease'</w:t>
            </w:r>
            <w:r>
              <w:rPr>
                <w:rFonts w:hint="default" w:ascii="Times New Roman" w:hAnsi="Times New Roman" w:cs="Times New Roman"/>
                <w:sz w:val="20"/>
                <w:szCs w:val="20"/>
                <w:highlight w:val="none"/>
              </w:rPr>
              <w:t xml:space="preserve"> </w:t>
            </w:r>
            <w:r>
              <w:rPr>
                <w:rFonts w:hint="default" w:ascii="Times New Roman" w:hAnsi="Times New Roman" w:cs="Times New Roman"/>
                <w:sz w:val="20"/>
                <w:szCs w:val="20"/>
                <w:highlight w:val="none"/>
                <w:lang w:val="en-AU"/>
              </w:rPr>
              <w:t>OR 'coronary artery disease' OR 'stroke' OR 'peripheral arterial disease' OR 'major adverse cardiac events'</w:t>
            </w:r>
            <w:r>
              <w:rPr>
                <w:rFonts w:hint="default" w:ascii="Times New Roman" w:hAnsi="Times New Roman" w:cs="Times New Roman"/>
                <w:sz w:val="20"/>
                <w:szCs w:val="20"/>
                <w:highlight w:val="none"/>
              </w:rPr>
              <w:t xml:space="preserve"> OR </w:t>
            </w:r>
            <w:r>
              <w:rPr>
                <w:rFonts w:hint="default" w:ascii="Times New Roman" w:hAnsi="Times New Roman" w:cs="Times New Roman"/>
                <w:sz w:val="20"/>
                <w:szCs w:val="20"/>
                <w:highlight w:val="none"/>
                <w:lang w:val="en-AU"/>
              </w:rPr>
              <w:t>'</w:t>
            </w:r>
            <w:r>
              <w:rPr>
                <w:rFonts w:hint="default" w:ascii="Times New Roman" w:hAnsi="Times New Roman" w:cs="Times New Roman"/>
                <w:sz w:val="20"/>
                <w:szCs w:val="20"/>
                <w:highlight w:val="none"/>
              </w:rPr>
              <w:t>diabetes microangiopathy</w:t>
            </w:r>
            <w:r>
              <w:rPr>
                <w:rFonts w:hint="default" w:ascii="Times New Roman" w:hAnsi="Times New Roman" w:cs="Times New Roman"/>
                <w:sz w:val="20"/>
                <w:szCs w:val="20"/>
                <w:highlight w:val="none"/>
                <w:lang w:val="en-AU"/>
              </w:rPr>
              <w:t>'</w:t>
            </w:r>
            <w:r>
              <w:rPr>
                <w:rFonts w:hint="default" w:ascii="Times New Roman" w:hAnsi="Times New Roman" w:cs="Times New Roman"/>
                <w:sz w:val="20"/>
                <w:szCs w:val="20"/>
                <w:highlight w:val="none"/>
              </w:rPr>
              <w:t xml:space="preserve"> </w:t>
            </w:r>
            <w:r>
              <w:rPr>
                <w:rFonts w:hint="default" w:ascii="Times New Roman" w:hAnsi="Times New Roman" w:cs="Times New Roman"/>
                <w:sz w:val="20"/>
                <w:szCs w:val="20"/>
                <w:highlight w:val="none"/>
                <w:lang w:val="en-AU"/>
              </w:rPr>
              <w:t>OR</w:t>
            </w:r>
            <w:r>
              <w:rPr>
                <w:rFonts w:hint="default" w:ascii="Times New Roman" w:hAnsi="Times New Roman" w:cs="Times New Roman"/>
                <w:sz w:val="20"/>
                <w:szCs w:val="20"/>
                <w:highlight w:val="none"/>
              </w:rPr>
              <w:t xml:space="preserve"> </w:t>
            </w:r>
            <w:r>
              <w:rPr>
                <w:rFonts w:hint="default" w:ascii="Times New Roman" w:hAnsi="Times New Roman" w:cs="Times New Roman"/>
                <w:sz w:val="20"/>
                <w:szCs w:val="20"/>
                <w:highlight w:val="none"/>
                <w:lang w:val="en-AU"/>
              </w:rPr>
              <w:t>'</w:t>
            </w:r>
            <w:r>
              <w:rPr>
                <w:rFonts w:hint="default" w:ascii="Times New Roman" w:hAnsi="Times New Roman" w:cs="Times New Roman"/>
                <w:sz w:val="20"/>
                <w:szCs w:val="20"/>
                <w:highlight w:val="none"/>
              </w:rPr>
              <w:t>diabetic nephropathy</w:t>
            </w:r>
            <w:r>
              <w:rPr>
                <w:rFonts w:hint="default" w:ascii="Times New Roman" w:hAnsi="Times New Roman" w:cs="Times New Roman"/>
                <w:sz w:val="20"/>
                <w:szCs w:val="20"/>
                <w:highlight w:val="none"/>
                <w:lang w:val="en-AU"/>
              </w:rPr>
              <w:t>' OR '</w:t>
            </w:r>
            <w:r>
              <w:rPr>
                <w:rFonts w:hint="default" w:ascii="Times New Roman" w:hAnsi="Times New Roman" w:cs="Times New Roman"/>
                <w:sz w:val="20"/>
                <w:szCs w:val="20"/>
                <w:highlight w:val="none"/>
              </w:rPr>
              <w:t>diabetic peripheral neuropathy</w:t>
            </w:r>
            <w:r>
              <w:rPr>
                <w:rFonts w:hint="default" w:ascii="Times New Roman" w:hAnsi="Times New Roman" w:cs="Times New Roman"/>
                <w:sz w:val="20"/>
                <w:szCs w:val="20"/>
                <w:highlight w:val="none"/>
                <w:lang w:val="en-AU"/>
              </w:rPr>
              <w:t>' OR '</w:t>
            </w:r>
            <w:r>
              <w:rPr>
                <w:rFonts w:hint="default" w:ascii="Times New Roman" w:hAnsi="Times New Roman" w:cs="Times New Roman"/>
                <w:sz w:val="20"/>
                <w:szCs w:val="20"/>
                <w:highlight w:val="none"/>
              </w:rPr>
              <w:t>diabetic neuropathy</w:t>
            </w:r>
            <w:r>
              <w:rPr>
                <w:rFonts w:hint="default" w:ascii="Times New Roman" w:hAnsi="Times New Roman" w:cs="Times New Roman"/>
                <w:sz w:val="20"/>
                <w:szCs w:val="20"/>
                <w:highlight w:val="none"/>
                <w:lang w:val="en-AU"/>
              </w:rPr>
              <w:t>' OR '</w:t>
            </w:r>
            <w:r>
              <w:rPr>
                <w:rFonts w:hint="default" w:ascii="Times New Roman" w:hAnsi="Times New Roman" w:cs="Times New Roman"/>
                <w:sz w:val="20"/>
                <w:szCs w:val="20"/>
                <w:highlight w:val="none"/>
              </w:rPr>
              <w:t>diabetic retinopathy</w:t>
            </w:r>
            <w:r>
              <w:rPr>
                <w:rFonts w:hint="default" w:ascii="Times New Roman" w:hAnsi="Times New Roman" w:cs="Times New Roman"/>
                <w:sz w:val="20"/>
                <w:szCs w:val="20"/>
                <w:highlight w:val="none"/>
                <w:lang w:val="en-AU"/>
              </w:rPr>
              <w:t>'</w:t>
            </w:r>
            <w:r>
              <w:rPr>
                <w:rFonts w:hint="default" w:ascii="Times New Roman" w:hAnsi="Times New Roman" w:cs="Times New Roman"/>
                <w:sz w:val="20"/>
                <w:szCs w:val="20"/>
                <w:highlight w:val="none"/>
              </w:rPr>
              <w:t xml:space="preserve"> OR </w:t>
            </w:r>
            <w:r>
              <w:rPr>
                <w:rFonts w:hint="default" w:ascii="Times New Roman" w:hAnsi="Times New Roman" w:cs="Times New Roman"/>
                <w:sz w:val="20"/>
                <w:szCs w:val="20"/>
                <w:highlight w:val="none"/>
                <w:lang w:val="en-AU"/>
              </w:rPr>
              <w:t>'</w:t>
            </w:r>
            <w:r>
              <w:rPr>
                <w:rFonts w:hint="default" w:ascii="Times New Roman" w:hAnsi="Times New Roman" w:cs="Times New Roman"/>
                <w:sz w:val="20"/>
                <w:szCs w:val="20"/>
                <w:highlight w:val="none"/>
              </w:rPr>
              <w:t>mortality</w:t>
            </w:r>
            <w:r>
              <w:rPr>
                <w:rFonts w:hint="default" w:ascii="Times New Roman" w:hAnsi="Times New Roman" w:cs="Times New Roman"/>
                <w:sz w:val="20"/>
                <w:szCs w:val="20"/>
                <w:highlight w:val="none"/>
                <w:lang w:val="en-AU"/>
              </w:rPr>
              <w:t>'</w:t>
            </w:r>
            <w:r>
              <w:rPr>
                <w:rFonts w:hint="default" w:ascii="Times New Roman" w:hAnsi="Times New Roman" w:cs="Times New Roman"/>
                <w:sz w:val="20"/>
                <w:szCs w:val="20"/>
                <w:highlight w:val="none"/>
              </w:rPr>
              <w:t xml:space="preserve"> OR </w:t>
            </w:r>
            <w:r>
              <w:rPr>
                <w:rFonts w:hint="default" w:ascii="Times New Roman" w:hAnsi="Times New Roman" w:cs="Times New Roman"/>
                <w:sz w:val="20"/>
                <w:szCs w:val="20"/>
                <w:highlight w:val="none"/>
                <w:lang w:val="en-AU"/>
              </w:rPr>
              <w:t>'</w:t>
            </w:r>
            <w:r>
              <w:rPr>
                <w:rFonts w:hint="default" w:ascii="Times New Roman" w:hAnsi="Times New Roman" w:cs="Times New Roman"/>
                <w:sz w:val="20"/>
                <w:szCs w:val="20"/>
                <w:highlight w:val="none"/>
              </w:rPr>
              <w:t>all-cause mortality</w:t>
            </w:r>
            <w:r>
              <w:rPr>
                <w:rFonts w:hint="default" w:ascii="Times New Roman" w:hAnsi="Times New Roman" w:cs="Times New Roman"/>
                <w:sz w:val="20"/>
                <w:szCs w:val="20"/>
                <w:highlight w:val="none"/>
                <w:lang w:val="en-AU"/>
              </w:rPr>
              <w:t>'</w:t>
            </w:r>
            <w:r>
              <w:rPr>
                <w:rFonts w:hint="default" w:ascii="Times New Roman" w:hAnsi="Times New Roman" w:cs="Times New Roman"/>
                <w:sz w:val="20"/>
                <w:szCs w:val="20"/>
                <w:highlight w:val="none"/>
              </w:rPr>
              <w:t xml:space="preserve"> OR </w:t>
            </w:r>
            <w:r>
              <w:rPr>
                <w:rFonts w:hint="default" w:ascii="Times New Roman" w:hAnsi="Times New Roman" w:cs="Times New Roman"/>
                <w:sz w:val="20"/>
                <w:szCs w:val="20"/>
                <w:highlight w:val="none"/>
                <w:lang w:val="en-AU"/>
              </w:rPr>
              <w:t>'</w:t>
            </w:r>
            <w:r>
              <w:rPr>
                <w:rFonts w:hint="default" w:ascii="Times New Roman" w:hAnsi="Times New Roman" w:cs="Times New Roman"/>
                <w:sz w:val="20"/>
                <w:szCs w:val="20"/>
                <w:highlight w:val="none"/>
              </w:rPr>
              <w:t>death rate</w:t>
            </w:r>
            <w:r>
              <w:rPr>
                <w:rFonts w:hint="default" w:ascii="Times New Roman" w:hAnsi="Times New Roman" w:cs="Times New Roman"/>
                <w:sz w:val="20"/>
                <w:szCs w:val="20"/>
                <w:highlight w:val="none"/>
                <w:lang w:val="en-AU"/>
              </w:rPr>
              <w:t>'</w:t>
            </w:r>
            <w:r>
              <w:rPr>
                <w:rFonts w:hint="default" w:ascii="Times New Roman" w:hAnsi="Times New Roman" w:cs="Times New Roman"/>
                <w:sz w:val="20"/>
                <w:szCs w:val="20"/>
                <w:highlight w:val="none"/>
              </w:rPr>
              <w:t xml:space="preserve"> </w:t>
            </w:r>
            <w:r>
              <w:rPr>
                <w:rFonts w:hint="default" w:ascii="Times New Roman" w:hAnsi="Times New Roman" w:cs="Times New Roman"/>
                <w:sz w:val="20"/>
                <w:szCs w:val="20"/>
                <w:highlight w:val="none"/>
                <w:lang w:val="en-AU"/>
              </w:rPr>
              <w:t xml:space="preserve">) </w:t>
            </w:r>
          </w:p>
        </w:tc>
        <w:tc>
          <w:tcPr>
            <w:tcW w:w="1193" w:type="dxa"/>
            <w:tcBorders>
              <w:top w:val="single" w:color="auto" w:sz="4" w:space="0"/>
            </w:tcBorders>
          </w:tcPr>
          <w:p w14:paraId="348A99BD">
            <w:pPr>
              <w:pStyle w:val="3"/>
              <w:widowControl/>
              <w:spacing w:beforeAutospacing="0" w:afterAutospacing="0"/>
              <w:textAlignment w:val="baseline"/>
              <w:rPr>
                <w:rFonts w:hint="default" w:ascii="Times New Roman" w:hAnsi="Times New Roman" w:cs="Times New Roman"/>
                <w:b w:val="0"/>
                <w:bCs w:val="0"/>
                <w:kern w:val="2"/>
                <w:sz w:val="20"/>
                <w:szCs w:val="20"/>
                <w:highlight w:val="none"/>
              </w:rPr>
            </w:pPr>
            <w:r>
              <w:rPr>
                <w:rFonts w:hint="default" w:ascii="Times New Roman" w:hAnsi="Times New Roman" w:cs="Times New Roman"/>
                <w:b w:val="0"/>
                <w:bCs w:val="0"/>
                <w:kern w:val="2"/>
                <w:sz w:val="20"/>
                <w:szCs w:val="20"/>
                <w:highlight w:val="none"/>
              </w:rPr>
              <w:t>173</w:t>
            </w:r>
          </w:p>
          <w:p w14:paraId="123CF2D4">
            <w:pPr>
              <w:rPr>
                <w:rFonts w:hint="default" w:ascii="Times New Roman" w:hAnsi="Times New Roman" w:cs="Times New Roman"/>
                <w:sz w:val="20"/>
                <w:szCs w:val="20"/>
                <w:highlight w:val="none"/>
                <w:lang w:val="en-AU"/>
              </w:rPr>
            </w:pPr>
          </w:p>
        </w:tc>
      </w:tr>
      <w:tr w14:paraId="2A39E45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atLeast"/>
        </w:trPr>
        <w:tc>
          <w:tcPr>
            <w:tcW w:w="1819" w:type="dxa"/>
            <w:tcBorders>
              <w:top w:val="single" w:color="auto" w:sz="4" w:space="0"/>
            </w:tcBorders>
          </w:tcPr>
          <w:p w14:paraId="1F4C18A4">
            <w:pPr>
              <w:rPr>
                <w:rFonts w:hint="default" w:ascii="Times New Roman" w:hAnsi="Times New Roman" w:cs="Times New Roman"/>
                <w:sz w:val="20"/>
                <w:szCs w:val="20"/>
                <w:highlight w:val="none"/>
                <w:lang w:val="en-AU"/>
              </w:rPr>
            </w:pPr>
            <w:r>
              <w:rPr>
                <w:rFonts w:hint="default" w:ascii="Times New Roman" w:hAnsi="Times New Roman" w:eastAsia="Times New Roman" w:cs="Times New Roman"/>
                <w:color w:val="000000"/>
                <w:sz w:val="20"/>
                <w:szCs w:val="20"/>
                <w:highlight w:val="none"/>
              </w:rPr>
              <w:t>Web of Science</w:t>
            </w:r>
          </w:p>
        </w:tc>
        <w:tc>
          <w:tcPr>
            <w:tcW w:w="10868" w:type="dxa"/>
            <w:tcBorders>
              <w:top w:val="single" w:color="auto" w:sz="4" w:space="0"/>
            </w:tcBorders>
          </w:tcPr>
          <w:p w14:paraId="23816D14">
            <w:pPr>
              <w:rPr>
                <w:rFonts w:hint="default" w:ascii="Times New Roman" w:hAnsi="Times New Roman" w:eastAsia="宋体" w:cs="Times New Roman"/>
                <w:color w:val="000000"/>
                <w:sz w:val="20"/>
                <w:szCs w:val="20"/>
                <w:highlight w:val="none"/>
                <w:lang w:eastAsia="zh-Hans"/>
              </w:rPr>
            </w:pPr>
            <w:r>
              <w:rPr>
                <w:rFonts w:hint="default" w:ascii="Times New Roman" w:hAnsi="Times New Roman" w:eastAsia="宋体" w:cs="Times New Roman"/>
                <w:color w:val="000000"/>
                <w:sz w:val="20"/>
                <w:szCs w:val="20"/>
                <w:highlight w:val="none"/>
                <w:lang w:eastAsia="zh-Hans"/>
              </w:rPr>
              <w:t>#1</w:t>
            </w:r>
            <w:r>
              <w:rPr>
                <w:rFonts w:hint="default" w:ascii="Times New Roman" w:hAnsi="Times New Roman" w:eastAsia="宋体" w:cs="Times New Roman"/>
                <w:color w:val="000000"/>
                <w:sz w:val="20"/>
                <w:szCs w:val="20"/>
                <w:highlight w:val="none"/>
              </w:rPr>
              <w:t xml:space="preserve">  </w:t>
            </w:r>
            <w:r>
              <w:rPr>
                <w:rFonts w:hint="default" w:ascii="Times New Roman" w:hAnsi="Times New Roman" w:eastAsia="宋体" w:cs="Times New Roman"/>
                <w:color w:val="000000"/>
                <w:sz w:val="20"/>
                <w:szCs w:val="20"/>
                <w:highlight w:val="none"/>
                <w:lang w:eastAsia="zh-Hans"/>
              </w:rPr>
              <w:t>(TS=("</w:t>
            </w:r>
            <w:r>
              <w:rPr>
                <w:rFonts w:hint="default" w:ascii="Times New Roman" w:hAnsi="Times New Roman" w:cs="Times New Roman"/>
                <w:sz w:val="20"/>
                <w:szCs w:val="20"/>
                <w:highlight w:val="none"/>
                <w:lang w:val="en-AU"/>
              </w:rPr>
              <w:t>eGDR</w:t>
            </w:r>
            <w:r>
              <w:rPr>
                <w:rFonts w:hint="default" w:ascii="Times New Roman" w:hAnsi="Times New Roman" w:eastAsia="宋体" w:cs="Times New Roman"/>
                <w:color w:val="000000"/>
                <w:sz w:val="20"/>
                <w:szCs w:val="20"/>
                <w:highlight w:val="none"/>
                <w:lang w:eastAsia="zh-Hans"/>
              </w:rPr>
              <w:t>") OR TS=("</w:t>
            </w:r>
            <w:r>
              <w:rPr>
                <w:rFonts w:hint="default" w:ascii="Times New Roman" w:hAnsi="Times New Roman" w:cs="Times New Roman"/>
                <w:sz w:val="20"/>
                <w:szCs w:val="20"/>
                <w:highlight w:val="none"/>
              </w:rPr>
              <w:t>e</w:t>
            </w:r>
            <w:r>
              <w:rPr>
                <w:rFonts w:hint="default" w:ascii="Times New Roman" w:hAnsi="Times New Roman" w:cs="Times New Roman"/>
                <w:sz w:val="20"/>
                <w:szCs w:val="20"/>
                <w:highlight w:val="none"/>
                <w:lang w:val="en-AU"/>
              </w:rPr>
              <w:t>stimated glucose disposal rate</w:t>
            </w:r>
            <w:r>
              <w:rPr>
                <w:rFonts w:hint="default" w:ascii="Times New Roman" w:hAnsi="Times New Roman" w:eastAsia="宋体" w:cs="Times New Roman"/>
                <w:color w:val="000000"/>
                <w:sz w:val="20"/>
                <w:szCs w:val="20"/>
                <w:highlight w:val="none"/>
                <w:lang w:eastAsia="zh-Hans"/>
              </w:rPr>
              <w:t>")</w:t>
            </w:r>
          </w:p>
          <w:p w14:paraId="6EBDE0C5">
            <w:pPr>
              <w:rPr>
                <w:rFonts w:hint="default" w:ascii="Times New Roman" w:hAnsi="Times New Roman" w:eastAsia="宋体" w:cs="Times New Roman"/>
                <w:color w:val="000000"/>
                <w:sz w:val="20"/>
                <w:szCs w:val="20"/>
                <w:highlight w:val="none"/>
                <w:lang w:eastAsia="zh-Hans"/>
              </w:rPr>
            </w:pPr>
            <w:r>
              <w:rPr>
                <w:rFonts w:hint="default" w:ascii="Times New Roman" w:hAnsi="Times New Roman" w:eastAsia="宋体" w:cs="Times New Roman"/>
                <w:color w:val="000000"/>
                <w:sz w:val="20"/>
                <w:szCs w:val="20"/>
                <w:highlight w:val="none"/>
                <w:lang w:eastAsia="zh-Hans"/>
              </w:rPr>
              <w:t>#2</w:t>
            </w:r>
            <w:r>
              <w:rPr>
                <w:rFonts w:hint="default" w:ascii="Times New Roman" w:hAnsi="Times New Roman" w:eastAsia="宋体" w:cs="Times New Roman"/>
                <w:color w:val="000000"/>
                <w:sz w:val="20"/>
                <w:szCs w:val="20"/>
                <w:highlight w:val="none"/>
              </w:rPr>
              <w:t xml:space="preserve">  </w:t>
            </w:r>
            <w:r>
              <w:rPr>
                <w:rFonts w:hint="default" w:ascii="Times New Roman" w:hAnsi="Times New Roman" w:eastAsia="宋体" w:cs="Times New Roman"/>
                <w:color w:val="000000"/>
                <w:sz w:val="20"/>
                <w:szCs w:val="20"/>
                <w:highlight w:val="none"/>
                <w:lang w:eastAsia="zh-Hans"/>
              </w:rPr>
              <w:t>TS=("</w:t>
            </w:r>
            <w:r>
              <w:rPr>
                <w:rFonts w:hint="default" w:ascii="Times New Roman" w:hAnsi="Times New Roman" w:cs="Times New Roman"/>
                <w:sz w:val="20"/>
                <w:szCs w:val="20"/>
                <w:highlight w:val="none"/>
                <w:lang w:val="en-AU"/>
              </w:rPr>
              <w:t>cardiovascular disease</w:t>
            </w:r>
            <w:r>
              <w:rPr>
                <w:rFonts w:hint="default" w:ascii="Times New Roman" w:hAnsi="Times New Roman" w:eastAsia="宋体" w:cs="Times New Roman"/>
                <w:color w:val="000000"/>
                <w:sz w:val="20"/>
                <w:szCs w:val="20"/>
                <w:highlight w:val="none"/>
                <w:lang w:eastAsia="zh-Hans"/>
              </w:rPr>
              <w:t>") OR TS=("</w:t>
            </w:r>
            <w:r>
              <w:rPr>
                <w:rFonts w:hint="default" w:ascii="Times New Roman" w:hAnsi="Times New Roman" w:cs="Times New Roman"/>
                <w:sz w:val="20"/>
                <w:szCs w:val="20"/>
                <w:highlight w:val="none"/>
                <w:lang w:val="en-AU"/>
              </w:rPr>
              <w:t>coronary artery disease</w:t>
            </w:r>
            <w:r>
              <w:rPr>
                <w:rFonts w:hint="default" w:ascii="Times New Roman" w:hAnsi="Times New Roman" w:eastAsia="宋体" w:cs="Times New Roman"/>
                <w:color w:val="000000"/>
                <w:sz w:val="20"/>
                <w:szCs w:val="20"/>
                <w:highlight w:val="none"/>
                <w:lang w:eastAsia="zh-Hans"/>
              </w:rPr>
              <w:t>") OR TS=("</w:t>
            </w:r>
            <w:r>
              <w:rPr>
                <w:rFonts w:hint="default" w:ascii="Times New Roman" w:hAnsi="Times New Roman" w:cs="Times New Roman"/>
                <w:sz w:val="20"/>
                <w:szCs w:val="20"/>
                <w:highlight w:val="none"/>
                <w:lang w:val="en-AU"/>
              </w:rPr>
              <w:t>stroke</w:t>
            </w:r>
            <w:r>
              <w:rPr>
                <w:rFonts w:hint="default" w:ascii="Times New Roman" w:hAnsi="Times New Roman" w:eastAsia="宋体" w:cs="Times New Roman"/>
                <w:color w:val="000000"/>
                <w:sz w:val="20"/>
                <w:szCs w:val="20"/>
                <w:highlight w:val="none"/>
                <w:lang w:eastAsia="zh-Hans"/>
              </w:rPr>
              <w:t>") OR</w:t>
            </w:r>
            <w:r>
              <w:rPr>
                <w:rFonts w:hint="default" w:ascii="Times New Roman" w:hAnsi="Times New Roman" w:eastAsia="宋体" w:cs="Times New Roman"/>
                <w:color w:val="000000"/>
                <w:sz w:val="20"/>
                <w:szCs w:val="20"/>
                <w:highlight w:val="none"/>
              </w:rPr>
              <w:t xml:space="preserve"> </w:t>
            </w:r>
            <w:r>
              <w:rPr>
                <w:rFonts w:hint="default" w:ascii="Times New Roman" w:hAnsi="Times New Roman" w:eastAsia="宋体" w:cs="Times New Roman"/>
                <w:color w:val="000000"/>
                <w:sz w:val="20"/>
                <w:szCs w:val="20"/>
                <w:highlight w:val="none"/>
                <w:lang w:eastAsia="zh-Hans"/>
              </w:rPr>
              <w:t>TS=(</w:t>
            </w:r>
            <w:r>
              <w:rPr>
                <w:rFonts w:hint="default" w:ascii="Times New Roman" w:hAnsi="Times New Roman" w:cs="Times New Roman"/>
                <w:sz w:val="20"/>
                <w:szCs w:val="20"/>
                <w:highlight w:val="none"/>
                <w:lang w:val="en-AU"/>
              </w:rPr>
              <w:t>peripheral arterial disease</w:t>
            </w:r>
            <w:r>
              <w:rPr>
                <w:rFonts w:hint="default" w:ascii="Times New Roman" w:hAnsi="Times New Roman" w:eastAsia="宋体" w:cs="Times New Roman"/>
                <w:color w:val="000000"/>
                <w:sz w:val="20"/>
                <w:szCs w:val="20"/>
                <w:highlight w:val="none"/>
                <w:lang w:eastAsia="zh-Hans"/>
              </w:rPr>
              <w:t>) OR TS=(</w:t>
            </w:r>
            <w:r>
              <w:rPr>
                <w:rFonts w:hint="default" w:ascii="Times New Roman" w:hAnsi="Times New Roman" w:cs="Times New Roman"/>
                <w:sz w:val="20"/>
                <w:szCs w:val="20"/>
                <w:highlight w:val="none"/>
                <w:lang w:val="en-AU"/>
              </w:rPr>
              <w:t>major adverse cardiac events</w:t>
            </w:r>
            <w:r>
              <w:rPr>
                <w:rFonts w:hint="default" w:ascii="Times New Roman" w:hAnsi="Times New Roman" w:eastAsia="宋体" w:cs="Times New Roman"/>
                <w:color w:val="000000"/>
                <w:sz w:val="20"/>
                <w:szCs w:val="20"/>
                <w:highlight w:val="none"/>
                <w:lang w:eastAsia="zh-Hans"/>
              </w:rPr>
              <w:t>)</w:t>
            </w:r>
            <w:r>
              <w:rPr>
                <w:rFonts w:hint="default" w:ascii="Times New Roman" w:hAnsi="Times New Roman" w:eastAsia="宋体" w:cs="Times New Roman"/>
                <w:color w:val="000000"/>
                <w:sz w:val="20"/>
                <w:szCs w:val="20"/>
                <w:highlight w:val="none"/>
              </w:rPr>
              <w:t xml:space="preserve"> OR </w:t>
            </w:r>
            <w:r>
              <w:rPr>
                <w:rFonts w:hint="default" w:ascii="Times New Roman" w:hAnsi="Times New Roman" w:eastAsia="宋体" w:cs="Times New Roman"/>
                <w:color w:val="000000"/>
                <w:sz w:val="20"/>
                <w:szCs w:val="20"/>
                <w:highlight w:val="none"/>
                <w:lang w:eastAsia="zh-Hans"/>
              </w:rPr>
              <w:t>TS=("</w:t>
            </w:r>
            <w:r>
              <w:rPr>
                <w:rFonts w:hint="default" w:ascii="Times New Roman" w:hAnsi="Times New Roman" w:cs="Times New Roman"/>
                <w:sz w:val="20"/>
                <w:szCs w:val="20"/>
                <w:highlight w:val="none"/>
              </w:rPr>
              <w:t>diabetes microangiopathy</w:t>
            </w:r>
            <w:r>
              <w:rPr>
                <w:rFonts w:hint="default" w:ascii="Times New Roman" w:hAnsi="Times New Roman" w:eastAsia="宋体" w:cs="Times New Roman"/>
                <w:color w:val="000000"/>
                <w:sz w:val="20"/>
                <w:szCs w:val="20"/>
                <w:highlight w:val="none"/>
                <w:lang w:eastAsia="zh-Hans"/>
              </w:rPr>
              <w:t>") OR</w:t>
            </w:r>
            <w:r>
              <w:rPr>
                <w:rFonts w:hint="default" w:ascii="Times New Roman" w:hAnsi="Times New Roman" w:eastAsia="宋体" w:cs="Times New Roman"/>
                <w:color w:val="000000"/>
                <w:sz w:val="20"/>
                <w:szCs w:val="20"/>
                <w:highlight w:val="none"/>
              </w:rPr>
              <w:t xml:space="preserve"> </w:t>
            </w:r>
            <w:r>
              <w:rPr>
                <w:rFonts w:hint="default" w:ascii="Times New Roman" w:hAnsi="Times New Roman" w:eastAsia="宋体" w:cs="Times New Roman"/>
                <w:color w:val="000000"/>
                <w:sz w:val="20"/>
                <w:szCs w:val="20"/>
                <w:highlight w:val="none"/>
                <w:lang w:eastAsia="zh-Hans"/>
              </w:rPr>
              <w:t>TS=("</w:t>
            </w:r>
            <w:r>
              <w:rPr>
                <w:rFonts w:hint="default" w:ascii="Times New Roman" w:hAnsi="Times New Roman" w:cs="Times New Roman"/>
                <w:sz w:val="20"/>
                <w:szCs w:val="20"/>
                <w:highlight w:val="none"/>
              </w:rPr>
              <w:t>diabetic nephropathy</w:t>
            </w:r>
            <w:r>
              <w:rPr>
                <w:rFonts w:hint="default" w:ascii="Times New Roman" w:hAnsi="Times New Roman" w:eastAsia="宋体" w:cs="Times New Roman"/>
                <w:color w:val="000000"/>
                <w:sz w:val="20"/>
                <w:szCs w:val="20"/>
                <w:highlight w:val="none"/>
                <w:lang w:eastAsia="zh-Hans"/>
              </w:rPr>
              <w:t>") OR TS=("</w:t>
            </w:r>
            <w:r>
              <w:rPr>
                <w:rFonts w:hint="default" w:ascii="Times New Roman" w:hAnsi="Times New Roman" w:cs="Times New Roman"/>
                <w:sz w:val="20"/>
                <w:szCs w:val="20"/>
                <w:highlight w:val="none"/>
              </w:rPr>
              <w:t>diabetic peripheral neuropathy</w:t>
            </w:r>
            <w:r>
              <w:rPr>
                <w:rFonts w:hint="default" w:ascii="Times New Roman" w:hAnsi="Times New Roman" w:eastAsia="宋体" w:cs="Times New Roman"/>
                <w:color w:val="000000"/>
                <w:sz w:val="20"/>
                <w:szCs w:val="20"/>
                <w:highlight w:val="none"/>
                <w:lang w:eastAsia="zh-Hans"/>
              </w:rPr>
              <w:t>") OR</w:t>
            </w:r>
            <w:r>
              <w:rPr>
                <w:rFonts w:hint="default" w:ascii="Times New Roman" w:hAnsi="Times New Roman" w:eastAsia="宋体" w:cs="Times New Roman"/>
                <w:color w:val="000000"/>
                <w:sz w:val="20"/>
                <w:szCs w:val="20"/>
                <w:highlight w:val="none"/>
              </w:rPr>
              <w:t xml:space="preserve"> </w:t>
            </w:r>
            <w:r>
              <w:rPr>
                <w:rFonts w:hint="default" w:ascii="Times New Roman" w:hAnsi="Times New Roman" w:eastAsia="宋体" w:cs="Times New Roman"/>
                <w:color w:val="000000"/>
                <w:sz w:val="20"/>
                <w:szCs w:val="20"/>
                <w:highlight w:val="none"/>
                <w:lang w:eastAsia="zh-Hans"/>
              </w:rPr>
              <w:t>TS=(</w:t>
            </w:r>
            <w:r>
              <w:rPr>
                <w:rFonts w:hint="default" w:ascii="Times New Roman" w:hAnsi="Times New Roman" w:cs="Times New Roman"/>
                <w:sz w:val="20"/>
                <w:szCs w:val="20"/>
                <w:highlight w:val="none"/>
                <w:lang w:val="en-AU"/>
              </w:rPr>
              <w:t>'</w:t>
            </w:r>
            <w:r>
              <w:rPr>
                <w:rFonts w:hint="default" w:ascii="Times New Roman" w:hAnsi="Times New Roman" w:cs="Times New Roman"/>
                <w:sz w:val="20"/>
                <w:szCs w:val="20"/>
                <w:highlight w:val="none"/>
              </w:rPr>
              <w:t>diabetic neuropathy</w:t>
            </w:r>
            <w:r>
              <w:rPr>
                <w:rFonts w:hint="default" w:ascii="Times New Roman" w:hAnsi="Times New Roman" w:eastAsia="宋体" w:cs="Times New Roman"/>
                <w:color w:val="000000"/>
                <w:sz w:val="20"/>
                <w:szCs w:val="20"/>
                <w:highlight w:val="none"/>
                <w:lang w:eastAsia="zh-Hans"/>
              </w:rPr>
              <w:t>) OR TS=(</w:t>
            </w:r>
            <w:r>
              <w:rPr>
                <w:rFonts w:hint="default" w:ascii="Times New Roman" w:hAnsi="Times New Roman" w:cs="Times New Roman"/>
                <w:sz w:val="20"/>
                <w:szCs w:val="20"/>
                <w:highlight w:val="none"/>
              </w:rPr>
              <w:t>diabetic retinopathy</w:t>
            </w:r>
            <w:r>
              <w:rPr>
                <w:rFonts w:hint="default" w:ascii="Times New Roman" w:hAnsi="Times New Roman" w:eastAsia="宋体" w:cs="Times New Roman"/>
                <w:color w:val="000000"/>
                <w:sz w:val="20"/>
                <w:szCs w:val="20"/>
                <w:highlight w:val="none"/>
                <w:lang w:eastAsia="zh-Hans"/>
              </w:rPr>
              <w:t>)</w:t>
            </w:r>
            <w:r>
              <w:rPr>
                <w:rFonts w:hint="default" w:ascii="Times New Roman" w:hAnsi="Times New Roman" w:eastAsia="宋体" w:cs="Times New Roman"/>
                <w:color w:val="000000"/>
                <w:sz w:val="20"/>
                <w:szCs w:val="20"/>
                <w:highlight w:val="none"/>
              </w:rPr>
              <w:t xml:space="preserve"> OR </w:t>
            </w:r>
            <w:r>
              <w:rPr>
                <w:rFonts w:hint="default" w:ascii="Times New Roman" w:hAnsi="Times New Roman" w:eastAsia="宋体" w:cs="Times New Roman"/>
                <w:color w:val="000000"/>
                <w:sz w:val="20"/>
                <w:szCs w:val="20"/>
                <w:highlight w:val="none"/>
                <w:lang w:eastAsia="zh-Hans"/>
              </w:rPr>
              <w:t>TS=("</w:t>
            </w:r>
            <w:r>
              <w:rPr>
                <w:rFonts w:hint="default" w:ascii="Times New Roman" w:hAnsi="Times New Roman" w:cs="Times New Roman"/>
                <w:sz w:val="20"/>
                <w:szCs w:val="20"/>
                <w:highlight w:val="none"/>
              </w:rPr>
              <w:t>mortality</w:t>
            </w:r>
            <w:r>
              <w:rPr>
                <w:rFonts w:hint="default" w:ascii="Times New Roman" w:hAnsi="Times New Roman" w:eastAsia="宋体" w:cs="Times New Roman"/>
                <w:color w:val="000000"/>
                <w:sz w:val="20"/>
                <w:szCs w:val="20"/>
                <w:highlight w:val="none"/>
                <w:lang w:eastAsia="zh-Hans"/>
              </w:rPr>
              <w:t>") OR TS=("</w:t>
            </w:r>
            <w:r>
              <w:rPr>
                <w:rFonts w:hint="default" w:ascii="Times New Roman" w:hAnsi="Times New Roman" w:cs="Times New Roman"/>
                <w:sz w:val="20"/>
                <w:szCs w:val="20"/>
                <w:highlight w:val="none"/>
              </w:rPr>
              <w:t>all-cause mortality</w:t>
            </w:r>
            <w:r>
              <w:rPr>
                <w:rFonts w:hint="default" w:ascii="Times New Roman" w:hAnsi="Times New Roman" w:eastAsia="宋体" w:cs="Times New Roman"/>
                <w:color w:val="000000"/>
                <w:sz w:val="20"/>
                <w:szCs w:val="20"/>
                <w:highlight w:val="none"/>
                <w:lang w:eastAsia="zh-Hans"/>
              </w:rPr>
              <w:t>") OR TS=("</w:t>
            </w:r>
            <w:r>
              <w:rPr>
                <w:rFonts w:hint="default" w:ascii="Times New Roman" w:hAnsi="Times New Roman" w:cs="Times New Roman"/>
                <w:sz w:val="20"/>
                <w:szCs w:val="20"/>
                <w:highlight w:val="none"/>
              </w:rPr>
              <w:t>death rate</w:t>
            </w:r>
            <w:r>
              <w:rPr>
                <w:rFonts w:hint="default" w:ascii="Times New Roman" w:hAnsi="Times New Roman" w:eastAsia="宋体" w:cs="Times New Roman"/>
                <w:color w:val="000000"/>
                <w:sz w:val="20"/>
                <w:szCs w:val="20"/>
                <w:highlight w:val="none"/>
                <w:lang w:eastAsia="zh-Hans"/>
              </w:rPr>
              <w:t xml:space="preserve">") </w:t>
            </w:r>
          </w:p>
          <w:p w14:paraId="7955E34D">
            <w:pP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sz w:val="20"/>
                <w:szCs w:val="20"/>
                <w:highlight w:val="none"/>
                <w:lang w:eastAsia="zh-Hans"/>
              </w:rPr>
              <w:t xml:space="preserve">#3 </w:t>
            </w:r>
            <w:r>
              <w:rPr>
                <w:rFonts w:hint="default" w:ascii="Times New Roman" w:hAnsi="Times New Roman" w:eastAsia="宋体" w:cs="Times New Roman"/>
                <w:color w:val="000000"/>
                <w:sz w:val="20"/>
                <w:szCs w:val="20"/>
                <w:highlight w:val="none"/>
              </w:rPr>
              <w:t xml:space="preserve"> </w:t>
            </w:r>
            <w:r>
              <w:rPr>
                <w:rFonts w:hint="default" w:ascii="Times New Roman" w:hAnsi="Times New Roman" w:eastAsia="宋体" w:cs="Times New Roman"/>
                <w:color w:val="000000"/>
                <w:sz w:val="20"/>
                <w:szCs w:val="20"/>
                <w:highlight w:val="none"/>
                <w:lang w:eastAsia="zh-Hans"/>
              </w:rPr>
              <w:t>#1 AND #2</w:t>
            </w:r>
          </w:p>
        </w:tc>
        <w:tc>
          <w:tcPr>
            <w:tcW w:w="1193" w:type="dxa"/>
            <w:tcBorders>
              <w:top w:val="single" w:color="auto" w:sz="4" w:space="0"/>
            </w:tcBorders>
          </w:tcPr>
          <w:p w14:paraId="7850E4F1">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657</w:t>
            </w:r>
          </w:p>
        </w:tc>
      </w:tr>
      <w:tr w14:paraId="32AF642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819" w:type="dxa"/>
          </w:tcPr>
          <w:p w14:paraId="40C3091B">
            <w:pPr>
              <w:rPr>
                <w:rFonts w:hint="default" w:ascii="Times New Roman" w:hAnsi="Times New Roman" w:cs="Times New Roman"/>
                <w:sz w:val="20"/>
                <w:szCs w:val="20"/>
                <w:highlight w:val="none"/>
                <w:lang w:val="en-AU"/>
              </w:rPr>
            </w:pPr>
            <w:r>
              <w:rPr>
                <w:rFonts w:hint="default" w:ascii="Times New Roman" w:hAnsi="Times New Roman" w:eastAsia="Times New Roman" w:cs="Times New Roman"/>
                <w:color w:val="000000"/>
                <w:sz w:val="20"/>
                <w:szCs w:val="20"/>
                <w:highlight w:val="none"/>
              </w:rPr>
              <w:t>Cochrane Library</w:t>
            </w:r>
          </w:p>
        </w:tc>
        <w:tc>
          <w:tcPr>
            <w:tcW w:w="10868" w:type="dxa"/>
          </w:tcPr>
          <w:p w14:paraId="3F2AE289">
            <w:pPr>
              <w:rPr>
                <w:rFonts w:hint="default" w:ascii="Times New Roman" w:hAnsi="Times New Roman" w:eastAsia="宋体" w:cs="Times New Roman"/>
                <w:color w:val="000000"/>
                <w:sz w:val="20"/>
                <w:szCs w:val="20"/>
                <w:highlight w:val="none"/>
                <w:lang w:eastAsia="zh-Hans"/>
              </w:rPr>
            </w:pPr>
            <w:r>
              <w:rPr>
                <w:rFonts w:hint="default" w:ascii="Times New Roman" w:hAnsi="Times New Roman" w:eastAsia="宋体" w:cs="Times New Roman"/>
                <w:color w:val="000000"/>
                <w:sz w:val="20"/>
                <w:szCs w:val="20"/>
                <w:highlight w:val="none"/>
                <w:lang w:eastAsia="zh-Hans"/>
              </w:rPr>
              <w:t>#1</w:t>
            </w:r>
            <w:r>
              <w:rPr>
                <w:rFonts w:hint="default" w:ascii="Times New Roman" w:hAnsi="Times New Roman" w:eastAsia="宋体" w:cs="Times New Roman"/>
                <w:color w:val="000000"/>
                <w:sz w:val="20"/>
                <w:szCs w:val="20"/>
                <w:highlight w:val="none"/>
              </w:rPr>
              <w:t xml:space="preserve"> </w:t>
            </w:r>
            <w:r>
              <w:rPr>
                <w:rFonts w:hint="default" w:ascii="Times New Roman" w:hAnsi="Times New Roman" w:eastAsia="宋体" w:cs="Times New Roman"/>
                <w:color w:val="000000"/>
                <w:sz w:val="20"/>
                <w:szCs w:val="20"/>
                <w:highlight w:val="none"/>
                <w:lang w:eastAsia="zh-Hans"/>
              </w:rPr>
              <w:t>(</w:t>
            </w:r>
            <w:r>
              <w:rPr>
                <w:rFonts w:hint="default" w:ascii="Times New Roman" w:hAnsi="Times New Roman" w:cs="Times New Roman"/>
                <w:sz w:val="20"/>
                <w:szCs w:val="20"/>
                <w:highlight w:val="none"/>
                <w:lang w:val="en-AU"/>
              </w:rPr>
              <w:t>cardiovascular disease</w:t>
            </w:r>
            <w:r>
              <w:rPr>
                <w:rFonts w:hint="default" w:ascii="Times New Roman" w:hAnsi="Times New Roman" w:eastAsia="宋体" w:cs="Times New Roman"/>
                <w:color w:val="000000"/>
                <w:sz w:val="20"/>
                <w:szCs w:val="20"/>
                <w:highlight w:val="none"/>
                <w:lang w:eastAsia="zh-Hans"/>
              </w:rPr>
              <w:t>):ti,ab,kw OR (</w:t>
            </w:r>
            <w:r>
              <w:rPr>
                <w:rFonts w:hint="default" w:ascii="Times New Roman" w:hAnsi="Times New Roman" w:cs="Times New Roman"/>
                <w:sz w:val="20"/>
                <w:szCs w:val="20"/>
                <w:highlight w:val="none"/>
                <w:lang w:val="en-AU"/>
              </w:rPr>
              <w:t>coronary artery disease</w:t>
            </w:r>
            <w:r>
              <w:rPr>
                <w:rFonts w:hint="default" w:ascii="Times New Roman" w:hAnsi="Times New Roman" w:eastAsia="宋体" w:cs="Times New Roman"/>
                <w:color w:val="000000"/>
                <w:sz w:val="20"/>
                <w:szCs w:val="20"/>
                <w:highlight w:val="none"/>
                <w:lang w:eastAsia="zh-Hans"/>
              </w:rPr>
              <w:t>):ti,ab,kw OR (</w:t>
            </w:r>
            <w:r>
              <w:rPr>
                <w:rFonts w:hint="default" w:ascii="Times New Roman" w:hAnsi="Times New Roman" w:cs="Times New Roman"/>
                <w:sz w:val="20"/>
                <w:szCs w:val="20"/>
                <w:highlight w:val="none"/>
                <w:lang w:val="en-AU"/>
              </w:rPr>
              <w:t>stroke</w:t>
            </w:r>
            <w:r>
              <w:rPr>
                <w:rFonts w:hint="default" w:ascii="Times New Roman" w:hAnsi="Times New Roman" w:eastAsia="宋体" w:cs="Times New Roman"/>
                <w:color w:val="000000"/>
                <w:sz w:val="20"/>
                <w:szCs w:val="20"/>
                <w:highlight w:val="none"/>
                <w:lang w:eastAsia="zh-Hans"/>
              </w:rPr>
              <w:t>):ti,ab,kw OR (</w:t>
            </w:r>
            <w:r>
              <w:rPr>
                <w:rFonts w:hint="default" w:ascii="Times New Roman" w:hAnsi="Times New Roman" w:cs="Times New Roman"/>
                <w:sz w:val="20"/>
                <w:szCs w:val="20"/>
                <w:highlight w:val="none"/>
                <w:lang w:val="en-AU"/>
              </w:rPr>
              <w:t>peripheral arterial disease</w:t>
            </w:r>
            <w:r>
              <w:rPr>
                <w:rFonts w:hint="default" w:ascii="Times New Roman" w:hAnsi="Times New Roman" w:eastAsia="宋体" w:cs="Times New Roman"/>
                <w:color w:val="000000"/>
                <w:sz w:val="20"/>
                <w:szCs w:val="20"/>
                <w:highlight w:val="none"/>
                <w:lang w:eastAsia="zh-Hans"/>
              </w:rPr>
              <w:t>):ti,ab,kw OR (</w:t>
            </w:r>
            <w:r>
              <w:rPr>
                <w:rFonts w:hint="default" w:ascii="Times New Roman" w:hAnsi="Times New Roman" w:cs="Times New Roman"/>
                <w:sz w:val="20"/>
                <w:szCs w:val="20"/>
                <w:highlight w:val="none"/>
                <w:lang w:val="en-AU"/>
              </w:rPr>
              <w:t>major adverse cardiac events</w:t>
            </w:r>
            <w:r>
              <w:rPr>
                <w:rFonts w:hint="default" w:ascii="Times New Roman" w:hAnsi="Times New Roman" w:eastAsia="宋体" w:cs="Times New Roman"/>
                <w:color w:val="000000"/>
                <w:sz w:val="20"/>
                <w:szCs w:val="20"/>
                <w:highlight w:val="none"/>
                <w:lang w:eastAsia="zh-Hans"/>
              </w:rPr>
              <w:t>):ti,ab,kw</w:t>
            </w:r>
            <w:r>
              <w:rPr>
                <w:rFonts w:hint="default" w:ascii="Times New Roman" w:hAnsi="Times New Roman" w:eastAsia="宋体" w:cs="Times New Roman"/>
                <w:color w:val="000000"/>
                <w:sz w:val="20"/>
                <w:szCs w:val="20"/>
                <w:highlight w:val="none"/>
              </w:rPr>
              <w:t xml:space="preserve"> </w:t>
            </w:r>
            <w:r>
              <w:rPr>
                <w:rFonts w:hint="default" w:ascii="Times New Roman" w:hAnsi="Times New Roman" w:eastAsia="宋体" w:cs="Times New Roman"/>
                <w:color w:val="000000"/>
                <w:sz w:val="20"/>
                <w:szCs w:val="20"/>
                <w:highlight w:val="none"/>
                <w:lang w:eastAsia="zh-Hans"/>
              </w:rPr>
              <w:t>OR</w:t>
            </w:r>
            <w:r>
              <w:rPr>
                <w:rFonts w:hint="default" w:ascii="Times New Roman" w:hAnsi="Times New Roman" w:eastAsia="宋体" w:cs="Times New Roman"/>
                <w:color w:val="000000"/>
                <w:sz w:val="20"/>
                <w:szCs w:val="20"/>
                <w:highlight w:val="none"/>
              </w:rPr>
              <w:t xml:space="preserve"> </w:t>
            </w:r>
            <w:r>
              <w:rPr>
                <w:rFonts w:hint="default" w:ascii="Times New Roman" w:hAnsi="Times New Roman" w:eastAsia="宋体" w:cs="Times New Roman"/>
                <w:color w:val="000000"/>
                <w:sz w:val="20"/>
                <w:szCs w:val="20"/>
                <w:highlight w:val="none"/>
                <w:lang w:eastAsia="zh-Hans"/>
              </w:rPr>
              <w:t>(</w:t>
            </w:r>
            <w:r>
              <w:rPr>
                <w:rFonts w:hint="default" w:ascii="Times New Roman" w:hAnsi="Times New Roman" w:cs="Times New Roman"/>
                <w:sz w:val="20"/>
                <w:szCs w:val="20"/>
                <w:highlight w:val="none"/>
              </w:rPr>
              <w:t>diabetes microangiopathy</w:t>
            </w:r>
            <w:r>
              <w:rPr>
                <w:rFonts w:hint="default" w:ascii="Times New Roman" w:hAnsi="Times New Roman" w:eastAsia="宋体" w:cs="Times New Roman"/>
                <w:color w:val="000000"/>
                <w:sz w:val="20"/>
                <w:szCs w:val="20"/>
                <w:highlight w:val="none"/>
                <w:lang w:eastAsia="zh-Hans"/>
              </w:rPr>
              <w:t>):ti,ab,kw</w:t>
            </w:r>
            <w:r>
              <w:rPr>
                <w:rFonts w:hint="default" w:ascii="Times New Roman" w:hAnsi="Times New Roman" w:eastAsia="宋体" w:cs="Times New Roman"/>
                <w:color w:val="000000"/>
                <w:sz w:val="20"/>
                <w:szCs w:val="20"/>
                <w:highlight w:val="none"/>
              </w:rPr>
              <w:t xml:space="preserve"> </w:t>
            </w:r>
            <w:r>
              <w:rPr>
                <w:rFonts w:hint="default" w:ascii="Times New Roman" w:hAnsi="Times New Roman" w:eastAsia="宋体" w:cs="Times New Roman"/>
                <w:color w:val="000000"/>
                <w:sz w:val="20"/>
                <w:szCs w:val="20"/>
                <w:highlight w:val="none"/>
                <w:lang w:eastAsia="zh-Hans"/>
              </w:rPr>
              <w:t>OR</w:t>
            </w:r>
            <w:r>
              <w:rPr>
                <w:rFonts w:hint="default" w:ascii="Times New Roman" w:hAnsi="Times New Roman" w:eastAsia="宋体" w:cs="Times New Roman"/>
                <w:color w:val="000000"/>
                <w:sz w:val="20"/>
                <w:szCs w:val="20"/>
                <w:highlight w:val="none"/>
              </w:rPr>
              <w:t xml:space="preserve"> </w:t>
            </w:r>
            <w:r>
              <w:rPr>
                <w:rFonts w:hint="default" w:ascii="Times New Roman" w:hAnsi="Times New Roman" w:eastAsia="宋体" w:cs="Times New Roman"/>
                <w:color w:val="000000"/>
                <w:sz w:val="20"/>
                <w:szCs w:val="20"/>
                <w:highlight w:val="none"/>
                <w:lang w:eastAsia="zh-Hans"/>
              </w:rPr>
              <w:t>(</w:t>
            </w:r>
            <w:r>
              <w:rPr>
                <w:rFonts w:hint="default" w:ascii="Times New Roman" w:hAnsi="Times New Roman" w:cs="Times New Roman"/>
                <w:sz w:val="20"/>
                <w:szCs w:val="20"/>
                <w:highlight w:val="none"/>
              </w:rPr>
              <w:t>diabetic nephropathy</w:t>
            </w:r>
            <w:r>
              <w:rPr>
                <w:rFonts w:hint="default" w:ascii="Times New Roman" w:hAnsi="Times New Roman" w:eastAsia="宋体" w:cs="Times New Roman"/>
                <w:color w:val="000000"/>
                <w:sz w:val="20"/>
                <w:szCs w:val="20"/>
                <w:highlight w:val="none"/>
                <w:lang w:eastAsia="zh-Hans"/>
              </w:rPr>
              <w:t>):ti,ab,kw OR</w:t>
            </w:r>
            <w:r>
              <w:rPr>
                <w:rFonts w:hint="default" w:ascii="Times New Roman" w:hAnsi="Times New Roman" w:eastAsia="宋体" w:cs="Times New Roman"/>
                <w:color w:val="000000"/>
                <w:sz w:val="20"/>
                <w:szCs w:val="20"/>
                <w:highlight w:val="none"/>
              </w:rPr>
              <w:t xml:space="preserve"> </w:t>
            </w:r>
            <w:r>
              <w:rPr>
                <w:rFonts w:hint="default" w:ascii="Times New Roman" w:hAnsi="Times New Roman" w:eastAsia="宋体" w:cs="Times New Roman"/>
                <w:color w:val="000000"/>
                <w:sz w:val="20"/>
                <w:szCs w:val="20"/>
                <w:highlight w:val="none"/>
                <w:lang w:eastAsia="zh-Hans"/>
              </w:rPr>
              <w:t>(</w:t>
            </w:r>
            <w:r>
              <w:rPr>
                <w:rFonts w:hint="default" w:ascii="Times New Roman" w:hAnsi="Times New Roman" w:cs="Times New Roman"/>
                <w:sz w:val="20"/>
                <w:szCs w:val="20"/>
                <w:highlight w:val="none"/>
              </w:rPr>
              <w:t>diabetic peripheral neuropathy</w:t>
            </w:r>
            <w:r>
              <w:rPr>
                <w:rFonts w:hint="default" w:ascii="Times New Roman" w:hAnsi="Times New Roman" w:eastAsia="宋体" w:cs="Times New Roman"/>
                <w:color w:val="000000"/>
                <w:sz w:val="20"/>
                <w:szCs w:val="20"/>
                <w:highlight w:val="none"/>
                <w:lang w:eastAsia="zh-Hans"/>
              </w:rPr>
              <w:t>):ti,ab,kw OR</w:t>
            </w:r>
            <w:r>
              <w:rPr>
                <w:rFonts w:hint="default" w:ascii="Times New Roman" w:hAnsi="Times New Roman" w:eastAsia="宋体" w:cs="Times New Roman"/>
                <w:color w:val="000000"/>
                <w:sz w:val="20"/>
                <w:szCs w:val="20"/>
                <w:highlight w:val="none"/>
              </w:rPr>
              <w:t xml:space="preserve"> </w:t>
            </w:r>
            <w:r>
              <w:rPr>
                <w:rFonts w:hint="default" w:ascii="Times New Roman" w:hAnsi="Times New Roman" w:eastAsia="宋体" w:cs="Times New Roman"/>
                <w:color w:val="000000"/>
                <w:sz w:val="20"/>
                <w:szCs w:val="20"/>
                <w:highlight w:val="none"/>
                <w:lang w:eastAsia="zh-Hans"/>
              </w:rPr>
              <w:t>(</w:t>
            </w:r>
            <w:r>
              <w:rPr>
                <w:rFonts w:hint="default" w:ascii="Times New Roman" w:hAnsi="Times New Roman" w:cs="Times New Roman"/>
                <w:sz w:val="20"/>
                <w:szCs w:val="20"/>
                <w:highlight w:val="none"/>
              </w:rPr>
              <w:t>diabetic neuropathy</w:t>
            </w:r>
            <w:r>
              <w:rPr>
                <w:rFonts w:hint="default" w:ascii="Times New Roman" w:hAnsi="Times New Roman" w:eastAsia="宋体" w:cs="Times New Roman"/>
                <w:color w:val="000000"/>
                <w:sz w:val="20"/>
                <w:szCs w:val="20"/>
                <w:highlight w:val="none"/>
                <w:lang w:eastAsia="zh-Hans"/>
              </w:rPr>
              <w:t>):ti,ab,kw OR (</w:t>
            </w:r>
            <w:r>
              <w:rPr>
                <w:rFonts w:hint="default" w:ascii="Times New Roman" w:hAnsi="Times New Roman" w:cs="Times New Roman"/>
                <w:sz w:val="20"/>
                <w:szCs w:val="20"/>
                <w:highlight w:val="none"/>
              </w:rPr>
              <w:t>diabetic retinopathy</w:t>
            </w:r>
            <w:r>
              <w:rPr>
                <w:rFonts w:hint="default" w:ascii="Times New Roman" w:hAnsi="Times New Roman" w:eastAsia="宋体" w:cs="Times New Roman"/>
                <w:color w:val="000000"/>
                <w:sz w:val="20"/>
                <w:szCs w:val="20"/>
                <w:highlight w:val="none"/>
                <w:lang w:eastAsia="zh-Hans"/>
              </w:rPr>
              <w:t>):ti,ab,kw</w:t>
            </w:r>
            <w:r>
              <w:rPr>
                <w:rFonts w:hint="default" w:ascii="Times New Roman" w:hAnsi="Times New Roman" w:eastAsia="宋体" w:cs="Times New Roman"/>
                <w:color w:val="000000"/>
                <w:sz w:val="20"/>
                <w:szCs w:val="20"/>
                <w:highlight w:val="none"/>
              </w:rPr>
              <w:t xml:space="preserve"> OR </w:t>
            </w:r>
            <w:r>
              <w:rPr>
                <w:rFonts w:hint="default" w:ascii="Times New Roman" w:hAnsi="Times New Roman" w:eastAsia="宋体" w:cs="Times New Roman"/>
                <w:color w:val="000000"/>
                <w:sz w:val="20"/>
                <w:szCs w:val="20"/>
                <w:highlight w:val="none"/>
                <w:lang w:eastAsia="zh-Hans"/>
              </w:rPr>
              <w:t>(</w:t>
            </w:r>
            <w:r>
              <w:rPr>
                <w:rFonts w:hint="default" w:ascii="Times New Roman" w:hAnsi="Times New Roman" w:cs="Times New Roman"/>
                <w:sz w:val="20"/>
                <w:szCs w:val="20"/>
                <w:highlight w:val="none"/>
              </w:rPr>
              <w:t>mortality</w:t>
            </w:r>
            <w:r>
              <w:rPr>
                <w:rFonts w:hint="default" w:ascii="Times New Roman" w:hAnsi="Times New Roman" w:eastAsia="宋体" w:cs="Times New Roman"/>
                <w:color w:val="000000"/>
                <w:sz w:val="20"/>
                <w:szCs w:val="20"/>
                <w:highlight w:val="none"/>
                <w:lang w:eastAsia="zh-Hans"/>
              </w:rPr>
              <w:t>):ti,ab,kw OR</w:t>
            </w:r>
            <w:r>
              <w:rPr>
                <w:rFonts w:hint="default" w:ascii="Times New Roman" w:hAnsi="Times New Roman" w:eastAsia="宋体" w:cs="Times New Roman"/>
                <w:color w:val="000000"/>
                <w:sz w:val="20"/>
                <w:szCs w:val="20"/>
                <w:highlight w:val="none"/>
              </w:rPr>
              <w:t xml:space="preserve"> </w:t>
            </w:r>
            <w:r>
              <w:rPr>
                <w:rFonts w:hint="default" w:ascii="Times New Roman" w:hAnsi="Times New Roman" w:eastAsia="宋体" w:cs="Times New Roman"/>
                <w:color w:val="000000"/>
                <w:sz w:val="20"/>
                <w:szCs w:val="20"/>
                <w:highlight w:val="none"/>
                <w:lang w:eastAsia="zh-Hans"/>
              </w:rPr>
              <w:t>(</w:t>
            </w:r>
            <w:r>
              <w:rPr>
                <w:rFonts w:hint="default" w:ascii="Times New Roman" w:hAnsi="Times New Roman" w:cs="Times New Roman"/>
                <w:sz w:val="20"/>
                <w:szCs w:val="20"/>
                <w:highlight w:val="none"/>
              </w:rPr>
              <w:t>all-cause mortality</w:t>
            </w:r>
            <w:r>
              <w:rPr>
                <w:rFonts w:hint="default" w:ascii="Times New Roman" w:hAnsi="Times New Roman" w:eastAsia="宋体" w:cs="Times New Roman"/>
                <w:color w:val="000000"/>
                <w:sz w:val="20"/>
                <w:szCs w:val="20"/>
                <w:highlight w:val="none"/>
                <w:lang w:eastAsia="zh-Hans"/>
              </w:rPr>
              <w:t>):ti,ab,kw OR (</w:t>
            </w:r>
            <w:r>
              <w:rPr>
                <w:rFonts w:hint="default" w:ascii="Times New Roman" w:hAnsi="Times New Roman" w:cs="Times New Roman"/>
                <w:sz w:val="20"/>
                <w:szCs w:val="20"/>
                <w:highlight w:val="none"/>
              </w:rPr>
              <w:t>death rate</w:t>
            </w:r>
            <w:r>
              <w:rPr>
                <w:rFonts w:hint="default" w:ascii="Times New Roman" w:hAnsi="Times New Roman" w:eastAsia="宋体" w:cs="Times New Roman"/>
                <w:color w:val="000000"/>
                <w:sz w:val="20"/>
                <w:szCs w:val="20"/>
                <w:highlight w:val="none"/>
                <w:lang w:eastAsia="zh-Hans"/>
              </w:rPr>
              <w:t>):ti,ab,kw</w:t>
            </w:r>
          </w:p>
          <w:p w14:paraId="6FA0B54F">
            <w:pPr>
              <w:rPr>
                <w:rFonts w:hint="default" w:ascii="Times New Roman" w:hAnsi="Times New Roman" w:eastAsia="宋体" w:cs="Times New Roman"/>
                <w:color w:val="000000"/>
                <w:sz w:val="20"/>
                <w:szCs w:val="20"/>
                <w:highlight w:val="none"/>
                <w:lang w:val="it-IT" w:eastAsia="zh-Hans"/>
              </w:rPr>
            </w:pPr>
            <w:r>
              <w:rPr>
                <w:rFonts w:hint="default" w:ascii="Times New Roman" w:hAnsi="Times New Roman" w:eastAsia="宋体" w:cs="Times New Roman"/>
                <w:color w:val="000000"/>
                <w:sz w:val="20"/>
                <w:szCs w:val="20"/>
                <w:highlight w:val="none"/>
                <w:lang w:val="it-IT" w:eastAsia="zh-Hans"/>
              </w:rPr>
              <w:t>#</w:t>
            </w:r>
            <w:r>
              <w:rPr>
                <w:rFonts w:hint="default" w:ascii="Times New Roman" w:hAnsi="Times New Roman" w:eastAsia="宋体" w:cs="Times New Roman"/>
                <w:color w:val="000000"/>
                <w:sz w:val="20"/>
                <w:szCs w:val="20"/>
                <w:highlight w:val="none"/>
                <w:lang w:val="it-IT"/>
              </w:rPr>
              <w:t xml:space="preserve">2 </w:t>
            </w:r>
            <w:r>
              <w:rPr>
                <w:rFonts w:hint="default" w:ascii="Times New Roman" w:hAnsi="Times New Roman" w:eastAsia="宋体" w:cs="Times New Roman"/>
                <w:color w:val="000000"/>
                <w:sz w:val="20"/>
                <w:szCs w:val="20"/>
                <w:highlight w:val="none"/>
                <w:lang w:val="it-IT" w:eastAsia="zh-Hans"/>
              </w:rPr>
              <w:t>(</w:t>
            </w:r>
            <w:r>
              <w:rPr>
                <w:rFonts w:hint="default" w:ascii="Times New Roman" w:hAnsi="Times New Roman" w:cs="Times New Roman"/>
                <w:sz w:val="20"/>
                <w:szCs w:val="20"/>
                <w:highlight w:val="none"/>
                <w:lang w:val="it-IT"/>
              </w:rPr>
              <w:t>eGDR</w:t>
            </w:r>
            <w:r>
              <w:rPr>
                <w:rFonts w:hint="default" w:ascii="Times New Roman" w:hAnsi="Times New Roman" w:eastAsia="宋体" w:cs="Times New Roman"/>
                <w:color w:val="000000"/>
                <w:sz w:val="20"/>
                <w:szCs w:val="20"/>
                <w:highlight w:val="none"/>
                <w:lang w:val="it-IT" w:eastAsia="zh-Hans"/>
              </w:rPr>
              <w:t>):ti,ab,kw OR (</w:t>
            </w:r>
            <w:r>
              <w:rPr>
                <w:rFonts w:hint="default" w:ascii="Times New Roman" w:hAnsi="Times New Roman" w:cs="Times New Roman"/>
                <w:sz w:val="20"/>
                <w:szCs w:val="20"/>
                <w:highlight w:val="none"/>
                <w:lang w:val="it-IT"/>
              </w:rPr>
              <w:t>estimated glucose disposal rate</w:t>
            </w:r>
            <w:r>
              <w:rPr>
                <w:rFonts w:hint="default" w:ascii="Times New Roman" w:hAnsi="Times New Roman" w:eastAsia="宋体" w:cs="Times New Roman"/>
                <w:color w:val="000000"/>
                <w:sz w:val="20"/>
                <w:szCs w:val="20"/>
                <w:highlight w:val="none"/>
                <w:lang w:val="it-IT" w:eastAsia="zh-Hans"/>
              </w:rPr>
              <w:t>):ti,ab,kw</w:t>
            </w:r>
            <w:r>
              <w:rPr>
                <w:rFonts w:hint="default" w:ascii="Times New Roman" w:hAnsi="Times New Roman" w:eastAsia="宋体" w:cs="Times New Roman"/>
                <w:color w:val="000000"/>
                <w:sz w:val="20"/>
                <w:szCs w:val="20"/>
                <w:highlight w:val="none"/>
                <w:lang w:val="it-IT" w:eastAsia="zh-Hans"/>
              </w:rPr>
              <w:tab/>
            </w:r>
          </w:p>
          <w:p w14:paraId="363AF4F5">
            <w:pPr>
              <w:rPr>
                <w:rFonts w:hint="default" w:ascii="Times New Roman" w:hAnsi="Times New Roman" w:eastAsia="宋体" w:cs="Times New Roman"/>
                <w:sz w:val="20"/>
                <w:szCs w:val="20"/>
                <w:highlight w:val="none"/>
                <w:lang w:val="en-AU"/>
              </w:rPr>
            </w:pPr>
            <w:r>
              <w:rPr>
                <w:rFonts w:hint="default" w:ascii="Times New Roman" w:hAnsi="Times New Roman" w:eastAsia="宋体" w:cs="Times New Roman"/>
                <w:color w:val="000000"/>
                <w:sz w:val="20"/>
                <w:szCs w:val="20"/>
                <w:highlight w:val="none"/>
                <w:lang w:eastAsia="zh-Hans"/>
              </w:rPr>
              <w:t>#</w:t>
            </w:r>
            <w:r>
              <w:rPr>
                <w:rFonts w:hint="default" w:ascii="Times New Roman" w:hAnsi="Times New Roman" w:eastAsia="宋体" w:cs="Times New Roman"/>
                <w:color w:val="000000"/>
                <w:sz w:val="20"/>
                <w:szCs w:val="20"/>
                <w:highlight w:val="none"/>
              </w:rPr>
              <w:t>3</w:t>
            </w:r>
            <w:r>
              <w:rPr>
                <w:rFonts w:hint="default" w:ascii="Times New Roman" w:hAnsi="Times New Roman" w:eastAsia="宋体" w:cs="Times New Roman"/>
                <w:color w:val="000000"/>
                <w:sz w:val="20"/>
                <w:szCs w:val="20"/>
                <w:highlight w:val="none"/>
                <w:lang w:eastAsia="zh-Hans"/>
              </w:rPr>
              <w:tab/>
            </w:r>
            <w:r>
              <w:rPr>
                <w:rFonts w:hint="default" w:ascii="Times New Roman" w:hAnsi="Times New Roman" w:eastAsia="宋体" w:cs="Times New Roman"/>
                <w:color w:val="000000"/>
                <w:sz w:val="20"/>
                <w:szCs w:val="20"/>
                <w:highlight w:val="none"/>
                <w:lang w:eastAsia="zh-Hans"/>
              </w:rPr>
              <w:t>#</w:t>
            </w:r>
            <w:r>
              <w:rPr>
                <w:rFonts w:hint="default" w:ascii="Times New Roman" w:hAnsi="Times New Roman" w:eastAsia="宋体" w:cs="Times New Roman"/>
                <w:color w:val="000000"/>
                <w:sz w:val="20"/>
                <w:szCs w:val="20"/>
                <w:highlight w:val="none"/>
              </w:rPr>
              <w:t>1</w:t>
            </w:r>
            <w:r>
              <w:rPr>
                <w:rFonts w:hint="default" w:ascii="Times New Roman" w:hAnsi="Times New Roman" w:eastAsia="宋体" w:cs="Times New Roman"/>
                <w:color w:val="000000"/>
                <w:sz w:val="20"/>
                <w:szCs w:val="20"/>
                <w:highlight w:val="none"/>
                <w:lang w:eastAsia="zh-Hans"/>
              </w:rPr>
              <w:t xml:space="preserve"> AND #</w:t>
            </w:r>
            <w:r>
              <w:rPr>
                <w:rFonts w:hint="default" w:ascii="Times New Roman" w:hAnsi="Times New Roman" w:eastAsia="宋体" w:cs="Times New Roman"/>
                <w:color w:val="000000"/>
                <w:sz w:val="20"/>
                <w:szCs w:val="20"/>
                <w:highlight w:val="none"/>
              </w:rPr>
              <w:t>2</w:t>
            </w:r>
          </w:p>
        </w:tc>
        <w:tc>
          <w:tcPr>
            <w:tcW w:w="1193" w:type="dxa"/>
          </w:tcPr>
          <w:p w14:paraId="398F1009">
            <w:pPr>
              <w:pStyle w:val="2"/>
              <w:widowControl/>
              <w:shd w:val="clear" w:color="auto" w:fill="FFFFFF"/>
              <w:spacing w:beforeAutospacing="0" w:afterAutospacing="0" w:line="9" w:lineRule="atLeast"/>
              <w:rPr>
                <w:rFonts w:hint="default" w:ascii="Times New Roman" w:hAnsi="Times New Roman" w:cs="Times New Roman"/>
                <w:b w:val="0"/>
                <w:bCs w:val="0"/>
                <w:color w:val="000000"/>
                <w:sz w:val="20"/>
                <w:szCs w:val="20"/>
                <w:highlight w:val="none"/>
              </w:rPr>
            </w:pPr>
            <w:r>
              <w:rPr>
                <w:rFonts w:hint="default" w:ascii="Times New Roman" w:hAnsi="Times New Roman" w:cs="Times New Roman"/>
                <w:b w:val="0"/>
                <w:bCs w:val="0"/>
                <w:color w:val="000000"/>
                <w:sz w:val="20"/>
                <w:szCs w:val="20"/>
                <w:highlight w:val="none"/>
              </w:rPr>
              <w:t>32</w:t>
            </w:r>
          </w:p>
          <w:p w14:paraId="4F101171">
            <w:pPr>
              <w:rPr>
                <w:rFonts w:hint="default" w:ascii="Times New Roman" w:hAnsi="Times New Roman" w:cs="Times New Roman"/>
                <w:sz w:val="20"/>
                <w:szCs w:val="20"/>
                <w:highlight w:val="none"/>
                <w:lang w:val="en-AU"/>
              </w:rPr>
            </w:pPr>
          </w:p>
        </w:tc>
      </w:tr>
    </w:tbl>
    <w:p w14:paraId="2C931146">
      <w:pPr>
        <w:widowControl/>
        <w:jc w:val="left"/>
        <w:rPr>
          <w:rFonts w:hint="default" w:ascii="Times New Roman" w:hAnsi="Times New Roman" w:eastAsia="等线" w:cs="Times New Roman"/>
          <w:b/>
          <w:kern w:val="0"/>
          <w:sz w:val="20"/>
          <w:szCs w:val="20"/>
          <w:highlight w:val="none"/>
          <w:lang w:bidi="ar"/>
        </w:rPr>
      </w:pPr>
    </w:p>
    <w:p w14:paraId="6D787F90">
      <w:pPr>
        <w:widowControl/>
        <w:jc w:val="left"/>
        <w:rPr>
          <w:rFonts w:hint="default" w:ascii="Times New Roman" w:hAnsi="Times New Roman" w:eastAsia="等线" w:cs="Times New Roman"/>
          <w:b/>
          <w:kern w:val="0"/>
          <w:sz w:val="20"/>
          <w:szCs w:val="20"/>
          <w:highlight w:val="none"/>
          <w:lang w:bidi="ar"/>
        </w:rPr>
      </w:pPr>
    </w:p>
    <w:p w14:paraId="4F245D27">
      <w:pPr>
        <w:spacing w:line="360" w:lineRule="auto"/>
        <w:rPr>
          <w:rFonts w:hint="default" w:ascii="Times New Roman" w:hAnsi="Times New Roman" w:eastAsia="宋体" w:cs="Times New Roman"/>
          <w:b/>
          <w:bCs/>
          <w:color w:val="000000"/>
          <w:kern w:val="0"/>
          <w:sz w:val="20"/>
          <w:szCs w:val="20"/>
          <w:highlight w:val="none"/>
          <w:lang w:bidi="ar"/>
        </w:rPr>
      </w:pPr>
    </w:p>
    <w:p w14:paraId="48B750D8">
      <w:pPr>
        <w:spacing w:line="360" w:lineRule="auto"/>
        <w:rPr>
          <w:rFonts w:hint="default" w:ascii="Times New Roman" w:hAnsi="Times New Roman" w:eastAsia="宋体" w:cs="Times New Roman"/>
          <w:b/>
          <w:bCs/>
          <w:color w:val="000000"/>
          <w:kern w:val="0"/>
          <w:sz w:val="20"/>
          <w:szCs w:val="20"/>
          <w:highlight w:val="none"/>
          <w:lang w:bidi="ar"/>
        </w:rPr>
      </w:pPr>
    </w:p>
    <w:p w14:paraId="3255B030">
      <w:pPr>
        <w:spacing w:line="360" w:lineRule="auto"/>
        <w:outlineLvl w:val="0"/>
        <w:rPr>
          <w:rFonts w:hint="default" w:ascii="Times New Roman" w:hAnsi="Times New Roman" w:eastAsia="宋体" w:cs="Times New Roman"/>
          <w:b/>
          <w:bCs/>
          <w:color w:val="000000"/>
          <w:kern w:val="0"/>
          <w:sz w:val="20"/>
          <w:szCs w:val="20"/>
          <w:highlight w:val="none"/>
          <w:lang w:bidi="ar"/>
        </w:rPr>
      </w:pPr>
      <w:bookmarkStart w:id="2" w:name="_Toc18046"/>
      <w:r>
        <w:rPr>
          <w:rFonts w:hint="default" w:ascii="Times New Roman" w:hAnsi="Times New Roman" w:eastAsia="宋体" w:cs="Times New Roman"/>
          <w:b/>
          <w:bCs/>
          <w:color w:val="000000"/>
          <w:kern w:val="0"/>
          <w:sz w:val="20"/>
          <w:szCs w:val="20"/>
          <w:highlight w:val="none"/>
          <w:lang w:eastAsia="zh-CN" w:bidi="ar"/>
        </w:rPr>
        <w:t>Additional</w:t>
      </w:r>
      <w:r>
        <w:rPr>
          <w:rFonts w:hint="default" w:ascii="Times New Roman" w:hAnsi="Times New Roman" w:eastAsia="宋体" w:cs="Times New Roman"/>
          <w:b/>
          <w:bCs/>
          <w:color w:val="000000"/>
          <w:kern w:val="0"/>
          <w:sz w:val="20"/>
          <w:szCs w:val="20"/>
          <w:highlight w:val="none"/>
          <w:lang w:bidi="ar"/>
        </w:rPr>
        <w:t xml:space="preserve"> Table 3. Definition of the Clinical Outcome</w:t>
      </w:r>
      <w:bookmarkEnd w:id="2"/>
    </w:p>
    <w:tbl>
      <w:tblPr>
        <w:tblStyle w:val="9"/>
        <w:tblW w:w="13879" w:type="dxa"/>
        <w:tblInd w:w="10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22"/>
        <w:gridCol w:w="11857"/>
      </w:tblGrid>
      <w:tr w14:paraId="6083E67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2022" w:type="dxa"/>
            <w:tcBorders>
              <w:bottom w:val="single" w:color="auto" w:sz="4" w:space="0"/>
            </w:tcBorders>
            <w:shd w:val="clear" w:color="auto" w:fill="auto"/>
            <w:vAlign w:val="center"/>
          </w:tcPr>
          <w:p w14:paraId="40F2F33F">
            <w:pPr>
              <w:widowControl/>
              <w:jc w:val="left"/>
              <w:textAlignment w:val="center"/>
              <w:rPr>
                <w:rFonts w:hint="default" w:ascii="Times New Roman" w:hAnsi="Times New Roman" w:eastAsia="宋体" w:cs="Times New Roman"/>
                <w:b/>
                <w:bCs/>
                <w:color w:val="000000"/>
                <w:sz w:val="20"/>
                <w:szCs w:val="20"/>
                <w:highlight w:val="none"/>
              </w:rPr>
            </w:pPr>
            <w:r>
              <w:rPr>
                <w:rFonts w:hint="default" w:ascii="Times New Roman" w:hAnsi="Times New Roman" w:eastAsia="宋体" w:cs="Times New Roman"/>
                <w:b/>
                <w:bCs/>
                <w:color w:val="000000"/>
                <w:kern w:val="0"/>
                <w:sz w:val="20"/>
                <w:szCs w:val="20"/>
                <w:highlight w:val="none"/>
                <w:lang w:bidi="ar"/>
              </w:rPr>
              <w:t>Study</w:t>
            </w:r>
          </w:p>
        </w:tc>
        <w:tc>
          <w:tcPr>
            <w:tcW w:w="11857" w:type="dxa"/>
            <w:tcBorders>
              <w:bottom w:val="single" w:color="auto" w:sz="4" w:space="0"/>
            </w:tcBorders>
            <w:shd w:val="clear" w:color="auto" w:fill="auto"/>
            <w:noWrap/>
            <w:vAlign w:val="center"/>
          </w:tcPr>
          <w:p w14:paraId="10F91548">
            <w:pPr>
              <w:widowControl/>
              <w:jc w:val="left"/>
              <w:textAlignment w:val="center"/>
              <w:rPr>
                <w:rFonts w:hint="default" w:ascii="Times New Roman" w:hAnsi="Times New Roman" w:eastAsia="宋体" w:cs="Times New Roman"/>
                <w:b/>
                <w:bCs/>
                <w:color w:val="000000"/>
                <w:sz w:val="20"/>
                <w:szCs w:val="20"/>
                <w:highlight w:val="none"/>
              </w:rPr>
            </w:pPr>
            <w:r>
              <w:rPr>
                <w:rFonts w:hint="default" w:ascii="Times New Roman" w:hAnsi="Times New Roman" w:eastAsia="宋体" w:cs="Times New Roman"/>
                <w:b/>
                <w:bCs/>
                <w:color w:val="000000"/>
                <w:kern w:val="0"/>
                <w:sz w:val="20"/>
                <w:szCs w:val="20"/>
                <w:highlight w:val="none"/>
                <w:lang w:bidi="ar"/>
              </w:rPr>
              <w:t>Outcome identify</w:t>
            </w:r>
          </w:p>
        </w:tc>
      </w:tr>
      <w:tr w14:paraId="7A4C138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2022" w:type="dxa"/>
            <w:tcBorders>
              <w:top w:val="single" w:color="auto" w:sz="4" w:space="0"/>
              <w:bottom w:val="nil"/>
            </w:tcBorders>
            <w:shd w:val="clear" w:color="auto" w:fill="auto"/>
            <w:vAlign w:val="center"/>
          </w:tcPr>
          <w:p w14:paraId="54108C8C">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Linn 2023</w:t>
            </w:r>
          </w:p>
        </w:tc>
        <w:tc>
          <w:tcPr>
            <w:tcW w:w="11857" w:type="dxa"/>
            <w:tcBorders>
              <w:top w:val="single" w:color="auto" w:sz="4" w:space="0"/>
              <w:bottom w:val="nil"/>
            </w:tcBorders>
            <w:shd w:val="clear" w:color="auto" w:fill="auto"/>
            <w:noWrap/>
            <w:vAlign w:val="center"/>
          </w:tcPr>
          <w:p w14:paraId="3BE9A569">
            <w:pPr>
              <w:widowControl/>
              <w:jc w:val="left"/>
              <w:textAlignment w:val="center"/>
              <w:rPr>
                <w:rFonts w:hint="default" w:ascii="Times New Roman" w:hAnsi="Times New Roman" w:eastAsia="宋体" w:cs="Times New Roman"/>
                <w:color w:val="000000"/>
                <w:kern w:val="0"/>
                <w:sz w:val="20"/>
                <w:szCs w:val="20"/>
                <w:highlight w:val="none"/>
                <w:lang w:bidi="ar"/>
              </w:rPr>
            </w:pPr>
            <w:r>
              <w:rPr>
                <w:rFonts w:hint="default" w:ascii="Times New Roman" w:hAnsi="Times New Roman" w:eastAsia="宋体" w:cs="Times New Roman"/>
                <w:b/>
                <w:bCs/>
                <w:color w:val="000000"/>
                <w:kern w:val="0"/>
                <w:sz w:val="20"/>
                <w:szCs w:val="20"/>
                <w:highlight w:val="none"/>
                <w:lang w:bidi="ar"/>
              </w:rPr>
              <w:t>Retinopathy</w:t>
            </w:r>
            <w:r>
              <w:rPr>
                <w:rFonts w:hint="default" w:ascii="Times New Roman" w:hAnsi="Times New Roman" w:eastAsia="宋体" w:cs="Times New Roman"/>
                <w:color w:val="000000"/>
                <w:kern w:val="0"/>
                <w:sz w:val="20"/>
                <w:szCs w:val="20"/>
                <w:highlight w:val="none"/>
                <w:lang w:bidi="ar"/>
              </w:rPr>
              <w:t xml:space="preserve"> was classified as any retinopathy, PPDR, or PDR. PDR was defined as evidence of current proliferations or any earlier laser photocoagulation.</w:t>
            </w:r>
          </w:p>
          <w:p w14:paraId="70FE7488">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b/>
                <w:bCs/>
                <w:color w:val="000000"/>
                <w:kern w:val="0"/>
                <w:sz w:val="20"/>
                <w:szCs w:val="20"/>
                <w:highlight w:val="none"/>
                <w:lang w:bidi="ar"/>
              </w:rPr>
              <w:t>Kidney disease</w:t>
            </w:r>
            <w:r>
              <w:rPr>
                <w:rFonts w:hint="default" w:ascii="Times New Roman" w:hAnsi="Times New Roman" w:eastAsia="宋体" w:cs="Times New Roman"/>
                <w:color w:val="000000"/>
                <w:kern w:val="0"/>
                <w:sz w:val="20"/>
                <w:szCs w:val="20"/>
                <w:highlight w:val="none"/>
                <w:lang w:bidi="ar"/>
              </w:rPr>
              <w:t xml:space="preserve"> was classified as any microalbuminuria defined as two positive test results from three samples taken within one year with an albumin/creatinine ratio of 3–30 mg mmol−1, or urinary albumin of 20–200 µg min−1 (20–300 mg/L), or macroalbuminuria defined as an albumin/creatinine ratio &gt;30 mg mmol−1, or urinary albumin &gt;200 µg min−1 (&gt;300 mg L−1). </w:t>
            </w:r>
          </w:p>
        </w:tc>
      </w:tr>
      <w:tr w14:paraId="33FC3D1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2022" w:type="dxa"/>
            <w:tcBorders>
              <w:top w:val="nil"/>
              <w:bottom w:val="nil"/>
            </w:tcBorders>
            <w:shd w:val="clear" w:color="auto" w:fill="auto"/>
            <w:vAlign w:val="center"/>
          </w:tcPr>
          <w:p w14:paraId="3C6DFC85">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Mao 2022</w:t>
            </w:r>
          </w:p>
        </w:tc>
        <w:tc>
          <w:tcPr>
            <w:tcW w:w="11857" w:type="dxa"/>
            <w:tcBorders>
              <w:top w:val="nil"/>
              <w:bottom w:val="nil"/>
            </w:tcBorders>
            <w:shd w:val="clear" w:color="auto" w:fill="auto"/>
            <w:noWrap/>
            <w:vAlign w:val="center"/>
          </w:tcPr>
          <w:p w14:paraId="7DF63359">
            <w:pPr>
              <w:widowControl/>
              <w:jc w:val="left"/>
              <w:textAlignment w:val="center"/>
              <w:rPr>
                <w:rFonts w:hint="default" w:ascii="Times New Roman" w:hAnsi="Times New Roman" w:eastAsia="宋体" w:cs="Times New Roman"/>
                <w:color w:val="000000"/>
                <w:kern w:val="0"/>
                <w:sz w:val="20"/>
                <w:szCs w:val="20"/>
                <w:highlight w:val="none"/>
                <w:lang w:bidi="ar"/>
              </w:rPr>
            </w:pPr>
            <w:r>
              <w:rPr>
                <w:rFonts w:hint="default" w:ascii="Times New Roman" w:hAnsi="Times New Roman" w:eastAsia="宋体" w:cs="Times New Roman"/>
                <w:color w:val="000000"/>
                <w:kern w:val="0"/>
                <w:sz w:val="20"/>
                <w:szCs w:val="20"/>
                <w:highlight w:val="none"/>
                <w:lang w:bidi="ar"/>
              </w:rPr>
              <w:t xml:space="preserve">The primary </w:t>
            </w:r>
            <w:r>
              <w:rPr>
                <w:rFonts w:hint="default" w:ascii="Times New Roman" w:hAnsi="Times New Roman" w:eastAsia="宋体" w:cs="Times New Roman"/>
                <w:b/>
                <w:bCs/>
                <w:color w:val="000000"/>
                <w:kern w:val="0"/>
                <w:sz w:val="20"/>
                <w:szCs w:val="20"/>
                <w:highlight w:val="none"/>
                <w:lang w:bidi="ar"/>
              </w:rPr>
              <w:t>CVD</w:t>
            </w:r>
            <w:r>
              <w:rPr>
                <w:rFonts w:hint="default" w:ascii="Times New Roman" w:hAnsi="Times New Roman" w:eastAsia="宋体" w:cs="Times New Roman"/>
                <w:color w:val="000000"/>
                <w:kern w:val="0"/>
                <w:sz w:val="20"/>
                <w:szCs w:val="20"/>
                <w:highlight w:val="none"/>
                <w:lang w:bidi="ar"/>
              </w:rPr>
              <w:t xml:space="preserve"> outcome was time to the first occurrence of any of the following types of cardiovascular events: cardiovascular death, nonfatal MI, nonfatal stroke, subclinical MI on ECG, angina confirmed by ischemic changes with exercise tolerance testing or by clinically significant obstruction on coronary angiography, revascularization, or congestive heart failure.  </w:t>
            </w:r>
          </w:p>
          <w:p w14:paraId="643FA707">
            <w:pPr>
              <w:widowControl/>
              <w:jc w:val="left"/>
              <w:textAlignment w:val="center"/>
              <w:rPr>
                <w:rFonts w:hint="default" w:ascii="Times New Roman" w:hAnsi="Times New Roman" w:eastAsia="宋体" w:cs="Times New Roman"/>
                <w:color w:val="000000"/>
                <w:kern w:val="0"/>
                <w:sz w:val="20"/>
                <w:szCs w:val="20"/>
                <w:highlight w:val="none"/>
                <w:lang w:bidi="ar"/>
              </w:rPr>
            </w:pPr>
            <w:r>
              <w:rPr>
                <w:rFonts w:hint="default" w:ascii="Times New Roman" w:hAnsi="Times New Roman" w:eastAsia="宋体" w:cs="Times New Roman"/>
                <w:b/>
                <w:bCs/>
                <w:color w:val="000000"/>
                <w:kern w:val="0"/>
                <w:sz w:val="20"/>
                <w:szCs w:val="20"/>
                <w:highlight w:val="none"/>
                <w:lang w:bidi="ar"/>
              </w:rPr>
              <w:t>DR</w:t>
            </w:r>
            <w:r>
              <w:rPr>
                <w:rFonts w:hint="default" w:ascii="Times New Roman" w:hAnsi="Times New Roman" w:eastAsia="宋体" w:cs="Times New Roman"/>
                <w:color w:val="000000"/>
                <w:kern w:val="0"/>
                <w:sz w:val="20"/>
                <w:szCs w:val="20"/>
                <w:highlight w:val="none"/>
                <w:lang w:bidi="ar"/>
              </w:rPr>
              <w:t xml:space="preserve"> was defined by the presence of PDR and/or a history of pan-retinal scatter photocoagulation (laser) therapy. </w:t>
            </w:r>
          </w:p>
          <w:p w14:paraId="39B1E17B">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b/>
                <w:bCs/>
                <w:color w:val="000000"/>
                <w:kern w:val="0"/>
                <w:sz w:val="20"/>
                <w:szCs w:val="20"/>
                <w:highlight w:val="none"/>
                <w:lang w:bidi="ar"/>
              </w:rPr>
              <w:t xml:space="preserve">DPN </w:t>
            </w:r>
            <w:r>
              <w:rPr>
                <w:rFonts w:hint="default" w:ascii="Times New Roman" w:hAnsi="Times New Roman" w:eastAsia="宋体" w:cs="Times New Roman"/>
                <w:color w:val="000000"/>
                <w:kern w:val="0"/>
                <w:sz w:val="20"/>
                <w:szCs w:val="20"/>
                <w:highlight w:val="none"/>
                <w:lang w:bidi="ar"/>
              </w:rPr>
              <w:t>was confirmed from nerve conduction testing in EDIC year 13 or 14.</w:t>
            </w:r>
          </w:p>
        </w:tc>
      </w:tr>
      <w:tr w14:paraId="1436A01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022" w:type="dxa"/>
            <w:tcBorders>
              <w:top w:val="nil"/>
              <w:bottom w:val="nil"/>
            </w:tcBorders>
            <w:shd w:val="clear" w:color="auto" w:fill="auto"/>
            <w:vAlign w:val="center"/>
          </w:tcPr>
          <w:p w14:paraId="6DF1ABBE">
            <w:pPr>
              <w:widowControl/>
              <w:jc w:val="left"/>
              <w:textAlignment w:val="center"/>
              <w:rPr>
                <w:rFonts w:hint="default" w:ascii="Times New Roman" w:hAnsi="Times New Roman" w:eastAsia="宋体" w:cs="Times New Roman"/>
                <w:b/>
                <w:bCs/>
                <w:color w:val="000000"/>
                <w:kern w:val="0"/>
                <w:sz w:val="20"/>
                <w:szCs w:val="20"/>
                <w:highlight w:val="none"/>
                <w:lang w:bidi="ar"/>
              </w:rPr>
            </w:pPr>
            <w:r>
              <w:rPr>
                <w:rFonts w:hint="default" w:ascii="Times New Roman" w:hAnsi="Times New Roman" w:eastAsia="宋体" w:cs="Times New Roman"/>
                <w:color w:val="000000"/>
                <w:kern w:val="0"/>
                <w:sz w:val="20"/>
                <w:szCs w:val="20"/>
                <w:highlight w:val="none"/>
                <w:lang w:bidi="ar"/>
              </w:rPr>
              <w:t>Helmink, 2021</w:t>
            </w:r>
          </w:p>
        </w:tc>
        <w:tc>
          <w:tcPr>
            <w:tcW w:w="11857" w:type="dxa"/>
            <w:tcBorders>
              <w:top w:val="nil"/>
              <w:bottom w:val="nil"/>
            </w:tcBorders>
            <w:shd w:val="clear" w:color="auto" w:fill="auto"/>
            <w:noWrap/>
            <w:vAlign w:val="center"/>
          </w:tcPr>
          <w:p w14:paraId="70EE7EE9">
            <w:pPr>
              <w:widowControl/>
              <w:jc w:val="left"/>
              <w:textAlignment w:val="center"/>
              <w:rPr>
                <w:rFonts w:hint="default" w:ascii="Times New Roman" w:hAnsi="Times New Roman" w:eastAsia="宋体" w:cs="Times New Roman"/>
                <w:b/>
                <w:bCs/>
                <w:color w:val="000000"/>
                <w:kern w:val="0"/>
                <w:sz w:val="20"/>
                <w:szCs w:val="20"/>
                <w:highlight w:val="none"/>
                <w:lang w:bidi="ar"/>
              </w:rPr>
            </w:pPr>
            <w:r>
              <w:rPr>
                <w:rFonts w:hint="default" w:ascii="Times New Roman" w:hAnsi="Times New Roman" w:eastAsia="宋体" w:cs="Times New Roman"/>
                <w:color w:val="000000"/>
                <w:kern w:val="0"/>
                <w:sz w:val="20"/>
                <w:szCs w:val="20"/>
                <w:highlight w:val="none"/>
                <w:lang w:bidi="ar"/>
              </w:rPr>
              <w:t xml:space="preserve">The outcome of interest was three-fold: (1) </w:t>
            </w:r>
            <w:r>
              <w:rPr>
                <w:rFonts w:hint="default" w:ascii="Times New Roman" w:hAnsi="Times New Roman" w:eastAsia="宋体" w:cs="Times New Roman"/>
                <w:b/>
                <w:bCs/>
                <w:color w:val="000000"/>
                <w:kern w:val="0"/>
                <w:sz w:val="20"/>
                <w:szCs w:val="20"/>
                <w:highlight w:val="none"/>
                <w:lang w:bidi="ar"/>
              </w:rPr>
              <w:t>cardiovascular events</w:t>
            </w:r>
            <w:r>
              <w:rPr>
                <w:rFonts w:hint="default" w:ascii="Times New Roman" w:hAnsi="Times New Roman" w:eastAsia="宋体" w:cs="Times New Roman"/>
                <w:color w:val="000000"/>
                <w:kern w:val="0"/>
                <w:sz w:val="20"/>
                <w:szCs w:val="20"/>
                <w:highlight w:val="none"/>
                <w:lang w:bidi="ar"/>
              </w:rPr>
              <w:t xml:space="preserve"> (comprising of myocardial infarction, stroke (infarction or hemorrhagic), subarachnoid hemorrhage or vascular mortality), (2) cardiovascular events or vascular interventions (combined endpoint) and (3) all-cause mortality. </w:t>
            </w:r>
          </w:p>
        </w:tc>
      </w:tr>
      <w:tr w14:paraId="08BFE87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2022" w:type="dxa"/>
            <w:tcBorders>
              <w:top w:val="nil"/>
              <w:bottom w:val="nil"/>
            </w:tcBorders>
            <w:shd w:val="clear" w:color="auto" w:fill="auto"/>
            <w:vAlign w:val="center"/>
          </w:tcPr>
          <w:p w14:paraId="160E53CA">
            <w:pPr>
              <w:pStyle w:val="8"/>
              <w:widowControl/>
              <w:spacing w:beforeAutospacing="0" w:afterAutospacing="0"/>
              <w:rPr>
                <w:rFonts w:hint="default" w:ascii="Times New Roman" w:hAnsi="Times New Roman" w:eastAsia="宋体" w:cs="Times New Roman"/>
                <w:color w:val="000000"/>
                <w:sz w:val="20"/>
                <w:szCs w:val="20"/>
                <w:highlight w:val="none"/>
                <w:lang w:bidi="ar"/>
              </w:rPr>
            </w:pPr>
            <w:r>
              <w:rPr>
                <w:rFonts w:hint="default" w:ascii="Times New Roman" w:hAnsi="Times New Roman" w:eastAsia="宋体" w:cs="Times New Roman"/>
                <w:color w:val="000000"/>
                <w:sz w:val="20"/>
                <w:szCs w:val="20"/>
                <w:highlight w:val="none"/>
                <w:lang w:bidi="ar"/>
              </w:rPr>
              <w:t>Harjutsalo 2021</w:t>
            </w:r>
          </w:p>
        </w:tc>
        <w:tc>
          <w:tcPr>
            <w:tcW w:w="11857" w:type="dxa"/>
            <w:tcBorders>
              <w:top w:val="nil"/>
              <w:bottom w:val="nil"/>
            </w:tcBorders>
            <w:shd w:val="clear" w:color="auto" w:fill="auto"/>
            <w:noWrap/>
            <w:vAlign w:val="center"/>
          </w:tcPr>
          <w:p w14:paraId="0BFA6E65">
            <w:pPr>
              <w:widowControl/>
              <w:jc w:val="left"/>
              <w:textAlignment w:val="center"/>
              <w:rPr>
                <w:rFonts w:hint="default" w:ascii="Times New Roman" w:hAnsi="Times New Roman" w:eastAsia="宋体" w:cs="Times New Roman"/>
                <w:color w:val="000000"/>
                <w:kern w:val="0"/>
                <w:sz w:val="20"/>
                <w:szCs w:val="20"/>
                <w:highlight w:val="none"/>
                <w:lang w:bidi="ar"/>
              </w:rPr>
            </w:pPr>
            <w:r>
              <w:rPr>
                <w:rFonts w:hint="default" w:ascii="Times New Roman" w:hAnsi="Times New Roman" w:eastAsia="宋体" w:cs="Times New Roman"/>
                <w:b/>
                <w:bCs/>
                <w:color w:val="000000"/>
                <w:kern w:val="0"/>
                <w:sz w:val="20"/>
                <w:szCs w:val="20"/>
                <w:highlight w:val="none"/>
                <w:lang w:bidi="ar"/>
              </w:rPr>
              <w:t>CVD</w:t>
            </w:r>
            <w:r>
              <w:rPr>
                <w:rFonts w:hint="default" w:ascii="Times New Roman" w:hAnsi="Times New Roman" w:eastAsia="宋体" w:cs="Times New Roman"/>
                <w:color w:val="000000"/>
                <w:kern w:val="0"/>
                <w:sz w:val="20"/>
                <w:szCs w:val="20"/>
                <w:highlight w:val="none"/>
                <w:lang w:bidi="ar"/>
              </w:rPr>
              <w:t xml:space="preserve"> was defined as having either CAD, any stroke, or PAD. CAD was diagnosed in individuals having had either MI or coronary revascularization (percutaneous coronary intervention or coronary artery bypass graft). Stroke was defined as either ischemic or hemorrhagic. PAD was defined as a nontraumatic LEAD at any level or revascularization of lower-extremity arteries.</w:t>
            </w:r>
          </w:p>
        </w:tc>
      </w:tr>
      <w:tr w14:paraId="4899728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2022" w:type="dxa"/>
            <w:tcBorders>
              <w:top w:val="nil"/>
              <w:bottom w:val="nil"/>
            </w:tcBorders>
            <w:shd w:val="clear" w:color="auto" w:fill="auto"/>
            <w:vAlign w:val="center"/>
          </w:tcPr>
          <w:p w14:paraId="71121061">
            <w:pPr>
              <w:pStyle w:val="8"/>
              <w:widowControl/>
              <w:spacing w:beforeAutospacing="0" w:afterAutospacing="0"/>
              <w:rPr>
                <w:rFonts w:hint="default" w:ascii="Times New Roman" w:hAnsi="Times New Roman" w:eastAsia="宋体" w:cs="Times New Roman"/>
                <w:color w:val="000000"/>
                <w:sz w:val="20"/>
                <w:szCs w:val="20"/>
                <w:highlight w:val="none"/>
                <w:lang w:bidi="ar"/>
              </w:rPr>
            </w:pPr>
            <w:r>
              <w:rPr>
                <w:rFonts w:hint="default" w:ascii="Times New Roman" w:hAnsi="Times New Roman" w:eastAsia="宋体" w:cs="Times New Roman"/>
                <w:color w:val="000000"/>
                <w:sz w:val="20"/>
                <w:szCs w:val="20"/>
                <w:highlight w:val="none"/>
                <w:lang w:bidi="ar"/>
              </w:rPr>
              <w:t>Garofolo 2020</w:t>
            </w:r>
          </w:p>
        </w:tc>
        <w:tc>
          <w:tcPr>
            <w:tcW w:w="11857" w:type="dxa"/>
            <w:tcBorders>
              <w:top w:val="nil"/>
              <w:bottom w:val="nil"/>
            </w:tcBorders>
            <w:shd w:val="clear" w:color="auto" w:fill="auto"/>
            <w:noWrap/>
            <w:vAlign w:val="center"/>
          </w:tcPr>
          <w:p w14:paraId="2323E8CF">
            <w:pPr>
              <w:widowControl/>
              <w:jc w:val="left"/>
              <w:textAlignment w:val="center"/>
              <w:rPr>
                <w:rFonts w:hint="default" w:ascii="Times New Roman" w:hAnsi="Times New Roman" w:eastAsia="宋体" w:cs="Times New Roman"/>
                <w:color w:val="000000"/>
                <w:kern w:val="0"/>
                <w:sz w:val="20"/>
                <w:szCs w:val="20"/>
                <w:highlight w:val="none"/>
                <w:lang w:bidi="ar"/>
              </w:rPr>
            </w:pPr>
            <w:r>
              <w:rPr>
                <w:rFonts w:hint="default" w:ascii="Times New Roman" w:hAnsi="Times New Roman" w:eastAsia="宋体" w:cs="Times New Roman"/>
                <w:b/>
                <w:bCs/>
                <w:color w:val="000000"/>
                <w:kern w:val="0"/>
                <w:sz w:val="20"/>
                <w:szCs w:val="20"/>
                <w:highlight w:val="none"/>
                <w:lang w:bidi="ar"/>
              </w:rPr>
              <w:t>CVD</w:t>
            </w:r>
            <w:r>
              <w:rPr>
                <w:rFonts w:hint="default" w:ascii="Times New Roman" w:hAnsi="Times New Roman" w:eastAsia="宋体" w:cs="Times New Roman"/>
                <w:color w:val="000000"/>
                <w:kern w:val="0"/>
                <w:sz w:val="20"/>
                <w:szCs w:val="20"/>
                <w:highlight w:val="none"/>
                <w:lang w:bidi="ar"/>
              </w:rPr>
              <w:t xml:space="preserve"> outcomes were based on the national and regional health care registers using ICD-9 Clinical Modification codes.</w:t>
            </w:r>
          </w:p>
        </w:tc>
      </w:tr>
      <w:tr w14:paraId="61B5081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2022" w:type="dxa"/>
            <w:tcBorders>
              <w:top w:val="nil"/>
              <w:bottom w:val="nil"/>
            </w:tcBorders>
            <w:shd w:val="clear" w:color="auto" w:fill="auto"/>
            <w:vAlign w:val="center"/>
          </w:tcPr>
          <w:p w14:paraId="269D004A">
            <w:pPr>
              <w:pStyle w:val="8"/>
              <w:widowControl/>
              <w:spacing w:beforeAutospacing="0" w:afterAutospacing="0"/>
              <w:rPr>
                <w:rFonts w:hint="default" w:ascii="Times New Roman" w:hAnsi="Times New Roman" w:eastAsia="宋体" w:cs="Times New Roman"/>
                <w:color w:val="000000"/>
                <w:sz w:val="20"/>
                <w:szCs w:val="20"/>
                <w:highlight w:val="none"/>
                <w:lang w:bidi="ar"/>
              </w:rPr>
            </w:pPr>
            <w:r>
              <w:rPr>
                <w:rFonts w:hint="default" w:ascii="Times New Roman" w:hAnsi="Times New Roman" w:eastAsia="宋体" w:cs="Times New Roman"/>
                <w:color w:val="000000"/>
                <w:sz w:val="20"/>
                <w:szCs w:val="20"/>
                <w:highlight w:val="none"/>
                <w:lang w:bidi="ar"/>
              </w:rPr>
              <w:t xml:space="preserve">Miller 2019 </w:t>
            </w:r>
          </w:p>
        </w:tc>
        <w:tc>
          <w:tcPr>
            <w:tcW w:w="11857" w:type="dxa"/>
            <w:tcBorders>
              <w:top w:val="nil"/>
              <w:bottom w:val="nil"/>
            </w:tcBorders>
            <w:shd w:val="clear" w:color="auto" w:fill="auto"/>
            <w:noWrap/>
            <w:vAlign w:val="center"/>
          </w:tcPr>
          <w:p w14:paraId="18402863">
            <w:pPr>
              <w:widowControl/>
              <w:jc w:val="left"/>
              <w:rPr>
                <w:rFonts w:hint="default" w:ascii="Times New Roman" w:hAnsi="Times New Roman" w:eastAsia="宋体" w:cs="Times New Roman"/>
                <w:color w:val="000000"/>
                <w:kern w:val="0"/>
                <w:sz w:val="20"/>
                <w:szCs w:val="20"/>
                <w:highlight w:val="none"/>
                <w:lang w:bidi="ar"/>
              </w:rPr>
            </w:pPr>
            <w:r>
              <w:rPr>
                <w:rFonts w:hint="default" w:ascii="Times New Roman" w:hAnsi="Times New Roman" w:eastAsia="宋体" w:cs="Times New Roman"/>
                <w:color w:val="000000"/>
                <w:kern w:val="0"/>
                <w:sz w:val="20"/>
                <w:szCs w:val="20"/>
                <w:highlight w:val="none"/>
                <w:lang w:bidi="ar"/>
              </w:rPr>
              <w:t xml:space="preserve">Incidence of total </w:t>
            </w:r>
            <w:r>
              <w:rPr>
                <w:rFonts w:hint="default" w:ascii="Times New Roman" w:hAnsi="Times New Roman" w:eastAsia="宋体" w:cs="Times New Roman"/>
                <w:b/>
                <w:bCs/>
                <w:color w:val="000000"/>
                <w:kern w:val="0"/>
                <w:sz w:val="20"/>
                <w:szCs w:val="20"/>
                <w:highlight w:val="none"/>
                <w:lang w:bidi="ar"/>
              </w:rPr>
              <w:t>CVD</w:t>
            </w:r>
            <w:r>
              <w:rPr>
                <w:rFonts w:hint="default" w:ascii="Times New Roman" w:hAnsi="Times New Roman" w:eastAsia="宋体" w:cs="Times New Roman"/>
                <w:color w:val="000000"/>
                <w:kern w:val="0"/>
                <w:sz w:val="20"/>
                <w:szCs w:val="20"/>
                <w:highlight w:val="none"/>
                <w:lang w:bidi="ar"/>
              </w:rPr>
              <w:t>, defined as the first instance of CVD death, nonfatal MI (including clinical events and subclinical MI on electrocardiogram, i.e., Minnesota code 1.1 or 1.2), nonfatal stroke, coronary revascularization procedure, blockage≥50%, ischemic electrocardiogram at EDC study visit (Minnesota codes 1.3, 4.1–4.3, 5.1–5.3, 7.1), or EDC physician-diagnosed angina.</w:t>
            </w:r>
          </w:p>
        </w:tc>
      </w:tr>
      <w:tr w14:paraId="3B9CCA9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2022" w:type="dxa"/>
            <w:tcBorders>
              <w:top w:val="nil"/>
              <w:bottom w:val="nil"/>
            </w:tcBorders>
            <w:shd w:val="clear" w:color="auto" w:fill="auto"/>
            <w:vAlign w:val="center"/>
          </w:tcPr>
          <w:p w14:paraId="274AD099">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Nyström 2018</w:t>
            </w:r>
          </w:p>
        </w:tc>
        <w:tc>
          <w:tcPr>
            <w:tcW w:w="11857" w:type="dxa"/>
            <w:tcBorders>
              <w:top w:val="nil"/>
              <w:bottom w:val="nil"/>
            </w:tcBorders>
            <w:shd w:val="clear" w:color="auto" w:fill="auto"/>
            <w:noWrap/>
            <w:vAlign w:val="center"/>
          </w:tcPr>
          <w:p w14:paraId="5FEB2A0A">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 xml:space="preserve">The main outcome measure was time to </w:t>
            </w:r>
            <w:r>
              <w:rPr>
                <w:rFonts w:hint="default" w:ascii="Times New Roman" w:hAnsi="Times New Roman" w:eastAsia="宋体" w:cs="Times New Roman"/>
                <w:b/>
                <w:bCs/>
                <w:color w:val="000000"/>
                <w:kern w:val="0"/>
                <w:sz w:val="20"/>
                <w:szCs w:val="20"/>
                <w:highlight w:val="none"/>
                <w:lang w:bidi="ar"/>
              </w:rPr>
              <w:t>death</w:t>
            </w:r>
            <w:r>
              <w:rPr>
                <w:rFonts w:hint="default" w:ascii="Times New Roman" w:hAnsi="Times New Roman" w:eastAsia="宋体" w:cs="Times New Roman"/>
                <w:color w:val="000000"/>
                <w:kern w:val="0"/>
                <w:sz w:val="20"/>
                <w:szCs w:val="20"/>
                <w:highlight w:val="none"/>
                <w:lang w:bidi="ar"/>
              </w:rPr>
              <w:t xml:space="preserve"> from any cause relative to the index date. The Cause of Death Register was used to obtain dates and causes of death. A major </w:t>
            </w:r>
            <w:r>
              <w:rPr>
                <w:rFonts w:hint="default" w:ascii="Times New Roman" w:hAnsi="Times New Roman" w:eastAsia="宋体" w:cs="Times New Roman"/>
                <w:b/>
                <w:bCs/>
                <w:color w:val="000000"/>
                <w:kern w:val="0"/>
                <w:sz w:val="20"/>
                <w:szCs w:val="20"/>
                <w:highlight w:val="none"/>
                <w:lang w:bidi="ar"/>
              </w:rPr>
              <w:t>CVD</w:t>
            </w:r>
            <w:r>
              <w:rPr>
                <w:rFonts w:hint="default" w:ascii="Times New Roman" w:hAnsi="Times New Roman" w:eastAsia="宋体" w:cs="Times New Roman"/>
                <w:color w:val="000000"/>
                <w:kern w:val="0"/>
                <w:sz w:val="20"/>
                <w:szCs w:val="20"/>
                <w:highlight w:val="none"/>
                <w:lang w:bidi="ar"/>
              </w:rPr>
              <w:t xml:space="preserve"> event was defined as hospitalization for acute myocardial infarction, stroke or ischemic heart disease. This information was obtained from the National Patient Register.</w:t>
            </w:r>
          </w:p>
        </w:tc>
      </w:tr>
      <w:tr w14:paraId="60D86FF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2022" w:type="dxa"/>
            <w:tcBorders>
              <w:top w:val="nil"/>
              <w:bottom w:val="nil"/>
            </w:tcBorders>
            <w:shd w:val="clear" w:color="auto" w:fill="auto"/>
            <w:vAlign w:val="center"/>
          </w:tcPr>
          <w:p w14:paraId="5E1BA7D5">
            <w:pPr>
              <w:pStyle w:val="8"/>
              <w:widowControl/>
              <w:spacing w:beforeAutospacing="0" w:afterAutospacing="0"/>
              <w:rPr>
                <w:rFonts w:hint="default" w:ascii="Times New Roman" w:hAnsi="Times New Roman" w:eastAsia="宋体" w:cs="Times New Roman"/>
                <w:color w:val="000000"/>
                <w:sz w:val="20"/>
                <w:szCs w:val="20"/>
                <w:highlight w:val="none"/>
                <w:lang w:bidi="ar"/>
              </w:rPr>
            </w:pPr>
            <w:r>
              <w:rPr>
                <w:rFonts w:hint="default" w:ascii="Times New Roman" w:hAnsi="Times New Roman" w:eastAsia="宋体" w:cs="Times New Roman"/>
                <w:color w:val="000000"/>
                <w:sz w:val="20"/>
                <w:szCs w:val="20"/>
                <w:highlight w:val="none"/>
                <w:lang w:bidi="ar"/>
              </w:rPr>
              <w:t>Kilpatrick 2007</w:t>
            </w:r>
          </w:p>
        </w:tc>
        <w:tc>
          <w:tcPr>
            <w:tcW w:w="11857" w:type="dxa"/>
            <w:tcBorders>
              <w:top w:val="nil"/>
              <w:bottom w:val="nil"/>
            </w:tcBorders>
            <w:shd w:val="clear" w:color="auto" w:fill="auto"/>
            <w:noWrap/>
            <w:vAlign w:val="center"/>
          </w:tcPr>
          <w:p w14:paraId="4118975D">
            <w:pPr>
              <w:widowControl/>
              <w:jc w:val="left"/>
              <w:textAlignment w:val="center"/>
              <w:rPr>
                <w:rFonts w:hint="default" w:ascii="Times New Roman" w:hAnsi="Times New Roman" w:eastAsia="宋体" w:cs="Times New Roman"/>
                <w:color w:val="000000"/>
                <w:kern w:val="0"/>
                <w:sz w:val="20"/>
                <w:szCs w:val="20"/>
                <w:highlight w:val="none"/>
                <w:lang w:bidi="ar"/>
              </w:rPr>
            </w:pPr>
            <w:r>
              <w:rPr>
                <w:rFonts w:hint="default" w:ascii="Times New Roman" w:hAnsi="Times New Roman" w:eastAsia="宋体" w:cs="Times New Roman"/>
                <w:color w:val="000000"/>
                <w:kern w:val="0"/>
                <w:sz w:val="20"/>
                <w:szCs w:val="20"/>
                <w:highlight w:val="none"/>
                <w:lang w:bidi="ar"/>
              </w:rPr>
              <w:t>Severity of</w:t>
            </w:r>
            <w:r>
              <w:rPr>
                <w:rFonts w:hint="default" w:ascii="Times New Roman" w:hAnsi="Times New Roman" w:eastAsia="宋体" w:cs="Times New Roman"/>
                <w:b/>
                <w:bCs/>
                <w:color w:val="000000"/>
                <w:kern w:val="0"/>
                <w:sz w:val="20"/>
                <w:szCs w:val="20"/>
                <w:highlight w:val="none"/>
                <w:lang w:bidi="ar"/>
              </w:rPr>
              <w:t xml:space="preserve"> DR </w:t>
            </w:r>
            <w:r>
              <w:rPr>
                <w:rFonts w:hint="default" w:ascii="Times New Roman" w:hAnsi="Times New Roman" w:eastAsia="宋体" w:cs="Times New Roman"/>
                <w:color w:val="000000"/>
                <w:kern w:val="0"/>
                <w:sz w:val="20"/>
                <w:szCs w:val="20"/>
                <w:highlight w:val="none"/>
                <w:lang w:bidi="ar"/>
              </w:rPr>
              <w:t xml:space="preserve">was determined by the 25-point Early Diabetic Retinopathy Treatment Study interim score. </w:t>
            </w:r>
            <w:r>
              <w:rPr>
                <w:rFonts w:hint="default" w:ascii="Times New Roman" w:hAnsi="Times New Roman" w:eastAsia="宋体" w:cs="Times New Roman"/>
                <w:b/>
                <w:bCs/>
                <w:color w:val="000000"/>
                <w:kern w:val="0"/>
                <w:sz w:val="20"/>
                <w:szCs w:val="20"/>
                <w:highlight w:val="none"/>
                <w:lang w:bidi="ar"/>
              </w:rPr>
              <w:t>DN</w:t>
            </w:r>
            <w:r>
              <w:rPr>
                <w:rFonts w:hint="default" w:ascii="Times New Roman" w:hAnsi="Times New Roman" w:eastAsia="宋体" w:cs="Times New Roman"/>
                <w:color w:val="000000"/>
                <w:kern w:val="0"/>
                <w:sz w:val="20"/>
                <w:szCs w:val="20"/>
                <w:highlight w:val="none"/>
                <w:lang w:bidi="ar"/>
              </w:rPr>
              <w:t xml:space="preserve"> was defined as an increase in albumin excretion rate 40 mg/24 h on any annual evaluation providing that the baseline albumin excretion rate was 40 mg/dl. </w:t>
            </w:r>
            <w:r>
              <w:rPr>
                <w:rFonts w:hint="default" w:ascii="Times New Roman" w:hAnsi="Times New Roman" w:eastAsia="宋体" w:cs="Times New Roman"/>
                <w:b/>
                <w:bCs/>
                <w:color w:val="000000"/>
                <w:kern w:val="0"/>
                <w:sz w:val="20"/>
                <w:szCs w:val="20"/>
                <w:highlight w:val="none"/>
                <w:lang w:bidi="ar"/>
              </w:rPr>
              <w:t>CVD</w:t>
            </w:r>
            <w:r>
              <w:rPr>
                <w:rFonts w:hint="default" w:ascii="Times New Roman" w:hAnsi="Times New Roman" w:eastAsia="宋体" w:cs="Times New Roman"/>
                <w:color w:val="000000"/>
                <w:kern w:val="0"/>
                <w:sz w:val="20"/>
                <w:szCs w:val="20"/>
                <w:highlight w:val="none"/>
                <w:lang w:bidi="ar"/>
              </w:rPr>
              <w:t xml:space="preserve"> events during the trial were those as defined as by the DCCT group and included angina, fatal and nonfatal myocardial infarction, coronary revascularization, and major electrocardiogram events. </w:t>
            </w:r>
          </w:p>
        </w:tc>
      </w:tr>
      <w:tr w14:paraId="2291848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2022" w:type="dxa"/>
            <w:tcBorders>
              <w:top w:val="nil"/>
              <w:bottom w:val="nil"/>
            </w:tcBorders>
            <w:shd w:val="clear" w:color="auto" w:fill="auto"/>
            <w:vAlign w:val="center"/>
          </w:tcPr>
          <w:p w14:paraId="4C5F1066">
            <w:pPr>
              <w:pStyle w:val="8"/>
              <w:widowControl/>
              <w:spacing w:beforeAutospacing="0" w:afterAutospacing="0"/>
              <w:rPr>
                <w:rFonts w:hint="default" w:ascii="Times New Roman" w:hAnsi="Times New Roman" w:eastAsia="宋体" w:cs="Times New Roman"/>
                <w:color w:val="000000"/>
                <w:sz w:val="20"/>
                <w:szCs w:val="20"/>
                <w:highlight w:val="none"/>
                <w:lang w:bidi="ar"/>
              </w:rPr>
            </w:pPr>
            <w:r>
              <w:rPr>
                <w:rFonts w:hint="default" w:ascii="Times New Roman" w:hAnsi="Times New Roman" w:eastAsia="宋体" w:cs="Times New Roman"/>
                <w:color w:val="000000"/>
                <w:sz w:val="20"/>
                <w:szCs w:val="20"/>
                <w:highlight w:val="none"/>
                <w:lang w:bidi="ar"/>
              </w:rPr>
              <w:t>Olson 2002 (1)</w:t>
            </w:r>
          </w:p>
        </w:tc>
        <w:tc>
          <w:tcPr>
            <w:tcW w:w="11857" w:type="dxa"/>
            <w:tcBorders>
              <w:top w:val="nil"/>
              <w:bottom w:val="nil"/>
            </w:tcBorders>
            <w:shd w:val="clear" w:color="auto" w:fill="auto"/>
            <w:noWrap/>
            <w:vAlign w:val="center"/>
          </w:tcPr>
          <w:p w14:paraId="6263120E">
            <w:pPr>
              <w:widowControl/>
              <w:jc w:val="left"/>
              <w:rPr>
                <w:rFonts w:hint="default" w:ascii="Times New Roman" w:hAnsi="Times New Roman" w:eastAsia="宋体" w:cs="Times New Roman"/>
                <w:color w:val="000000"/>
                <w:kern w:val="0"/>
                <w:sz w:val="20"/>
                <w:szCs w:val="20"/>
                <w:highlight w:val="none"/>
                <w:lang w:bidi="ar"/>
              </w:rPr>
            </w:pPr>
            <w:r>
              <w:rPr>
                <w:rFonts w:hint="default" w:ascii="Times New Roman" w:hAnsi="Times New Roman" w:eastAsia="宋体" w:cs="Times New Roman"/>
                <w:color w:val="000000"/>
                <w:kern w:val="0"/>
                <w:sz w:val="20"/>
                <w:szCs w:val="20"/>
                <w:highlight w:val="none"/>
                <w:lang w:bidi="ar"/>
              </w:rPr>
              <w:t xml:space="preserve">The definition of </w:t>
            </w:r>
            <w:r>
              <w:rPr>
                <w:rFonts w:hint="default" w:ascii="Times New Roman" w:hAnsi="Times New Roman" w:eastAsia="宋体" w:cs="Times New Roman"/>
                <w:b/>
                <w:bCs/>
                <w:color w:val="000000"/>
                <w:kern w:val="0"/>
                <w:sz w:val="20"/>
                <w:szCs w:val="20"/>
                <w:highlight w:val="none"/>
                <w:lang w:bidi="ar"/>
              </w:rPr>
              <w:t>LEAD event</w:t>
            </w:r>
            <w:r>
              <w:rPr>
                <w:rFonts w:hint="default" w:ascii="Times New Roman" w:hAnsi="Times New Roman" w:eastAsia="宋体" w:cs="Times New Roman"/>
                <w:color w:val="000000"/>
                <w:kern w:val="0"/>
                <w:sz w:val="20"/>
                <w:szCs w:val="20"/>
                <w:highlight w:val="none"/>
                <w:lang w:bidi="ar"/>
              </w:rPr>
              <w:t xml:space="preserve"> is any of claudication, “ischemic” or “type uncertain” ulceration, gangrene, amputation, infection, or necrobiosis diabeticorum.</w:t>
            </w:r>
          </w:p>
        </w:tc>
      </w:tr>
      <w:tr w14:paraId="0789020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2022" w:type="dxa"/>
            <w:tcBorders>
              <w:top w:val="nil"/>
              <w:bottom w:val="nil"/>
            </w:tcBorders>
            <w:shd w:val="clear" w:color="auto" w:fill="auto"/>
            <w:vAlign w:val="center"/>
          </w:tcPr>
          <w:p w14:paraId="2B4FAD65">
            <w:pPr>
              <w:widowControl/>
              <w:jc w:val="left"/>
              <w:textAlignment w:val="center"/>
              <w:rPr>
                <w:rFonts w:hint="default" w:ascii="Times New Roman" w:hAnsi="Times New Roman" w:eastAsia="宋体" w:cs="Times New Roman"/>
                <w:color w:val="000000"/>
                <w:kern w:val="0"/>
                <w:sz w:val="20"/>
                <w:szCs w:val="20"/>
                <w:highlight w:val="none"/>
                <w:lang w:bidi="ar"/>
              </w:rPr>
            </w:pPr>
            <w:r>
              <w:rPr>
                <w:rFonts w:hint="default" w:ascii="Times New Roman" w:hAnsi="Times New Roman" w:eastAsia="宋体" w:cs="Times New Roman"/>
                <w:color w:val="000000"/>
                <w:kern w:val="0"/>
                <w:sz w:val="20"/>
                <w:szCs w:val="20"/>
                <w:highlight w:val="none"/>
                <w:lang w:bidi="ar"/>
              </w:rPr>
              <w:t>Olson 2002 (2)</w:t>
            </w:r>
          </w:p>
        </w:tc>
        <w:tc>
          <w:tcPr>
            <w:tcW w:w="11857" w:type="dxa"/>
            <w:tcBorders>
              <w:top w:val="nil"/>
              <w:bottom w:val="nil"/>
            </w:tcBorders>
            <w:shd w:val="clear" w:color="auto" w:fill="auto"/>
            <w:noWrap/>
            <w:vAlign w:val="center"/>
          </w:tcPr>
          <w:p w14:paraId="14D811DE">
            <w:pPr>
              <w:widowControl/>
              <w:jc w:val="left"/>
              <w:textAlignment w:val="center"/>
              <w:rPr>
                <w:rFonts w:hint="default" w:ascii="Times New Roman" w:hAnsi="Times New Roman" w:eastAsia="宋体" w:cs="Times New Roman"/>
                <w:color w:val="000000"/>
                <w:kern w:val="0"/>
                <w:sz w:val="20"/>
                <w:szCs w:val="20"/>
                <w:highlight w:val="none"/>
                <w:lang w:bidi="ar"/>
              </w:rPr>
            </w:pPr>
            <w:r>
              <w:rPr>
                <w:rFonts w:hint="default" w:ascii="Times New Roman" w:hAnsi="Times New Roman" w:eastAsia="宋体" w:cs="Times New Roman"/>
                <w:b/>
                <w:bCs/>
                <w:color w:val="000000"/>
                <w:kern w:val="0"/>
                <w:sz w:val="20"/>
                <w:szCs w:val="20"/>
                <w:highlight w:val="none"/>
                <w:lang w:bidi="ar"/>
              </w:rPr>
              <w:t>Death</w:t>
            </w:r>
            <w:r>
              <w:rPr>
                <w:rFonts w:hint="default" w:ascii="Times New Roman" w:hAnsi="Times New Roman" w:eastAsia="宋体" w:cs="Times New Roman"/>
                <w:color w:val="000000"/>
                <w:kern w:val="0"/>
                <w:sz w:val="20"/>
                <w:szCs w:val="20"/>
                <w:highlight w:val="none"/>
                <w:lang w:bidi="ar"/>
              </w:rPr>
              <w:t xml:space="preserve"> certificates were obtained for all reported deaths. Cause of death was classified as i) cardiovascular disease; ii) renal disease; iii) infection; iv) other diabetic; or v) other nondiabetic, according to the principles of classification of the Diabetes Epidemiology Research International. </w:t>
            </w:r>
          </w:p>
        </w:tc>
      </w:tr>
      <w:tr w14:paraId="6352725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2022" w:type="dxa"/>
            <w:tcBorders>
              <w:top w:val="nil"/>
              <w:bottom w:val="nil"/>
            </w:tcBorders>
            <w:shd w:val="clear" w:color="auto" w:fill="auto"/>
            <w:vAlign w:val="center"/>
          </w:tcPr>
          <w:p w14:paraId="2873653D">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Zhang Y 2024</w:t>
            </w:r>
          </w:p>
        </w:tc>
        <w:tc>
          <w:tcPr>
            <w:tcW w:w="11857" w:type="dxa"/>
            <w:tcBorders>
              <w:top w:val="nil"/>
              <w:bottom w:val="nil"/>
            </w:tcBorders>
            <w:shd w:val="clear" w:color="auto" w:fill="auto"/>
            <w:noWrap/>
            <w:vAlign w:val="center"/>
          </w:tcPr>
          <w:p w14:paraId="3FA8218C">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 xml:space="preserve">The </w:t>
            </w:r>
            <w:r>
              <w:rPr>
                <w:rFonts w:hint="default" w:ascii="Times New Roman" w:hAnsi="Times New Roman" w:eastAsia="宋体" w:cs="Times New Roman"/>
                <w:b/>
                <w:bCs/>
                <w:color w:val="000000"/>
                <w:kern w:val="0"/>
                <w:sz w:val="20"/>
                <w:szCs w:val="20"/>
                <w:highlight w:val="none"/>
                <w:lang w:bidi="ar"/>
              </w:rPr>
              <w:t>DPN</w:t>
            </w:r>
            <w:r>
              <w:rPr>
                <w:rFonts w:hint="default" w:ascii="Times New Roman" w:hAnsi="Times New Roman" w:eastAsia="宋体" w:cs="Times New Roman"/>
                <w:color w:val="000000"/>
                <w:kern w:val="0"/>
                <w:sz w:val="20"/>
                <w:szCs w:val="20"/>
                <w:highlight w:val="none"/>
                <w:lang w:bidi="ar"/>
              </w:rPr>
              <w:t>-Check test was considered abnormal when sural sensory nerve conduction amplitude was&lt;4 uV and/or velocity was &lt;40 m/s.</w:t>
            </w:r>
          </w:p>
        </w:tc>
      </w:tr>
      <w:tr w14:paraId="1D60BA2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2022" w:type="dxa"/>
            <w:tcBorders>
              <w:top w:val="nil"/>
              <w:bottom w:val="nil"/>
            </w:tcBorders>
            <w:shd w:val="clear" w:color="auto" w:fill="auto"/>
            <w:vAlign w:val="center"/>
          </w:tcPr>
          <w:p w14:paraId="7DCC951B">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Xu 2024</w:t>
            </w:r>
          </w:p>
        </w:tc>
        <w:tc>
          <w:tcPr>
            <w:tcW w:w="11857" w:type="dxa"/>
            <w:tcBorders>
              <w:top w:val="nil"/>
              <w:bottom w:val="nil"/>
            </w:tcBorders>
            <w:shd w:val="clear" w:color="auto" w:fill="auto"/>
            <w:noWrap/>
            <w:vAlign w:val="center"/>
          </w:tcPr>
          <w:p w14:paraId="35A748E6">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 xml:space="preserve">Assessment of </w:t>
            </w:r>
            <w:r>
              <w:rPr>
                <w:rFonts w:hint="default" w:ascii="Times New Roman" w:hAnsi="Times New Roman" w:eastAsia="宋体" w:cs="Times New Roman"/>
                <w:b/>
                <w:bCs/>
                <w:color w:val="000000"/>
                <w:kern w:val="0"/>
                <w:sz w:val="20"/>
                <w:szCs w:val="20"/>
                <w:highlight w:val="none"/>
                <w:lang w:bidi="ar"/>
              </w:rPr>
              <w:t>DR</w:t>
            </w:r>
            <w:r>
              <w:rPr>
                <w:rFonts w:hint="default" w:ascii="Times New Roman" w:hAnsi="Times New Roman" w:eastAsia="宋体" w:cs="Times New Roman"/>
                <w:color w:val="000000"/>
                <w:kern w:val="0"/>
                <w:sz w:val="20"/>
                <w:szCs w:val="20"/>
                <w:highlight w:val="none"/>
                <w:lang w:bidi="ar"/>
              </w:rPr>
              <w:t xml:space="preserve"> was performed by a trained grader and adjudicated by a retinal specialist based on the clinical status of the patient. Two-field (optic disc and macular centered) pupil-dilated fundus photographs were obtained from all participants. </w:t>
            </w:r>
          </w:p>
        </w:tc>
      </w:tr>
      <w:tr w14:paraId="513C5CA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2022" w:type="dxa"/>
            <w:tcBorders>
              <w:top w:val="nil"/>
            </w:tcBorders>
            <w:shd w:val="clear" w:color="auto" w:fill="auto"/>
            <w:vAlign w:val="center"/>
          </w:tcPr>
          <w:p w14:paraId="7ED1C8D6">
            <w:pPr>
              <w:widowControl/>
              <w:jc w:val="left"/>
              <w:textAlignment w:val="center"/>
              <w:rPr>
                <w:rFonts w:hint="default" w:ascii="Times New Roman" w:hAnsi="Times New Roman" w:eastAsia="宋体" w:cs="Times New Roman"/>
                <w:color w:val="000000"/>
                <w:kern w:val="0"/>
                <w:sz w:val="20"/>
                <w:szCs w:val="20"/>
                <w:highlight w:val="none"/>
                <w:lang w:bidi="ar"/>
              </w:rPr>
            </w:pPr>
            <w:r>
              <w:rPr>
                <w:rFonts w:hint="default" w:ascii="Times New Roman" w:hAnsi="Times New Roman" w:eastAsia="宋体" w:cs="Times New Roman"/>
                <w:color w:val="000000"/>
                <w:kern w:val="0"/>
                <w:sz w:val="20"/>
                <w:szCs w:val="20"/>
                <w:highlight w:val="none"/>
                <w:lang w:bidi="ar"/>
              </w:rPr>
              <w:t>Meng 2023</w:t>
            </w:r>
          </w:p>
        </w:tc>
        <w:tc>
          <w:tcPr>
            <w:tcW w:w="11857" w:type="dxa"/>
            <w:tcBorders>
              <w:top w:val="nil"/>
            </w:tcBorders>
            <w:shd w:val="clear" w:color="auto" w:fill="auto"/>
            <w:noWrap/>
            <w:vAlign w:val="center"/>
          </w:tcPr>
          <w:p w14:paraId="1449D5F2">
            <w:pPr>
              <w:widowControl/>
              <w:jc w:val="left"/>
              <w:rPr>
                <w:rFonts w:hint="default" w:ascii="Times New Roman" w:hAnsi="Times New Roman" w:eastAsia="宋体" w:cs="Times New Roman"/>
                <w:color w:val="000000"/>
                <w:kern w:val="0"/>
                <w:sz w:val="20"/>
                <w:szCs w:val="20"/>
                <w:highlight w:val="none"/>
                <w:lang w:bidi="ar"/>
              </w:rPr>
            </w:pPr>
            <w:r>
              <w:rPr>
                <w:rFonts w:hint="default" w:ascii="Times New Roman" w:hAnsi="Times New Roman" w:eastAsia="宋体" w:cs="Times New Roman"/>
                <w:b/>
                <w:bCs/>
                <w:color w:val="000000"/>
                <w:kern w:val="0"/>
                <w:sz w:val="20"/>
                <w:szCs w:val="20"/>
                <w:highlight w:val="none"/>
                <w:lang w:bidi="ar"/>
              </w:rPr>
              <w:t xml:space="preserve">DR </w:t>
            </w:r>
            <w:r>
              <w:rPr>
                <w:rFonts w:hint="default" w:ascii="Times New Roman" w:hAnsi="Times New Roman" w:eastAsia="宋体" w:cs="Times New Roman"/>
                <w:color w:val="000000"/>
                <w:kern w:val="0"/>
                <w:sz w:val="20"/>
                <w:szCs w:val="20"/>
                <w:highlight w:val="none"/>
                <w:lang w:bidi="ar"/>
              </w:rPr>
              <w:t>was graded according to the 2002 International Academy of Ophthalmology grading criteria.</w:t>
            </w:r>
            <w:r>
              <w:rPr>
                <w:rFonts w:hint="default" w:ascii="Times New Roman" w:hAnsi="Times New Roman" w:eastAsia="宋体" w:cs="Times New Roman"/>
                <w:color w:val="000080"/>
                <w:kern w:val="0"/>
                <w:sz w:val="20"/>
                <w:szCs w:val="20"/>
                <w:highlight w:val="none"/>
                <w:lang w:bidi="ar"/>
              </w:rPr>
              <w:t xml:space="preserve"> </w:t>
            </w:r>
            <w:r>
              <w:rPr>
                <w:rFonts w:hint="default" w:ascii="Times New Roman" w:hAnsi="Times New Roman" w:eastAsia="宋体" w:cs="Times New Roman"/>
                <w:color w:val="000000"/>
                <w:kern w:val="0"/>
                <w:sz w:val="20"/>
                <w:szCs w:val="20"/>
                <w:highlight w:val="none"/>
                <w:lang w:bidi="ar"/>
              </w:rPr>
              <w:t>It is a practical way to screen for DR to take at least two 45° fundus color images in each eye, one with the optic disc centered and the other with the macula centered, by trained professionals employing non-mydriatic fundus cameras.</w:t>
            </w:r>
          </w:p>
        </w:tc>
      </w:tr>
      <w:tr w14:paraId="49066B0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2022" w:type="dxa"/>
            <w:shd w:val="clear" w:color="auto" w:fill="auto"/>
            <w:vAlign w:val="center"/>
          </w:tcPr>
          <w:p w14:paraId="7EAD694C">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Ciardullo, 2023</w:t>
            </w:r>
          </w:p>
        </w:tc>
        <w:tc>
          <w:tcPr>
            <w:tcW w:w="11857" w:type="dxa"/>
            <w:shd w:val="clear" w:color="auto" w:fill="auto"/>
            <w:noWrap/>
            <w:vAlign w:val="center"/>
          </w:tcPr>
          <w:p w14:paraId="3B8D2066">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b/>
                <w:bCs/>
                <w:color w:val="000000"/>
                <w:kern w:val="0"/>
                <w:sz w:val="20"/>
                <w:szCs w:val="20"/>
                <w:highlight w:val="none"/>
                <w:lang w:bidi="ar"/>
              </w:rPr>
              <w:t>Mortality</w:t>
            </w:r>
            <w:r>
              <w:rPr>
                <w:rFonts w:hint="default" w:ascii="Times New Roman" w:hAnsi="Times New Roman" w:eastAsia="宋体" w:cs="Times New Roman"/>
                <w:color w:val="000000"/>
                <w:kern w:val="0"/>
                <w:sz w:val="20"/>
                <w:szCs w:val="20"/>
                <w:highlight w:val="none"/>
                <w:lang w:bidi="ar"/>
              </w:rPr>
              <w:t xml:space="preserve"> data from death certificates from the National Death Index were linked to NHANES based on the particif</w:t>
            </w:r>
            <w:r>
              <w:rPr>
                <w:rStyle w:val="20"/>
                <w:rFonts w:hint="default" w:ascii="Times New Roman" w:hAnsi="Times New Roman" w:eastAsia="宋体" w:cs="Times New Roman"/>
                <w:sz w:val="20"/>
                <w:szCs w:val="20"/>
                <w:highlight w:val="none"/>
                <w:lang w:bidi="ar"/>
              </w:rPr>
              <w:t xml:space="preserve"> </w:t>
            </w:r>
            <w:r>
              <w:rPr>
                <w:rFonts w:hint="default" w:ascii="Times New Roman" w:hAnsi="Times New Roman" w:eastAsia="宋体" w:cs="Times New Roman"/>
                <w:color w:val="000000"/>
                <w:kern w:val="0"/>
                <w:sz w:val="20"/>
                <w:szCs w:val="20"/>
                <w:highlight w:val="none"/>
                <w:lang w:bidi="ar"/>
              </w:rPr>
              <w:t xml:space="preserve">pant sequence number available on both datasets. </w:t>
            </w:r>
          </w:p>
        </w:tc>
      </w:tr>
      <w:tr w14:paraId="2EFA10E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2022" w:type="dxa"/>
            <w:shd w:val="clear" w:color="auto" w:fill="auto"/>
            <w:vAlign w:val="center"/>
          </w:tcPr>
          <w:p w14:paraId="7D7D7923">
            <w:pPr>
              <w:widowControl/>
              <w:jc w:val="left"/>
              <w:textAlignment w:val="center"/>
              <w:rPr>
                <w:rFonts w:hint="default" w:ascii="Times New Roman" w:hAnsi="Times New Roman" w:eastAsia="宋体" w:cs="Times New Roman"/>
                <w:color w:val="000000"/>
                <w:kern w:val="0"/>
                <w:sz w:val="20"/>
                <w:szCs w:val="20"/>
                <w:highlight w:val="none"/>
                <w:lang w:bidi="ar"/>
              </w:rPr>
            </w:pPr>
            <w:r>
              <w:rPr>
                <w:rFonts w:hint="default" w:ascii="Times New Roman" w:hAnsi="Times New Roman" w:eastAsia="宋体" w:cs="Times New Roman"/>
                <w:color w:val="000000"/>
                <w:kern w:val="0"/>
                <w:sz w:val="20"/>
                <w:szCs w:val="20"/>
                <w:highlight w:val="none"/>
                <w:lang w:bidi="ar"/>
              </w:rPr>
              <w:t>Zabala 2021</w:t>
            </w:r>
          </w:p>
        </w:tc>
        <w:tc>
          <w:tcPr>
            <w:tcW w:w="11857" w:type="dxa"/>
            <w:shd w:val="clear" w:color="auto" w:fill="auto"/>
            <w:noWrap/>
            <w:vAlign w:val="center"/>
          </w:tcPr>
          <w:p w14:paraId="59748229">
            <w:pPr>
              <w:widowControl/>
              <w:jc w:val="left"/>
              <w:textAlignment w:val="center"/>
              <w:rPr>
                <w:rFonts w:hint="default" w:ascii="Times New Roman" w:hAnsi="Times New Roman" w:eastAsia="宋体" w:cs="Times New Roman"/>
                <w:color w:val="000000"/>
                <w:kern w:val="0"/>
                <w:sz w:val="20"/>
                <w:szCs w:val="20"/>
                <w:highlight w:val="none"/>
                <w:lang w:bidi="ar"/>
              </w:rPr>
            </w:pPr>
            <w:r>
              <w:rPr>
                <w:rFonts w:hint="default" w:ascii="Times New Roman" w:hAnsi="Times New Roman" w:eastAsia="宋体" w:cs="Times New Roman"/>
                <w:color w:val="000000"/>
                <w:kern w:val="0"/>
                <w:sz w:val="20"/>
                <w:szCs w:val="20"/>
                <w:highlight w:val="none"/>
                <w:lang w:bidi="ar"/>
              </w:rPr>
              <w:t xml:space="preserve">The main outcome was time to </w:t>
            </w:r>
            <w:r>
              <w:rPr>
                <w:rFonts w:hint="default" w:ascii="Times New Roman" w:hAnsi="Times New Roman" w:eastAsia="宋体" w:cs="Times New Roman"/>
                <w:b/>
                <w:bCs/>
                <w:color w:val="000000"/>
                <w:kern w:val="0"/>
                <w:sz w:val="20"/>
                <w:szCs w:val="20"/>
                <w:highlight w:val="none"/>
                <w:lang w:bidi="ar"/>
              </w:rPr>
              <w:t>stroke and mortality</w:t>
            </w:r>
            <w:r>
              <w:rPr>
                <w:rFonts w:hint="default" w:ascii="Times New Roman" w:hAnsi="Times New Roman" w:eastAsia="宋体" w:cs="Times New Roman"/>
                <w:color w:val="000000"/>
                <w:kern w:val="0"/>
                <w:sz w:val="20"/>
                <w:szCs w:val="20"/>
                <w:highlight w:val="none"/>
                <w:lang w:bidi="ar"/>
              </w:rPr>
              <w:t xml:space="preserve">. Patients were studied from the index date until stroke, death, or end of the study. International Classification of Diseases codes (ICD codes) I63 and I64 were used for ischaemic stroke, and I61 to I62 for intracerebral hemorrhage, to identify all strokes. Subarachnoid hemorrhage (ICD code I60) was not included in the study. </w:t>
            </w:r>
          </w:p>
        </w:tc>
      </w:tr>
      <w:tr w14:paraId="7CB52DC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2022" w:type="dxa"/>
            <w:shd w:val="clear" w:color="auto" w:fill="auto"/>
            <w:vAlign w:val="center"/>
          </w:tcPr>
          <w:p w14:paraId="41A90B86">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Nyström, 2017</w:t>
            </w:r>
          </w:p>
        </w:tc>
        <w:tc>
          <w:tcPr>
            <w:tcW w:w="11857" w:type="dxa"/>
            <w:shd w:val="clear" w:color="auto" w:fill="auto"/>
            <w:noWrap/>
            <w:vAlign w:val="center"/>
          </w:tcPr>
          <w:p w14:paraId="7588F64B">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 xml:space="preserve">The primary outcome was </w:t>
            </w:r>
            <w:r>
              <w:rPr>
                <w:rFonts w:hint="default" w:ascii="Times New Roman" w:hAnsi="Times New Roman" w:eastAsia="宋体" w:cs="Times New Roman"/>
                <w:b/>
                <w:bCs/>
                <w:color w:val="000000"/>
                <w:kern w:val="0"/>
                <w:sz w:val="20"/>
                <w:szCs w:val="20"/>
                <w:highlight w:val="none"/>
                <w:lang w:bidi="ar"/>
              </w:rPr>
              <w:t>all-cause mortality</w:t>
            </w:r>
            <w:r>
              <w:rPr>
                <w:rFonts w:hint="default" w:ascii="Times New Roman" w:hAnsi="Times New Roman" w:eastAsia="宋体" w:cs="Times New Roman"/>
                <w:color w:val="000000"/>
                <w:kern w:val="0"/>
                <w:sz w:val="20"/>
                <w:szCs w:val="20"/>
                <w:highlight w:val="none"/>
                <w:lang w:bidi="ar"/>
              </w:rPr>
              <w:t xml:space="preserve">, and the Cause of Death Register was used to ascertain dates of death. The risk of a MACE or death as a combined secondary outcome measure was also investigated. We defined MACE as rehospitalization for myocardial infarction (ICD-10 I21–I21.9), heart failure (ICD-10 I50–I50.9), stroke (ICD-10 I60–I64.9), or repeat PCI or CABG (ICD-10 FNG, FNA, and FNC). </w:t>
            </w:r>
          </w:p>
        </w:tc>
      </w:tr>
      <w:tr w14:paraId="2310161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2022" w:type="dxa"/>
            <w:shd w:val="clear" w:color="auto" w:fill="FFFFFF"/>
            <w:vAlign w:val="center"/>
          </w:tcPr>
          <w:p w14:paraId="45D873BC">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Zhang Z 2024</w:t>
            </w:r>
          </w:p>
        </w:tc>
        <w:tc>
          <w:tcPr>
            <w:tcW w:w="11857" w:type="dxa"/>
            <w:shd w:val="clear" w:color="auto" w:fill="auto"/>
            <w:noWrap/>
            <w:vAlign w:val="center"/>
          </w:tcPr>
          <w:p w14:paraId="4C053FB5">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 xml:space="preserve">The primary outcome of interest was </w:t>
            </w:r>
            <w:r>
              <w:rPr>
                <w:rFonts w:hint="default" w:ascii="Times New Roman" w:hAnsi="Times New Roman" w:eastAsia="宋体" w:cs="Times New Roman"/>
                <w:b/>
                <w:bCs/>
                <w:color w:val="000000"/>
                <w:kern w:val="0"/>
                <w:sz w:val="20"/>
                <w:szCs w:val="20"/>
                <w:highlight w:val="none"/>
                <w:lang w:bidi="ar"/>
              </w:rPr>
              <w:t>CVD</w:t>
            </w:r>
            <w:r>
              <w:rPr>
                <w:rFonts w:hint="default" w:ascii="Times New Roman" w:hAnsi="Times New Roman" w:eastAsia="宋体" w:cs="Times New Roman"/>
                <w:color w:val="000000"/>
                <w:kern w:val="0"/>
                <w:sz w:val="20"/>
                <w:szCs w:val="20"/>
                <w:highlight w:val="none"/>
                <w:lang w:bidi="ar"/>
              </w:rPr>
              <w:t>, including heart disease and stroke. Consistent with established precedents, incident CVD was determined based on self-reports where participants confirmed having received a definite diagnosis of CVD from physicians. Participants were followed from baseline (2011) until the occurrence of stroke or cardiac events or the most recent survey (2018), whichever occurred first.</w:t>
            </w:r>
          </w:p>
        </w:tc>
      </w:tr>
      <w:tr w14:paraId="0B3E72D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2022" w:type="dxa"/>
            <w:shd w:val="clear" w:color="auto" w:fill="FFFFFF"/>
            <w:vAlign w:val="center"/>
          </w:tcPr>
          <w:p w14:paraId="3704EC0E">
            <w:pPr>
              <w:widowControl/>
              <w:jc w:val="left"/>
              <w:textAlignment w:val="center"/>
              <w:rPr>
                <w:rFonts w:hint="default" w:ascii="Times New Roman" w:hAnsi="Times New Roman" w:eastAsia="宋体" w:cs="Times New Roman"/>
                <w:color w:val="000000"/>
                <w:kern w:val="0"/>
                <w:sz w:val="20"/>
                <w:szCs w:val="20"/>
                <w:highlight w:val="none"/>
                <w:lang w:bidi="ar"/>
              </w:rPr>
            </w:pPr>
            <w:r>
              <w:rPr>
                <w:rFonts w:hint="default" w:ascii="Times New Roman" w:hAnsi="Times New Roman" w:eastAsia="宋体" w:cs="Times New Roman"/>
                <w:color w:val="000000"/>
                <w:kern w:val="0"/>
                <w:sz w:val="20"/>
                <w:szCs w:val="20"/>
                <w:highlight w:val="none"/>
                <w:lang w:bidi="ar"/>
              </w:rPr>
              <w:t>He 2024</w:t>
            </w:r>
          </w:p>
        </w:tc>
        <w:tc>
          <w:tcPr>
            <w:tcW w:w="11857" w:type="dxa"/>
            <w:shd w:val="clear" w:color="auto" w:fill="auto"/>
            <w:noWrap/>
            <w:vAlign w:val="center"/>
          </w:tcPr>
          <w:p w14:paraId="29478711">
            <w:pPr>
              <w:widowControl/>
              <w:jc w:val="left"/>
              <w:textAlignment w:val="center"/>
              <w:rPr>
                <w:rFonts w:hint="default" w:ascii="Times New Roman" w:hAnsi="Times New Roman" w:eastAsia="宋体" w:cs="Times New Roman"/>
                <w:color w:val="000000"/>
                <w:kern w:val="0"/>
                <w:sz w:val="20"/>
                <w:szCs w:val="20"/>
                <w:highlight w:val="none"/>
                <w:lang w:bidi="ar"/>
              </w:rPr>
            </w:pPr>
            <w:r>
              <w:rPr>
                <w:rFonts w:hint="default" w:ascii="Times New Roman" w:hAnsi="Times New Roman" w:eastAsia="宋体" w:cs="Times New Roman"/>
                <w:color w:val="000000"/>
                <w:kern w:val="0"/>
                <w:sz w:val="20"/>
                <w:szCs w:val="20"/>
                <w:highlight w:val="none"/>
                <w:lang w:bidi="ar"/>
              </w:rPr>
              <w:t xml:space="preserve">The endpoints of the present study were </w:t>
            </w:r>
            <w:r>
              <w:rPr>
                <w:rFonts w:hint="default" w:ascii="Times New Roman" w:hAnsi="Times New Roman" w:eastAsia="宋体" w:cs="Times New Roman"/>
                <w:b/>
                <w:bCs/>
                <w:color w:val="000000"/>
                <w:kern w:val="0"/>
                <w:sz w:val="20"/>
                <w:szCs w:val="20"/>
                <w:highlight w:val="none"/>
                <w:lang w:bidi="ar"/>
              </w:rPr>
              <w:t>all-cause mortality</w:t>
            </w:r>
            <w:r>
              <w:rPr>
                <w:rFonts w:hint="default" w:ascii="Times New Roman" w:hAnsi="Times New Roman" w:eastAsia="宋体" w:cs="Times New Roman"/>
                <w:color w:val="000000"/>
                <w:kern w:val="0"/>
                <w:sz w:val="20"/>
                <w:szCs w:val="20"/>
                <w:highlight w:val="none"/>
                <w:lang w:bidi="ar"/>
              </w:rPr>
              <w:t xml:space="preserve"> and cardiovascular mortality. To determine the death status of each individual during follow-up, the NHANES public-use mortality file through December 31, 2019, which was linked to the National Death Index with a </w:t>
            </w:r>
          </w:p>
          <w:p w14:paraId="54C38E9A">
            <w:pPr>
              <w:widowControl/>
              <w:jc w:val="left"/>
              <w:textAlignment w:val="center"/>
              <w:rPr>
                <w:rFonts w:hint="default" w:ascii="Times New Roman" w:hAnsi="Times New Roman" w:eastAsia="宋体" w:cs="Times New Roman"/>
                <w:color w:val="000000"/>
                <w:kern w:val="0"/>
                <w:sz w:val="20"/>
                <w:szCs w:val="20"/>
                <w:highlight w:val="none"/>
                <w:lang w:bidi="ar"/>
              </w:rPr>
            </w:pPr>
            <w:r>
              <w:rPr>
                <w:rFonts w:hint="default" w:ascii="Times New Roman" w:hAnsi="Times New Roman" w:eastAsia="宋体" w:cs="Times New Roman"/>
                <w:color w:val="000000"/>
                <w:kern w:val="0"/>
                <w:sz w:val="20"/>
                <w:szCs w:val="20"/>
                <w:highlight w:val="none"/>
                <w:lang w:bidi="ar"/>
              </w:rPr>
              <w:t>probabilistic matching algorithm, was used. The causes of death were determined according to the International Statistical Classification of Diseases and Related Health Problems, Tenth Revision (ICD-10) codes.</w:t>
            </w:r>
          </w:p>
        </w:tc>
      </w:tr>
      <w:tr w14:paraId="63DF078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2022" w:type="dxa"/>
            <w:shd w:val="clear" w:color="auto" w:fill="auto"/>
            <w:vAlign w:val="center"/>
          </w:tcPr>
          <w:p w14:paraId="7FDBC4AE">
            <w:pPr>
              <w:widowControl/>
              <w:jc w:val="left"/>
              <w:textAlignment w:val="center"/>
              <w:rPr>
                <w:rFonts w:hint="default" w:ascii="Times New Roman" w:hAnsi="Times New Roman" w:eastAsia="宋体" w:cs="Times New Roman"/>
                <w:color w:val="000000"/>
                <w:kern w:val="0"/>
                <w:sz w:val="20"/>
                <w:szCs w:val="20"/>
                <w:highlight w:val="none"/>
                <w:lang w:bidi="ar"/>
              </w:rPr>
            </w:pPr>
            <w:r>
              <w:rPr>
                <w:rFonts w:hint="default" w:ascii="Times New Roman" w:hAnsi="Times New Roman" w:eastAsia="宋体" w:cs="Times New Roman"/>
                <w:color w:val="000000"/>
                <w:kern w:val="0"/>
                <w:sz w:val="20"/>
                <w:szCs w:val="20"/>
                <w:highlight w:val="none"/>
                <w:lang w:bidi="ar"/>
              </w:rPr>
              <w:t>Sun 2023</w:t>
            </w:r>
          </w:p>
        </w:tc>
        <w:tc>
          <w:tcPr>
            <w:tcW w:w="11857" w:type="dxa"/>
            <w:shd w:val="clear" w:color="auto" w:fill="auto"/>
            <w:noWrap/>
            <w:vAlign w:val="center"/>
          </w:tcPr>
          <w:p w14:paraId="3573A154">
            <w:pPr>
              <w:widowControl/>
              <w:jc w:val="left"/>
              <w:textAlignment w:val="center"/>
              <w:rPr>
                <w:rFonts w:hint="default" w:ascii="Times New Roman" w:hAnsi="Times New Roman" w:eastAsia="宋体" w:cs="Times New Roman"/>
                <w:color w:val="000000"/>
                <w:kern w:val="0"/>
                <w:sz w:val="20"/>
                <w:szCs w:val="20"/>
                <w:highlight w:val="none"/>
                <w:lang w:bidi="ar"/>
              </w:rPr>
            </w:pPr>
            <w:r>
              <w:rPr>
                <w:rFonts w:hint="default" w:ascii="Times New Roman" w:hAnsi="Times New Roman" w:eastAsia="宋体" w:cs="Times New Roman"/>
                <w:color w:val="000000"/>
                <w:kern w:val="0"/>
                <w:sz w:val="20"/>
                <w:szCs w:val="20"/>
                <w:highlight w:val="none"/>
                <w:lang w:bidi="ar"/>
              </w:rPr>
              <w:t xml:space="preserve">The endpoint is the </w:t>
            </w:r>
            <w:r>
              <w:rPr>
                <w:rFonts w:hint="default" w:ascii="Times New Roman" w:hAnsi="Times New Roman" w:eastAsia="宋体" w:cs="Times New Roman"/>
                <w:b/>
                <w:bCs/>
                <w:color w:val="000000"/>
                <w:kern w:val="0"/>
                <w:sz w:val="20"/>
                <w:szCs w:val="20"/>
                <w:highlight w:val="none"/>
                <w:lang w:bidi="ar"/>
              </w:rPr>
              <w:t>vital status</w:t>
            </w:r>
            <w:r>
              <w:rPr>
                <w:rFonts w:hint="default" w:ascii="Times New Roman" w:hAnsi="Times New Roman" w:eastAsia="宋体" w:cs="Times New Roman"/>
                <w:color w:val="000000"/>
                <w:kern w:val="0"/>
                <w:sz w:val="20"/>
                <w:szCs w:val="20"/>
                <w:highlight w:val="none"/>
                <w:lang w:bidi="ar"/>
              </w:rPr>
              <w:t xml:space="preserve"> of the participants which was verified by the telephone interviews with the participants or their family members.</w:t>
            </w:r>
          </w:p>
        </w:tc>
      </w:tr>
    </w:tbl>
    <w:p w14:paraId="3CEFE9D5">
      <w:pPr>
        <w:rPr>
          <w:rFonts w:hint="default" w:ascii="Times New Roman" w:hAnsi="Times New Roman" w:eastAsia="宋体" w:cs="Times New Roman"/>
          <w:color w:val="000000"/>
          <w:kern w:val="0"/>
          <w:sz w:val="20"/>
          <w:szCs w:val="20"/>
          <w:highlight w:val="none"/>
          <w:lang w:bidi="ar"/>
        </w:rPr>
      </w:pPr>
      <w:r>
        <w:rPr>
          <w:rFonts w:hint="default" w:ascii="Times New Roman" w:hAnsi="Times New Roman" w:eastAsia="宋体" w:cs="Times New Roman"/>
          <w:color w:val="000000"/>
          <w:kern w:val="0"/>
          <w:sz w:val="20"/>
          <w:szCs w:val="20"/>
          <w:highlight w:val="none"/>
          <w:lang w:bidi="ar"/>
        </w:rPr>
        <w:t>CAD, coronary artery disease; CABG, coronary artery bypass grafting;</w:t>
      </w:r>
      <w:r>
        <w:rPr>
          <w:rFonts w:hint="default" w:ascii="Times New Roman" w:hAnsi="Times New Roman" w:eastAsia="等线" w:cs="Times New Roman"/>
          <w:bCs/>
          <w:kern w:val="0"/>
          <w:sz w:val="20"/>
          <w:szCs w:val="20"/>
          <w:highlight w:val="none"/>
          <w:lang w:bidi="ar"/>
        </w:rPr>
        <w:t xml:space="preserve"> </w:t>
      </w:r>
      <w:r>
        <w:rPr>
          <w:rFonts w:hint="default" w:ascii="Times New Roman" w:hAnsi="Times New Roman" w:eastAsia="宋体" w:cs="Times New Roman"/>
          <w:color w:val="000000"/>
          <w:kern w:val="0"/>
          <w:sz w:val="20"/>
          <w:szCs w:val="20"/>
          <w:highlight w:val="none"/>
          <w:lang w:bidi="ar"/>
        </w:rPr>
        <w:t>CTA, computational tomography angiography; CVD, cardiovascular disease; DR, diabetic retinopathy; DN, diabetic nephropathy; DPN, diabetic peripheral neuropathy; ECG, electrocardiogram; EDIC, Epidemiology of Diabetes Interventions and Complications study; ESRD, Early Treatment of Diabetic Retinopathy Scale; LEAD, lower extremity clinical events; MACE, major adverse cardiovascular event; MI, myocardial ischemia; NPDR, non-proliferative; ICDR, International Classification of DR; IHD, Ischemic heart disease; PCI, percutaneous coronary intervention; PPDR, preproliferative diabetic retinopathy; SPECT, single-photon emission computed tomography</w:t>
      </w:r>
    </w:p>
    <w:p w14:paraId="42F64F8B">
      <w:pPr>
        <w:widowControl/>
        <w:spacing w:line="360" w:lineRule="auto"/>
        <w:jc w:val="left"/>
        <w:rPr>
          <w:rFonts w:hint="default" w:ascii="Times New Roman" w:hAnsi="Times New Roman" w:eastAsia="CIDFont" w:cs="Times New Roman"/>
          <w:b/>
          <w:bCs/>
          <w:color w:val="000000"/>
          <w:kern w:val="0"/>
          <w:sz w:val="20"/>
          <w:szCs w:val="20"/>
          <w:highlight w:val="none"/>
          <w:lang w:bidi="ar"/>
        </w:rPr>
      </w:pPr>
    </w:p>
    <w:p w14:paraId="20EF96B2">
      <w:pPr>
        <w:widowControl/>
        <w:spacing w:line="360" w:lineRule="auto"/>
        <w:jc w:val="left"/>
        <w:rPr>
          <w:rFonts w:hint="default" w:ascii="Times New Roman" w:hAnsi="Times New Roman" w:eastAsia="CIDFont" w:cs="Times New Roman"/>
          <w:b/>
          <w:bCs/>
          <w:color w:val="000000"/>
          <w:kern w:val="0"/>
          <w:sz w:val="20"/>
          <w:szCs w:val="20"/>
          <w:highlight w:val="none"/>
          <w:lang w:bidi="ar"/>
        </w:rPr>
      </w:pPr>
    </w:p>
    <w:p w14:paraId="0AB36E0C">
      <w:pPr>
        <w:widowControl/>
        <w:spacing w:line="360" w:lineRule="auto"/>
        <w:jc w:val="left"/>
        <w:rPr>
          <w:rFonts w:hint="default" w:ascii="Times New Roman" w:hAnsi="Times New Roman" w:eastAsia="CIDFont" w:cs="Times New Roman"/>
          <w:b/>
          <w:bCs/>
          <w:color w:val="000000"/>
          <w:kern w:val="0"/>
          <w:sz w:val="20"/>
          <w:szCs w:val="20"/>
          <w:highlight w:val="none"/>
          <w:lang w:bidi="ar"/>
        </w:rPr>
      </w:pPr>
    </w:p>
    <w:p w14:paraId="649DDEDE">
      <w:pPr>
        <w:widowControl/>
        <w:spacing w:line="360" w:lineRule="auto"/>
        <w:jc w:val="left"/>
        <w:rPr>
          <w:rFonts w:hint="default" w:ascii="Times New Roman" w:hAnsi="Times New Roman" w:eastAsia="CIDFont" w:cs="Times New Roman"/>
          <w:b/>
          <w:bCs/>
          <w:color w:val="000000"/>
          <w:kern w:val="0"/>
          <w:sz w:val="20"/>
          <w:szCs w:val="20"/>
          <w:highlight w:val="none"/>
          <w:lang w:bidi="ar"/>
        </w:rPr>
      </w:pPr>
    </w:p>
    <w:p w14:paraId="21CE65E2">
      <w:pPr>
        <w:widowControl/>
        <w:spacing w:line="360" w:lineRule="auto"/>
        <w:jc w:val="left"/>
        <w:rPr>
          <w:rFonts w:hint="default" w:ascii="Times New Roman" w:hAnsi="Times New Roman" w:eastAsia="CIDFont" w:cs="Times New Roman"/>
          <w:b/>
          <w:bCs/>
          <w:color w:val="000000"/>
          <w:kern w:val="0"/>
          <w:sz w:val="20"/>
          <w:szCs w:val="20"/>
          <w:highlight w:val="none"/>
          <w:lang w:bidi="ar"/>
        </w:rPr>
      </w:pPr>
    </w:p>
    <w:p w14:paraId="3C513EC7">
      <w:pPr>
        <w:widowControl/>
        <w:spacing w:line="360" w:lineRule="auto"/>
        <w:jc w:val="left"/>
        <w:rPr>
          <w:rFonts w:hint="default" w:ascii="Times New Roman" w:hAnsi="Times New Roman" w:eastAsia="CIDFont" w:cs="Times New Roman"/>
          <w:b/>
          <w:bCs/>
          <w:color w:val="000000"/>
          <w:kern w:val="0"/>
          <w:sz w:val="20"/>
          <w:szCs w:val="20"/>
          <w:highlight w:val="none"/>
          <w:lang w:bidi="ar"/>
        </w:rPr>
      </w:pPr>
    </w:p>
    <w:p w14:paraId="25A7DDB7">
      <w:pPr>
        <w:widowControl/>
        <w:spacing w:line="360" w:lineRule="auto"/>
        <w:jc w:val="left"/>
        <w:rPr>
          <w:rFonts w:hint="default" w:ascii="Times New Roman" w:hAnsi="Times New Roman" w:eastAsia="CIDFont" w:cs="Times New Roman"/>
          <w:b/>
          <w:bCs/>
          <w:color w:val="000000"/>
          <w:kern w:val="0"/>
          <w:sz w:val="20"/>
          <w:szCs w:val="20"/>
          <w:highlight w:val="none"/>
          <w:lang w:bidi="ar"/>
        </w:rPr>
      </w:pPr>
    </w:p>
    <w:p w14:paraId="6AE64862">
      <w:pPr>
        <w:widowControl/>
        <w:spacing w:line="360" w:lineRule="auto"/>
        <w:jc w:val="left"/>
        <w:rPr>
          <w:rFonts w:hint="default" w:ascii="Times New Roman" w:hAnsi="Times New Roman" w:eastAsia="CIDFont" w:cs="Times New Roman"/>
          <w:b/>
          <w:bCs/>
          <w:color w:val="000000"/>
          <w:kern w:val="0"/>
          <w:sz w:val="20"/>
          <w:szCs w:val="20"/>
          <w:highlight w:val="none"/>
          <w:lang w:bidi="ar"/>
        </w:rPr>
      </w:pPr>
    </w:p>
    <w:p w14:paraId="6CCE82A1">
      <w:pPr>
        <w:widowControl/>
        <w:spacing w:line="360" w:lineRule="auto"/>
        <w:jc w:val="left"/>
        <w:rPr>
          <w:rFonts w:hint="default" w:ascii="Times New Roman" w:hAnsi="Times New Roman" w:eastAsia="CIDFont" w:cs="Times New Roman"/>
          <w:b/>
          <w:bCs/>
          <w:color w:val="000000"/>
          <w:kern w:val="0"/>
          <w:sz w:val="20"/>
          <w:szCs w:val="20"/>
          <w:highlight w:val="none"/>
          <w:lang w:bidi="ar"/>
        </w:rPr>
      </w:pPr>
    </w:p>
    <w:p w14:paraId="67362AD9">
      <w:pPr>
        <w:widowControl/>
        <w:spacing w:line="360" w:lineRule="auto"/>
        <w:jc w:val="left"/>
        <w:rPr>
          <w:rFonts w:hint="default" w:ascii="Times New Roman" w:hAnsi="Times New Roman" w:eastAsia="CIDFont" w:cs="Times New Roman"/>
          <w:b/>
          <w:bCs/>
          <w:color w:val="000000"/>
          <w:kern w:val="0"/>
          <w:sz w:val="20"/>
          <w:szCs w:val="20"/>
          <w:highlight w:val="none"/>
          <w:lang w:bidi="ar"/>
        </w:rPr>
      </w:pPr>
    </w:p>
    <w:p w14:paraId="31E49BCB">
      <w:pPr>
        <w:widowControl/>
        <w:spacing w:line="360" w:lineRule="auto"/>
        <w:jc w:val="left"/>
        <w:rPr>
          <w:rFonts w:hint="default" w:ascii="Times New Roman" w:hAnsi="Times New Roman" w:eastAsia="CIDFont" w:cs="Times New Roman"/>
          <w:b/>
          <w:bCs/>
          <w:color w:val="000000"/>
          <w:kern w:val="0"/>
          <w:sz w:val="20"/>
          <w:szCs w:val="20"/>
          <w:highlight w:val="none"/>
          <w:lang w:bidi="ar"/>
        </w:rPr>
      </w:pPr>
    </w:p>
    <w:p w14:paraId="4505A3D8">
      <w:pPr>
        <w:widowControl/>
        <w:spacing w:line="360" w:lineRule="auto"/>
        <w:jc w:val="left"/>
        <w:rPr>
          <w:rFonts w:hint="default" w:ascii="Times New Roman" w:hAnsi="Times New Roman" w:eastAsia="CIDFont" w:cs="Times New Roman"/>
          <w:b/>
          <w:bCs/>
          <w:color w:val="000000"/>
          <w:kern w:val="0"/>
          <w:sz w:val="20"/>
          <w:szCs w:val="20"/>
          <w:highlight w:val="none"/>
          <w:lang w:bidi="ar"/>
        </w:rPr>
      </w:pPr>
    </w:p>
    <w:p w14:paraId="661B10E7">
      <w:pPr>
        <w:widowControl/>
        <w:spacing w:line="360" w:lineRule="auto"/>
        <w:jc w:val="left"/>
        <w:outlineLvl w:val="0"/>
        <w:rPr>
          <w:rFonts w:hint="default" w:ascii="Times New Roman" w:hAnsi="Times New Roman" w:eastAsia="CIDFont" w:cs="Times New Roman"/>
          <w:b/>
          <w:bCs/>
          <w:color w:val="000000"/>
          <w:kern w:val="0"/>
          <w:sz w:val="20"/>
          <w:szCs w:val="20"/>
          <w:highlight w:val="none"/>
          <w:lang w:bidi="ar"/>
        </w:rPr>
      </w:pPr>
      <w:bookmarkStart w:id="3" w:name="_Toc19074"/>
      <w:r>
        <w:rPr>
          <w:rFonts w:hint="default" w:ascii="Times New Roman" w:hAnsi="Times New Roman" w:eastAsia="宋体" w:cs="Times New Roman"/>
          <w:b/>
          <w:bCs/>
          <w:color w:val="000000"/>
          <w:kern w:val="0"/>
          <w:sz w:val="20"/>
          <w:szCs w:val="20"/>
          <w:highlight w:val="none"/>
          <w:lang w:eastAsia="zh-CN" w:bidi="ar"/>
        </w:rPr>
        <w:t>Additional</w:t>
      </w:r>
      <w:r>
        <w:rPr>
          <w:rFonts w:hint="default" w:ascii="Times New Roman" w:hAnsi="Times New Roman" w:eastAsia="CIDFont" w:cs="Times New Roman"/>
          <w:b/>
          <w:bCs/>
          <w:color w:val="000000"/>
          <w:kern w:val="0"/>
          <w:sz w:val="20"/>
          <w:szCs w:val="20"/>
          <w:highlight w:val="none"/>
          <w:lang w:bidi="ar"/>
        </w:rPr>
        <w:t xml:space="preserve"> Table </w:t>
      </w:r>
      <w:r>
        <w:rPr>
          <w:rFonts w:hint="default" w:ascii="Times New Roman" w:hAnsi="Times New Roman" w:eastAsia="宋体" w:cs="Times New Roman"/>
          <w:b/>
          <w:bCs/>
          <w:color w:val="000000"/>
          <w:kern w:val="0"/>
          <w:sz w:val="20"/>
          <w:szCs w:val="20"/>
          <w:highlight w:val="none"/>
          <w:lang w:val="en-US" w:eastAsia="zh-CN" w:bidi="ar"/>
        </w:rPr>
        <w:t>4</w:t>
      </w:r>
      <w:r>
        <w:rPr>
          <w:rFonts w:hint="default" w:ascii="Times New Roman" w:hAnsi="Times New Roman" w:eastAsia="CIDFont" w:cs="Times New Roman"/>
          <w:b/>
          <w:bCs/>
          <w:color w:val="000000"/>
          <w:kern w:val="0"/>
          <w:sz w:val="20"/>
          <w:szCs w:val="20"/>
          <w:highlight w:val="none"/>
          <w:lang w:bidi="ar"/>
        </w:rPr>
        <w:t xml:space="preserve">. Confounding </w:t>
      </w:r>
      <w:r>
        <w:rPr>
          <w:rFonts w:hint="default" w:ascii="Times New Roman" w:hAnsi="Times New Roman" w:eastAsia="宋体" w:cs="Times New Roman"/>
          <w:b/>
          <w:bCs/>
          <w:color w:val="000000"/>
          <w:kern w:val="0"/>
          <w:sz w:val="20"/>
          <w:szCs w:val="20"/>
          <w:highlight w:val="none"/>
          <w:lang w:bidi="ar"/>
        </w:rPr>
        <w:t>V</w:t>
      </w:r>
      <w:r>
        <w:rPr>
          <w:rFonts w:hint="default" w:ascii="Times New Roman" w:hAnsi="Times New Roman" w:eastAsia="CIDFont" w:cs="Times New Roman"/>
          <w:b/>
          <w:bCs/>
          <w:color w:val="000000"/>
          <w:kern w:val="0"/>
          <w:sz w:val="20"/>
          <w:szCs w:val="20"/>
          <w:highlight w:val="none"/>
          <w:lang w:bidi="ar"/>
        </w:rPr>
        <w:t xml:space="preserve">ariables of </w:t>
      </w:r>
      <w:r>
        <w:rPr>
          <w:rFonts w:hint="default" w:ascii="Times New Roman" w:hAnsi="Times New Roman" w:eastAsia="宋体" w:cs="Times New Roman"/>
          <w:b/>
          <w:bCs/>
          <w:color w:val="000000"/>
          <w:kern w:val="0"/>
          <w:sz w:val="20"/>
          <w:szCs w:val="20"/>
          <w:highlight w:val="none"/>
          <w:lang w:bidi="ar"/>
        </w:rPr>
        <w:t>I</w:t>
      </w:r>
      <w:r>
        <w:rPr>
          <w:rFonts w:hint="default" w:ascii="Times New Roman" w:hAnsi="Times New Roman" w:eastAsia="CIDFont" w:cs="Times New Roman"/>
          <w:b/>
          <w:bCs/>
          <w:color w:val="000000"/>
          <w:kern w:val="0"/>
          <w:sz w:val="20"/>
          <w:szCs w:val="20"/>
          <w:highlight w:val="none"/>
          <w:lang w:bidi="ar"/>
        </w:rPr>
        <w:t xml:space="preserve">ncluded </w:t>
      </w:r>
      <w:r>
        <w:rPr>
          <w:rFonts w:hint="default" w:ascii="Times New Roman" w:hAnsi="Times New Roman" w:eastAsia="宋体" w:cs="Times New Roman"/>
          <w:b/>
          <w:bCs/>
          <w:color w:val="000000"/>
          <w:kern w:val="0"/>
          <w:sz w:val="20"/>
          <w:szCs w:val="20"/>
          <w:highlight w:val="none"/>
          <w:lang w:bidi="ar"/>
        </w:rPr>
        <w:t>S</w:t>
      </w:r>
      <w:r>
        <w:rPr>
          <w:rFonts w:hint="default" w:ascii="Times New Roman" w:hAnsi="Times New Roman" w:eastAsia="CIDFont" w:cs="Times New Roman"/>
          <w:b/>
          <w:bCs/>
          <w:color w:val="000000"/>
          <w:kern w:val="0"/>
          <w:sz w:val="20"/>
          <w:szCs w:val="20"/>
          <w:highlight w:val="none"/>
          <w:lang w:bidi="ar"/>
        </w:rPr>
        <w:t>tudies</w:t>
      </w:r>
      <w:bookmarkEnd w:id="3"/>
    </w:p>
    <w:tbl>
      <w:tblPr>
        <w:tblStyle w:val="9"/>
        <w:tblW w:w="13898" w:type="dxa"/>
        <w:tblInd w:w="100" w:type="dxa"/>
        <w:tblLayout w:type="fixed"/>
        <w:tblCellMar>
          <w:top w:w="0" w:type="dxa"/>
          <w:left w:w="108" w:type="dxa"/>
          <w:bottom w:w="0" w:type="dxa"/>
          <w:right w:w="108" w:type="dxa"/>
        </w:tblCellMar>
      </w:tblPr>
      <w:tblGrid>
        <w:gridCol w:w="2049"/>
        <w:gridCol w:w="9634"/>
        <w:gridCol w:w="2215"/>
      </w:tblGrid>
      <w:tr w14:paraId="0EBD2CAD">
        <w:tblPrEx>
          <w:tblCellMar>
            <w:top w:w="0" w:type="dxa"/>
            <w:left w:w="108" w:type="dxa"/>
            <w:bottom w:w="0" w:type="dxa"/>
            <w:right w:w="108" w:type="dxa"/>
          </w:tblCellMar>
        </w:tblPrEx>
        <w:trPr>
          <w:trHeight w:val="291" w:hRule="atLeast"/>
        </w:trPr>
        <w:tc>
          <w:tcPr>
            <w:tcW w:w="2049" w:type="dxa"/>
            <w:tcBorders>
              <w:top w:val="single" w:color="auto" w:sz="4" w:space="0"/>
              <w:left w:val="nil"/>
              <w:bottom w:val="single" w:color="auto" w:sz="4" w:space="0"/>
              <w:right w:val="nil"/>
            </w:tcBorders>
            <w:shd w:val="clear" w:color="auto" w:fill="auto"/>
            <w:noWrap/>
            <w:vAlign w:val="center"/>
          </w:tcPr>
          <w:p w14:paraId="35E3096D">
            <w:pPr>
              <w:widowControl/>
              <w:jc w:val="left"/>
              <w:textAlignment w:val="center"/>
              <w:rPr>
                <w:rFonts w:hint="default" w:ascii="Times New Roman" w:hAnsi="Times New Roman" w:eastAsia="宋体" w:cs="Times New Roman"/>
                <w:b/>
                <w:bCs/>
                <w:color w:val="000000"/>
                <w:sz w:val="20"/>
                <w:szCs w:val="20"/>
                <w:highlight w:val="none"/>
              </w:rPr>
            </w:pPr>
            <w:r>
              <w:rPr>
                <w:rFonts w:hint="default" w:ascii="Times New Roman" w:hAnsi="Times New Roman" w:eastAsia="宋体" w:cs="Times New Roman"/>
                <w:b/>
                <w:bCs/>
                <w:color w:val="000000"/>
                <w:kern w:val="0"/>
                <w:sz w:val="20"/>
                <w:szCs w:val="20"/>
                <w:highlight w:val="none"/>
                <w:lang w:bidi="ar"/>
              </w:rPr>
              <w:t>Study</w:t>
            </w:r>
          </w:p>
        </w:tc>
        <w:tc>
          <w:tcPr>
            <w:tcW w:w="9634" w:type="dxa"/>
            <w:tcBorders>
              <w:top w:val="single" w:color="auto" w:sz="4" w:space="0"/>
              <w:left w:val="nil"/>
              <w:bottom w:val="single" w:color="auto" w:sz="4" w:space="0"/>
              <w:right w:val="nil"/>
            </w:tcBorders>
            <w:shd w:val="clear" w:color="auto" w:fill="auto"/>
            <w:noWrap/>
            <w:vAlign w:val="center"/>
          </w:tcPr>
          <w:p w14:paraId="1B629532">
            <w:pPr>
              <w:widowControl/>
              <w:jc w:val="left"/>
              <w:textAlignment w:val="center"/>
              <w:rPr>
                <w:rFonts w:hint="default" w:ascii="Times New Roman" w:hAnsi="Times New Roman" w:eastAsia="宋体" w:cs="Times New Roman"/>
                <w:b/>
                <w:bCs/>
                <w:color w:val="000000"/>
                <w:sz w:val="20"/>
                <w:szCs w:val="20"/>
                <w:highlight w:val="none"/>
              </w:rPr>
            </w:pPr>
            <w:r>
              <w:rPr>
                <w:rFonts w:hint="default" w:ascii="Times New Roman" w:hAnsi="Times New Roman" w:eastAsia="宋体" w:cs="Times New Roman"/>
                <w:b/>
                <w:bCs/>
                <w:color w:val="000000"/>
                <w:kern w:val="0"/>
                <w:sz w:val="20"/>
                <w:szCs w:val="20"/>
                <w:highlight w:val="none"/>
                <w:lang w:bidi="ar"/>
              </w:rPr>
              <w:t>Confounding variables</w:t>
            </w:r>
          </w:p>
        </w:tc>
        <w:tc>
          <w:tcPr>
            <w:tcW w:w="2215" w:type="dxa"/>
            <w:tcBorders>
              <w:top w:val="single" w:color="auto" w:sz="4" w:space="0"/>
              <w:left w:val="nil"/>
              <w:bottom w:val="single" w:color="auto" w:sz="4" w:space="0"/>
              <w:right w:val="nil"/>
            </w:tcBorders>
            <w:shd w:val="clear" w:color="auto" w:fill="auto"/>
            <w:noWrap/>
            <w:vAlign w:val="center"/>
          </w:tcPr>
          <w:p w14:paraId="66268F72">
            <w:pPr>
              <w:widowControl/>
              <w:jc w:val="left"/>
              <w:textAlignment w:val="center"/>
              <w:rPr>
                <w:rFonts w:hint="default" w:ascii="Times New Roman" w:hAnsi="Times New Roman" w:eastAsia="宋体" w:cs="Times New Roman"/>
                <w:b/>
                <w:bCs/>
                <w:sz w:val="20"/>
                <w:szCs w:val="20"/>
                <w:highlight w:val="none"/>
              </w:rPr>
            </w:pPr>
            <w:r>
              <w:rPr>
                <w:rFonts w:hint="default" w:ascii="Times New Roman" w:hAnsi="Times New Roman" w:eastAsia="宋体" w:cs="Times New Roman"/>
                <w:b/>
                <w:bCs/>
                <w:kern w:val="0"/>
                <w:sz w:val="20"/>
                <w:szCs w:val="20"/>
                <w:highlight w:val="none"/>
                <w:lang w:bidi="ar"/>
              </w:rPr>
              <w:t>Degree of adjustment</w:t>
            </w:r>
          </w:p>
        </w:tc>
      </w:tr>
      <w:tr w14:paraId="09AC3079">
        <w:tblPrEx>
          <w:tblCellMar>
            <w:top w:w="0" w:type="dxa"/>
            <w:left w:w="108" w:type="dxa"/>
            <w:bottom w:w="0" w:type="dxa"/>
            <w:right w:w="108" w:type="dxa"/>
          </w:tblCellMar>
        </w:tblPrEx>
        <w:trPr>
          <w:trHeight w:val="291" w:hRule="atLeast"/>
        </w:trPr>
        <w:tc>
          <w:tcPr>
            <w:tcW w:w="2049" w:type="dxa"/>
            <w:tcBorders>
              <w:top w:val="single" w:color="auto" w:sz="4" w:space="0"/>
              <w:left w:val="nil"/>
              <w:bottom w:val="nil"/>
              <w:right w:val="nil"/>
            </w:tcBorders>
            <w:shd w:val="clear" w:color="auto" w:fill="auto"/>
            <w:noWrap/>
            <w:vAlign w:val="center"/>
          </w:tcPr>
          <w:p w14:paraId="012B1359">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Linn 2023</w:t>
            </w:r>
          </w:p>
        </w:tc>
        <w:tc>
          <w:tcPr>
            <w:tcW w:w="9634" w:type="dxa"/>
            <w:tcBorders>
              <w:top w:val="single" w:color="auto" w:sz="4" w:space="0"/>
              <w:left w:val="nil"/>
              <w:bottom w:val="nil"/>
              <w:right w:val="nil"/>
            </w:tcBorders>
            <w:shd w:val="clear" w:color="auto" w:fill="auto"/>
            <w:noWrap/>
            <w:vAlign w:val="center"/>
          </w:tcPr>
          <w:p w14:paraId="7232D0F5">
            <w:pPr>
              <w:widowControl/>
              <w:jc w:val="left"/>
              <w:textAlignment w:val="center"/>
              <w:rPr>
                <w:rFonts w:hint="default" w:ascii="Times New Roman" w:hAnsi="Times New Roman" w:eastAsia="宋体" w:cs="Times New Roman"/>
                <w:b/>
                <w:bCs/>
                <w:kern w:val="0"/>
                <w:sz w:val="20"/>
                <w:szCs w:val="20"/>
                <w:highlight w:val="none"/>
                <w:lang w:bidi="ar"/>
              </w:rPr>
            </w:pPr>
            <w:r>
              <w:rPr>
                <w:rFonts w:hint="default" w:ascii="Times New Roman" w:hAnsi="Times New Roman" w:eastAsia="宋体" w:cs="Times New Roman"/>
                <w:kern w:val="0"/>
                <w:sz w:val="20"/>
                <w:szCs w:val="20"/>
                <w:highlight w:val="none"/>
                <w:lang w:bidi="ar"/>
              </w:rPr>
              <w:t>Age, sex, physical activity, smoke, LDL-C, HDL-C, TC, Triglyceride, BMI, antihypertensive, lipid lowering drug, eGFR</w:t>
            </w:r>
          </w:p>
        </w:tc>
        <w:tc>
          <w:tcPr>
            <w:tcW w:w="2215" w:type="dxa"/>
            <w:tcBorders>
              <w:top w:val="single" w:color="auto" w:sz="4" w:space="0"/>
              <w:left w:val="nil"/>
              <w:bottom w:val="nil"/>
              <w:right w:val="nil"/>
            </w:tcBorders>
            <w:shd w:val="clear" w:color="auto" w:fill="FFFFFF"/>
            <w:noWrap/>
            <w:vAlign w:val="center"/>
          </w:tcPr>
          <w:p w14:paraId="2CB68DE8">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I/II/III</w:t>
            </w:r>
          </w:p>
        </w:tc>
      </w:tr>
      <w:tr w14:paraId="1ACADC4B">
        <w:tblPrEx>
          <w:tblCellMar>
            <w:top w:w="0" w:type="dxa"/>
            <w:left w:w="108" w:type="dxa"/>
            <w:bottom w:w="0" w:type="dxa"/>
            <w:right w:w="108" w:type="dxa"/>
          </w:tblCellMar>
        </w:tblPrEx>
        <w:trPr>
          <w:trHeight w:val="291" w:hRule="atLeast"/>
        </w:trPr>
        <w:tc>
          <w:tcPr>
            <w:tcW w:w="2049" w:type="dxa"/>
            <w:tcBorders>
              <w:top w:val="nil"/>
              <w:left w:val="nil"/>
              <w:bottom w:val="nil"/>
              <w:right w:val="nil"/>
            </w:tcBorders>
            <w:shd w:val="clear" w:color="auto" w:fill="auto"/>
            <w:noWrap/>
            <w:vAlign w:val="center"/>
          </w:tcPr>
          <w:p w14:paraId="3C096EF8">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Mao 2022</w:t>
            </w:r>
          </w:p>
        </w:tc>
        <w:tc>
          <w:tcPr>
            <w:tcW w:w="9634" w:type="dxa"/>
            <w:tcBorders>
              <w:top w:val="nil"/>
              <w:left w:val="nil"/>
              <w:bottom w:val="nil"/>
              <w:right w:val="nil"/>
            </w:tcBorders>
            <w:shd w:val="clear" w:color="auto" w:fill="auto"/>
            <w:noWrap/>
            <w:vAlign w:val="center"/>
          </w:tcPr>
          <w:p w14:paraId="03BB4DB7">
            <w:pPr>
              <w:widowControl/>
              <w:jc w:val="left"/>
              <w:textAlignment w:val="center"/>
              <w:rPr>
                <w:rFonts w:hint="default" w:ascii="Times New Roman" w:hAnsi="Times New Roman" w:eastAsia="宋体" w:cs="Times New Roman"/>
                <w:b/>
                <w:bCs/>
                <w:kern w:val="0"/>
                <w:sz w:val="20"/>
                <w:szCs w:val="20"/>
                <w:highlight w:val="none"/>
                <w:lang w:bidi="ar"/>
              </w:rPr>
            </w:pPr>
            <w:r>
              <w:rPr>
                <w:rFonts w:hint="default" w:ascii="Times New Roman" w:hAnsi="Times New Roman" w:eastAsia="宋体" w:cs="Times New Roman"/>
                <w:kern w:val="0"/>
                <w:sz w:val="20"/>
                <w:szCs w:val="20"/>
                <w:highlight w:val="none"/>
                <w:lang w:bidi="ar"/>
              </w:rPr>
              <w:t>Gender, age, diabetes duration.</w:t>
            </w:r>
          </w:p>
        </w:tc>
        <w:tc>
          <w:tcPr>
            <w:tcW w:w="2215" w:type="dxa"/>
            <w:tcBorders>
              <w:top w:val="nil"/>
              <w:left w:val="nil"/>
              <w:bottom w:val="nil"/>
              <w:right w:val="nil"/>
            </w:tcBorders>
            <w:shd w:val="clear" w:color="auto" w:fill="FFFFFF"/>
            <w:noWrap/>
            <w:vAlign w:val="center"/>
          </w:tcPr>
          <w:p w14:paraId="29C0B003">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II</w:t>
            </w:r>
          </w:p>
        </w:tc>
      </w:tr>
      <w:tr w14:paraId="6F43D50D">
        <w:tblPrEx>
          <w:tblCellMar>
            <w:top w:w="0" w:type="dxa"/>
            <w:left w:w="108" w:type="dxa"/>
            <w:bottom w:w="0" w:type="dxa"/>
            <w:right w:w="108" w:type="dxa"/>
          </w:tblCellMar>
        </w:tblPrEx>
        <w:trPr>
          <w:trHeight w:val="291" w:hRule="atLeast"/>
        </w:trPr>
        <w:tc>
          <w:tcPr>
            <w:tcW w:w="2049" w:type="dxa"/>
            <w:tcBorders>
              <w:top w:val="nil"/>
              <w:left w:val="nil"/>
              <w:bottom w:val="nil"/>
              <w:right w:val="nil"/>
            </w:tcBorders>
            <w:shd w:val="clear" w:color="auto" w:fill="auto"/>
            <w:noWrap/>
            <w:vAlign w:val="center"/>
          </w:tcPr>
          <w:p w14:paraId="7FB2B782">
            <w:pPr>
              <w:widowControl/>
              <w:jc w:val="left"/>
              <w:textAlignment w:val="center"/>
              <w:rPr>
                <w:rFonts w:hint="default" w:ascii="Times New Roman" w:hAnsi="Times New Roman" w:eastAsia="宋体" w:cs="Times New Roman"/>
                <w:kern w:val="0"/>
                <w:sz w:val="20"/>
                <w:szCs w:val="20"/>
                <w:highlight w:val="none"/>
                <w:lang w:bidi="ar"/>
              </w:rPr>
            </w:pPr>
            <w:r>
              <w:rPr>
                <w:rFonts w:hint="default" w:ascii="Times New Roman" w:hAnsi="Times New Roman" w:eastAsia="宋体" w:cs="Times New Roman"/>
                <w:kern w:val="0"/>
                <w:sz w:val="20"/>
                <w:szCs w:val="20"/>
                <w:highlight w:val="none"/>
                <w:lang w:bidi="ar"/>
              </w:rPr>
              <w:t>Harjutsalo 2021</w:t>
            </w:r>
          </w:p>
        </w:tc>
        <w:tc>
          <w:tcPr>
            <w:tcW w:w="9634" w:type="dxa"/>
            <w:tcBorders>
              <w:top w:val="nil"/>
              <w:left w:val="nil"/>
              <w:bottom w:val="nil"/>
              <w:right w:val="nil"/>
            </w:tcBorders>
            <w:shd w:val="clear" w:color="auto" w:fill="auto"/>
            <w:noWrap/>
            <w:vAlign w:val="center"/>
          </w:tcPr>
          <w:p w14:paraId="735EFD25">
            <w:pPr>
              <w:widowControl/>
              <w:jc w:val="left"/>
              <w:textAlignment w:val="center"/>
              <w:rPr>
                <w:rFonts w:hint="default" w:ascii="Times New Roman" w:hAnsi="Times New Roman" w:eastAsia="宋体" w:cs="Times New Roman"/>
                <w:kern w:val="0"/>
                <w:sz w:val="20"/>
                <w:szCs w:val="20"/>
                <w:highlight w:val="none"/>
                <w:lang w:bidi="ar"/>
              </w:rPr>
            </w:pPr>
            <w:r>
              <w:rPr>
                <w:rFonts w:hint="default" w:ascii="Times New Roman" w:hAnsi="Times New Roman" w:eastAsia="宋体" w:cs="Times New Roman"/>
                <w:kern w:val="0"/>
                <w:sz w:val="20"/>
                <w:szCs w:val="20"/>
                <w:highlight w:val="none"/>
                <w:lang w:bidi="ar"/>
              </w:rPr>
              <w:t>Age, sex, disease duration, mean HbA1, smoking history, ratio of triglycerides to HDL cholesterol, hypertension, lipid-lowering medication.</w:t>
            </w:r>
          </w:p>
        </w:tc>
        <w:tc>
          <w:tcPr>
            <w:tcW w:w="2215" w:type="dxa"/>
            <w:tcBorders>
              <w:top w:val="nil"/>
              <w:left w:val="nil"/>
              <w:bottom w:val="nil"/>
              <w:right w:val="nil"/>
            </w:tcBorders>
            <w:shd w:val="clear" w:color="auto" w:fill="FFFFFF"/>
            <w:noWrap/>
            <w:vAlign w:val="center"/>
          </w:tcPr>
          <w:p w14:paraId="28416BAF">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III</w:t>
            </w:r>
          </w:p>
        </w:tc>
      </w:tr>
      <w:tr w14:paraId="750BA9CA">
        <w:tblPrEx>
          <w:tblCellMar>
            <w:top w:w="0" w:type="dxa"/>
            <w:left w:w="108" w:type="dxa"/>
            <w:bottom w:w="0" w:type="dxa"/>
            <w:right w:w="108" w:type="dxa"/>
          </w:tblCellMar>
        </w:tblPrEx>
        <w:trPr>
          <w:trHeight w:val="341" w:hRule="atLeast"/>
        </w:trPr>
        <w:tc>
          <w:tcPr>
            <w:tcW w:w="2049" w:type="dxa"/>
            <w:tcBorders>
              <w:top w:val="nil"/>
              <w:left w:val="nil"/>
              <w:bottom w:val="nil"/>
              <w:right w:val="nil"/>
            </w:tcBorders>
            <w:shd w:val="clear" w:color="auto" w:fill="auto"/>
            <w:noWrap/>
            <w:vAlign w:val="center"/>
          </w:tcPr>
          <w:p w14:paraId="204C7D26">
            <w:pPr>
              <w:widowControl/>
              <w:jc w:val="left"/>
              <w:textAlignment w:val="center"/>
              <w:rPr>
                <w:rFonts w:hint="default" w:ascii="Times New Roman" w:hAnsi="Times New Roman" w:eastAsia="宋体" w:cs="Times New Roman"/>
                <w:b/>
                <w:bCs/>
                <w:color w:val="000000"/>
                <w:kern w:val="0"/>
                <w:sz w:val="20"/>
                <w:szCs w:val="20"/>
                <w:highlight w:val="none"/>
                <w:lang w:bidi="ar"/>
              </w:rPr>
            </w:pPr>
            <w:r>
              <w:rPr>
                <w:rFonts w:hint="default" w:ascii="Times New Roman" w:hAnsi="Times New Roman" w:eastAsia="宋体" w:cs="Times New Roman"/>
                <w:color w:val="000000"/>
                <w:kern w:val="0"/>
                <w:sz w:val="20"/>
                <w:szCs w:val="20"/>
                <w:highlight w:val="none"/>
                <w:lang w:bidi="ar"/>
              </w:rPr>
              <w:t>Helmink 2021</w:t>
            </w:r>
          </w:p>
        </w:tc>
        <w:tc>
          <w:tcPr>
            <w:tcW w:w="9634" w:type="dxa"/>
            <w:tcBorders>
              <w:top w:val="nil"/>
              <w:left w:val="nil"/>
              <w:bottom w:val="nil"/>
              <w:right w:val="nil"/>
            </w:tcBorders>
            <w:shd w:val="clear" w:color="auto" w:fill="auto"/>
            <w:noWrap/>
            <w:vAlign w:val="center"/>
          </w:tcPr>
          <w:p w14:paraId="345E1736">
            <w:pPr>
              <w:widowControl/>
              <w:jc w:val="left"/>
              <w:textAlignment w:val="center"/>
              <w:rPr>
                <w:rFonts w:hint="default" w:ascii="Times New Roman" w:hAnsi="Times New Roman" w:eastAsia="宋体" w:cs="Times New Roman"/>
                <w:b/>
                <w:bCs/>
                <w:color w:val="000000"/>
                <w:kern w:val="0"/>
                <w:sz w:val="20"/>
                <w:szCs w:val="20"/>
                <w:highlight w:val="none"/>
                <w:lang w:bidi="ar"/>
              </w:rPr>
            </w:pPr>
            <w:r>
              <w:rPr>
                <w:rFonts w:hint="default" w:ascii="Times New Roman" w:hAnsi="Times New Roman" w:eastAsia="宋体" w:cs="Times New Roman"/>
                <w:color w:val="000000"/>
                <w:kern w:val="0"/>
                <w:sz w:val="20"/>
                <w:szCs w:val="20"/>
                <w:highlight w:val="none"/>
                <w:lang w:bidi="ar"/>
              </w:rPr>
              <w:t>Age, sex, current smoking, non-HDL-C, eGFR.</w:t>
            </w:r>
          </w:p>
        </w:tc>
        <w:tc>
          <w:tcPr>
            <w:tcW w:w="2215" w:type="dxa"/>
            <w:tcBorders>
              <w:top w:val="nil"/>
              <w:left w:val="nil"/>
              <w:bottom w:val="nil"/>
              <w:right w:val="nil"/>
            </w:tcBorders>
            <w:shd w:val="clear" w:color="auto" w:fill="FFFFFF"/>
            <w:noWrap/>
            <w:vAlign w:val="center"/>
          </w:tcPr>
          <w:p w14:paraId="469A1F69">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II/III</w:t>
            </w:r>
          </w:p>
        </w:tc>
      </w:tr>
      <w:tr w14:paraId="1A24403F">
        <w:tblPrEx>
          <w:tblCellMar>
            <w:top w:w="0" w:type="dxa"/>
            <w:left w:w="108" w:type="dxa"/>
            <w:bottom w:w="0" w:type="dxa"/>
            <w:right w:w="108" w:type="dxa"/>
          </w:tblCellMar>
        </w:tblPrEx>
        <w:trPr>
          <w:trHeight w:val="341" w:hRule="atLeast"/>
        </w:trPr>
        <w:tc>
          <w:tcPr>
            <w:tcW w:w="2049" w:type="dxa"/>
            <w:tcBorders>
              <w:top w:val="nil"/>
              <w:left w:val="nil"/>
              <w:bottom w:val="nil"/>
              <w:right w:val="nil"/>
            </w:tcBorders>
            <w:shd w:val="clear" w:color="auto" w:fill="auto"/>
            <w:noWrap/>
            <w:vAlign w:val="center"/>
          </w:tcPr>
          <w:p w14:paraId="57D6409B">
            <w:pPr>
              <w:widowControl/>
              <w:jc w:val="left"/>
              <w:textAlignment w:val="center"/>
              <w:rPr>
                <w:rFonts w:hint="default" w:ascii="Times New Roman" w:hAnsi="Times New Roman" w:eastAsia="宋体" w:cs="Times New Roman"/>
                <w:color w:val="000000"/>
                <w:kern w:val="0"/>
                <w:sz w:val="20"/>
                <w:szCs w:val="20"/>
                <w:highlight w:val="none"/>
                <w:lang w:bidi="ar"/>
              </w:rPr>
            </w:pPr>
            <w:r>
              <w:rPr>
                <w:rFonts w:hint="default" w:ascii="Times New Roman" w:hAnsi="Times New Roman" w:eastAsia="宋体" w:cs="Times New Roman"/>
                <w:color w:val="000000"/>
                <w:kern w:val="0"/>
                <w:sz w:val="20"/>
                <w:szCs w:val="20"/>
                <w:highlight w:val="none"/>
                <w:lang w:bidi="ar"/>
              </w:rPr>
              <w:t>Garofolo 2020</w:t>
            </w:r>
          </w:p>
        </w:tc>
        <w:tc>
          <w:tcPr>
            <w:tcW w:w="9634" w:type="dxa"/>
            <w:tcBorders>
              <w:top w:val="nil"/>
              <w:left w:val="nil"/>
              <w:bottom w:val="nil"/>
              <w:right w:val="nil"/>
            </w:tcBorders>
            <w:shd w:val="clear" w:color="auto" w:fill="auto"/>
            <w:noWrap/>
            <w:vAlign w:val="center"/>
          </w:tcPr>
          <w:p w14:paraId="5CAF6CF6">
            <w:pPr>
              <w:widowControl/>
              <w:jc w:val="left"/>
              <w:textAlignment w:val="center"/>
              <w:rPr>
                <w:rFonts w:hint="default" w:ascii="Times New Roman" w:hAnsi="Times New Roman" w:eastAsia="宋体" w:cs="Times New Roman"/>
                <w:color w:val="000000"/>
                <w:kern w:val="0"/>
                <w:sz w:val="20"/>
                <w:szCs w:val="20"/>
                <w:highlight w:val="none"/>
                <w:lang w:bidi="ar"/>
              </w:rPr>
            </w:pPr>
            <w:r>
              <w:rPr>
                <w:rFonts w:hint="default" w:ascii="Times New Roman" w:hAnsi="Times New Roman" w:eastAsia="宋体" w:cs="Times New Roman"/>
                <w:color w:val="000000"/>
                <w:kern w:val="0"/>
                <w:sz w:val="20"/>
                <w:szCs w:val="20"/>
                <w:highlight w:val="none"/>
                <w:lang w:bidi="ar"/>
              </w:rPr>
              <w:t>Age, sex, diabetes duration, active smoking, LDL cholesterol, eGFR, lipid-lowering drugs, metformin use, total daily dose of insulin, peripheral neuropathy, retinopathy, and prior CV events, HDL cholesterol, triacylglycerol, and uACR.</w:t>
            </w:r>
          </w:p>
        </w:tc>
        <w:tc>
          <w:tcPr>
            <w:tcW w:w="2215" w:type="dxa"/>
            <w:tcBorders>
              <w:top w:val="nil"/>
              <w:left w:val="nil"/>
              <w:bottom w:val="nil"/>
              <w:right w:val="nil"/>
            </w:tcBorders>
            <w:shd w:val="clear" w:color="auto" w:fill="FFFFFF"/>
            <w:noWrap/>
            <w:vAlign w:val="center"/>
          </w:tcPr>
          <w:p w14:paraId="7885FFED">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I/II/III</w:t>
            </w:r>
          </w:p>
        </w:tc>
      </w:tr>
      <w:tr w14:paraId="6709A364">
        <w:tblPrEx>
          <w:tblCellMar>
            <w:top w:w="0" w:type="dxa"/>
            <w:left w:w="108" w:type="dxa"/>
            <w:bottom w:w="0" w:type="dxa"/>
            <w:right w:w="108" w:type="dxa"/>
          </w:tblCellMar>
        </w:tblPrEx>
        <w:trPr>
          <w:trHeight w:val="291" w:hRule="atLeast"/>
        </w:trPr>
        <w:tc>
          <w:tcPr>
            <w:tcW w:w="2049" w:type="dxa"/>
            <w:tcBorders>
              <w:top w:val="nil"/>
              <w:left w:val="nil"/>
              <w:bottom w:val="nil"/>
              <w:right w:val="nil"/>
            </w:tcBorders>
            <w:shd w:val="clear" w:color="auto" w:fill="auto"/>
            <w:noWrap/>
            <w:vAlign w:val="center"/>
          </w:tcPr>
          <w:p w14:paraId="4ACAD7B6">
            <w:pPr>
              <w:widowControl/>
              <w:jc w:val="left"/>
              <w:textAlignment w:val="center"/>
              <w:rPr>
                <w:rFonts w:hint="default" w:ascii="Times New Roman" w:hAnsi="Times New Roman" w:eastAsia="宋体" w:cs="Times New Roman"/>
                <w:color w:val="000000"/>
                <w:kern w:val="0"/>
                <w:sz w:val="20"/>
                <w:szCs w:val="20"/>
                <w:highlight w:val="none"/>
                <w:lang w:bidi="ar"/>
              </w:rPr>
            </w:pPr>
            <w:r>
              <w:rPr>
                <w:rFonts w:hint="default" w:ascii="Times New Roman" w:hAnsi="Times New Roman" w:eastAsia="宋体" w:cs="Times New Roman"/>
                <w:color w:val="000000"/>
                <w:kern w:val="0"/>
                <w:sz w:val="20"/>
                <w:szCs w:val="20"/>
                <w:highlight w:val="none"/>
                <w:lang w:bidi="ar"/>
              </w:rPr>
              <w:t xml:space="preserve">Miller 2019 </w:t>
            </w:r>
          </w:p>
        </w:tc>
        <w:tc>
          <w:tcPr>
            <w:tcW w:w="9634" w:type="dxa"/>
            <w:tcBorders>
              <w:top w:val="nil"/>
              <w:left w:val="nil"/>
              <w:bottom w:val="nil"/>
              <w:right w:val="nil"/>
            </w:tcBorders>
            <w:shd w:val="clear" w:color="auto" w:fill="auto"/>
            <w:noWrap/>
            <w:vAlign w:val="center"/>
          </w:tcPr>
          <w:p w14:paraId="4D8AFA14">
            <w:pPr>
              <w:widowControl/>
              <w:jc w:val="left"/>
              <w:textAlignment w:val="center"/>
              <w:rPr>
                <w:rFonts w:hint="default" w:ascii="Times New Roman" w:hAnsi="Times New Roman" w:eastAsia="宋体" w:cs="Times New Roman"/>
                <w:b/>
                <w:bCs/>
                <w:color w:val="000000"/>
                <w:kern w:val="0"/>
                <w:sz w:val="20"/>
                <w:szCs w:val="20"/>
                <w:highlight w:val="none"/>
                <w:lang w:bidi="ar"/>
              </w:rPr>
            </w:pPr>
            <w:r>
              <w:rPr>
                <w:rFonts w:hint="default" w:ascii="Times New Roman" w:hAnsi="Times New Roman" w:eastAsia="宋体" w:cs="Times New Roman"/>
                <w:color w:val="000000"/>
                <w:kern w:val="0"/>
                <w:sz w:val="20"/>
                <w:szCs w:val="20"/>
                <w:highlight w:val="none"/>
                <w:lang w:bidi="ar"/>
              </w:rPr>
              <w:t xml:space="preserve">Age, sex, </w:t>
            </w:r>
            <w:r>
              <w:rPr>
                <w:rStyle w:val="18"/>
                <w:rFonts w:hint="default" w:ascii="Times New Roman" w:hAnsi="Times New Roman" w:eastAsia="宋体" w:cs="Times New Roman"/>
                <w:sz w:val="20"/>
                <w:szCs w:val="20"/>
                <w:highlight w:val="none"/>
                <w:lang w:bidi="ar"/>
              </w:rPr>
              <w:t>diabetes duration</w:t>
            </w:r>
            <w:r>
              <w:rPr>
                <w:rFonts w:hint="default" w:ascii="Times New Roman" w:hAnsi="Times New Roman" w:eastAsia="宋体" w:cs="Times New Roman"/>
                <w:color w:val="000000"/>
                <w:kern w:val="0"/>
                <w:sz w:val="20"/>
                <w:szCs w:val="20"/>
                <w:highlight w:val="none"/>
                <w:lang w:bidi="ar"/>
              </w:rPr>
              <w:t>.</w:t>
            </w:r>
          </w:p>
        </w:tc>
        <w:tc>
          <w:tcPr>
            <w:tcW w:w="2215" w:type="dxa"/>
            <w:tcBorders>
              <w:top w:val="nil"/>
              <w:left w:val="nil"/>
              <w:bottom w:val="nil"/>
              <w:right w:val="nil"/>
            </w:tcBorders>
            <w:shd w:val="clear" w:color="auto" w:fill="FFFFFF"/>
            <w:noWrap/>
            <w:vAlign w:val="center"/>
          </w:tcPr>
          <w:p w14:paraId="739A07FE">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I/III</w:t>
            </w:r>
          </w:p>
        </w:tc>
      </w:tr>
      <w:tr w14:paraId="546CA69F">
        <w:tblPrEx>
          <w:tblCellMar>
            <w:top w:w="0" w:type="dxa"/>
            <w:left w:w="108" w:type="dxa"/>
            <w:bottom w:w="0" w:type="dxa"/>
            <w:right w:w="108" w:type="dxa"/>
          </w:tblCellMar>
        </w:tblPrEx>
        <w:trPr>
          <w:trHeight w:val="291" w:hRule="atLeast"/>
        </w:trPr>
        <w:tc>
          <w:tcPr>
            <w:tcW w:w="2049" w:type="dxa"/>
            <w:tcBorders>
              <w:top w:val="nil"/>
              <w:left w:val="nil"/>
              <w:bottom w:val="nil"/>
              <w:right w:val="nil"/>
            </w:tcBorders>
            <w:shd w:val="clear" w:color="auto" w:fill="auto"/>
            <w:noWrap/>
            <w:vAlign w:val="center"/>
          </w:tcPr>
          <w:p w14:paraId="7A5BAA6B">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Nystrom 2018</w:t>
            </w:r>
          </w:p>
        </w:tc>
        <w:tc>
          <w:tcPr>
            <w:tcW w:w="9634" w:type="dxa"/>
            <w:tcBorders>
              <w:top w:val="nil"/>
              <w:left w:val="nil"/>
              <w:bottom w:val="nil"/>
              <w:right w:val="nil"/>
            </w:tcBorders>
            <w:shd w:val="clear" w:color="auto" w:fill="auto"/>
            <w:noWrap/>
            <w:vAlign w:val="center"/>
          </w:tcPr>
          <w:p w14:paraId="27167118">
            <w:pPr>
              <w:widowControl/>
              <w:jc w:val="left"/>
              <w:textAlignment w:val="center"/>
              <w:rPr>
                <w:rFonts w:hint="default" w:ascii="Times New Roman" w:hAnsi="Times New Roman" w:eastAsia="宋体" w:cs="Times New Roman"/>
                <w:sz w:val="20"/>
                <w:szCs w:val="20"/>
                <w:highlight w:val="none"/>
                <w:lang w:bidi="ar"/>
              </w:rPr>
            </w:pPr>
            <w:r>
              <w:rPr>
                <w:rStyle w:val="18"/>
                <w:rFonts w:hint="default" w:ascii="Times New Roman" w:hAnsi="Times New Roman" w:eastAsia="宋体" w:cs="Times New Roman"/>
                <w:color w:val="auto"/>
                <w:sz w:val="20"/>
                <w:szCs w:val="20"/>
                <w:highlight w:val="none"/>
                <w:lang w:bidi="ar"/>
              </w:rPr>
              <w:t>Age, sex, diabetes duration, BMI, LDL-C, HDL-C, triglycerides, TC, lipid-lowering medication, BP, physically inactive, eGFR, macroalbuminuria, microalbuminuria, retinopathy, MI, CHD, AF, HF, stroke, PVD, cancer.</w:t>
            </w:r>
          </w:p>
        </w:tc>
        <w:tc>
          <w:tcPr>
            <w:tcW w:w="2215" w:type="dxa"/>
            <w:tcBorders>
              <w:top w:val="nil"/>
              <w:left w:val="nil"/>
              <w:bottom w:val="nil"/>
              <w:right w:val="nil"/>
            </w:tcBorders>
            <w:shd w:val="clear" w:color="auto" w:fill="FFFFFF"/>
            <w:noWrap/>
            <w:vAlign w:val="center"/>
          </w:tcPr>
          <w:p w14:paraId="2597ABF1">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I/II/III</w:t>
            </w:r>
          </w:p>
        </w:tc>
      </w:tr>
      <w:tr w14:paraId="1D16D187">
        <w:tblPrEx>
          <w:tblCellMar>
            <w:top w:w="0" w:type="dxa"/>
            <w:left w:w="108" w:type="dxa"/>
            <w:bottom w:w="0" w:type="dxa"/>
            <w:right w:w="108" w:type="dxa"/>
          </w:tblCellMar>
        </w:tblPrEx>
        <w:trPr>
          <w:trHeight w:val="291" w:hRule="atLeast"/>
        </w:trPr>
        <w:tc>
          <w:tcPr>
            <w:tcW w:w="2049" w:type="dxa"/>
            <w:tcBorders>
              <w:top w:val="nil"/>
              <w:left w:val="nil"/>
              <w:bottom w:val="nil"/>
              <w:right w:val="nil"/>
            </w:tcBorders>
            <w:shd w:val="clear" w:color="auto" w:fill="auto"/>
            <w:noWrap/>
            <w:vAlign w:val="center"/>
          </w:tcPr>
          <w:p w14:paraId="0ED213C3">
            <w:pPr>
              <w:widowControl/>
              <w:jc w:val="left"/>
              <w:textAlignment w:val="center"/>
              <w:rPr>
                <w:rFonts w:hint="default" w:ascii="Times New Roman" w:hAnsi="Times New Roman" w:eastAsia="宋体" w:cs="Times New Roman"/>
                <w:kern w:val="0"/>
                <w:sz w:val="20"/>
                <w:szCs w:val="20"/>
                <w:highlight w:val="none"/>
                <w:lang w:bidi="ar"/>
              </w:rPr>
            </w:pPr>
            <w:r>
              <w:rPr>
                <w:rFonts w:hint="default" w:ascii="Times New Roman" w:hAnsi="Times New Roman" w:eastAsia="宋体" w:cs="Times New Roman"/>
                <w:kern w:val="0"/>
                <w:sz w:val="20"/>
                <w:szCs w:val="20"/>
                <w:highlight w:val="none"/>
                <w:lang w:bidi="ar"/>
              </w:rPr>
              <w:t>Kilpatrick 2007</w:t>
            </w:r>
          </w:p>
        </w:tc>
        <w:tc>
          <w:tcPr>
            <w:tcW w:w="9634" w:type="dxa"/>
            <w:tcBorders>
              <w:top w:val="nil"/>
              <w:left w:val="nil"/>
              <w:bottom w:val="nil"/>
              <w:right w:val="nil"/>
            </w:tcBorders>
            <w:shd w:val="clear" w:color="auto" w:fill="auto"/>
            <w:noWrap/>
            <w:vAlign w:val="center"/>
          </w:tcPr>
          <w:p w14:paraId="00B2FDE8">
            <w:pPr>
              <w:widowControl/>
              <w:jc w:val="left"/>
              <w:textAlignment w:val="center"/>
              <w:rPr>
                <w:rFonts w:hint="default" w:ascii="Times New Roman" w:hAnsi="Times New Roman" w:eastAsia="宋体" w:cs="Times New Roman"/>
                <w:sz w:val="20"/>
                <w:szCs w:val="20"/>
                <w:highlight w:val="none"/>
                <w:lang w:bidi="ar"/>
              </w:rPr>
            </w:pPr>
            <w:r>
              <w:rPr>
                <w:rStyle w:val="18"/>
                <w:rFonts w:hint="default" w:ascii="Times New Roman" w:hAnsi="Times New Roman" w:eastAsia="宋体" w:cs="Times New Roman"/>
                <w:color w:val="auto"/>
                <w:sz w:val="20"/>
                <w:szCs w:val="20"/>
                <w:highlight w:val="none"/>
                <w:lang w:bidi="ar"/>
              </w:rPr>
              <w:t>Age, sex, disease duration, randomization treatment (conventional/intensive), and prevention cohort (primary/secondary).</w:t>
            </w:r>
          </w:p>
        </w:tc>
        <w:tc>
          <w:tcPr>
            <w:tcW w:w="2215" w:type="dxa"/>
            <w:tcBorders>
              <w:top w:val="nil"/>
              <w:left w:val="nil"/>
              <w:bottom w:val="nil"/>
              <w:right w:val="nil"/>
            </w:tcBorders>
            <w:shd w:val="clear" w:color="auto" w:fill="FFFFFF"/>
            <w:noWrap/>
            <w:vAlign w:val="center"/>
          </w:tcPr>
          <w:p w14:paraId="153BA81F">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III</w:t>
            </w:r>
          </w:p>
        </w:tc>
      </w:tr>
      <w:tr w14:paraId="1A9B3771">
        <w:tblPrEx>
          <w:tblCellMar>
            <w:top w:w="0" w:type="dxa"/>
            <w:left w:w="108" w:type="dxa"/>
            <w:bottom w:w="0" w:type="dxa"/>
            <w:right w:w="108" w:type="dxa"/>
          </w:tblCellMar>
        </w:tblPrEx>
        <w:trPr>
          <w:trHeight w:val="291" w:hRule="atLeast"/>
        </w:trPr>
        <w:tc>
          <w:tcPr>
            <w:tcW w:w="2049" w:type="dxa"/>
            <w:tcBorders>
              <w:top w:val="nil"/>
              <w:left w:val="nil"/>
              <w:bottom w:val="nil"/>
              <w:right w:val="nil"/>
            </w:tcBorders>
            <w:shd w:val="clear" w:color="auto" w:fill="auto"/>
            <w:noWrap/>
            <w:vAlign w:val="center"/>
          </w:tcPr>
          <w:p w14:paraId="310112D0">
            <w:pPr>
              <w:widowControl/>
              <w:jc w:val="left"/>
              <w:textAlignment w:val="center"/>
              <w:rPr>
                <w:rFonts w:hint="default" w:ascii="Times New Roman" w:hAnsi="Times New Roman" w:eastAsia="宋体" w:cs="Times New Roman"/>
                <w:kern w:val="0"/>
                <w:sz w:val="20"/>
                <w:szCs w:val="20"/>
                <w:highlight w:val="none"/>
                <w:lang w:bidi="ar"/>
              </w:rPr>
            </w:pPr>
            <w:r>
              <w:rPr>
                <w:rFonts w:hint="default" w:ascii="Times New Roman" w:hAnsi="Times New Roman" w:eastAsia="宋体" w:cs="Times New Roman"/>
                <w:kern w:val="0"/>
                <w:sz w:val="20"/>
                <w:szCs w:val="20"/>
                <w:highlight w:val="none"/>
                <w:lang w:bidi="ar"/>
              </w:rPr>
              <w:t>Olson 2002 (1)</w:t>
            </w:r>
          </w:p>
        </w:tc>
        <w:tc>
          <w:tcPr>
            <w:tcW w:w="9634" w:type="dxa"/>
            <w:tcBorders>
              <w:top w:val="nil"/>
              <w:left w:val="nil"/>
              <w:bottom w:val="nil"/>
              <w:right w:val="nil"/>
            </w:tcBorders>
            <w:shd w:val="clear" w:color="auto" w:fill="auto"/>
            <w:noWrap/>
            <w:vAlign w:val="center"/>
          </w:tcPr>
          <w:p w14:paraId="23D5502C">
            <w:pPr>
              <w:widowControl/>
              <w:jc w:val="left"/>
              <w:textAlignment w:val="center"/>
              <w:rPr>
                <w:rFonts w:hint="default" w:ascii="Times New Roman" w:hAnsi="Times New Roman" w:eastAsia="宋体" w:cs="Times New Roman"/>
                <w:b/>
                <w:bCs/>
                <w:kern w:val="0"/>
                <w:sz w:val="20"/>
                <w:szCs w:val="20"/>
                <w:highlight w:val="none"/>
                <w:lang w:bidi="ar"/>
              </w:rPr>
            </w:pPr>
            <w:r>
              <w:rPr>
                <w:rStyle w:val="18"/>
                <w:rFonts w:hint="default" w:ascii="Times New Roman" w:hAnsi="Times New Roman" w:eastAsia="宋体" w:cs="Times New Roman"/>
                <w:color w:val="auto"/>
                <w:sz w:val="20"/>
                <w:szCs w:val="20"/>
                <w:highlight w:val="none"/>
                <w:lang w:bidi="ar"/>
              </w:rPr>
              <w:t>Age, sex, disease duration, HbA1, hypertension, heart rate.</w:t>
            </w:r>
          </w:p>
        </w:tc>
        <w:tc>
          <w:tcPr>
            <w:tcW w:w="2215" w:type="dxa"/>
            <w:tcBorders>
              <w:top w:val="nil"/>
              <w:left w:val="nil"/>
              <w:bottom w:val="nil"/>
              <w:right w:val="nil"/>
            </w:tcBorders>
            <w:shd w:val="clear" w:color="auto" w:fill="FFFFFF"/>
            <w:noWrap/>
            <w:vAlign w:val="center"/>
          </w:tcPr>
          <w:p w14:paraId="2273C257">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III</w:t>
            </w:r>
          </w:p>
        </w:tc>
      </w:tr>
      <w:tr w14:paraId="0041326F">
        <w:tblPrEx>
          <w:tblCellMar>
            <w:top w:w="0" w:type="dxa"/>
            <w:left w:w="108" w:type="dxa"/>
            <w:bottom w:w="0" w:type="dxa"/>
            <w:right w:w="108" w:type="dxa"/>
          </w:tblCellMar>
        </w:tblPrEx>
        <w:trPr>
          <w:trHeight w:val="291" w:hRule="atLeast"/>
        </w:trPr>
        <w:tc>
          <w:tcPr>
            <w:tcW w:w="2049" w:type="dxa"/>
            <w:tcBorders>
              <w:top w:val="nil"/>
              <w:left w:val="nil"/>
              <w:bottom w:val="nil"/>
              <w:right w:val="nil"/>
            </w:tcBorders>
            <w:shd w:val="clear" w:color="auto" w:fill="auto"/>
            <w:noWrap/>
            <w:vAlign w:val="center"/>
          </w:tcPr>
          <w:p w14:paraId="000D76CF">
            <w:pPr>
              <w:widowControl/>
              <w:jc w:val="left"/>
              <w:textAlignment w:val="center"/>
              <w:rPr>
                <w:rFonts w:hint="default" w:ascii="Times New Roman" w:hAnsi="Times New Roman" w:eastAsia="宋体" w:cs="Times New Roman"/>
                <w:kern w:val="0"/>
                <w:sz w:val="20"/>
                <w:szCs w:val="20"/>
                <w:highlight w:val="none"/>
                <w:lang w:bidi="ar"/>
              </w:rPr>
            </w:pPr>
            <w:r>
              <w:rPr>
                <w:rFonts w:hint="default" w:ascii="Times New Roman" w:hAnsi="Times New Roman" w:eastAsia="宋体" w:cs="Times New Roman"/>
                <w:kern w:val="0"/>
                <w:sz w:val="20"/>
                <w:szCs w:val="20"/>
                <w:highlight w:val="none"/>
                <w:lang w:bidi="ar"/>
              </w:rPr>
              <w:t>Olson 2002 (2)</w:t>
            </w:r>
          </w:p>
        </w:tc>
        <w:tc>
          <w:tcPr>
            <w:tcW w:w="9634" w:type="dxa"/>
            <w:tcBorders>
              <w:top w:val="nil"/>
              <w:left w:val="nil"/>
              <w:bottom w:val="nil"/>
              <w:right w:val="nil"/>
            </w:tcBorders>
            <w:shd w:val="clear" w:color="auto" w:fill="auto"/>
            <w:noWrap/>
            <w:vAlign w:val="center"/>
          </w:tcPr>
          <w:p w14:paraId="32E73234">
            <w:pPr>
              <w:widowControl/>
              <w:jc w:val="left"/>
              <w:textAlignment w:val="center"/>
              <w:rPr>
                <w:rFonts w:hint="default" w:ascii="Times New Roman" w:hAnsi="Times New Roman" w:eastAsia="宋体" w:cs="Times New Roman"/>
                <w:kern w:val="0"/>
                <w:sz w:val="20"/>
                <w:szCs w:val="20"/>
                <w:highlight w:val="none"/>
                <w:lang w:bidi="ar"/>
              </w:rPr>
            </w:pPr>
            <w:r>
              <w:rPr>
                <w:rFonts w:hint="default" w:ascii="Times New Roman" w:hAnsi="Times New Roman" w:eastAsia="宋体" w:cs="Times New Roman"/>
                <w:kern w:val="0"/>
                <w:sz w:val="20"/>
                <w:szCs w:val="20"/>
                <w:highlight w:val="none"/>
                <w:lang w:bidi="ar"/>
              </w:rPr>
              <w:t>Age, sex, disease duration, HbA1, hypertension, heart rate.</w:t>
            </w:r>
          </w:p>
        </w:tc>
        <w:tc>
          <w:tcPr>
            <w:tcW w:w="2215" w:type="dxa"/>
            <w:tcBorders>
              <w:top w:val="nil"/>
              <w:left w:val="nil"/>
              <w:bottom w:val="nil"/>
              <w:right w:val="nil"/>
            </w:tcBorders>
            <w:shd w:val="clear" w:color="auto" w:fill="FFFFFF"/>
            <w:noWrap/>
            <w:vAlign w:val="center"/>
          </w:tcPr>
          <w:p w14:paraId="00833EF0">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III</w:t>
            </w:r>
          </w:p>
        </w:tc>
      </w:tr>
      <w:tr w14:paraId="3FA1EC12">
        <w:tblPrEx>
          <w:tblCellMar>
            <w:top w:w="0" w:type="dxa"/>
            <w:left w:w="108" w:type="dxa"/>
            <w:bottom w:w="0" w:type="dxa"/>
            <w:right w:w="108" w:type="dxa"/>
          </w:tblCellMar>
        </w:tblPrEx>
        <w:trPr>
          <w:trHeight w:val="291" w:hRule="atLeast"/>
        </w:trPr>
        <w:tc>
          <w:tcPr>
            <w:tcW w:w="2049" w:type="dxa"/>
            <w:tcBorders>
              <w:top w:val="nil"/>
              <w:left w:val="nil"/>
              <w:bottom w:val="nil"/>
              <w:right w:val="nil"/>
            </w:tcBorders>
            <w:shd w:val="clear" w:color="auto" w:fill="FFFFFF"/>
            <w:noWrap/>
            <w:vAlign w:val="center"/>
          </w:tcPr>
          <w:p w14:paraId="3DB5CA38">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Zhang Y 2024</w:t>
            </w:r>
          </w:p>
        </w:tc>
        <w:tc>
          <w:tcPr>
            <w:tcW w:w="9634" w:type="dxa"/>
            <w:tcBorders>
              <w:top w:val="nil"/>
              <w:left w:val="nil"/>
              <w:bottom w:val="nil"/>
              <w:right w:val="nil"/>
            </w:tcBorders>
            <w:shd w:val="clear" w:color="auto" w:fill="auto"/>
            <w:noWrap/>
            <w:vAlign w:val="center"/>
          </w:tcPr>
          <w:p w14:paraId="7BDD2E4A">
            <w:pPr>
              <w:widowControl/>
              <w:jc w:val="left"/>
              <w:textAlignment w:val="center"/>
              <w:rPr>
                <w:rFonts w:hint="default" w:ascii="Times New Roman" w:hAnsi="Times New Roman" w:eastAsia="宋体" w:cs="Times New Roman"/>
                <w:b/>
                <w:bCs/>
                <w:kern w:val="0"/>
                <w:sz w:val="20"/>
                <w:szCs w:val="20"/>
                <w:highlight w:val="none"/>
                <w:lang w:bidi="ar"/>
              </w:rPr>
            </w:pPr>
            <w:r>
              <w:rPr>
                <w:rFonts w:hint="default" w:ascii="Times New Roman" w:hAnsi="Times New Roman" w:eastAsia="宋体" w:cs="Times New Roman"/>
                <w:kern w:val="0"/>
                <w:sz w:val="20"/>
                <w:szCs w:val="20"/>
                <w:highlight w:val="none"/>
                <w:lang w:bidi="ar"/>
              </w:rPr>
              <w:t>Age, gender, HDL-C, TG, use of metformin, ACEI at baseline.</w:t>
            </w:r>
          </w:p>
        </w:tc>
        <w:tc>
          <w:tcPr>
            <w:tcW w:w="2215" w:type="dxa"/>
            <w:tcBorders>
              <w:top w:val="nil"/>
              <w:left w:val="nil"/>
              <w:bottom w:val="nil"/>
              <w:right w:val="nil"/>
            </w:tcBorders>
            <w:shd w:val="clear" w:color="auto" w:fill="FFFFFF"/>
            <w:noWrap/>
            <w:vAlign w:val="center"/>
          </w:tcPr>
          <w:p w14:paraId="69266802">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I/II/III</w:t>
            </w:r>
          </w:p>
        </w:tc>
      </w:tr>
      <w:tr w14:paraId="14266EAA">
        <w:tblPrEx>
          <w:tblCellMar>
            <w:top w:w="0" w:type="dxa"/>
            <w:left w:w="108" w:type="dxa"/>
            <w:bottom w:w="0" w:type="dxa"/>
            <w:right w:w="108" w:type="dxa"/>
          </w:tblCellMar>
        </w:tblPrEx>
        <w:trPr>
          <w:trHeight w:val="291" w:hRule="atLeast"/>
        </w:trPr>
        <w:tc>
          <w:tcPr>
            <w:tcW w:w="2049" w:type="dxa"/>
            <w:tcBorders>
              <w:top w:val="nil"/>
              <w:left w:val="nil"/>
              <w:bottom w:val="nil"/>
              <w:right w:val="nil"/>
            </w:tcBorders>
            <w:shd w:val="clear" w:color="auto" w:fill="FFFFFF"/>
            <w:noWrap/>
            <w:vAlign w:val="center"/>
          </w:tcPr>
          <w:p w14:paraId="4CBE3E09">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Xu 2024</w:t>
            </w:r>
          </w:p>
        </w:tc>
        <w:tc>
          <w:tcPr>
            <w:tcW w:w="9634" w:type="dxa"/>
            <w:tcBorders>
              <w:top w:val="nil"/>
              <w:left w:val="nil"/>
              <w:bottom w:val="nil"/>
              <w:right w:val="nil"/>
            </w:tcBorders>
            <w:shd w:val="clear" w:color="auto" w:fill="auto"/>
            <w:noWrap/>
            <w:vAlign w:val="center"/>
          </w:tcPr>
          <w:p w14:paraId="2169537B">
            <w:pPr>
              <w:widowControl/>
              <w:jc w:val="left"/>
              <w:textAlignment w:val="center"/>
              <w:rPr>
                <w:rFonts w:hint="default" w:ascii="Times New Roman" w:hAnsi="Times New Roman" w:eastAsia="宋体" w:cs="Times New Roman"/>
                <w:b/>
                <w:bCs/>
                <w:kern w:val="0"/>
                <w:sz w:val="20"/>
                <w:szCs w:val="20"/>
                <w:highlight w:val="none"/>
                <w:lang w:bidi="ar"/>
              </w:rPr>
            </w:pPr>
            <w:r>
              <w:rPr>
                <w:rFonts w:hint="default" w:ascii="Times New Roman" w:hAnsi="Times New Roman" w:eastAsia="宋体" w:cs="Times New Roman"/>
                <w:kern w:val="0"/>
                <w:sz w:val="20"/>
                <w:szCs w:val="20"/>
                <w:highlight w:val="none"/>
                <w:lang w:bidi="ar"/>
              </w:rPr>
              <w:t>Age, sex, diabetes duration, combination therapy for diabetes, smoke, DN, history of DPN, FPG</w:t>
            </w:r>
          </w:p>
        </w:tc>
        <w:tc>
          <w:tcPr>
            <w:tcW w:w="2215" w:type="dxa"/>
            <w:tcBorders>
              <w:top w:val="nil"/>
              <w:left w:val="nil"/>
              <w:bottom w:val="nil"/>
              <w:right w:val="nil"/>
            </w:tcBorders>
            <w:shd w:val="clear" w:color="auto" w:fill="FFFFFF"/>
            <w:noWrap/>
            <w:vAlign w:val="center"/>
          </w:tcPr>
          <w:p w14:paraId="44E19A85">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I/II/III</w:t>
            </w:r>
          </w:p>
        </w:tc>
      </w:tr>
      <w:tr w14:paraId="777DCE87">
        <w:tblPrEx>
          <w:tblCellMar>
            <w:top w:w="0" w:type="dxa"/>
            <w:left w:w="108" w:type="dxa"/>
            <w:bottom w:w="0" w:type="dxa"/>
            <w:right w:w="108" w:type="dxa"/>
          </w:tblCellMar>
        </w:tblPrEx>
        <w:trPr>
          <w:trHeight w:val="291" w:hRule="atLeast"/>
        </w:trPr>
        <w:tc>
          <w:tcPr>
            <w:tcW w:w="2049" w:type="dxa"/>
            <w:tcBorders>
              <w:top w:val="nil"/>
              <w:left w:val="nil"/>
              <w:bottom w:val="nil"/>
              <w:right w:val="nil"/>
            </w:tcBorders>
            <w:shd w:val="clear" w:color="auto" w:fill="auto"/>
            <w:noWrap/>
            <w:vAlign w:val="center"/>
          </w:tcPr>
          <w:p w14:paraId="4467C29B">
            <w:pPr>
              <w:widowControl/>
              <w:jc w:val="left"/>
              <w:textAlignment w:val="center"/>
              <w:rPr>
                <w:rFonts w:hint="default" w:ascii="Times New Roman" w:hAnsi="Times New Roman" w:eastAsia="宋体" w:cs="Times New Roman"/>
                <w:kern w:val="0"/>
                <w:sz w:val="20"/>
                <w:szCs w:val="20"/>
                <w:highlight w:val="none"/>
                <w:lang w:bidi="ar"/>
              </w:rPr>
            </w:pPr>
            <w:r>
              <w:rPr>
                <w:rFonts w:hint="default" w:ascii="Times New Roman" w:hAnsi="Times New Roman" w:eastAsia="宋体" w:cs="Times New Roman"/>
                <w:kern w:val="0"/>
                <w:sz w:val="20"/>
                <w:szCs w:val="20"/>
                <w:highlight w:val="none"/>
                <w:lang w:bidi="ar"/>
              </w:rPr>
              <w:t>Meng 2023</w:t>
            </w:r>
          </w:p>
        </w:tc>
        <w:tc>
          <w:tcPr>
            <w:tcW w:w="9634" w:type="dxa"/>
            <w:tcBorders>
              <w:top w:val="nil"/>
              <w:left w:val="nil"/>
              <w:bottom w:val="nil"/>
              <w:right w:val="nil"/>
            </w:tcBorders>
            <w:shd w:val="clear" w:color="auto" w:fill="auto"/>
            <w:noWrap/>
            <w:vAlign w:val="center"/>
          </w:tcPr>
          <w:p w14:paraId="3D71A1BF">
            <w:pPr>
              <w:widowControl/>
              <w:jc w:val="left"/>
              <w:textAlignment w:val="center"/>
              <w:rPr>
                <w:rFonts w:hint="default" w:ascii="Times New Roman" w:hAnsi="Times New Roman" w:eastAsia="宋体" w:cs="Times New Roman"/>
                <w:kern w:val="0"/>
                <w:sz w:val="20"/>
                <w:szCs w:val="20"/>
                <w:highlight w:val="none"/>
                <w:lang w:bidi="ar"/>
              </w:rPr>
            </w:pPr>
            <w:r>
              <w:rPr>
                <w:rFonts w:hint="default" w:ascii="Times New Roman" w:hAnsi="Times New Roman" w:eastAsia="宋体" w:cs="Times New Roman"/>
                <w:kern w:val="0"/>
                <w:sz w:val="20"/>
                <w:szCs w:val="20"/>
                <w:highlight w:val="none"/>
                <w:lang w:bidi="ar"/>
              </w:rPr>
              <w:t>Age, BMI, gender, hypertension, WC, FPG, GGT, ALT, AST, Alb, TC, TG, HDL-C, LDL-C, Cr, BUN, UA, course.</w:t>
            </w:r>
          </w:p>
        </w:tc>
        <w:tc>
          <w:tcPr>
            <w:tcW w:w="2215" w:type="dxa"/>
            <w:tcBorders>
              <w:top w:val="nil"/>
              <w:left w:val="nil"/>
              <w:bottom w:val="nil"/>
              <w:right w:val="nil"/>
            </w:tcBorders>
            <w:shd w:val="clear" w:color="auto" w:fill="FFFFFF"/>
            <w:noWrap/>
            <w:vAlign w:val="center"/>
          </w:tcPr>
          <w:p w14:paraId="6118EA17">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I/II/III</w:t>
            </w:r>
          </w:p>
        </w:tc>
      </w:tr>
      <w:tr w14:paraId="4C5C4F48">
        <w:tblPrEx>
          <w:tblCellMar>
            <w:top w:w="0" w:type="dxa"/>
            <w:left w:w="108" w:type="dxa"/>
            <w:bottom w:w="0" w:type="dxa"/>
            <w:right w:w="108" w:type="dxa"/>
          </w:tblCellMar>
        </w:tblPrEx>
        <w:trPr>
          <w:trHeight w:val="90" w:hRule="atLeast"/>
        </w:trPr>
        <w:tc>
          <w:tcPr>
            <w:tcW w:w="2049" w:type="dxa"/>
            <w:tcBorders>
              <w:top w:val="nil"/>
              <w:left w:val="nil"/>
              <w:bottom w:val="nil"/>
              <w:right w:val="nil"/>
            </w:tcBorders>
            <w:shd w:val="clear" w:color="auto" w:fill="FFFFFF"/>
            <w:noWrap/>
            <w:vAlign w:val="center"/>
          </w:tcPr>
          <w:p w14:paraId="55004C25">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Ciardullo 2023</w:t>
            </w:r>
          </w:p>
        </w:tc>
        <w:tc>
          <w:tcPr>
            <w:tcW w:w="9634" w:type="dxa"/>
            <w:tcBorders>
              <w:top w:val="nil"/>
              <w:left w:val="nil"/>
              <w:bottom w:val="nil"/>
              <w:right w:val="nil"/>
            </w:tcBorders>
            <w:shd w:val="clear" w:color="auto" w:fill="auto"/>
            <w:noWrap/>
            <w:vAlign w:val="center"/>
          </w:tcPr>
          <w:p w14:paraId="32B12230">
            <w:pPr>
              <w:widowControl/>
              <w:jc w:val="left"/>
              <w:textAlignment w:val="center"/>
              <w:rPr>
                <w:rFonts w:hint="default" w:ascii="Times New Roman" w:hAnsi="Times New Roman" w:eastAsia="宋体" w:cs="Times New Roman"/>
                <w:b/>
                <w:bCs/>
                <w:kern w:val="0"/>
                <w:sz w:val="20"/>
                <w:szCs w:val="20"/>
                <w:highlight w:val="none"/>
                <w:lang w:bidi="ar"/>
              </w:rPr>
            </w:pPr>
            <w:r>
              <w:rPr>
                <w:rFonts w:hint="default" w:ascii="Times New Roman" w:hAnsi="Times New Roman" w:eastAsia="宋体" w:cs="Times New Roman"/>
                <w:kern w:val="0"/>
                <w:sz w:val="20"/>
                <w:szCs w:val="20"/>
                <w:highlight w:val="none"/>
                <w:lang w:bidi="ar"/>
              </w:rPr>
              <w:t>Age, sex, educational status, race-ethnicity, smoke, CKD, CVD, alcohol consumption, TC, BP category.</w:t>
            </w:r>
          </w:p>
        </w:tc>
        <w:tc>
          <w:tcPr>
            <w:tcW w:w="2215" w:type="dxa"/>
            <w:tcBorders>
              <w:top w:val="nil"/>
              <w:left w:val="nil"/>
              <w:bottom w:val="nil"/>
              <w:right w:val="nil"/>
            </w:tcBorders>
            <w:shd w:val="clear" w:color="auto" w:fill="FFFFFF"/>
            <w:noWrap/>
            <w:vAlign w:val="center"/>
          </w:tcPr>
          <w:p w14:paraId="5F817071">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III</w:t>
            </w:r>
          </w:p>
        </w:tc>
      </w:tr>
      <w:tr w14:paraId="718BF792">
        <w:tblPrEx>
          <w:tblCellMar>
            <w:top w:w="0" w:type="dxa"/>
            <w:left w:w="108" w:type="dxa"/>
            <w:bottom w:w="0" w:type="dxa"/>
            <w:right w:w="108" w:type="dxa"/>
          </w:tblCellMar>
        </w:tblPrEx>
        <w:trPr>
          <w:trHeight w:val="90" w:hRule="atLeast"/>
        </w:trPr>
        <w:tc>
          <w:tcPr>
            <w:tcW w:w="2049" w:type="dxa"/>
            <w:tcBorders>
              <w:top w:val="nil"/>
              <w:left w:val="nil"/>
              <w:bottom w:val="nil"/>
              <w:right w:val="nil"/>
            </w:tcBorders>
            <w:shd w:val="clear" w:color="auto" w:fill="FFFFFF"/>
            <w:noWrap/>
            <w:vAlign w:val="center"/>
          </w:tcPr>
          <w:p w14:paraId="4C2A2F58">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Zabala</w:t>
            </w:r>
            <w:r>
              <w:rPr>
                <w:rStyle w:val="16"/>
                <w:rFonts w:hint="default" w:ascii="Times New Roman" w:hAnsi="Times New Roman" w:eastAsia="宋体" w:cs="Times New Roman"/>
                <w:color w:val="auto"/>
                <w:sz w:val="20"/>
                <w:szCs w:val="20"/>
                <w:highlight w:val="none"/>
                <w:lang w:bidi="ar"/>
              </w:rPr>
              <w:t xml:space="preserve"> 2021</w:t>
            </w:r>
          </w:p>
        </w:tc>
        <w:tc>
          <w:tcPr>
            <w:tcW w:w="9634" w:type="dxa"/>
            <w:tcBorders>
              <w:top w:val="nil"/>
              <w:left w:val="nil"/>
              <w:bottom w:val="nil"/>
              <w:right w:val="nil"/>
            </w:tcBorders>
            <w:shd w:val="clear" w:color="auto" w:fill="auto"/>
            <w:noWrap/>
            <w:vAlign w:val="center"/>
          </w:tcPr>
          <w:p w14:paraId="2472A5B6">
            <w:pPr>
              <w:widowControl/>
              <w:jc w:val="left"/>
              <w:textAlignment w:val="center"/>
              <w:rPr>
                <w:rFonts w:hint="default" w:ascii="Times New Roman" w:hAnsi="Times New Roman" w:eastAsia="宋体" w:cs="Times New Roman"/>
                <w:b/>
                <w:bCs/>
                <w:kern w:val="0"/>
                <w:sz w:val="20"/>
                <w:szCs w:val="20"/>
                <w:highlight w:val="none"/>
                <w:lang w:bidi="ar"/>
              </w:rPr>
            </w:pPr>
            <w:r>
              <w:rPr>
                <w:rStyle w:val="18"/>
                <w:rFonts w:hint="default" w:ascii="Times New Roman" w:hAnsi="Times New Roman" w:eastAsia="宋体" w:cs="Times New Roman"/>
                <w:color w:val="auto"/>
                <w:sz w:val="20"/>
                <w:szCs w:val="20"/>
                <w:highlight w:val="none"/>
                <w:lang w:bidi="ar"/>
              </w:rPr>
              <w:t>Age, sex, diabetes duration, LDL-C, HDL-C, triglycerides, lipid lowering medication, microalbuminuria, macroalbuminuria, creatinine, eGFR, retinopathy, smoke, physical activity, income, marital status, education, CVD, renal disorder, hyperglycaemia, amputation, dementia, psychiatric disorder, gastric bypass surgery.</w:t>
            </w:r>
          </w:p>
        </w:tc>
        <w:tc>
          <w:tcPr>
            <w:tcW w:w="2215" w:type="dxa"/>
            <w:tcBorders>
              <w:top w:val="nil"/>
              <w:left w:val="nil"/>
              <w:bottom w:val="nil"/>
              <w:right w:val="nil"/>
            </w:tcBorders>
            <w:shd w:val="clear" w:color="auto" w:fill="FFFFFF"/>
            <w:noWrap/>
            <w:vAlign w:val="center"/>
          </w:tcPr>
          <w:p w14:paraId="0D4C8D12">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I/II/III</w:t>
            </w:r>
          </w:p>
        </w:tc>
      </w:tr>
      <w:tr w14:paraId="0C932C40">
        <w:tblPrEx>
          <w:tblCellMar>
            <w:top w:w="0" w:type="dxa"/>
            <w:left w:w="108" w:type="dxa"/>
            <w:bottom w:w="0" w:type="dxa"/>
            <w:right w:w="108" w:type="dxa"/>
          </w:tblCellMar>
        </w:tblPrEx>
        <w:trPr>
          <w:trHeight w:val="248" w:hRule="atLeast"/>
        </w:trPr>
        <w:tc>
          <w:tcPr>
            <w:tcW w:w="2049" w:type="dxa"/>
            <w:tcBorders>
              <w:top w:val="nil"/>
              <w:left w:val="nil"/>
              <w:bottom w:val="nil"/>
              <w:right w:val="nil"/>
            </w:tcBorders>
            <w:shd w:val="clear" w:color="auto" w:fill="FFFFFF"/>
            <w:noWrap/>
            <w:vAlign w:val="center"/>
          </w:tcPr>
          <w:p w14:paraId="1D1A3F51">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 xml:space="preserve">Nystrom 2017 </w:t>
            </w:r>
          </w:p>
        </w:tc>
        <w:tc>
          <w:tcPr>
            <w:tcW w:w="9634" w:type="dxa"/>
            <w:tcBorders>
              <w:top w:val="nil"/>
              <w:left w:val="nil"/>
              <w:bottom w:val="nil"/>
              <w:right w:val="nil"/>
            </w:tcBorders>
            <w:shd w:val="clear" w:color="auto" w:fill="auto"/>
            <w:noWrap/>
            <w:vAlign w:val="center"/>
          </w:tcPr>
          <w:p w14:paraId="6EABEFC7">
            <w:pPr>
              <w:widowControl/>
              <w:jc w:val="left"/>
              <w:textAlignment w:val="center"/>
              <w:rPr>
                <w:rFonts w:hint="default" w:ascii="Times New Roman" w:hAnsi="Times New Roman" w:eastAsia="宋体" w:cs="Times New Roman"/>
                <w:b/>
                <w:bCs/>
                <w:kern w:val="0"/>
                <w:sz w:val="20"/>
                <w:szCs w:val="20"/>
                <w:highlight w:val="none"/>
                <w:lang w:bidi="ar"/>
              </w:rPr>
            </w:pPr>
            <w:r>
              <w:rPr>
                <w:rFonts w:hint="default" w:ascii="Times New Roman" w:hAnsi="Times New Roman" w:eastAsia="宋体" w:cs="Times New Roman"/>
                <w:kern w:val="0"/>
                <w:sz w:val="20"/>
                <w:szCs w:val="20"/>
                <w:highlight w:val="none"/>
                <w:lang w:bidi="ar"/>
              </w:rPr>
              <w:t xml:space="preserve">Age, sex, hyperlipidemia, PVD, prior PCI, CPD, prior MI, stroke, AF, cancer, </w:t>
            </w:r>
            <w:r>
              <w:rPr>
                <w:rFonts w:hint="default" w:ascii="Times New Roman" w:hAnsi="Times New Roman" w:eastAsia="等线" w:cs="Times New Roman"/>
                <w:bCs/>
                <w:kern w:val="0"/>
                <w:sz w:val="20"/>
                <w:szCs w:val="20"/>
                <w:highlight w:val="none"/>
                <w:lang w:bidi="ar"/>
              </w:rPr>
              <w:t>HF</w:t>
            </w:r>
            <w:r>
              <w:rPr>
                <w:rFonts w:hint="default" w:ascii="Times New Roman" w:hAnsi="Times New Roman" w:eastAsia="宋体" w:cs="Times New Roman"/>
                <w:kern w:val="0"/>
                <w:sz w:val="20"/>
                <w:szCs w:val="20"/>
                <w:highlight w:val="none"/>
                <w:lang w:bidi="ar"/>
              </w:rPr>
              <w:t xml:space="preserve">, left ventricular ejection fraction, alcohol dependency, smoke, physically inactive, </w:t>
            </w:r>
            <w:r>
              <w:rPr>
                <w:rStyle w:val="18"/>
                <w:rFonts w:hint="default" w:ascii="Times New Roman" w:hAnsi="Times New Roman" w:eastAsia="宋体" w:cs="Times New Roman"/>
                <w:color w:val="auto"/>
                <w:sz w:val="20"/>
                <w:szCs w:val="20"/>
                <w:highlight w:val="none"/>
                <w:lang w:bidi="ar"/>
              </w:rPr>
              <w:t>diabetes duration,</w:t>
            </w:r>
            <w:r>
              <w:rPr>
                <w:rFonts w:hint="default" w:ascii="Times New Roman" w:hAnsi="Times New Roman" w:eastAsia="宋体" w:cs="Times New Roman"/>
                <w:kern w:val="0"/>
                <w:sz w:val="20"/>
                <w:szCs w:val="20"/>
                <w:highlight w:val="none"/>
                <w:lang w:bidi="ar"/>
              </w:rPr>
              <w:t xml:space="preserve"> treatment, TC, triglycerides, </w:t>
            </w:r>
            <w:r>
              <w:rPr>
                <w:rStyle w:val="18"/>
                <w:rFonts w:hint="default" w:ascii="Times New Roman" w:hAnsi="Times New Roman" w:eastAsia="宋体" w:cs="Times New Roman"/>
                <w:color w:val="auto"/>
                <w:sz w:val="20"/>
                <w:szCs w:val="20"/>
                <w:highlight w:val="none"/>
                <w:lang w:bidi="ar"/>
              </w:rPr>
              <w:t>LDL-C, HDL-C.</w:t>
            </w:r>
          </w:p>
        </w:tc>
        <w:tc>
          <w:tcPr>
            <w:tcW w:w="2215" w:type="dxa"/>
            <w:tcBorders>
              <w:top w:val="nil"/>
              <w:left w:val="nil"/>
              <w:bottom w:val="nil"/>
              <w:right w:val="nil"/>
            </w:tcBorders>
            <w:shd w:val="clear" w:color="auto" w:fill="FFFFFF"/>
            <w:noWrap/>
            <w:vAlign w:val="center"/>
          </w:tcPr>
          <w:p w14:paraId="725235F6">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I/II/III</w:t>
            </w:r>
          </w:p>
        </w:tc>
      </w:tr>
      <w:tr w14:paraId="0DB29F7B">
        <w:tblPrEx>
          <w:tblCellMar>
            <w:top w:w="0" w:type="dxa"/>
            <w:left w:w="108" w:type="dxa"/>
            <w:bottom w:w="0" w:type="dxa"/>
            <w:right w:w="108" w:type="dxa"/>
          </w:tblCellMar>
        </w:tblPrEx>
        <w:trPr>
          <w:trHeight w:val="929" w:hRule="atLeast"/>
        </w:trPr>
        <w:tc>
          <w:tcPr>
            <w:tcW w:w="2049" w:type="dxa"/>
            <w:tcBorders>
              <w:top w:val="nil"/>
              <w:left w:val="nil"/>
              <w:bottom w:val="nil"/>
              <w:right w:val="nil"/>
            </w:tcBorders>
            <w:shd w:val="clear" w:color="auto" w:fill="FFFFFF"/>
            <w:noWrap/>
            <w:vAlign w:val="center"/>
          </w:tcPr>
          <w:p w14:paraId="6F888C71">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Zhang Z 2024</w:t>
            </w:r>
          </w:p>
        </w:tc>
        <w:tc>
          <w:tcPr>
            <w:tcW w:w="9634" w:type="dxa"/>
            <w:tcBorders>
              <w:top w:val="nil"/>
              <w:left w:val="nil"/>
              <w:bottom w:val="nil"/>
              <w:right w:val="nil"/>
            </w:tcBorders>
            <w:shd w:val="clear" w:color="auto" w:fill="auto"/>
            <w:noWrap/>
            <w:vAlign w:val="center"/>
          </w:tcPr>
          <w:p w14:paraId="05E7A440">
            <w:pPr>
              <w:widowControl/>
              <w:jc w:val="left"/>
              <w:textAlignment w:val="center"/>
              <w:rPr>
                <w:rFonts w:hint="default" w:ascii="Times New Roman" w:hAnsi="Times New Roman" w:eastAsia="宋体" w:cs="Times New Roman"/>
                <w:b/>
                <w:bCs/>
                <w:kern w:val="0"/>
                <w:sz w:val="20"/>
                <w:szCs w:val="20"/>
                <w:highlight w:val="none"/>
                <w:lang w:bidi="ar"/>
              </w:rPr>
            </w:pPr>
            <w:r>
              <w:rPr>
                <w:rFonts w:hint="default" w:ascii="Times New Roman" w:hAnsi="Times New Roman" w:eastAsia="宋体" w:cs="Times New Roman"/>
                <w:kern w:val="0"/>
                <w:sz w:val="20"/>
                <w:szCs w:val="20"/>
                <w:highlight w:val="none"/>
                <w:lang w:bidi="ar"/>
              </w:rPr>
              <w:t xml:space="preserve">Age, sex, rural residence, marital status, education, smoking, and alcohol consumption status, total cholesterol, high density lipoprotein, triglyceride , low density lipoprotein, BUN, uric acid, hsCRP, hemoglobin, chronic kidney disease, and obesity. </w:t>
            </w:r>
          </w:p>
        </w:tc>
        <w:tc>
          <w:tcPr>
            <w:tcW w:w="2215" w:type="dxa"/>
            <w:tcBorders>
              <w:top w:val="nil"/>
              <w:left w:val="nil"/>
              <w:bottom w:val="nil"/>
              <w:right w:val="nil"/>
            </w:tcBorders>
            <w:shd w:val="clear" w:color="auto" w:fill="FFFFFF"/>
            <w:noWrap/>
            <w:vAlign w:val="center"/>
          </w:tcPr>
          <w:p w14:paraId="6D40DB0B">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I/II/III</w:t>
            </w:r>
          </w:p>
        </w:tc>
      </w:tr>
      <w:tr w14:paraId="408DC482">
        <w:tblPrEx>
          <w:tblCellMar>
            <w:top w:w="0" w:type="dxa"/>
            <w:left w:w="108" w:type="dxa"/>
            <w:bottom w:w="0" w:type="dxa"/>
            <w:right w:w="108" w:type="dxa"/>
          </w:tblCellMar>
        </w:tblPrEx>
        <w:trPr>
          <w:trHeight w:val="291" w:hRule="atLeast"/>
        </w:trPr>
        <w:tc>
          <w:tcPr>
            <w:tcW w:w="2049" w:type="dxa"/>
            <w:tcBorders>
              <w:top w:val="nil"/>
              <w:left w:val="nil"/>
              <w:bottom w:val="nil"/>
              <w:right w:val="nil"/>
            </w:tcBorders>
            <w:shd w:val="clear" w:color="auto" w:fill="FFFFFF"/>
            <w:noWrap/>
            <w:vAlign w:val="center"/>
          </w:tcPr>
          <w:p w14:paraId="7EF08C40">
            <w:pPr>
              <w:widowControl/>
              <w:jc w:val="left"/>
              <w:textAlignment w:val="center"/>
              <w:rPr>
                <w:rFonts w:hint="default" w:ascii="Times New Roman" w:hAnsi="Times New Roman" w:eastAsia="宋体" w:cs="Times New Roman"/>
                <w:kern w:val="0"/>
                <w:sz w:val="20"/>
                <w:szCs w:val="20"/>
                <w:highlight w:val="none"/>
                <w:lang w:bidi="ar"/>
              </w:rPr>
            </w:pPr>
            <w:r>
              <w:rPr>
                <w:rFonts w:hint="default" w:ascii="Times New Roman" w:hAnsi="Times New Roman" w:eastAsia="宋体" w:cs="Times New Roman"/>
                <w:kern w:val="0"/>
                <w:sz w:val="20"/>
                <w:szCs w:val="20"/>
                <w:highlight w:val="none"/>
                <w:lang w:bidi="ar"/>
              </w:rPr>
              <w:t>He 2024</w:t>
            </w:r>
          </w:p>
        </w:tc>
        <w:tc>
          <w:tcPr>
            <w:tcW w:w="9634" w:type="dxa"/>
            <w:tcBorders>
              <w:top w:val="nil"/>
              <w:left w:val="nil"/>
              <w:bottom w:val="nil"/>
              <w:right w:val="nil"/>
            </w:tcBorders>
            <w:shd w:val="clear" w:color="auto" w:fill="auto"/>
            <w:noWrap/>
            <w:vAlign w:val="center"/>
          </w:tcPr>
          <w:p w14:paraId="17F2DC5F">
            <w:pPr>
              <w:widowControl/>
              <w:jc w:val="left"/>
              <w:textAlignment w:val="center"/>
              <w:rPr>
                <w:rFonts w:hint="default" w:ascii="Times New Roman" w:hAnsi="Times New Roman" w:eastAsia="宋体" w:cs="Times New Roman"/>
                <w:kern w:val="0"/>
                <w:sz w:val="20"/>
                <w:szCs w:val="20"/>
                <w:highlight w:val="none"/>
                <w:lang w:bidi="ar"/>
              </w:rPr>
            </w:pPr>
            <w:r>
              <w:rPr>
                <w:rFonts w:hint="default" w:ascii="Times New Roman" w:hAnsi="Times New Roman" w:eastAsia="宋体" w:cs="Times New Roman"/>
                <w:kern w:val="0"/>
                <w:sz w:val="20"/>
                <w:szCs w:val="20"/>
                <w:highlight w:val="none"/>
                <w:lang w:bidi="ar"/>
              </w:rPr>
              <w:t>Age, gender, race, and body mass index, smoking status, alcohol consumption, educational level, family poverty-to-income ratio, cardiovascular diseases, antidiabetic agents, anti-hypertensive agents, antihyperlipidemic agents, eGFR, HDL-C, and LDL-C.</w:t>
            </w:r>
          </w:p>
        </w:tc>
        <w:tc>
          <w:tcPr>
            <w:tcW w:w="2215" w:type="dxa"/>
            <w:tcBorders>
              <w:top w:val="nil"/>
              <w:left w:val="nil"/>
              <w:bottom w:val="nil"/>
              <w:right w:val="nil"/>
            </w:tcBorders>
            <w:shd w:val="clear" w:color="auto" w:fill="FFFFFF"/>
            <w:noWrap/>
            <w:vAlign w:val="center"/>
          </w:tcPr>
          <w:p w14:paraId="0669B020">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 xml:space="preserve">II/III </w:t>
            </w:r>
          </w:p>
        </w:tc>
      </w:tr>
      <w:tr w14:paraId="7151CD6A">
        <w:tblPrEx>
          <w:tblCellMar>
            <w:top w:w="0" w:type="dxa"/>
            <w:left w:w="108" w:type="dxa"/>
            <w:bottom w:w="0" w:type="dxa"/>
            <w:right w:w="108" w:type="dxa"/>
          </w:tblCellMar>
        </w:tblPrEx>
        <w:trPr>
          <w:trHeight w:val="291" w:hRule="atLeast"/>
        </w:trPr>
        <w:tc>
          <w:tcPr>
            <w:tcW w:w="2049" w:type="dxa"/>
            <w:tcBorders>
              <w:top w:val="nil"/>
              <w:left w:val="nil"/>
              <w:bottom w:val="single" w:color="auto" w:sz="4" w:space="0"/>
              <w:right w:val="nil"/>
            </w:tcBorders>
            <w:shd w:val="clear" w:color="auto" w:fill="FFFFFF"/>
            <w:noWrap/>
            <w:vAlign w:val="center"/>
          </w:tcPr>
          <w:p w14:paraId="4C56BA24">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Sun 2023</w:t>
            </w:r>
          </w:p>
        </w:tc>
        <w:tc>
          <w:tcPr>
            <w:tcW w:w="9634" w:type="dxa"/>
            <w:tcBorders>
              <w:top w:val="nil"/>
              <w:left w:val="nil"/>
              <w:bottom w:val="single" w:color="auto" w:sz="4" w:space="0"/>
              <w:right w:val="nil"/>
            </w:tcBorders>
            <w:shd w:val="clear" w:color="auto" w:fill="auto"/>
            <w:noWrap/>
            <w:vAlign w:val="center"/>
          </w:tcPr>
          <w:p w14:paraId="1AA727EC">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Age, sex, BMI, SBP, DBP, TC, HDL-C, LDL-C, smoke, drinking status, CHD, DM, antiplatelet agents, antihypertensive agents, hypoglycaemic therapy, lipid-lowering therapy.</w:t>
            </w:r>
          </w:p>
        </w:tc>
        <w:tc>
          <w:tcPr>
            <w:tcW w:w="2215" w:type="dxa"/>
            <w:tcBorders>
              <w:top w:val="nil"/>
              <w:left w:val="nil"/>
              <w:bottom w:val="single" w:color="auto" w:sz="4" w:space="0"/>
              <w:right w:val="nil"/>
            </w:tcBorders>
            <w:shd w:val="clear" w:color="auto" w:fill="FFFFFF"/>
            <w:noWrap/>
            <w:vAlign w:val="center"/>
          </w:tcPr>
          <w:p w14:paraId="1483C48D">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I/II/III</w:t>
            </w:r>
          </w:p>
        </w:tc>
      </w:tr>
    </w:tbl>
    <w:p w14:paraId="1CD9DB3D">
      <w:pPr>
        <w:widowControl/>
        <w:jc w:val="left"/>
        <w:rPr>
          <w:rFonts w:hint="default" w:ascii="Times New Roman" w:hAnsi="Times New Roman" w:eastAsia="等线" w:cs="Times New Roman"/>
          <w:bCs/>
          <w:kern w:val="0"/>
          <w:sz w:val="20"/>
          <w:szCs w:val="20"/>
          <w:highlight w:val="none"/>
          <w:lang w:bidi="ar"/>
        </w:rPr>
      </w:pPr>
      <w:r>
        <w:rPr>
          <w:rFonts w:hint="default" w:ascii="Times New Roman" w:hAnsi="Times New Roman" w:eastAsia="等线" w:cs="Times New Roman"/>
          <w:bCs/>
          <w:kern w:val="0"/>
          <w:sz w:val="20"/>
          <w:szCs w:val="20"/>
          <w:highlight w:val="none"/>
          <w:lang w:bidi="ar"/>
        </w:rPr>
        <w:t xml:space="preserve">ACEI, angiotensin-converting enzyme inhibitor; AF, </w:t>
      </w:r>
      <w:r>
        <w:rPr>
          <w:rFonts w:hint="default" w:ascii="Times New Roman" w:hAnsi="Times New Roman" w:eastAsia="宋体" w:cs="Times New Roman"/>
          <w:kern w:val="0"/>
          <w:sz w:val="20"/>
          <w:szCs w:val="20"/>
          <w:highlight w:val="none"/>
          <w:lang w:bidi="ar"/>
        </w:rPr>
        <w:t xml:space="preserve">atrial fibrillation; </w:t>
      </w:r>
      <w:r>
        <w:rPr>
          <w:rFonts w:hint="default" w:ascii="Times New Roman" w:hAnsi="Times New Roman" w:eastAsia="等线" w:cs="Times New Roman"/>
          <w:bCs/>
          <w:kern w:val="0"/>
          <w:sz w:val="20"/>
          <w:szCs w:val="20"/>
          <w:highlight w:val="none"/>
          <w:lang w:bidi="ar"/>
        </w:rPr>
        <w:t xml:space="preserve">Alb, Albumin; ALT, alanineaminotransferase; AST, aspartate aminotransferase; BMI, body mass index; BUN, urea nitrogen; CAD, coronary artery disease; CHD, coronary heart disease; CKD, </w:t>
      </w:r>
      <w:r>
        <w:rPr>
          <w:rFonts w:hint="default" w:ascii="Times New Roman" w:hAnsi="Times New Roman" w:eastAsia="宋体" w:cs="Times New Roman"/>
          <w:kern w:val="0"/>
          <w:sz w:val="20"/>
          <w:szCs w:val="20"/>
          <w:highlight w:val="none"/>
          <w:lang w:bidi="ar"/>
        </w:rPr>
        <w:t xml:space="preserve">chronic kidney disease; </w:t>
      </w:r>
      <w:r>
        <w:rPr>
          <w:rFonts w:hint="default" w:ascii="Times New Roman" w:hAnsi="Times New Roman" w:eastAsia="等线" w:cs="Times New Roman"/>
          <w:bCs/>
          <w:kern w:val="0"/>
          <w:sz w:val="20"/>
          <w:szCs w:val="20"/>
          <w:highlight w:val="none"/>
          <w:lang w:bidi="ar"/>
        </w:rPr>
        <w:t xml:space="preserve">CPD, </w:t>
      </w:r>
      <w:r>
        <w:rPr>
          <w:rFonts w:hint="default" w:ascii="Times New Roman" w:hAnsi="Times New Roman" w:eastAsia="宋体" w:cs="Times New Roman"/>
          <w:kern w:val="0"/>
          <w:sz w:val="20"/>
          <w:szCs w:val="20"/>
          <w:highlight w:val="none"/>
          <w:lang w:bidi="ar"/>
        </w:rPr>
        <w:t xml:space="preserve">chronic pulmonary disease; </w:t>
      </w:r>
      <w:r>
        <w:rPr>
          <w:rFonts w:hint="default" w:ascii="Times New Roman" w:hAnsi="Times New Roman" w:eastAsia="等线" w:cs="Times New Roman"/>
          <w:bCs/>
          <w:kern w:val="0"/>
          <w:sz w:val="20"/>
          <w:szCs w:val="20"/>
          <w:highlight w:val="none"/>
          <w:lang w:bidi="ar"/>
        </w:rPr>
        <w:t xml:space="preserve">CVD, cardiovascular disease; Cr, creatinine; DM, diabetes mellitus; DR, diabetic retinopathy; DN, diabetic nephropathy; DPN, diabetic peripheral neuropathy; DBP, diastolic blood pressure; eGDR, estimated glucose disposal rate; eGFR, estimated glomerular fltration rate; FPG, fasting plasma glucose; GGT, γ-glutamyl transpeptadase; HDL-C, high-density lipoprotein cholesterol; HF, </w:t>
      </w:r>
      <w:r>
        <w:rPr>
          <w:rStyle w:val="18"/>
          <w:rFonts w:hint="default" w:ascii="Times New Roman" w:hAnsi="Times New Roman" w:eastAsia="宋体" w:cs="Times New Roman"/>
          <w:color w:val="auto"/>
          <w:sz w:val="20"/>
          <w:szCs w:val="20"/>
          <w:highlight w:val="none"/>
          <w:lang w:bidi="ar"/>
        </w:rPr>
        <w:t xml:space="preserve">heart failure; </w:t>
      </w:r>
      <w:r>
        <w:rPr>
          <w:rFonts w:hint="default" w:ascii="Times New Roman" w:hAnsi="Times New Roman" w:eastAsia="等线" w:cs="Times New Roman"/>
          <w:bCs/>
          <w:kern w:val="0"/>
          <w:sz w:val="20"/>
          <w:szCs w:val="20"/>
          <w:highlight w:val="none"/>
          <w:lang w:bidi="ar"/>
        </w:rPr>
        <w:t xml:space="preserve">LDL-C, low-density lipoprotein cholesterol;MI, Myocardial ischemia; NR, not reported; PCI, percutaneous coronary intervention; PVD, </w:t>
      </w:r>
      <w:r>
        <w:rPr>
          <w:rFonts w:hint="default" w:ascii="Times New Roman" w:hAnsi="Times New Roman" w:eastAsia="宋体" w:cs="Times New Roman"/>
          <w:color w:val="000000"/>
          <w:kern w:val="0"/>
          <w:sz w:val="20"/>
          <w:szCs w:val="20"/>
          <w:highlight w:val="none"/>
          <w:lang w:bidi="ar"/>
        </w:rPr>
        <w:t xml:space="preserve">peripheral vascular disease; </w:t>
      </w:r>
      <w:r>
        <w:rPr>
          <w:rFonts w:hint="default" w:ascii="Times New Roman" w:hAnsi="Times New Roman" w:eastAsia="等线" w:cs="Times New Roman"/>
          <w:bCs/>
          <w:kern w:val="0"/>
          <w:sz w:val="20"/>
          <w:szCs w:val="20"/>
          <w:highlight w:val="none"/>
          <w:lang w:bidi="ar"/>
        </w:rPr>
        <w:t>SBP, systolic blood pressure; TC, total cholesterol; UA, uric acid; WC, white blood cells.</w:t>
      </w:r>
    </w:p>
    <w:p w14:paraId="5208D410">
      <w:pPr>
        <w:rPr>
          <w:rFonts w:hint="default" w:ascii="Times New Roman" w:hAnsi="Times New Roman" w:eastAsia="等线" w:cs="Times New Roman"/>
          <w:bCs/>
          <w:kern w:val="0"/>
          <w:sz w:val="20"/>
          <w:szCs w:val="20"/>
          <w:highlight w:val="none"/>
          <w:lang w:bidi="ar"/>
        </w:rPr>
      </w:pPr>
      <w:r>
        <w:rPr>
          <w:rFonts w:hint="default" w:ascii="Times New Roman" w:hAnsi="Times New Roman" w:eastAsia="等线" w:cs="Times New Roman"/>
          <w:bCs/>
          <w:kern w:val="0"/>
          <w:sz w:val="20"/>
          <w:szCs w:val="20"/>
          <w:highlight w:val="none"/>
          <w:lang w:bidi="ar"/>
        </w:rPr>
        <w:br w:type="page"/>
      </w:r>
    </w:p>
    <w:p w14:paraId="07298E38">
      <w:pPr>
        <w:widowControl/>
        <w:jc w:val="left"/>
        <w:outlineLvl w:val="0"/>
        <w:rPr>
          <w:rFonts w:hint="default" w:ascii="Times New Roman" w:hAnsi="Times New Roman" w:eastAsia="等线" w:cs="Times New Roman"/>
          <w:b/>
          <w:kern w:val="0"/>
          <w:sz w:val="20"/>
          <w:szCs w:val="20"/>
          <w:highlight w:val="none"/>
          <w:lang w:bidi="ar"/>
        </w:rPr>
      </w:pPr>
      <w:bookmarkStart w:id="4" w:name="_Toc21160"/>
      <w:r>
        <w:rPr>
          <w:rFonts w:hint="default" w:ascii="Times New Roman" w:hAnsi="Times New Roman" w:eastAsia="等线" w:cs="Times New Roman"/>
          <w:b/>
          <w:kern w:val="0"/>
          <w:sz w:val="20"/>
          <w:szCs w:val="20"/>
          <w:highlight w:val="none"/>
          <w:lang w:eastAsia="zh-CN" w:bidi="ar"/>
        </w:rPr>
        <w:t>Additional</w:t>
      </w:r>
      <w:r>
        <w:rPr>
          <w:rFonts w:hint="default" w:ascii="Times New Roman" w:hAnsi="Times New Roman" w:eastAsia="等线" w:cs="Times New Roman"/>
          <w:b/>
          <w:kern w:val="0"/>
          <w:sz w:val="20"/>
          <w:szCs w:val="20"/>
          <w:highlight w:val="none"/>
          <w:lang w:bidi="ar"/>
        </w:rPr>
        <w:t xml:space="preserve"> Table </w:t>
      </w:r>
      <w:r>
        <w:rPr>
          <w:rFonts w:hint="default" w:ascii="Times New Roman" w:hAnsi="Times New Roman" w:eastAsia="等线" w:cs="Times New Roman"/>
          <w:b/>
          <w:kern w:val="0"/>
          <w:sz w:val="20"/>
          <w:szCs w:val="20"/>
          <w:highlight w:val="none"/>
          <w:lang w:val="en-US" w:eastAsia="zh-CN" w:bidi="ar"/>
        </w:rPr>
        <w:t>5</w:t>
      </w:r>
      <w:r>
        <w:rPr>
          <w:rFonts w:hint="default" w:ascii="Times New Roman" w:hAnsi="Times New Roman" w:eastAsia="等线" w:cs="Times New Roman"/>
          <w:b/>
          <w:kern w:val="0"/>
          <w:sz w:val="20"/>
          <w:szCs w:val="20"/>
          <w:highlight w:val="none"/>
          <w:lang w:bidi="ar"/>
        </w:rPr>
        <w:t>. List of Excluded Studies After Full-Text Review and Reasons for Exclusion.</w:t>
      </w:r>
      <w:bookmarkEnd w:id="4"/>
    </w:p>
    <w:tbl>
      <w:tblPr>
        <w:tblStyle w:val="10"/>
        <w:tblW w:w="0" w:type="auto"/>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25"/>
        <w:gridCol w:w="2763"/>
      </w:tblGrid>
      <w:tr w14:paraId="10066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125" w:type="dxa"/>
            <w:tcBorders>
              <w:top w:val="single" w:color="auto" w:sz="4" w:space="0"/>
              <w:left w:val="nil"/>
              <w:bottom w:val="single" w:color="auto" w:sz="4" w:space="0"/>
              <w:right w:val="nil"/>
            </w:tcBorders>
            <w:shd w:val="clear" w:color="auto" w:fill="auto"/>
          </w:tcPr>
          <w:p w14:paraId="41CA782F">
            <w:pPr>
              <w:widowControl/>
              <w:jc w:val="left"/>
              <w:rPr>
                <w:rFonts w:hint="default" w:ascii="Times New Roman" w:hAnsi="Times New Roman" w:eastAsia="等线" w:cs="Times New Roman"/>
                <w:b/>
                <w:kern w:val="0"/>
                <w:sz w:val="20"/>
                <w:szCs w:val="20"/>
                <w:highlight w:val="none"/>
                <w:lang w:bidi="ar"/>
              </w:rPr>
            </w:pPr>
            <w:r>
              <w:rPr>
                <w:rFonts w:hint="default" w:ascii="Times New Roman" w:hAnsi="Times New Roman" w:eastAsia="等线" w:cs="Times New Roman"/>
                <w:b/>
                <w:kern w:val="0"/>
                <w:sz w:val="20"/>
                <w:szCs w:val="20"/>
                <w:highlight w:val="none"/>
                <w:lang w:bidi="ar"/>
              </w:rPr>
              <w:t>Exclusion Reasons of Outcome One</w:t>
            </w:r>
          </w:p>
        </w:tc>
        <w:tc>
          <w:tcPr>
            <w:tcW w:w="2763" w:type="dxa"/>
            <w:tcBorders>
              <w:top w:val="single" w:color="auto" w:sz="4" w:space="0"/>
              <w:left w:val="nil"/>
              <w:bottom w:val="single" w:color="auto" w:sz="4" w:space="0"/>
              <w:right w:val="nil"/>
            </w:tcBorders>
            <w:shd w:val="clear" w:color="auto" w:fill="auto"/>
          </w:tcPr>
          <w:p w14:paraId="35598C54">
            <w:pPr>
              <w:widowControl/>
              <w:jc w:val="left"/>
              <w:rPr>
                <w:rFonts w:hint="default" w:ascii="Times New Roman" w:hAnsi="Times New Roman" w:cs="Times New Roman"/>
                <w:b/>
                <w:sz w:val="20"/>
                <w:szCs w:val="20"/>
                <w:highlight w:val="none"/>
              </w:rPr>
            </w:pPr>
            <w:r>
              <w:rPr>
                <w:rFonts w:hint="default" w:ascii="Times New Roman" w:hAnsi="Times New Roman" w:eastAsia="等线" w:cs="Times New Roman"/>
                <w:b/>
                <w:kern w:val="0"/>
                <w:sz w:val="20"/>
                <w:szCs w:val="20"/>
                <w:highlight w:val="none"/>
                <w:lang w:bidi="ar"/>
              </w:rPr>
              <w:t>Reference number</w:t>
            </w:r>
          </w:p>
        </w:tc>
      </w:tr>
      <w:tr w14:paraId="6DEB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125" w:type="dxa"/>
            <w:tcBorders>
              <w:top w:val="single" w:color="auto" w:sz="4" w:space="0"/>
              <w:left w:val="nil"/>
              <w:bottom w:val="nil"/>
              <w:right w:val="nil"/>
            </w:tcBorders>
            <w:shd w:val="clear" w:color="auto" w:fill="auto"/>
          </w:tcPr>
          <w:p w14:paraId="6AE0AB50">
            <w:pPr>
              <w:pStyle w:val="8"/>
              <w:widowControl/>
              <w:spacing w:beforeAutospacing="0" w:afterAutospacing="0"/>
              <w:rPr>
                <w:rFonts w:hint="default" w:ascii="Times New Roman" w:hAnsi="Times New Roman" w:eastAsia="等线" w:cs="Times New Roman"/>
                <w:bCs/>
                <w:sz w:val="20"/>
                <w:szCs w:val="20"/>
                <w:highlight w:val="none"/>
                <w:lang w:bidi="ar"/>
              </w:rPr>
            </w:pPr>
            <w:r>
              <w:rPr>
                <w:rFonts w:hint="default" w:ascii="Times New Roman" w:hAnsi="Times New Roman" w:eastAsia="等线" w:cs="Times New Roman"/>
                <w:bCs/>
                <w:sz w:val="20"/>
                <w:szCs w:val="20"/>
                <w:highlight w:val="none"/>
                <w:lang w:bidi="ar"/>
              </w:rPr>
              <w:t>The outcome is diabetes-related mortality, which does not align with all-cause mortality.</w:t>
            </w:r>
          </w:p>
        </w:tc>
        <w:tc>
          <w:tcPr>
            <w:tcW w:w="2763" w:type="dxa"/>
            <w:tcBorders>
              <w:top w:val="single" w:color="auto" w:sz="4" w:space="0"/>
              <w:left w:val="nil"/>
              <w:bottom w:val="nil"/>
              <w:right w:val="nil"/>
            </w:tcBorders>
            <w:shd w:val="clear" w:color="auto" w:fill="auto"/>
          </w:tcPr>
          <w:p w14:paraId="08D85220">
            <w:pPr>
              <w:widowControl/>
              <w:jc w:val="left"/>
              <w:rPr>
                <w:rFonts w:hint="default" w:ascii="Times New Roman" w:hAnsi="Times New Roman" w:eastAsia="等线" w:cs="Times New Roman"/>
                <w:bCs/>
                <w:kern w:val="0"/>
                <w:sz w:val="20"/>
                <w:szCs w:val="20"/>
                <w:highlight w:val="none"/>
                <w:lang w:bidi="ar"/>
              </w:rPr>
            </w:pPr>
            <w:r>
              <w:rPr>
                <w:rFonts w:hint="default" w:ascii="Times New Roman" w:hAnsi="Times New Roman" w:eastAsia="等线" w:cs="Times New Roman"/>
                <w:bCs/>
                <w:kern w:val="0"/>
                <w:sz w:val="20"/>
                <w:szCs w:val="20"/>
                <w:highlight w:val="none"/>
                <w:lang w:bidi="ar"/>
              </w:rPr>
              <w:t>[1]</w:t>
            </w:r>
          </w:p>
        </w:tc>
      </w:tr>
      <w:tr w14:paraId="0CC86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125" w:type="dxa"/>
            <w:tcBorders>
              <w:top w:val="nil"/>
              <w:left w:val="nil"/>
              <w:bottom w:val="nil"/>
              <w:right w:val="nil"/>
            </w:tcBorders>
            <w:shd w:val="clear" w:color="auto" w:fill="auto"/>
          </w:tcPr>
          <w:p w14:paraId="3247F1FE">
            <w:pPr>
              <w:pStyle w:val="8"/>
              <w:widowControl/>
              <w:spacing w:beforeAutospacing="0" w:afterAutospacing="0"/>
              <w:rPr>
                <w:rFonts w:hint="default" w:ascii="Times New Roman" w:hAnsi="Times New Roman" w:eastAsia="等线" w:cs="Times New Roman"/>
                <w:bCs/>
                <w:sz w:val="20"/>
                <w:szCs w:val="20"/>
                <w:highlight w:val="none"/>
                <w:lang w:bidi="ar"/>
              </w:rPr>
            </w:pPr>
            <w:r>
              <w:rPr>
                <w:rFonts w:hint="default" w:ascii="Times New Roman" w:hAnsi="Times New Roman" w:eastAsia="等线" w:cs="Times New Roman"/>
                <w:bCs/>
                <w:sz w:val="20"/>
                <w:szCs w:val="20"/>
                <w:highlight w:val="none"/>
                <w:lang w:bidi="ar"/>
              </w:rPr>
              <w:t>The outcome is eGFR decline, which does not meet the criteria for DN diagnosis.</w:t>
            </w:r>
          </w:p>
        </w:tc>
        <w:tc>
          <w:tcPr>
            <w:tcW w:w="2763" w:type="dxa"/>
            <w:tcBorders>
              <w:top w:val="nil"/>
              <w:left w:val="nil"/>
              <w:bottom w:val="nil"/>
              <w:right w:val="nil"/>
            </w:tcBorders>
            <w:shd w:val="clear" w:color="auto" w:fill="auto"/>
          </w:tcPr>
          <w:p w14:paraId="7B10755B">
            <w:pPr>
              <w:widowControl/>
              <w:jc w:val="left"/>
              <w:rPr>
                <w:rFonts w:hint="default" w:ascii="Times New Roman" w:hAnsi="Times New Roman" w:eastAsia="等线" w:cs="Times New Roman"/>
                <w:bCs/>
                <w:kern w:val="0"/>
                <w:sz w:val="20"/>
                <w:szCs w:val="20"/>
                <w:highlight w:val="none"/>
                <w:lang w:bidi="ar"/>
              </w:rPr>
            </w:pPr>
            <w:r>
              <w:rPr>
                <w:rFonts w:hint="default" w:ascii="Times New Roman" w:hAnsi="Times New Roman" w:eastAsia="等线" w:cs="Times New Roman"/>
                <w:bCs/>
                <w:kern w:val="0"/>
                <w:sz w:val="20"/>
                <w:szCs w:val="20"/>
                <w:highlight w:val="none"/>
                <w:lang w:bidi="ar"/>
              </w:rPr>
              <w:t>[2]</w:t>
            </w:r>
          </w:p>
        </w:tc>
      </w:tr>
      <w:tr w14:paraId="37203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125" w:type="dxa"/>
            <w:tcBorders>
              <w:top w:val="nil"/>
              <w:left w:val="nil"/>
              <w:bottom w:val="nil"/>
              <w:right w:val="nil"/>
            </w:tcBorders>
            <w:shd w:val="clear" w:color="auto" w:fill="auto"/>
          </w:tcPr>
          <w:p w14:paraId="42F51058">
            <w:pPr>
              <w:widowControl/>
              <w:jc w:val="left"/>
              <w:rPr>
                <w:rFonts w:hint="default" w:ascii="Times New Roman" w:hAnsi="Times New Roman" w:eastAsia="等线" w:cs="Times New Roman"/>
                <w:bCs/>
                <w:kern w:val="0"/>
                <w:sz w:val="20"/>
                <w:szCs w:val="20"/>
                <w:highlight w:val="none"/>
                <w:lang w:bidi="ar"/>
              </w:rPr>
            </w:pPr>
            <w:r>
              <w:rPr>
                <w:rFonts w:hint="default" w:ascii="Times New Roman" w:hAnsi="Times New Roman" w:eastAsia="等线" w:cs="Times New Roman"/>
                <w:bCs/>
                <w:kern w:val="0"/>
                <w:sz w:val="20"/>
                <w:szCs w:val="20"/>
                <w:highlight w:val="none"/>
                <w:lang w:bidi="ar"/>
              </w:rPr>
              <w:t>No endpoint events or effect sizes were reported.</w:t>
            </w:r>
          </w:p>
        </w:tc>
        <w:tc>
          <w:tcPr>
            <w:tcW w:w="2763" w:type="dxa"/>
            <w:tcBorders>
              <w:top w:val="nil"/>
              <w:left w:val="nil"/>
              <w:bottom w:val="nil"/>
              <w:right w:val="nil"/>
            </w:tcBorders>
            <w:shd w:val="clear" w:color="auto" w:fill="auto"/>
          </w:tcPr>
          <w:p w14:paraId="5E3877CB">
            <w:pPr>
              <w:widowControl/>
              <w:jc w:val="left"/>
              <w:rPr>
                <w:rFonts w:hint="default" w:ascii="Times New Roman" w:hAnsi="Times New Roman" w:eastAsia="等线" w:cs="Times New Roman"/>
                <w:bCs/>
                <w:kern w:val="0"/>
                <w:sz w:val="20"/>
                <w:szCs w:val="20"/>
                <w:highlight w:val="none"/>
                <w:lang w:bidi="ar"/>
              </w:rPr>
            </w:pPr>
            <w:r>
              <w:rPr>
                <w:rFonts w:hint="default" w:ascii="Times New Roman" w:hAnsi="Times New Roman" w:eastAsia="等线" w:cs="Times New Roman"/>
                <w:bCs/>
                <w:kern w:val="0"/>
                <w:sz w:val="20"/>
                <w:szCs w:val="20"/>
                <w:highlight w:val="none"/>
                <w:lang w:bidi="ar"/>
              </w:rPr>
              <w:t>[3]</w:t>
            </w:r>
          </w:p>
        </w:tc>
      </w:tr>
      <w:tr w14:paraId="56B5B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125" w:type="dxa"/>
            <w:tcBorders>
              <w:top w:val="nil"/>
              <w:left w:val="nil"/>
              <w:bottom w:val="nil"/>
              <w:right w:val="nil"/>
            </w:tcBorders>
            <w:shd w:val="clear" w:color="auto" w:fill="auto"/>
          </w:tcPr>
          <w:p w14:paraId="14F16AAD">
            <w:pPr>
              <w:widowControl/>
              <w:jc w:val="left"/>
              <w:rPr>
                <w:rFonts w:hint="default" w:ascii="Times New Roman" w:hAnsi="Times New Roman" w:eastAsia="等线" w:cs="Times New Roman"/>
                <w:bCs/>
                <w:kern w:val="0"/>
                <w:sz w:val="20"/>
                <w:szCs w:val="20"/>
                <w:highlight w:val="none"/>
                <w:lang w:bidi="ar"/>
              </w:rPr>
            </w:pPr>
            <w:r>
              <w:rPr>
                <w:rFonts w:hint="default" w:ascii="Times New Roman" w:hAnsi="Times New Roman" w:eastAsia="等线" w:cs="Times New Roman"/>
                <w:bCs/>
                <w:kern w:val="0"/>
                <w:sz w:val="20"/>
                <w:szCs w:val="20"/>
                <w:highlight w:val="none"/>
                <w:lang w:bidi="ar"/>
              </w:rPr>
              <w:t>The outcome is hypertension, which is not relevant.</w:t>
            </w:r>
          </w:p>
        </w:tc>
        <w:tc>
          <w:tcPr>
            <w:tcW w:w="2763" w:type="dxa"/>
            <w:tcBorders>
              <w:top w:val="nil"/>
              <w:left w:val="nil"/>
              <w:bottom w:val="nil"/>
              <w:right w:val="nil"/>
            </w:tcBorders>
            <w:shd w:val="clear" w:color="auto" w:fill="auto"/>
          </w:tcPr>
          <w:p w14:paraId="3062042B">
            <w:pPr>
              <w:widowControl/>
              <w:jc w:val="left"/>
              <w:rPr>
                <w:rFonts w:hint="default" w:ascii="Times New Roman" w:hAnsi="Times New Roman" w:eastAsia="等线" w:cs="Times New Roman"/>
                <w:bCs/>
                <w:kern w:val="0"/>
                <w:sz w:val="20"/>
                <w:szCs w:val="20"/>
                <w:highlight w:val="none"/>
                <w:lang w:bidi="ar"/>
              </w:rPr>
            </w:pPr>
            <w:r>
              <w:rPr>
                <w:rFonts w:hint="default" w:ascii="Times New Roman" w:hAnsi="Times New Roman" w:eastAsia="等线" w:cs="Times New Roman"/>
                <w:bCs/>
                <w:kern w:val="0"/>
                <w:sz w:val="20"/>
                <w:szCs w:val="20"/>
                <w:highlight w:val="none"/>
                <w:lang w:bidi="ar"/>
              </w:rPr>
              <w:t>[4]</w:t>
            </w:r>
          </w:p>
        </w:tc>
      </w:tr>
      <w:tr w14:paraId="4AA43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125" w:type="dxa"/>
            <w:tcBorders>
              <w:top w:val="nil"/>
              <w:left w:val="nil"/>
              <w:bottom w:val="nil"/>
              <w:right w:val="nil"/>
            </w:tcBorders>
            <w:shd w:val="clear" w:color="auto" w:fill="auto"/>
          </w:tcPr>
          <w:p w14:paraId="5BB0BBE6">
            <w:pPr>
              <w:widowControl/>
              <w:jc w:val="left"/>
              <w:rPr>
                <w:rFonts w:hint="default" w:ascii="Times New Roman" w:hAnsi="Times New Roman" w:eastAsia="等线" w:cs="Times New Roman"/>
                <w:bCs/>
                <w:kern w:val="0"/>
                <w:sz w:val="20"/>
                <w:szCs w:val="20"/>
                <w:highlight w:val="none"/>
                <w:lang w:bidi="ar"/>
              </w:rPr>
            </w:pPr>
            <w:r>
              <w:rPr>
                <w:rFonts w:hint="default" w:ascii="Times New Roman" w:hAnsi="Times New Roman" w:eastAsia="等线" w:cs="Times New Roman"/>
                <w:bCs/>
                <w:kern w:val="0"/>
                <w:sz w:val="20"/>
                <w:szCs w:val="20"/>
                <w:highlight w:val="none"/>
                <w:lang w:bidi="ar"/>
              </w:rPr>
              <w:t>The outcome for CVD lacks effect size.</w:t>
            </w:r>
          </w:p>
        </w:tc>
        <w:tc>
          <w:tcPr>
            <w:tcW w:w="2763" w:type="dxa"/>
            <w:tcBorders>
              <w:top w:val="nil"/>
              <w:left w:val="nil"/>
              <w:bottom w:val="nil"/>
              <w:right w:val="nil"/>
            </w:tcBorders>
            <w:shd w:val="clear" w:color="auto" w:fill="auto"/>
          </w:tcPr>
          <w:p w14:paraId="24AC536E">
            <w:pPr>
              <w:widowControl/>
              <w:jc w:val="left"/>
              <w:rPr>
                <w:rFonts w:hint="default" w:ascii="Times New Roman" w:hAnsi="Times New Roman" w:eastAsia="等线" w:cs="Times New Roman"/>
                <w:bCs/>
                <w:kern w:val="0"/>
                <w:sz w:val="20"/>
                <w:szCs w:val="20"/>
                <w:highlight w:val="none"/>
                <w:lang w:bidi="ar"/>
              </w:rPr>
            </w:pPr>
            <w:r>
              <w:rPr>
                <w:rFonts w:hint="default" w:ascii="Times New Roman" w:hAnsi="Times New Roman" w:eastAsia="等线" w:cs="Times New Roman"/>
                <w:bCs/>
                <w:kern w:val="0"/>
                <w:sz w:val="20"/>
                <w:szCs w:val="20"/>
                <w:highlight w:val="none"/>
                <w:lang w:bidi="ar"/>
              </w:rPr>
              <w:t>[5]</w:t>
            </w:r>
          </w:p>
        </w:tc>
      </w:tr>
      <w:tr w14:paraId="45758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125" w:type="dxa"/>
            <w:tcBorders>
              <w:top w:val="nil"/>
              <w:left w:val="nil"/>
              <w:bottom w:val="nil"/>
              <w:right w:val="nil"/>
            </w:tcBorders>
            <w:shd w:val="clear" w:color="auto" w:fill="auto"/>
          </w:tcPr>
          <w:p w14:paraId="0D0957FE">
            <w:pPr>
              <w:widowControl/>
              <w:jc w:val="left"/>
              <w:rPr>
                <w:rFonts w:hint="default" w:ascii="Times New Roman" w:hAnsi="Times New Roman" w:eastAsia="等线" w:cs="Times New Roman"/>
                <w:bCs/>
                <w:kern w:val="0"/>
                <w:sz w:val="20"/>
                <w:szCs w:val="20"/>
                <w:highlight w:val="none"/>
                <w:lang w:bidi="ar"/>
              </w:rPr>
            </w:pPr>
            <w:r>
              <w:rPr>
                <w:rFonts w:hint="default" w:ascii="Times New Roman" w:hAnsi="Times New Roman" w:eastAsia="等线" w:cs="Times New Roman"/>
                <w:bCs/>
                <w:kern w:val="0"/>
                <w:sz w:val="20"/>
                <w:szCs w:val="20"/>
                <w:highlight w:val="none"/>
                <w:lang w:bidi="ar"/>
              </w:rPr>
              <w:t>The effect size for diabetic microvascular complications in T1DM does not have a 95% CI.</w:t>
            </w:r>
          </w:p>
        </w:tc>
        <w:tc>
          <w:tcPr>
            <w:tcW w:w="2763" w:type="dxa"/>
            <w:tcBorders>
              <w:top w:val="nil"/>
              <w:left w:val="nil"/>
              <w:bottom w:val="nil"/>
              <w:right w:val="nil"/>
            </w:tcBorders>
            <w:shd w:val="clear" w:color="auto" w:fill="auto"/>
          </w:tcPr>
          <w:p w14:paraId="4D889514">
            <w:pPr>
              <w:widowControl/>
              <w:jc w:val="left"/>
              <w:rPr>
                <w:rFonts w:hint="default" w:ascii="Times New Roman" w:hAnsi="Times New Roman" w:eastAsia="等线" w:cs="Times New Roman"/>
                <w:bCs/>
                <w:kern w:val="0"/>
                <w:sz w:val="20"/>
                <w:szCs w:val="20"/>
                <w:highlight w:val="none"/>
                <w:lang w:bidi="ar"/>
              </w:rPr>
            </w:pPr>
            <w:r>
              <w:rPr>
                <w:rFonts w:hint="default" w:ascii="Times New Roman" w:hAnsi="Times New Roman" w:eastAsia="等线" w:cs="Times New Roman"/>
                <w:bCs/>
                <w:kern w:val="0"/>
                <w:sz w:val="20"/>
                <w:szCs w:val="20"/>
                <w:highlight w:val="none"/>
                <w:lang w:bidi="ar"/>
              </w:rPr>
              <w:t>[6]</w:t>
            </w:r>
          </w:p>
        </w:tc>
      </w:tr>
      <w:tr w14:paraId="0285A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125" w:type="dxa"/>
            <w:tcBorders>
              <w:top w:val="nil"/>
              <w:left w:val="nil"/>
              <w:bottom w:val="nil"/>
              <w:right w:val="nil"/>
            </w:tcBorders>
            <w:shd w:val="clear" w:color="auto" w:fill="auto"/>
          </w:tcPr>
          <w:p w14:paraId="4F3E8E06">
            <w:pPr>
              <w:widowControl/>
              <w:jc w:val="left"/>
              <w:rPr>
                <w:rFonts w:hint="default" w:ascii="Times New Roman" w:hAnsi="Times New Roman" w:eastAsia="等线" w:cs="Times New Roman"/>
                <w:bCs/>
                <w:kern w:val="0"/>
                <w:sz w:val="20"/>
                <w:szCs w:val="20"/>
                <w:highlight w:val="none"/>
                <w:lang w:bidi="ar"/>
              </w:rPr>
            </w:pPr>
            <w:r>
              <w:rPr>
                <w:rFonts w:hint="default" w:ascii="Times New Roman" w:hAnsi="Times New Roman" w:eastAsia="等线" w:cs="Times New Roman"/>
                <w:bCs/>
                <w:kern w:val="0"/>
                <w:sz w:val="20"/>
                <w:szCs w:val="20"/>
                <w:highlight w:val="none"/>
                <w:lang w:bidi="ar"/>
              </w:rPr>
              <w:t>Data source duplication with Zhang Z 2024 and outcome duplication.</w:t>
            </w:r>
          </w:p>
        </w:tc>
        <w:tc>
          <w:tcPr>
            <w:tcW w:w="2763" w:type="dxa"/>
            <w:tcBorders>
              <w:top w:val="nil"/>
              <w:left w:val="nil"/>
              <w:bottom w:val="nil"/>
              <w:right w:val="nil"/>
            </w:tcBorders>
            <w:shd w:val="clear" w:color="auto" w:fill="auto"/>
          </w:tcPr>
          <w:p w14:paraId="65510491">
            <w:pPr>
              <w:widowControl/>
              <w:jc w:val="left"/>
              <w:rPr>
                <w:rFonts w:hint="default" w:ascii="Times New Roman" w:hAnsi="Times New Roman" w:eastAsia="等线" w:cs="Times New Roman"/>
                <w:bCs/>
                <w:kern w:val="0"/>
                <w:sz w:val="20"/>
                <w:szCs w:val="20"/>
                <w:highlight w:val="none"/>
                <w:lang w:bidi="ar"/>
              </w:rPr>
            </w:pPr>
            <w:r>
              <w:rPr>
                <w:rFonts w:hint="default" w:ascii="Times New Roman" w:hAnsi="Times New Roman" w:eastAsia="等线" w:cs="Times New Roman"/>
                <w:bCs/>
                <w:kern w:val="0"/>
                <w:sz w:val="20"/>
                <w:szCs w:val="20"/>
                <w:highlight w:val="none"/>
                <w:lang w:bidi="ar"/>
              </w:rPr>
              <w:t>[7-8]</w:t>
            </w:r>
          </w:p>
        </w:tc>
      </w:tr>
      <w:tr w14:paraId="278ED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125" w:type="dxa"/>
            <w:tcBorders>
              <w:top w:val="nil"/>
              <w:left w:val="nil"/>
              <w:bottom w:val="nil"/>
              <w:right w:val="nil"/>
            </w:tcBorders>
            <w:shd w:val="clear" w:color="auto" w:fill="auto"/>
          </w:tcPr>
          <w:p w14:paraId="49AF6E8E">
            <w:pPr>
              <w:widowControl/>
              <w:jc w:val="left"/>
              <w:rPr>
                <w:rFonts w:hint="default" w:ascii="Times New Roman" w:hAnsi="Times New Roman" w:eastAsia="等线" w:cs="Times New Roman"/>
                <w:bCs/>
                <w:kern w:val="0"/>
                <w:sz w:val="20"/>
                <w:szCs w:val="20"/>
                <w:highlight w:val="none"/>
                <w:lang w:bidi="ar"/>
              </w:rPr>
            </w:pPr>
            <w:r>
              <w:rPr>
                <w:rFonts w:hint="default" w:ascii="Times New Roman" w:hAnsi="Times New Roman" w:eastAsia="等线" w:cs="Times New Roman"/>
                <w:bCs/>
                <w:kern w:val="0"/>
                <w:sz w:val="20"/>
                <w:szCs w:val="20"/>
                <w:highlight w:val="none"/>
                <w:lang w:bidi="ar"/>
              </w:rPr>
              <w:t>The mortality outcome duplicates with He 2024.</w:t>
            </w:r>
          </w:p>
        </w:tc>
        <w:tc>
          <w:tcPr>
            <w:tcW w:w="2763" w:type="dxa"/>
            <w:tcBorders>
              <w:top w:val="nil"/>
              <w:left w:val="nil"/>
              <w:bottom w:val="nil"/>
              <w:right w:val="nil"/>
            </w:tcBorders>
            <w:shd w:val="clear" w:color="auto" w:fill="auto"/>
          </w:tcPr>
          <w:p w14:paraId="508D7E12">
            <w:pPr>
              <w:widowControl/>
              <w:jc w:val="left"/>
              <w:rPr>
                <w:rFonts w:hint="default" w:ascii="Times New Roman" w:hAnsi="Times New Roman" w:eastAsia="等线" w:cs="Times New Roman"/>
                <w:bCs/>
                <w:kern w:val="0"/>
                <w:sz w:val="20"/>
                <w:szCs w:val="20"/>
                <w:highlight w:val="none"/>
                <w:lang w:bidi="ar"/>
              </w:rPr>
            </w:pPr>
            <w:r>
              <w:rPr>
                <w:rFonts w:hint="default" w:ascii="Times New Roman" w:hAnsi="Times New Roman" w:eastAsia="等线" w:cs="Times New Roman"/>
                <w:bCs/>
                <w:kern w:val="0"/>
                <w:sz w:val="20"/>
                <w:szCs w:val="20"/>
                <w:highlight w:val="none"/>
                <w:lang w:bidi="ar"/>
              </w:rPr>
              <w:t>[9]</w:t>
            </w:r>
          </w:p>
        </w:tc>
      </w:tr>
      <w:tr w14:paraId="7692D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125" w:type="dxa"/>
            <w:tcBorders>
              <w:top w:val="nil"/>
              <w:left w:val="nil"/>
              <w:bottom w:val="nil"/>
              <w:right w:val="nil"/>
            </w:tcBorders>
            <w:shd w:val="clear" w:color="auto" w:fill="auto"/>
          </w:tcPr>
          <w:p w14:paraId="50D2DA48">
            <w:pPr>
              <w:widowControl/>
              <w:jc w:val="left"/>
              <w:rPr>
                <w:rFonts w:hint="default" w:ascii="Times New Roman" w:hAnsi="Times New Roman" w:eastAsia="等线" w:cs="Times New Roman"/>
                <w:bCs/>
                <w:kern w:val="0"/>
                <w:sz w:val="20"/>
                <w:szCs w:val="20"/>
                <w:highlight w:val="none"/>
                <w:lang w:bidi="ar"/>
              </w:rPr>
            </w:pPr>
            <w:r>
              <w:rPr>
                <w:rFonts w:hint="default" w:ascii="Times New Roman" w:hAnsi="Times New Roman" w:eastAsia="等线" w:cs="Times New Roman"/>
                <w:bCs/>
                <w:kern w:val="0"/>
                <w:sz w:val="20"/>
                <w:szCs w:val="20"/>
                <w:highlight w:val="none"/>
                <w:lang w:bidi="ar"/>
              </w:rPr>
              <w:t>Data source duplication with Kong 2024.</w:t>
            </w:r>
          </w:p>
        </w:tc>
        <w:tc>
          <w:tcPr>
            <w:tcW w:w="2763" w:type="dxa"/>
            <w:tcBorders>
              <w:top w:val="nil"/>
              <w:left w:val="nil"/>
              <w:bottom w:val="nil"/>
              <w:right w:val="nil"/>
            </w:tcBorders>
            <w:shd w:val="clear" w:color="auto" w:fill="auto"/>
          </w:tcPr>
          <w:p w14:paraId="508D171E">
            <w:pPr>
              <w:widowControl/>
              <w:jc w:val="left"/>
              <w:rPr>
                <w:rFonts w:hint="default" w:ascii="Times New Roman" w:hAnsi="Times New Roman" w:eastAsia="等线" w:cs="Times New Roman"/>
                <w:bCs/>
                <w:kern w:val="0"/>
                <w:sz w:val="20"/>
                <w:szCs w:val="20"/>
                <w:highlight w:val="none"/>
                <w:lang w:bidi="ar"/>
              </w:rPr>
            </w:pPr>
            <w:r>
              <w:rPr>
                <w:rFonts w:hint="default" w:ascii="Times New Roman" w:hAnsi="Times New Roman" w:eastAsia="等线" w:cs="Times New Roman"/>
                <w:bCs/>
                <w:kern w:val="0"/>
                <w:sz w:val="20"/>
                <w:szCs w:val="20"/>
                <w:highlight w:val="none"/>
                <w:lang w:bidi="ar"/>
              </w:rPr>
              <w:t>[10]</w:t>
            </w:r>
          </w:p>
        </w:tc>
      </w:tr>
      <w:tr w14:paraId="75489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125" w:type="dxa"/>
            <w:tcBorders>
              <w:top w:val="nil"/>
              <w:left w:val="nil"/>
              <w:bottom w:val="nil"/>
              <w:right w:val="nil"/>
            </w:tcBorders>
            <w:shd w:val="clear" w:color="auto" w:fill="auto"/>
          </w:tcPr>
          <w:p w14:paraId="0F29A5B8">
            <w:pPr>
              <w:widowControl/>
              <w:jc w:val="left"/>
              <w:rPr>
                <w:rFonts w:hint="default" w:ascii="Times New Roman" w:hAnsi="Times New Roman" w:eastAsia="等线" w:cs="Times New Roman"/>
                <w:bCs/>
                <w:color w:val="FF0000"/>
                <w:kern w:val="0"/>
                <w:sz w:val="20"/>
                <w:szCs w:val="20"/>
                <w:highlight w:val="none"/>
                <w:lang w:bidi="ar"/>
              </w:rPr>
            </w:pPr>
            <w:r>
              <w:rPr>
                <w:rFonts w:hint="default" w:ascii="Times New Roman" w:hAnsi="Times New Roman" w:eastAsia="等线" w:cs="Times New Roman"/>
                <w:bCs/>
                <w:color w:val="FF0000"/>
                <w:kern w:val="0"/>
                <w:sz w:val="20"/>
                <w:szCs w:val="20"/>
                <w:highlight w:val="none"/>
                <w:lang w:bidi="ar"/>
              </w:rPr>
              <w:t>Data source duplication with He 2024, and the outcome is heart failure, which is not relevant.</w:t>
            </w:r>
          </w:p>
        </w:tc>
        <w:tc>
          <w:tcPr>
            <w:tcW w:w="2763" w:type="dxa"/>
            <w:tcBorders>
              <w:top w:val="nil"/>
              <w:left w:val="nil"/>
              <w:bottom w:val="nil"/>
              <w:right w:val="nil"/>
            </w:tcBorders>
            <w:shd w:val="clear" w:color="auto" w:fill="auto"/>
          </w:tcPr>
          <w:p w14:paraId="46A95943">
            <w:pPr>
              <w:widowControl/>
              <w:jc w:val="left"/>
              <w:rPr>
                <w:rFonts w:hint="default" w:ascii="Times New Roman" w:hAnsi="Times New Roman" w:eastAsia="等线" w:cs="Times New Roman"/>
                <w:bCs/>
                <w:color w:val="FF0000"/>
                <w:kern w:val="0"/>
                <w:sz w:val="20"/>
                <w:szCs w:val="20"/>
                <w:highlight w:val="none"/>
                <w:lang w:bidi="ar"/>
              </w:rPr>
            </w:pPr>
            <w:r>
              <w:rPr>
                <w:rFonts w:hint="default" w:ascii="Times New Roman" w:hAnsi="Times New Roman" w:eastAsia="等线" w:cs="Times New Roman"/>
                <w:bCs/>
                <w:color w:val="FF0000"/>
                <w:kern w:val="0"/>
                <w:sz w:val="20"/>
                <w:szCs w:val="20"/>
                <w:highlight w:val="none"/>
                <w:lang w:bidi="ar"/>
              </w:rPr>
              <w:t>[11]</w:t>
            </w:r>
          </w:p>
        </w:tc>
      </w:tr>
      <w:tr w14:paraId="7324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125" w:type="dxa"/>
            <w:tcBorders>
              <w:top w:val="nil"/>
              <w:left w:val="nil"/>
              <w:bottom w:val="nil"/>
              <w:right w:val="nil"/>
            </w:tcBorders>
            <w:shd w:val="clear" w:color="auto" w:fill="auto"/>
          </w:tcPr>
          <w:p w14:paraId="0F56D4C8">
            <w:pPr>
              <w:widowControl/>
              <w:jc w:val="left"/>
              <w:rPr>
                <w:rFonts w:hint="default" w:ascii="Times New Roman" w:hAnsi="Times New Roman" w:eastAsia="等线" w:cs="Times New Roman"/>
                <w:bCs/>
                <w:color w:val="FF0000"/>
                <w:kern w:val="0"/>
                <w:sz w:val="20"/>
                <w:szCs w:val="20"/>
                <w:highlight w:val="none"/>
                <w:lang w:bidi="ar"/>
              </w:rPr>
            </w:pPr>
            <w:r>
              <w:rPr>
                <w:rFonts w:hint="default" w:ascii="Times New Roman" w:hAnsi="Times New Roman" w:eastAsia="等线" w:cs="Times New Roman"/>
                <w:bCs/>
                <w:color w:val="FF0000"/>
                <w:kern w:val="0"/>
                <w:sz w:val="20"/>
                <w:szCs w:val="20"/>
                <w:highlight w:val="none"/>
                <w:lang w:bidi="ar"/>
              </w:rPr>
              <w:t>The outcome is left ventricular hypertrophy, which is not relevant.</w:t>
            </w:r>
          </w:p>
        </w:tc>
        <w:tc>
          <w:tcPr>
            <w:tcW w:w="2763" w:type="dxa"/>
            <w:tcBorders>
              <w:top w:val="nil"/>
              <w:left w:val="nil"/>
              <w:bottom w:val="nil"/>
              <w:right w:val="nil"/>
            </w:tcBorders>
            <w:shd w:val="clear" w:color="auto" w:fill="auto"/>
          </w:tcPr>
          <w:p w14:paraId="7D62FF6A">
            <w:pPr>
              <w:widowControl/>
              <w:jc w:val="left"/>
              <w:rPr>
                <w:rFonts w:hint="default" w:ascii="Times New Roman" w:hAnsi="Times New Roman" w:eastAsia="等线" w:cs="Times New Roman"/>
                <w:bCs/>
                <w:color w:val="FF0000"/>
                <w:kern w:val="0"/>
                <w:sz w:val="20"/>
                <w:szCs w:val="20"/>
                <w:highlight w:val="none"/>
                <w:lang w:bidi="ar"/>
              </w:rPr>
            </w:pPr>
            <w:r>
              <w:rPr>
                <w:rFonts w:hint="default" w:ascii="Times New Roman" w:hAnsi="Times New Roman" w:eastAsia="等线" w:cs="Times New Roman"/>
                <w:bCs/>
                <w:color w:val="FF0000"/>
                <w:kern w:val="0"/>
                <w:sz w:val="20"/>
                <w:szCs w:val="20"/>
                <w:highlight w:val="none"/>
                <w:lang w:bidi="ar"/>
              </w:rPr>
              <w:t>[12]</w:t>
            </w:r>
          </w:p>
        </w:tc>
      </w:tr>
      <w:tr w14:paraId="51062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125" w:type="dxa"/>
            <w:tcBorders>
              <w:top w:val="nil"/>
              <w:left w:val="nil"/>
              <w:bottom w:val="nil"/>
              <w:right w:val="nil"/>
            </w:tcBorders>
            <w:shd w:val="clear" w:color="auto" w:fill="auto"/>
          </w:tcPr>
          <w:p w14:paraId="4C2B7223">
            <w:pPr>
              <w:widowControl/>
              <w:jc w:val="left"/>
              <w:rPr>
                <w:rFonts w:hint="default" w:ascii="Times New Roman" w:hAnsi="Times New Roman" w:eastAsia="等线" w:cs="Times New Roman"/>
                <w:b/>
                <w:kern w:val="0"/>
                <w:sz w:val="20"/>
                <w:szCs w:val="20"/>
                <w:highlight w:val="none"/>
                <w:lang w:bidi="ar"/>
              </w:rPr>
            </w:pPr>
            <w:r>
              <w:rPr>
                <w:rFonts w:hint="default" w:ascii="Times New Roman" w:hAnsi="Times New Roman" w:eastAsia="等线" w:cs="Times New Roman"/>
                <w:b/>
                <w:kern w:val="0"/>
                <w:sz w:val="20"/>
                <w:szCs w:val="20"/>
                <w:highlight w:val="none"/>
                <w:lang w:bidi="ar"/>
              </w:rPr>
              <w:t>Exclusion Reasons of Outcome Two</w:t>
            </w:r>
          </w:p>
        </w:tc>
        <w:tc>
          <w:tcPr>
            <w:tcW w:w="2763" w:type="dxa"/>
            <w:tcBorders>
              <w:top w:val="nil"/>
              <w:left w:val="nil"/>
              <w:bottom w:val="nil"/>
              <w:right w:val="nil"/>
            </w:tcBorders>
            <w:shd w:val="clear" w:color="auto" w:fill="auto"/>
          </w:tcPr>
          <w:p w14:paraId="236D40DC">
            <w:pPr>
              <w:widowControl/>
              <w:jc w:val="left"/>
              <w:rPr>
                <w:rFonts w:hint="default" w:ascii="Times New Roman" w:hAnsi="Times New Roman" w:eastAsia="等线" w:cs="Times New Roman"/>
                <w:bCs/>
                <w:kern w:val="0"/>
                <w:sz w:val="20"/>
                <w:szCs w:val="20"/>
                <w:highlight w:val="none"/>
                <w:lang w:bidi="ar"/>
              </w:rPr>
            </w:pPr>
          </w:p>
        </w:tc>
      </w:tr>
      <w:tr w14:paraId="2992B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125" w:type="dxa"/>
            <w:tcBorders>
              <w:top w:val="nil"/>
              <w:left w:val="nil"/>
              <w:bottom w:val="nil"/>
              <w:right w:val="nil"/>
            </w:tcBorders>
            <w:shd w:val="clear" w:color="auto" w:fill="auto"/>
          </w:tcPr>
          <w:p w14:paraId="153BEC61">
            <w:pPr>
              <w:widowControl/>
              <w:jc w:val="left"/>
              <w:rPr>
                <w:rFonts w:hint="default" w:ascii="Times New Roman" w:hAnsi="Times New Roman" w:eastAsia="等线" w:cs="Times New Roman"/>
                <w:bCs/>
                <w:kern w:val="0"/>
                <w:sz w:val="20"/>
                <w:szCs w:val="20"/>
                <w:highlight w:val="none"/>
                <w:lang w:bidi="ar"/>
              </w:rPr>
            </w:pPr>
            <w:r>
              <w:rPr>
                <w:rFonts w:hint="default" w:ascii="Times New Roman" w:hAnsi="Times New Roman" w:eastAsia="等线" w:cs="Times New Roman"/>
                <w:bCs/>
                <w:kern w:val="0"/>
                <w:sz w:val="20"/>
                <w:szCs w:val="20"/>
                <w:highlight w:val="none"/>
                <w:lang w:bidi="ar"/>
              </w:rPr>
              <w:t>Data source duplicates with Kietsiriroje 2022.</w:t>
            </w:r>
          </w:p>
        </w:tc>
        <w:tc>
          <w:tcPr>
            <w:tcW w:w="2763" w:type="dxa"/>
            <w:tcBorders>
              <w:top w:val="nil"/>
              <w:left w:val="nil"/>
              <w:bottom w:val="nil"/>
              <w:right w:val="nil"/>
            </w:tcBorders>
            <w:shd w:val="clear" w:color="auto" w:fill="auto"/>
          </w:tcPr>
          <w:p w14:paraId="3F5495DD">
            <w:pPr>
              <w:widowControl/>
              <w:jc w:val="left"/>
              <w:rPr>
                <w:rFonts w:hint="default" w:ascii="Times New Roman" w:hAnsi="Times New Roman" w:eastAsia="等线" w:cs="Times New Roman"/>
                <w:bCs/>
                <w:kern w:val="0"/>
                <w:sz w:val="20"/>
                <w:szCs w:val="20"/>
                <w:highlight w:val="none"/>
                <w:lang w:bidi="ar"/>
              </w:rPr>
            </w:pPr>
            <w:r>
              <w:rPr>
                <w:rFonts w:hint="default" w:ascii="Times New Roman" w:hAnsi="Times New Roman" w:eastAsia="等线" w:cs="Times New Roman"/>
                <w:bCs/>
                <w:kern w:val="0"/>
                <w:sz w:val="20"/>
                <w:szCs w:val="20"/>
                <w:highlight w:val="none"/>
                <w:lang w:bidi="ar"/>
              </w:rPr>
              <w:t>[13-15]</w:t>
            </w:r>
          </w:p>
        </w:tc>
      </w:tr>
      <w:tr w14:paraId="783EF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125" w:type="dxa"/>
            <w:tcBorders>
              <w:top w:val="nil"/>
              <w:left w:val="nil"/>
              <w:bottom w:val="nil"/>
              <w:right w:val="nil"/>
            </w:tcBorders>
            <w:shd w:val="clear" w:color="auto" w:fill="auto"/>
          </w:tcPr>
          <w:p w14:paraId="537156F2">
            <w:pPr>
              <w:widowControl/>
              <w:jc w:val="left"/>
              <w:rPr>
                <w:rFonts w:hint="default" w:ascii="Times New Roman" w:hAnsi="Times New Roman" w:eastAsia="等线" w:cs="Times New Roman"/>
                <w:bCs/>
                <w:kern w:val="0"/>
                <w:sz w:val="20"/>
                <w:szCs w:val="20"/>
                <w:highlight w:val="none"/>
                <w:lang w:bidi="ar"/>
              </w:rPr>
            </w:pPr>
            <w:r>
              <w:rPr>
                <w:rFonts w:hint="default" w:ascii="Times New Roman" w:hAnsi="Times New Roman" w:eastAsia="等线" w:cs="Times New Roman"/>
                <w:bCs/>
                <w:kern w:val="0"/>
                <w:sz w:val="20"/>
                <w:szCs w:val="20"/>
                <w:highlight w:val="none"/>
                <w:lang w:bidi="ar"/>
              </w:rPr>
              <w:t>Data source duplicates with Valente 2022.</w:t>
            </w:r>
          </w:p>
        </w:tc>
        <w:tc>
          <w:tcPr>
            <w:tcW w:w="2763" w:type="dxa"/>
            <w:tcBorders>
              <w:top w:val="nil"/>
              <w:left w:val="nil"/>
              <w:bottom w:val="nil"/>
              <w:right w:val="nil"/>
            </w:tcBorders>
            <w:shd w:val="clear" w:color="auto" w:fill="auto"/>
          </w:tcPr>
          <w:p w14:paraId="69792001">
            <w:pPr>
              <w:widowControl/>
              <w:jc w:val="left"/>
              <w:rPr>
                <w:rFonts w:hint="default" w:ascii="Times New Roman" w:hAnsi="Times New Roman" w:eastAsia="等线" w:cs="Times New Roman"/>
                <w:bCs/>
                <w:kern w:val="0"/>
                <w:sz w:val="20"/>
                <w:szCs w:val="20"/>
                <w:highlight w:val="none"/>
                <w:lang w:bidi="ar"/>
              </w:rPr>
            </w:pPr>
            <w:r>
              <w:rPr>
                <w:rFonts w:hint="default" w:ascii="Times New Roman" w:hAnsi="Times New Roman" w:eastAsia="等线" w:cs="Times New Roman"/>
                <w:bCs/>
                <w:kern w:val="0"/>
                <w:sz w:val="20"/>
                <w:szCs w:val="20"/>
                <w:highlight w:val="none"/>
                <w:lang w:bidi="ar"/>
              </w:rPr>
              <w:t>[16-17]</w:t>
            </w:r>
          </w:p>
        </w:tc>
      </w:tr>
      <w:tr w14:paraId="67FED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125" w:type="dxa"/>
            <w:tcBorders>
              <w:top w:val="nil"/>
              <w:left w:val="nil"/>
              <w:bottom w:val="nil"/>
              <w:right w:val="nil"/>
            </w:tcBorders>
            <w:shd w:val="clear" w:color="auto" w:fill="auto"/>
          </w:tcPr>
          <w:p w14:paraId="792CD6F3">
            <w:pPr>
              <w:widowControl/>
              <w:jc w:val="left"/>
              <w:rPr>
                <w:rFonts w:hint="default" w:ascii="Times New Roman" w:hAnsi="Times New Roman" w:eastAsia="等线" w:cs="Times New Roman"/>
                <w:bCs/>
                <w:kern w:val="0"/>
                <w:sz w:val="20"/>
                <w:szCs w:val="20"/>
                <w:highlight w:val="none"/>
                <w:lang w:bidi="ar"/>
              </w:rPr>
            </w:pPr>
            <w:r>
              <w:rPr>
                <w:rFonts w:hint="default" w:ascii="Times New Roman" w:hAnsi="Times New Roman" w:eastAsia="等线" w:cs="Times New Roman"/>
                <w:bCs/>
                <w:kern w:val="0"/>
                <w:sz w:val="20"/>
                <w:szCs w:val="20"/>
                <w:highlight w:val="none"/>
                <w:lang w:bidi="ar"/>
              </w:rPr>
              <w:t>Data source for Karguppikar 202 is the same as that for Indian children and the same time period.</w:t>
            </w:r>
          </w:p>
        </w:tc>
        <w:tc>
          <w:tcPr>
            <w:tcW w:w="2763" w:type="dxa"/>
            <w:tcBorders>
              <w:top w:val="nil"/>
              <w:left w:val="nil"/>
              <w:bottom w:val="nil"/>
              <w:right w:val="nil"/>
            </w:tcBorders>
            <w:shd w:val="clear" w:color="auto" w:fill="auto"/>
          </w:tcPr>
          <w:p w14:paraId="1EAD2FE2">
            <w:pPr>
              <w:widowControl/>
              <w:jc w:val="left"/>
              <w:rPr>
                <w:rFonts w:hint="default" w:ascii="Times New Roman" w:hAnsi="Times New Roman" w:eastAsia="等线" w:cs="Times New Roman"/>
                <w:bCs/>
                <w:kern w:val="0"/>
                <w:sz w:val="20"/>
                <w:szCs w:val="20"/>
                <w:highlight w:val="none"/>
                <w:lang w:bidi="ar"/>
              </w:rPr>
            </w:pPr>
            <w:r>
              <w:rPr>
                <w:rFonts w:hint="default" w:ascii="Times New Roman" w:hAnsi="Times New Roman" w:eastAsia="等线" w:cs="Times New Roman"/>
                <w:bCs/>
                <w:kern w:val="0"/>
                <w:sz w:val="20"/>
                <w:szCs w:val="20"/>
                <w:highlight w:val="none"/>
                <w:lang w:bidi="ar"/>
              </w:rPr>
              <w:t>[18-19]</w:t>
            </w:r>
          </w:p>
        </w:tc>
      </w:tr>
      <w:tr w14:paraId="1935D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125" w:type="dxa"/>
            <w:tcBorders>
              <w:top w:val="nil"/>
              <w:left w:val="nil"/>
              <w:bottom w:val="nil"/>
              <w:right w:val="nil"/>
            </w:tcBorders>
            <w:shd w:val="clear" w:color="auto" w:fill="auto"/>
          </w:tcPr>
          <w:p w14:paraId="36B8165E">
            <w:pPr>
              <w:widowControl/>
              <w:jc w:val="left"/>
              <w:rPr>
                <w:rFonts w:hint="default" w:ascii="Times New Roman" w:hAnsi="Times New Roman" w:eastAsia="等线" w:cs="Times New Roman"/>
                <w:bCs/>
                <w:kern w:val="0"/>
                <w:sz w:val="20"/>
                <w:szCs w:val="20"/>
                <w:highlight w:val="none"/>
                <w:lang w:bidi="ar"/>
              </w:rPr>
            </w:pPr>
            <w:r>
              <w:rPr>
                <w:rFonts w:hint="default" w:ascii="Times New Roman" w:hAnsi="Times New Roman" w:eastAsia="等线" w:cs="Times New Roman"/>
                <w:bCs/>
                <w:kern w:val="0"/>
                <w:sz w:val="20"/>
                <w:szCs w:val="20"/>
                <w:highlight w:val="none"/>
                <w:lang w:bidi="ar"/>
              </w:rPr>
              <w:t>Data source duplicates with Miller 2019.</w:t>
            </w:r>
          </w:p>
        </w:tc>
        <w:tc>
          <w:tcPr>
            <w:tcW w:w="2763" w:type="dxa"/>
            <w:tcBorders>
              <w:top w:val="nil"/>
              <w:left w:val="nil"/>
              <w:bottom w:val="nil"/>
              <w:right w:val="nil"/>
            </w:tcBorders>
            <w:shd w:val="clear" w:color="auto" w:fill="auto"/>
          </w:tcPr>
          <w:p w14:paraId="6FD5099D">
            <w:pPr>
              <w:widowControl/>
              <w:jc w:val="left"/>
              <w:rPr>
                <w:rFonts w:hint="default" w:ascii="Times New Roman" w:hAnsi="Times New Roman" w:eastAsia="等线" w:cs="Times New Roman"/>
                <w:bCs/>
                <w:kern w:val="0"/>
                <w:sz w:val="20"/>
                <w:szCs w:val="20"/>
                <w:highlight w:val="none"/>
                <w:lang w:bidi="ar"/>
              </w:rPr>
            </w:pPr>
            <w:r>
              <w:rPr>
                <w:rFonts w:hint="default" w:ascii="Times New Roman" w:hAnsi="Times New Roman" w:eastAsia="等线" w:cs="Times New Roman"/>
                <w:bCs/>
                <w:kern w:val="0"/>
                <w:sz w:val="20"/>
                <w:szCs w:val="20"/>
                <w:highlight w:val="none"/>
                <w:lang w:bidi="ar"/>
              </w:rPr>
              <w:t>[20-23]</w:t>
            </w:r>
          </w:p>
        </w:tc>
      </w:tr>
      <w:tr w14:paraId="09046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125" w:type="dxa"/>
            <w:tcBorders>
              <w:top w:val="nil"/>
              <w:left w:val="nil"/>
              <w:bottom w:val="nil"/>
              <w:right w:val="nil"/>
            </w:tcBorders>
            <w:shd w:val="clear" w:color="auto" w:fill="auto"/>
          </w:tcPr>
          <w:p w14:paraId="03232C7B">
            <w:pPr>
              <w:widowControl/>
              <w:jc w:val="left"/>
              <w:rPr>
                <w:rFonts w:hint="default" w:ascii="Times New Roman" w:hAnsi="Times New Roman" w:eastAsia="等线" w:cs="Times New Roman"/>
                <w:bCs/>
                <w:kern w:val="0"/>
                <w:sz w:val="20"/>
                <w:szCs w:val="20"/>
                <w:highlight w:val="none"/>
                <w:lang w:bidi="ar"/>
              </w:rPr>
            </w:pPr>
            <w:r>
              <w:rPr>
                <w:rFonts w:hint="default" w:ascii="Times New Roman" w:hAnsi="Times New Roman" w:eastAsia="等线" w:cs="Times New Roman"/>
                <w:bCs/>
                <w:kern w:val="0"/>
                <w:sz w:val="20"/>
                <w:szCs w:val="20"/>
                <w:highlight w:val="none"/>
                <w:lang w:bidi="ar"/>
              </w:rPr>
              <w:t>Data source is the same as Leroux 2015.</w:t>
            </w:r>
          </w:p>
        </w:tc>
        <w:tc>
          <w:tcPr>
            <w:tcW w:w="2763" w:type="dxa"/>
            <w:tcBorders>
              <w:top w:val="nil"/>
              <w:left w:val="nil"/>
              <w:bottom w:val="nil"/>
              <w:right w:val="nil"/>
            </w:tcBorders>
            <w:shd w:val="clear" w:color="auto" w:fill="auto"/>
          </w:tcPr>
          <w:p w14:paraId="06F1D7DA">
            <w:pPr>
              <w:widowControl/>
              <w:jc w:val="left"/>
              <w:rPr>
                <w:rFonts w:hint="default" w:ascii="Times New Roman" w:hAnsi="Times New Roman" w:eastAsia="等线" w:cs="Times New Roman"/>
                <w:bCs/>
                <w:kern w:val="0"/>
                <w:sz w:val="20"/>
                <w:szCs w:val="20"/>
                <w:highlight w:val="none"/>
                <w:lang w:bidi="ar"/>
              </w:rPr>
            </w:pPr>
            <w:r>
              <w:rPr>
                <w:rFonts w:hint="default" w:ascii="Times New Roman" w:hAnsi="Times New Roman" w:eastAsia="等线" w:cs="Times New Roman"/>
                <w:bCs/>
                <w:kern w:val="0"/>
                <w:sz w:val="20"/>
                <w:szCs w:val="20"/>
                <w:highlight w:val="none"/>
                <w:lang w:bidi="ar"/>
              </w:rPr>
              <w:t>[24]</w:t>
            </w:r>
          </w:p>
        </w:tc>
      </w:tr>
      <w:tr w14:paraId="030EE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125" w:type="dxa"/>
            <w:tcBorders>
              <w:top w:val="nil"/>
              <w:left w:val="nil"/>
              <w:bottom w:val="single" w:color="auto" w:sz="4" w:space="0"/>
              <w:right w:val="nil"/>
            </w:tcBorders>
            <w:shd w:val="clear" w:color="auto" w:fill="auto"/>
          </w:tcPr>
          <w:p w14:paraId="3F8AFE30">
            <w:pPr>
              <w:widowControl/>
              <w:jc w:val="left"/>
              <w:rPr>
                <w:rFonts w:hint="default" w:ascii="Times New Roman" w:hAnsi="Times New Roman" w:eastAsia="等线" w:cs="Times New Roman"/>
                <w:bCs/>
                <w:kern w:val="0"/>
                <w:sz w:val="20"/>
                <w:szCs w:val="20"/>
                <w:highlight w:val="none"/>
                <w:lang w:bidi="ar"/>
              </w:rPr>
            </w:pPr>
            <w:r>
              <w:rPr>
                <w:rFonts w:hint="default" w:ascii="Times New Roman" w:hAnsi="Times New Roman" w:eastAsia="等线" w:cs="Times New Roman"/>
                <w:bCs/>
                <w:kern w:val="0"/>
                <w:sz w:val="20"/>
                <w:szCs w:val="20"/>
                <w:highlight w:val="none"/>
                <w:lang w:bidi="ar"/>
              </w:rPr>
              <w:t>There is partial data overlap with Chillarón JJ 2011.</w:t>
            </w:r>
          </w:p>
        </w:tc>
        <w:tc>
          <w:tcPr>
            <w:tcW w:w="2763" w:type="dxa"/>
            <w:tcBorders>
              <w:top w:val="nil"/>
              <w:left w:val="nil"/>
              <w:bottom w:val="single" w:color="auto" w:sz="4" w:space="0"/>
              <w:right w:val="nil"/>
            </w:tcBorders>
            <w:shd w:val="clear" w:color="auto" w:fill="auto"/>
          </w:tcPr>
          <w:p w14:paraId="45009F33">
            <w:pPr>
              <w:widowControl/>
              <w:jc w:val="left"/>
              <w:rPr>
                <w:rFonts w:hint="default" w:ascii="Times New Roman" w:hAnsi="Times New Roman" w:eastAsia="等线" w:cs="Times New Roman"/>
                <w:bCs/>
                <w:kern w:val="0"/>
                <w:sz w:val="20"/>
                <w:szCs w:val="20"/>
                <w:highlight w:val="none"/>
                <w:lang w:bidi="ar"/>
              </w:rPr>
            </w:pPr>
            <w:r>
              <w:rPr>
                <w:rFonts w:hint="default" w:ascii="Times New Roman" w:hAnsi="Times New Roman" w:eastAsia="等线" w:cs="Times New Roman"/>
                <w:bCs/>
                <w:kern w:val="0"/>
                <w:sz w:val="20"/>
                <w:szCs w:val="20"/>
                <w:highlight w:val="none"/>
                <w:lang w:bidi="ar"/>
              </w:rPr>
              <w:t>[25]</w:t>
            </w:r>
          </w:p>
        </w:tc>
      </w:tr>
    </w:tbl>
    <w:p w14:paraId="7C9F74C8">
      <w:pPr>
        <w:widowControl/>
        <w:numPr>
          <w:ilvl w:val="0"/>
          <w:numId w:val="1"/>
        </w:numPr>
        <w:jc w:val="left"/>
        <w:rPr>
          <w:rFonts w:hint="default" w:ascii="Times New Roman" w:hAnsi="Times New Roman" w:eastAsia="等线" w:cs="Times New Roman"/>
          <w:bCs/>
          <w:kern w:val="0"/>
          <w:sz w:val="20"/>
          <w:szCs w:val="20"/>
          <w:highlight w:val="none"/>
          <w:lang w:bidi="ar"/>
        </w:rPr>
      </w:pPr>
      <w:r>
        <w:rPr>
          <w:rFonts w:hint="default" w:ascii="Times New Roman" w:hAnsi="Times New Roman" w:eastAsia="等线" w:cs="Times New Roman"/>
          <w:bCs/>
          <w:kern w:val="0"/>
          <w:sz w:val="20"/>
          <w:szCs w:val="20"/>
          <w:highlight w:val="none"/>
          <w:lang w:val="it-IT" w:bidi="ar"/>
        </w:rPr>
        <w:t xml:space="preserve">Pambianco G, Costacou T, Orchard TJ. </w:t>
      </w:r>
      <w:r>
        <w:rPr>
          <w:rFonts w:hint="default" w:ascii="Times New Roman" w:hAnsi="Times New Roman" w:eastAsia="等线" w:cs="Times New Roman"/>
          <w:bCs/>
          <w:kern w:val="0"/>
          <w:sz w:val="20"/>
          <w:szCs w:val="20"/>
          <w:highlight w:val="none"/>
          <w:lang w:bidi="ar"/>
        </w:rPr>
        <w:t xml:space="preserve">The prediction of major outcomes of type 1 diabetes: a 12-year prospective evaluation of three separate definitions of the metabolic syndrome and their components and estimated glucose disposal rate: the Pittsburgh Epidemiology of Diabetes Complications Study experience. Diabetes Care. 2007;30(5):1248-1254. </w:t>
      </w:r>
    </w:p>
    <w:p w14:paraId="2953F935">
      <w:pPr>
        <w:widowControl/>
        <w:numPr>
          <w:ilvl w:val="0"/>
          <w:numId w:val="1"/>
        </w:numPr>
        <w:jc w:val="left"/>
        <w:rPr>
          <w:rFonts w:hint="default" w:ascii="Times New Roman" w:hAnsi="Times New Roman" w:eastAsia="等线" w:cs="Times New Roman"/>
          <w:bCs/>
          <w:kern w:val="0"/>
          <w:sz w:val="20"/>
          <w:szCs w:val="20"/>
          <w:highlight w:val="none"/>
          <w:lang w:bidi="ar"/>
        </w:rPr>
      </w:pPr>
      <w:r>
        <w:rPr>
          <w:rFonts w:hint="default" w:ascii="Times New Roman" w:hAnsi="Times New Roman" w:eastAsia="等线" w:cs="Times New Roman"/>
          <w:bCs/>
          <w:kern w:val="0"/>
          <w:sz w:val="20"/>
          <w:szCs w:val="20"/>
          <w:highlight w:val="none"/>
          <w:lang w:bidi="ar"/>
        </w:rPr>
        <w:t xml:space="preserve">Peng J, Li A, Yin L, Yang Q, Pan J, Yi B. Estimated Glucose Disposal Rate Predicts Renal Progression in Type 2 Diabetes Mellitus: A Retrospective Cohort Study. J Endocr Soc. 2023;7(7):bvad069. </w:t>
      </w:r>
    </w:p>
    <w:p w14:paraId="52E5F0E9">
      <w:pPr>
        <w:widowControl/>
        <w:numPr>
          <w:ilvl w:val="0"/>
          <w:numId w:val="1"/>
        </w:numPr>
        <w:jc w:val="left"/>
        <w:rPr>
          <w:rFonts w:hint="default" w:ascii="Times New Roman" w:hAnsi="Times New Roman" w:eastAsia="等线" w:cs="Times New Roman"/>
          <w:bCs/>
          <w:kern w:val="0"/>
          <w:sz w:val="20"/>
          <w:szCs w:val="20"/>
          <w:highlight w:val="none"/>
          <w:lang w:bidi="ar"/>
        </w:rPr>
      </w:pPr>
      <w:r>
        <w:rPr>
          <w:rFonts w:hint="default" w:ascii="Times New Roman" w:hAnsi="Times New Roman" w:eastAsia="等线" w:cs="Times New Roman"/>
          <w:bCs/>
          <w:kern w:val="0"/>
          <w:sz w:val="20"/>
          <w:szCs w:val="20"/>
          <w:highlight w:val="none"/>
          <w:lang w:val="fr-FR" w:bidi="ar"/>
        </w:rPr>
        <w:t xml:space="preserve">Valente F, Valente T, Crispim F, et al. </w:t>
      </w:r>
      <w:r>
        <w:rPr>
          <w:rFonts w:hint="default" w:ascii="Times New Roman" w:hAnsi="Times New Roman" w:eastAsia="等线" w:cs="Times New Roman"/>
          <w:bCs/>
          <w:kern w:val="0"/>
          <w:sz w:val="20"/>
          <w:szCs w:val="20"/>
          <w:highlight w:val="none"/>
          <w:lang w:bidi="ar"/>
        </w:rPr>
        <w:t xml:space="preserve">Parents' cardiovascular risk factors are related to overweight and obesity in young Brazilians with type 1 diabetes. J Diabetes Complications. 2022;36(1):108082. </w:t>
      </w:r>
    </w:p>
    <w:p w14:paraId="1C444E17">
      <w:pPr>
        <w:widowControl/>
        <w:numPr>
          <w:ilvl w:val="0"/>
          <w:numId w:val="1"/>
        </w:numPr>
        <w:jc w:val="left"/>
        <w:rPr>
          <w:rFonts w:hint="default" w:ascii="Times New Roman" w:hAnsi="Times New Roman" w:eastAsia="等线" w:cs="Times New Roman"/>
          <w:bCs/>
          <w:kern w:val="0"/>
          <w:sz w:val="20"/>
          <w:szCs w:val="20"/>
          <w:highlight w:val="none"/>
          <w:lang w:bidi="ar"/>
        </w:rPr>
      </w:pPr>
      <w:r>
        <w:rPr>
          <w:rFonts w:hint="default" w:ascii="Times New Roman" w:hAnsi="Times New Roman" w:eastAsia="等线" w:cs="Times New Roman"/>
          <w:bCs/>
          <w:kern w:val="0"/>
          <w:sz w:val="20"/>
          <w:szCs w:val="20"/>
          <w:highlight w:val="none"/>
          <w:lang w:bidi="ar"/>
        </w:rPr>
        <w:t xml:space="preserve">Ebert T, Anker SD, Ruilope LM, et al. Outcomes With Finerenone in Patients With Chronic Kidney Disease and Type 2 Diabetes by Baseline Insulin Resistance. Diabetes Care. 2024;47(3):362-370. </w:t>
      </w:r>
    </w:p>
    <w:p w14:paraId="570336A2">
      <w:pPr>
        <w:widowControl/>
        <w:numPr>
          <w:ilvl w:val="0"/>
          <w:numId w:val="1"/>
        </w:numPr>
        <w:jc w:val="left"/>
        <w:rPr>
          <w:rFonts w:hint="default" w:ascii="Times New Roman" w:hAnsi="Times New Roman" w:eastAsia="等线" w:cs="Times New Roman"/>
          <w:bCs/>
          <w:kern w:val="0"/>
          <w:sz w:val="20"/>
          <w:szCs w:val="20"/>
          <w:highlight w:val="none"/>
          <w:lang w:bidi="ar"/>
        </w:rPr>
      </w:pPr>
      <w:r>
        <w:rPr>
          <w:rFonts w:hint="default" w:ascii="Times New Roman" w:hAnsi="Times New Roman" w:eastAsia="等线" w:cs="Times New Roman"/>
          <w:bCs/>
          <w:kern w:val="0"/>
          <w:sz w:val="20"/>
          <w:szCs w:val="20"/>
          <w:highlight w:val="none"/>
          <w:lang w:val="da-DK" w:bidi="ar"/>
        </w:rPr>
        <w:t xml:space="preserve">Gudenkauf B, Shaya G, Mukherjee M, et al. </w:t>
      </w:r>
      <w:r>
        <w:rPr>
          <w:rFonts w:hint="default" w:ascii="Times New Roman" w:hAnsi="Times New Roman" w:eastAsia="等线" w:cs="Times New Roman"/>
          <w:bCs/>
          <w:kern w:val="0"/>
          <w:sz w:val="20"/>
          <w:szCs w:val="20"/>
          <w:highlight w:val="none"/>
          <w:lang w:bidi="ar"/>
        </w:rPr>
        <w:t xml:space="preserve">Insulin resistance is associated with subclinical myocardial dysfunction and reduced functional capacity in heart failure with preserved ejection fraction. J Cardiol. 2024;83(2):100-104. </w:t>
      </w:r>
    </w:p>
    <w:p w14:paraId="24675ABC">
      <w:pPr>
        <w:widowControl/>
        <w:numPr>
          <w:ilvl w:val="0"/>
          <w:numId w:val="1"/>
        </w:numPr>
        <w:jc w:val="left"/>
        <w:rPr>
          <w:rFonts w:hint="default" w:ascii="Times New Roman" w:hAnsi="Times New Roman" w:eastAsia="等线" w:cs="Times New Roman"/>
          <w:bCs/>
          <w:kern w:val="0"/>
          <w:sz w:val="20"/>
          <w:szCs w:val="20"/>
          <w:highlight w:val="none"/>
          <w:lang w:bidi="ar"/>
        </w:rPr>
      </w:pPr>
      <w:r>
        <w:rPr>
          <w:rFonts w:hint="default" w:ascii="Times New Roman" w:hAnsi="Times New Roman" w:eastAsia="等线" w:cs="Times New Roman"/>
          <w:bCs/>
          <w:kern w:val="0"/>
          <w:sz w:val="20"/>
          <w:szCs w:val="20"/>
          <w:highlight w:val="none"/>
          <w:lang w:bidi="ar"/>
        </w:rPr>
        <w:t xml:space="preserve">Bhagadurshah RR, Eagappan S, Kasthuri Santharam R, Subbiah S. The Impact of Body Mass Index, Residual Beta Cell Function and Estimated Glucose Disposal Rate on the Development of Double Diabetes and Microvascular Complications in Patients With Type 1 Diabetes Mellitus. Cureus. 2023;15(11):e48979. </w:t>
      </w:r>
    </w:p>
    <w:p w14:paraId="2A2207A0">
      <w:pPr>
        <w:widowControl/>
        <w:numPr>
          <w:ilvl w:val="0"/>
          <w:numId w:val="1"/>
        </w:numPr>
        <w:jc w:val="left"/>
        <w:rPr>
          <w:rFonts w:hint="default" w:ascii="Times New Roman" w:hAnsi="Times New Roman" w:eastAsia="等线" w:cs="Times New Roman"/>
          <w:bCs/>
          <w:kern w:val="0"/>
          <w:sz w:val="20"/>
          <w:szCs w:val="20"/>
          <w:highlight w:val="none"/>
          <w:lang w:bidi="ar"/>
        </w:rPr>
      </w:pPr>
      <w:r>
        <w:rPr>
          <w:rFonts w:hint="default" w:ascii="Times New Roman" w:hAnsi="Times New Roman" w:eastAsia="等线" w:cs="Times New Roman"/>
          <w:bCs/>
          <w:kern w:val="0"/>
          <w:sz w:val="20"/>
          <w:szCs w:val="20"/>
          <w:highlight w:val="none"/>
          <w:lang w:bidi="ar"/>
        </w:rPr>
        <w:t xml:space="preserve">Ren X, Jiang M, Han L, Zheng X. Estimated glucose disposal rate and risk of cardiovascular disease: evidence from the China Health and Retirement Longitudinal Study. BMC Geriatr. 2022;22(1):968. </w:t>
      </w:r>
    </w:p>
    <w:p w14:paraId="006E9AD5">
      <w:pPr>
        <w:widowControl/>
        <w:numPr>
          <w:ilvl w:val="0"/>
          <w:numId w:val="1"/>
        </w:numPr>
        <w:jc w:val="left"/>
        <w:rPr>
          <w:rFonts w:hint="default" w:ascii="Times New Roman" w:hAnsi="Times New Roman" w:eastAsia="等线" w:cs="Times New Roman"/>
          <w:bCs/>
          <w:kern w:val="0"/>
          <w:sz w:val="20"/>
          <w:szCs w:val="20"/>
          <w:highlight w:val="none"/>
          <w:lang w:bidi="ar"/>
        </w:rPr>
      </w:pPr>
      <w:r>
        <w:rPr>
          <w:rFonts w:hint="default" w:ascii="Times New Roman" w:hAnsi="Times New Roman" w:eastAsia="等线" w:cs="Times New Roman"/>
          <w:bCs/>
          <w:kern w:val="0"/>
          <w:sz w:val="20"/>
          <w:szCs w:val="20"/>
          <w:highlight w:val="none"/>
          <w:lang w:bidi="ar"/>
        </w:rPr>
        <w:t xml:space="preserve">Yao J, Zhou F, Ruan L, et al. Association between estimated glucose disposal rate control level and stroke incidence in middle-aged and elderly adults. J Diabetes. 2024;16(8):e13595. </w:t>
      </w:r>
    </w:p>
    <w:p w14:paraId="350A5203">
      <w:pPr>
        <w:widowControl/>
        <w:numPr>
          <w:ilvl w:val="0"/>
          <w:numId w:val="1"/>
        </w:numPr>
        <w:jc w:val="left"/>
        <w:rPr>
          <w:rFonts w:hint="default" w:ascii="Times New Roman" w:hAnsi="Times New Roman" w:eastAsia="等线" w:cs="Times New Roman"/>
          <w:bCs/>
          <w:kern w:val="0"/>
          <w:sz w:val="20"/>
          <w:szCs w:val="20"/>
          <w:highlight w:val="none"/>
          <w:lang w:bidi="ar"/>
        </w:rPr>
      </w:pPr>
      <w:r>
        <w:rPr>
          <w:rFonts w:hint="default" w:ascii="Times New Roman" w:hAnsi="Times New Roman" w:eastAsia="等线" w:cs="Times New Roman"/>
          <w:bCs/>
          <w:kern w:val="0"/>
          <w:sz w:val="20"/>
          <w:szCs w:val="20"/>
          <w:highlight w:val="none"/>
          <w:lang w:bidi="ar"/>
        </w:rPr>
        <w:t xml:space="preserve">Kong X, Wang W. Estimated glucose disposal rate and risk of cardiovascular disease and mortality in U.S. adults with prediabetes: a nationwide cross-sectional and prospective cohort study. Acta Diabetol. Published online May 28, 2024. </w:t>
      </w:r>
    </w:p>
    <w:p w14:paraId="1CE8A2AC">
      <w:pPr>
        <w:widowControl/>
        <w:numPr>
          <w:ilvl w:val="0"/>
          <w:numId w:val="1"/>
        </w:numPr>
        <w:jc w:val="left"/>
        <w:rPr>
          <w:rFonts w:hint="default" w:ascii="Times New Roman" w:hAnsi="Times New Roman" w:eastAsia="等线" w:cs="Times New Roman"/>
          <w:bCs/>
          <w:color w:val="000000" w:themeColor="text1"/>
          <w:kern w:val="0"/>
          <w:sz w:val="20"/>
          <w:szCs w:val="20"/>
          <w:highlight w:val="none"/>
          <w:lang w:bidi="ar"/>
          <w14:textFill>
            <w14:solidFill>
              <w14:schemeClr w14:val="tx1"/>
            </w14:solidFill>
          </w14:textFill>
        </w:rPr>
      </w:pPr>
      <w:r>
        <w:rPr>
          <w:rFonts w:hint="default" w:ascii="Times New Roman" w:hAnsi="Times New Roman" w:eastAsia="等线" w:cs="Times New Roman"/>
          <w:bCs/>
          <w:kern w:val="0"/>
          <w:sz w:val="20"/>
          <w:szCs w:val="20"/>
          <w:highlight w:val="none"/>
          <w:lang w:bidi="ar"/>
        </w:rPr>
        <w:t>Song J, Ma R, Yin L. Associations betw</w:t>
      </w:r>
      <w:r>
        <w:rPr>
          <w:rFonts w:hint="default" w:ascii="Times New Roman" w:hAnsi="Times New Roman" w:eastAsia="等线" w:cs="Times New Roman"/>
          <w:bCs/>
          <w:color w:val="000000" w:themeColor="text1"/>
          <w:kern w:val="0"/>
          <w:sz w:val="20"/>
          <w:szCs w:val="20"/>
          <w:highlight w:val="none"/>
          <w:lang w:bidi="ar"/>
          <w14:textFill>
            <w14:solidFill>
              <w14:schemeClr w14:val="tx1"/>
            </w14:solidFill>
          </w14:textFill>
        </w:rPr>
        <w:t xml:space="preserve">een estimated glucose disposal rate and arterial stiffness and mortality among US adults with non-alcoholic fatty liver disease. Front Endocrinol (Lausanne). 2024;15:1398265. </w:t>
      </w:r>
    </w:p>
    <w:p w14:paraId="47FAF7C5">
      <w:pPr>
        <w:widowControl/>
        <w:numPr>
          <w:ilvl w:val="0"/>
          <w:numId w:val="1"/>
        </w:numPr>
        <w:jc w:val="left"/>
        <w:rPr>
          <w:rFonts w:hint="default" w:ascii="Times New Roman" w:hAnsi="Times New Roman" w:eastAsia="等线" w:cs="Times New Roman"/>
          <w:bCs/>
          <w:color w:val="000000" w:themeColor="text1"/>
          <w:kern w:val="0"/>
          <w:sz w:val="20"/>
          <w:szCs w:val="20"/>
          <w:highlight w:val="none"/>
          <w:lang w:bidi="ar"/>
          <w14:textFill>
            <w14:solidFill>
              <w14:schemeClr w14:val="tx1"/>
            </w14:solidFill>
          </w14:textFill>
        </w:rPr>
      </w:pPr>
      <w:r>
        <w:rPr>
          <w:rFonts w:hint="default" w:ascii="Times New Roman" w:hAnsi="Times New Roman" w:eastAsia="等线" w:cs="Times New Roman"/>
          <w:bCs/>
          <w:color w:val="000000" w:themeColor="text1"/>
          <w:kern w:val="0"/>
          <w:sz w:val="20"/>
          <w:szCs w:val="20"/>
          <w:highlight w:val="none"/>
          <w:lang w:bidi="ar"/>
          <w14:textFill>
            <w14:solidFill>
              <w14:schemeClr w14:val="tx1"/>
            </w14:solidFill>
          </w14:textFill>
        </w:rPr>
        <w:t xml:space="preserve">Zhang D, Shi W, An T, Li C, Ding Z, Zhang J. Usefulness of estimated glucose disposal rate in detecting heart failure: results from national health and nutrition examination survey 1999-2018. Diabetol Metab Syndr. 2024;16(1):189. </w:t>
      </w:r>
    </w:p>
    <w:p w14:paraId="59390170">
      <w:pPr>
        <w:widowControl/>
        <w:numPr>
          <w:ilvl w:val="0"/>
          <w:numId w:val="1"/>
        </w:numPr>
        <w:jc w:val="left"/>
        <w:rPr>
          <w:rFonts w:hint="default" w:ascii="Times New Roman" w:hAnsi="Times New Roman" w:eastAsia="等线" w:cs="Times New Roman"/>
          <w:bCs/>
          <w:color w:val="000000" w:themeColor="text1"/>
          <w:kern w:val="0"/>
          <w:sz w:val="20"/>
          <w:szCs w:val="20"/>
          <w:highlight w:val="none"/>
          <w:lang w:bidi="ar"/>
          <w14:textFill>
            <w14:solidFill>
              <w14:schemeClr w14:val="tx1"/>
            </w14:solidFill>
          </w14:textFill>
        </w:rPr>
      </w:pPr>
      <w:r>
        <w:rPr>
          <w:rFonts w:hint="default" w:ascii="Times New Roman" w:hAnsi="Times New Roman" w:eastAsia="等线" w:cs="Times New Roman"/>
          <w:bCs/>
          <w:color w:val="000000" w:themeColor="text1"/>
          <w:kern w:val="0"/>
          <w:sz w:val="20"/>
          <w:szCs w:val="20"/>
          <w:highlight w:val="none"/>
          <w:lang w:bidi="ar"/>
          <w14:textFill>
            <w14:solidFill>
              <w14:schemeClr w14:val="tx1"/>
            </w14:solidFill>
          </w14:textFill>
        </w:rPr>
        <w:t xml:space="preserve">Shi W, Qin M, Wu S, Xu K, Zheng Q, Liu X. Value of estimated glucose disposal rate to detect prevalent left ventricular hypertrophy: implications from a general population. Postgrad Med. 2023;135(1):58-66. </w:t>
      </w:r>
    </w:p>
    <w:p w14:paraId="2DC2F9EA">
      <w:pPr>
        <w:widowControl/>
        <w:numPr>
          <w:ilvl w:val="0"/>
          <w:numId w:val="1"/>
        </w:numPr>
        <w:jc w:val="left"/>
        <w:rPr>
          <w:rFonts w:hint="default" w:ascii="Times New Roman" w:hAnsi="Times New Roman" w:eastAsia="等线" w:cs="Times New Roman"/>
          <w:bCs/>
          <w:color w:val="000000" w:themeColor="text1"/>
          <w:kern w:val="0"/>
          <w:sz w:val="20"/>
          <w:szCs w:val="20"/>
          <w:highlight w:val="none"/>
          <w:lang w:bidi="ar"/>
          <w14:textFill>
            <w14:solidFill>
              <w14:schemeClr w14:val="tx1"/>
            </w14:solidFill>
          </w14:textFill>
        </w:rPr>
      </w:pPr>
      <w:r>
        <w:rPr>
          <w:rFonts w:hint="default" w:ascii="Times New Roman" w:hAnsi="Times New Roman" w:eastAsia="等线" w:cs="Times New Roman"/>
          <w:bCs/>
          <w:color w:val="000000" w:themeColor="text1"/>
          <w:kern w:val="0"/>
          <w:sz w:val="20"/>
          <w:szCs w:val="20"/>
          <w:highlight w:val="none"/>
          <w:lang w:bidi="ar"/>
          <w14:textFill>
            <w14:solidFill>
              <w14:schemeClr w14:val="tx1"/>
            </w14:solidFill>
          </w14:textFill>
        </w:rPr>
        <w:t>Kietsiriroje N, Scott GE, Ajjan RA, Brôz J, Schroeder V, Campbell MD. Plasma levels of mannan-binding lectin-associated serine proteases are increased in type 1 diabetes patients with insulin resistance. Clin Exp Immunol. 2024;215(1):58-64.</w:t>
      </w:r>
    </w:p>
    <w:p w14:paraId="48A5CB0E">
      <w:pPr>
        <w:widowControl/>
        <w:numPr>
          <w:ilvl w:val="0"/>
          <w:numId w:val="1"/>
        </w:numPr>
        <w:jc w:val="left"/>
        <w:rPr>
          <w:rFonts w:hint="default" w:ascii="Times New Roman" w:hAnsi="Times New Roman" w:eastAsia="等线" w:cs="Times New Roman"/>
          <w:bCs/>
          <w:kern w:val="0"/>
          <w:sz w:val="20"/>
          <w:szCs w:val="20"/>
          <w:highlight w:val="none"/>
          <w:lang w:bidi="ar"/>
        </w:rPr>
      </w:pPr>
      <w:r>
        <w:rPr>
          <w:rFonts w:hint="default" w:ascii="Times New Roman" w:hAnsi="Times New Roman" w:eastAsia="等线" w:cs="Times New Roman"/>
          <w:bCs/>
          <w:color w:val="000000" w:themeColor="text1"/>
          <w:kern w:val="0"/>
          <w:sz w:val="20"/>
          <w:szCs w:val="20"/>
          <w:highlight w:val="none"/>
          <w:lang w:val="fr-FR" w:bidi="ar"/>
          <w14:textFill>
            <w14:solidFill>
              <w14:schemeClr w14:val="tx1"/>
            </w14:solidFill>
          </w14:textFill>
        </w:rPr>
        <w:t xml:space="preserve">Coales EM, Ajjan RA, Pearson SM, et al. </w:t>
      </w:r>
      <w:r>
        <w:rPr>
          <w:rFonts w:hint="default" w:ascii="Times New Roman" w:hAnsi="Times New Roman" w:eastAsia="等线" w:cs="Times New Roman"/>
          <w:bCs/>
          <w:color w:val="000000" w:themeColor="text1"/>
          <w:kern w:val="0"/>
          <w:sz w:val="20"/>
          <w:szCs w:val="20"/>
          <w:highlight w:val="none"/>
          <w:lang w:bidi="ar"/>
          <w14:textFill>
            <w14:solidFill>
              <w14:schemeClr w14:val="tx1"/>
            </w14:solidFill>
          </w14:textFill>
        </w:rPr>
        <w:t>Application of Mach</w:t>
      </w:r>
      <w:r>
        <w:rPr>
          <w:rFonts w:hint="default" w:ascii="Times New Roman" w:hAnsi="Times New Roman" w:eastAsia="等线" w:cs="Times New Roman"/>
          <w:bCs/>
          <w:kern w:val="0"/>
          <w:sz w:val="20"/>
          <w:szCs w:val="20"/>
          <w:highlight w:val="none"/>
          <w:lang w:bidi="ar"/>
        </w:rPr>
        <w:t xml:space="preserve">ine Learning to Assess Interindividual Variability in Rapid-Acting Insulin Responses After Subcutaneous Injection in People With Type 1 Diabetes. Can J Diabetes. 2022;46(3):225-232.e2. </w:t>
      </w:r>
    </w:p>
    <w:p w14:paraId="76FE7EDC">
      <w:pPr>
        <w:widowControl/>
        <w:numPr>
          <w:ilvl w:val="0"/>
          <w:numId w:val="1"/>
        </w:numPr>
        <w:jc w:val="left"/>
        <w:rPr>
          <w:rFonts w:hint="default" w:ascii="Times New Roman" w:hAnsi="Times New Roman" w:eastAsia="等线" w:cs="Times New Roman"/>
          <w:bCs/>
          <w:kern w:val="0"/>
          <w:sz w:val="20"/>
          <w:szCs w:val="20"/>
          <w:highlight w:val="none"/>
          <w:lang w:bidi="ar"/>
        </w:rPr>
      </w:pPr>
      <w:r>
        <w:rPr>
          <w:rFonts w:hint="default" w:ascii="Times New Roman" w:hAnsi="Times New Roman" w:eastAsia="等线" w:cs="Times New Roman"/>
          <w:bCs/>
          <w:kern w:val="0"/>
          <w:sz w:val="20"/>
          <w:szCs w:val="20"/>
          <w:highlight w:val="none"/>
          <w:lang w:bidi="ar"/>
        </w:rPr>
        <w:t xml:space="preserve">O'Mahoney LL, Churm R, Stavropoulos-Kalinoglou A, et al. Associations Between Erythrocyte Membrane Fatty Acid Compositions and Biomarkers of Vascular Health in Adults With Type 1 Diabetes With and Without Insulin Resistance: A Cross-Sectional Analysis. Can J Diabetes. 2022;46(2):111-117. </w:t>
      </w:r>
    </w:p>
    <w:p w14:paraId="3481E947">
      <w:pPr>
        <w:widowControl/>
        <w:numPr>
          <w:ilvl w:val="0"/>
          <w:numId w:val="1"/>
        </w:numPr>
        <w:jc w:val="left"/>
        <w:rPr>
          <w:rFonts w:hint="default" w:ascii="Times New Roman" w:hAnsi="Times New Roman" w:eastAsia="等线" w:cs="Times New Roman"/>
          <w:bCs/>
          <w:kern w:val="0"/>
          <w:sz w:val="20"/>
          <w:szCs w:val="20"/>
          <w:highlight w:val="none"/>
          <w:lang w:bidi="ar"/>
        </w:rPr>
      </w:pPr>
      <w:r>
        <w:rPr>
          <w:rFonts w:hint="default" w:ascii="Times New Roman" w:hAnsi="Times New Roman" w:eastAsia="等线" w:cs="Times New Roman"/>
          <w:bCs/>
          <w:kern w:val="0"/>
          <w:sz w:val="20"/>
          <w:szCs w:val="20"/>
          <w:highlight w:val="none"/>
          <w:lang w:bidi="ar"/>
        </w:rPr>
        <w:t xml:space="preserve">Pinto C, Sá JR, Lana J, Dualib P, Gabbay M, Dib S. Association of parental cardiovascular risk factors with offspring type 1 diabetes mellitus insulin sensitivity. J Diabetes Complications. 2023;37(2):108393. </w:t>
      </w:r>
    </w:p>
    <w:p w14:paraId="73EF5457">
      <w:pPr>
        <w:widowControl/>
        <w:numPr>
          <w:ilvl w:val="0"/>
          <w:numId w:val="1"/>
        </w:numPr>
        <w:jc w:val="left"/>
        <w:rPr>
          <w:rFonts w:hint="default" w:ascii="Times New Roman" w:hAnsi="Times New Roman" w:eastAsia="等线" w:cs="Times New Roman"/>
          <w:bCs/>
          <w:kern w:val="0"/>
          <w:sz w:val="20"/>
          <w:szCs w:val="20"/>
          <w:highlight w:val="none"/>
          <w:lang w:bidi="ar"/>
        </w:rPr>
      </w:pPr>
      <w:r>
        <w:rPr>
          <w:rFonts w:hint="default" w:ascii="Times New Roman" w:hAnsi="Times New Roman" w:eastAsia="等线" w:cs="Times New Roman"/>
          <w:bCs/>
          <w:kern w:val="0"/>
          <w:sz w:val="20"/>
          <w:szCs w:val="20"/>
          <w:highlight w:val="none"/>
          <w:lang w:val="pt-BR" w:bidi="ar"/>
        </w:rPr>
        <w:t xml:space="preserve">Ramaldes LAL, Dos Santos SS, Dualib PM, de Sa JR, Dib SA. </w:t>
      </w:r>
      <w:r>
        <w:rPr>
          <w:rFonts w:hint="default" w:ascii="Times New Roman" w:hAnsi="Times New Roman" w:eastAsia="等线" w:cs="Times New Roman"/>
          <w:bCs/>
          <w:kern w:val="0"/>
          <w:sz w:val="20"/>
          <w:szCs w:val="20"/>
          <w:highlight w:val="none"/>
          <w:lang w:bidi="ar"/>
        </w:rPr>
        <w:t xml:space="preserve">Heterogeneous response of estimated insulin sensitivity indices to metformin in young individuals with type 1 diabetes and different phenotypes. Diabetol Metab Syndr. 2024;16(1):214. </w:t>
      </w:r>
    </w:p>
    <w:p w14:paraId="06015AB1">
      <w:pPr>
        <w:widowControl/>
        <w:numPr>
          <w:ilvl w:val="0"/>
          <w:numId w:val="1"/>
        </w:numPr>
        <w:jc w:val="left"/>
        <w:rPr>
          <w:rFonts w:hint="default" w:ascii="Times New Roman" w:hAnsi="Times New Roman" w:eastAsia="等线" w:cs="Times New Roman"/>
          <w:bCs/>
          <w:kern w:val="0"/>
          <w:sz w:val="20"/>
          <w:szCs w:val="20"/>
          <w:highlight w:val="none"/>
          <w:lang w:bidi="ar"/>
        </w:rPr>
      </w:pPr>
      <w:r>
        <w:rPr>
          <w:rFonts w:hint="default" w:ascii="Times New Roman" w:hAnsi="Times New Roman" w:eastAsia="等线" w:cs="Times New Roman"/>
          <w:bCs/>
          <w:kern w:val="0"/>
          <w:sz w:val="20"/>
          <w:szCs w:val="20"/>
          <w:highlight w:val="none"/>
          <w:lang w:val="sv-SE" w:bidi="ar"/>
        </w:rPr>
        <w:t xml:space="preserve">Oza C, Khadilkar V, Karguppikar M, et al. </w:t>
      </w:r>
      <w:r>
        <w:rPr>
          <w:rFonts w:hint="default" w:ascii="Times New Roman" w:hAnsi="Times New Roman" w:eastAsia="等线" w:cs="Times New Roman"/>
          <w:bCs/>
          <w:kern w:val="0"/>
          <w:sz w:val="20"/>
          <w:szCs w:val="20"/>
          <w:highlight w:val="none"/>
          <w:lang w:bidi="ar"/>
        </w:rPr>
        <w:t xml:space="preserve">Prevalence of metabolic syndrome and predictors of metabolic risk in Indian children, adolescents and youth with type 1 diabetes mellitus. Endocrine. 2022;75(3):794-803. </w:t>
      </w:r>
    </w:p>
    <w:p w14:paraId="1D916871">
      <w:pPr>
        <w:widowControl/>
        <w:numPr>
          <w:ilvl w:val="0"/>
          <w:numId w:val="1"/>
        </w:numPr>
        <w:jc w:val="left"/>
        <w:rPr>
          <w:rFonts w:hint="default" w:ascii="Times New Roman" w:hAnsi="Times New Roman" w:eastAsia="等线" w:cs="Times New Roman"/>
          <w:bCs/>
          <w:kern w:val="0"/>
          <w:sz w:val="20"/>
          <w:szCs w:val="20"/>
          <w:highlight w:val="none"/>
          <w:lang w:bidi="ar"/>
        </w:rPr>
      </w:pPr>
      <w:r>
        <w:rPr>
          <w:rFonts w:hint="default" w:ascii="Times New Roman" w:hAnsi="Times New Roman" w:eastAsia="等线" w:cs="Times New Roman"/>
          <w:bCs/>
          <w:kern w:val="0"/>
          <w:sz w:val="20"/>
          <w:szCs w:val="20"/>
          <w:highlight w:val="none"/>
          <w:lang w:bidi="ar"/>
        </w:rPr>
        <w:t xml:space="preserve">Antani M, Pargaonkar Y, Oza C, et al. Triple burden of malnutrition and role of anaemia in the development of complications associated with type 1 diabetes in Indian children and youth. J Pediatr Endocrinol Metab. 2022;35(12):1464-1473. </w:t>
      </w:r>
    </w:p>
    <w:p w14:paraId="67498E2A">
      <w:pPr>
        <w:widowControl/>
        <w:numPr>
          <w:ilvl w:val="0"/>
          <w:numId w:val="1"/>
        </w:numPr>
        <w:jc w:val="left"/>
        <w:rPr>
          <w:rFonts w:hint="default" w:ascii="Times New Roman" w:hAnsi="Times New Roman" w:eastAsia="等线" w:cs="Times New Roman"/>
          <w:bCs/>
          <w:kern w:val="0"/>
          <w:sz w:val="20"/>
          <w:szCs w:val="20"/>
          <w:highlight w:val="none"/>
          <w:lang w:bidi="ar"/>
        </w:rPr>
      </w:pPr>
      <w:r>
        <w:rPr>
          <w:rFonts w:hint="default" w:ascii="Times New Roman" w:hAnsi="Times New Roman" w:eastAsia="等线" w:cs="Times New Roman"/>
          <w:bCs/>
          <w:kern w:val="0"/>
          <w:sz w:val="20"/>
          <w:szCs w:val="20"/>
          <w:highlight w:val="none"/>
          <w:lang w:bidi="ar"/>
        </w:rPr>
        <w:t xml:space="preserve">Orchard TJ, Olson JC, Erbey JR, et al. Insulin resistance-related factors, but not glycemia, predict coronary artery disease in type 1 diabetes: 10-year follow-up data from the Pittsburgh Epidemiology of Diabetes Complications Study. Diabetes Care. 2003;26(5):1374-1379. </w:t>
      </w:r>
    </w:p>
    <w:p w14:paraId="502FE523">
      <w:pPr>
        <w:widowControl/>
        <w:numPr>
          <w:ilvl w:val="0"/>
          <w:numId w:val="1"/>
        </w:numPr>
        <w:jc w:val="left"/>
        <w:rPr>
          <w:rFonts w:hint="default" w:ascii="Times New Roman" w:hAnsi="Times New Roman" w:eastAsia="等线" w:cs="Times New Roman"/>
          <w:bCs/>
          <w:kern w:val="0"/>
          <w:sz w:val="20"/>
          <w:szCs w:val="20"/>
          <w:highlight w:val="none"/>
          <w:lang w:bidi="ar"/>
        </w:rPr>
      </w:pPr>
      <w:r>
        <w:rPr>
          <w:rFonts w:hint="default" w:ascii="Times New Roman" w:hAnsi="Times New Roman" w:eastAsia="等线" w:cs="Times New Roman"/>
          <w:bCs/>
          <w:kern w:val="0"/>
          <w:sz w:val="20"/>
          <w:szCs w:val="20"/>
          <w:highlight w:val="none"/>
          <w:lang w:bidi="ar"/>
        </w:rPr>
        <w:t xml:space="preserve">Olson JC, Erbey JR, Forrest KY, Williams K, Becker DJ, Orchard TJ. Glycemia (or, in women, estimated glucose disposal rate) predict lower extremity arterial disease events in type 1 diabetes. Metabolism. 2002;51(2):248-254. </w:t>
      </w:r>
    </w:p>
    <w:p w14:paraId="2A12C4BE">
      <w:pPr>
        <w:widowControl/>
        <w:numPr>
          <w:ilvl w:val="0"/>
          <w:numId w:val="1"/>
        </w:numPr>
        <w:jc w:val="left"/>
        <w:rPr>
          <w:rFonts w:hint="default" w:ascii="Times New Roman" w:hAnsi="Times New Roman" w:eastAsia="等线" w:cs="Times New Roman"/>
          <w:bCs/>
          <w:kern w:val="0"/>
          <w:sz w:val="20"/>
          <w:szCs w:val="20"/>
          <w:highlight w:val="none"/>
          <w:lang w:bidi="ar"/>
        </w:rPr>
      </w:pPr>
      <w:r>
        <w:rPr>
          <w:rFonts w:hint="default" w:ascii="Times New Roman" w:hAnsi="Times New Roman" w:eastAsia="等线" w:cs="Times New Roman"/>
          <w:bCs/>
          <w:kern w:val="0"/>
          <w:sz w:val="20"/>
          <w:szCs w:val="20"/>
          <w:highlight w:val="none"/>
          <w:lang w:val="it-IT" w:bidi="ar"/>
        </w:rPr>
        <w:t xml:space="preserve">Pambianco G, Costacou T, Orchard TJ. </w:t>
      </w:r>
      <w:r>
        <w:rPr>
          <w:rFonts w:hint="default" w:ascii="Times New Roman" w:hAnsi="Times New Roman" w:eastAsia="等线" w:cs="Times New Roman"/>
          <w:bCs/>
          <w:kern w:val="0"/>
          <w:sz w:val="20"/>
          <w:szCs w:val="20"/>
          <w:highlight w:val="none"/>
          <w:lang w:bidi="ar"/>
        </w:rPr>
        <w:t xml:space="preserve">The prediction of major outcomes of type 1 diabetes: a 12-year prospective evaluation of three separate definitions of the metabolic syndrome and their components and estimated glucose disposal rate: the Pittsburgh Epidemiology of Diabetes Complications Study experience. Diabetes Care. 2007;30(5):1248-1254. </w:t>
      </w:r>
    </w:p>
    <w:p w14:paraId="0934D78A">
      <w:pPr>
        <w:widowControl/>
        <w:numPr>
          <w:ilvl w:val="0"/>
          <w:numId w:val="1"/>
        </w:numPr>
        <w:jc w:val="left"/>
        <w:rPr>
          <w:rFonts w:hint="default" w:ascii="Times New Roman" w:hAnsi="Times New Roman" w:eastAsia="等线" w:cs="Times New Roman"/>
          <w:bCs/>
          <w:kern w:val="0"/>
          <w:sz w:val="20"/>
          <w:szCs w:val="20"/>
          <w:highlight w:val="none"/>
          <w:lang w:bidi="ar"/>
        </w:rPr>
      </w:pPr>
      <w:r>
        <w:rPr>
          <w:rFonts w:hint="default" w:ascii="Times New Roman" w:hAnsi="Times New Roman" w:eastAsia="等线" w:cs="Times New Roman"/>
          <w:bCs/>
          <w:kern w:val="0"/>
          <w:sz w:val="20"/>
          <w:szCs w:val="20"/>
          <w:highlight w:val="none"/>
          <w:lang w:val="fr-FR" w:bidi="ar"/>
        </w:rPr>
        <w:t xml:space="preserve">Yishak AA, Costacou T, Virella G, et al. </w:t>
      </w:r>
      <w:r>
        <w:rPr>
          <w:rFonts w:hint="default" w:ascii="Times New Roman" w:hAnsi="Times New Roman" w:eastAsia="等线" w:cs="Times New Roman"/>
          <w:bCs/>
          <w:kern w:val="0"/>
          <w:sz w:val="20"/>
          <w:szCs w:val="20"/>
          <w:highlight w:val="none"/>
          <w:lang w:bidi="ar"/>
        </w:rPr>
        <w:t>Novel predictors of overt nephropathy in subjects with type 1 diabetes. A nested case control study from the Pittsburgh Epidemiology of Diabetes Complications cohort. Nephrol Dial Transplant. 2006;21(1):93-100.</w:t>
      </w:r>
    </w:p>
    <w:p w14:paraId="7975D259">
      <w:pPr>
        <w:widowControl/>
        <w:numPr>
          <w:ilvl w:val="0"/>
          <w:numId w:val="1"/>
        </w:numPr>
        <w:jc w:val="left"/>
        <w:rPr>
          <w:rFonts w:hint="default" w:ascii="Times New Roman" w:hAnsi="Times New Roman" w:eastAsia="等线" w:cs="Times New Roman"/>
          <w:bCs/>
          <w:kern w:val="0"/>
          <w:sz w:val="20"/>
          <w:szCs w:val="20"/>
          <w:highlight w:val="none"/>
          <w:lang w:bidi="ar"/>
        </w:rPr>
      </w:pPr>
      <w:r>
        <w:rPr>
          <w:rFonts w:hint="default" w:ascii="Times New Roman" w:hAnsi="Times New Roman" w:eastAsia="等线" w:cs="Times New Roman"/>
          <w:bCs/>
          <w:kern w:val="0"/>
          <w:sz w:val="20"/>
          <w:szCs w:val="20"/>
          <w:highlight w:val="none"/>
          <w:lang w:val="nl-NL" w:bidi="ar"/>
        </w:rPr>
        <w:t xml:space="preserve">Gingras V, Leroux C, Desjardins K, et al. </w:t>
      </w:r>
      <w:r>
        <w:rPr>
          <w:rFonts w:hint="default" w:ascii="Times New Roman" w:hAnsi="Times New Roman" w:eastAsia="等线" w:cs="Times New Roman"/>
          <w:bCs/>
          <w:kern w:val="0"/>
          <w:sz w:val="20"/>
          <w:szCs w:val="20"/>
          <w:highlight w:val="none"/>
          <w:lang w:bidi="ar"/>
        </w:rPr>
        <w:t>Association between Cardiometabolic Profile and Dietary Characteristics among Adults with Type 1 Diabetes Mellitus. J Acad Nutr Diet. 2015;115(12):1965-1974. doi:10.1016/j.jand.2015.04.012</w:t>
      </w:r>
    </w:p>
    <w:p w14:paraId="3ADF427D">
      <w:pPr>
        <w:widowControl/>
        <w:numPr>
          <w:ilvl w:val="0"/>
          <w:numId w:val="1"/>
        </w:numPr>
        <w:jc w:val="left"/>
        <w:rPr>
          <w:rFonts w:hint="default" w:ascii="Times New Roman" w:hAnsi="Times New Roman" w:eastAsia="等线" w:cs="Times New Roman"/>
          <w:bCs/>
          <w:kern w:val="0"/>
          <w:sz w:val="20"/>
          <w:szCs w:val="20"/>
          <w:highlight w:val="none"/>
          <w:lang w:bidi="ar"/>
        </w:rPr>
      </w:pPr>
      <w:r>
        <w:rPr>
          <w:rFonts w:hint="default" w:ascii="Times New Roman" w:hAnsi="Times New Roman" w:eastAsia="等线" w:cs="Times New Roman"/>
          <w:bCs/>
          <w:kern w:val="0"/>
          <w:sz w:val="20"/>
          <w:szCs w:val="20"/>
          <w:highlight w:val="none"/>
          <w:lang w:bidi="ar"/>
        </w:rPr>
        <w:t>Chillarón JJ, Goday A, Flores-Le-Roux JA, et al. Estimated glucose disposal rate in assessment of the metabolic syndrome and microvascular complications in patients with type 1 diabetes. J Clin Endocrinol Metab. 2009;94(9):3530-3534.</w:t>
      </w:r>
    </w:p>
    <w:p w14:paraId="7D694919">
      <w:pPr>
        <w:widowControl/>
        <w:spacing w:line="360" w:lineRule="auto"/>
        <w:jc w:val="left"/>
        <w:rPr>
          <w:rFonts w:hint="default" w:ascii="Times New Roman" w:hAnsi="Times New Roman" w:eastAsia="CIDFont" w:cs="Times New Roman"/>
          <w:b/>
          <w:bCs/>
          <w:color w:val="000000"/>
          <w:kern w:val="0"/>
          <w:sz w:val="20"/>
          <w:szCs w:val="20"/>
          <w:highlight w:val="none"/>
          <w:lang w:bidi="ar"/>
        </w:rPr>
      </w:pPr>
    </w:p>
    <w:p w14:paraId="76E65FE5">
      <w:pPr>
        <w:widowControl/>
        <w:spacing w:line="360" w:lineRule="auto"/>
        <w:jc w:val="left"/>
        <w:rPr>
          <w:rFonts w:hint="default" w:ascii="Times New Roman" w:hAnsi="Times New Roman" w:eastAsia="CIDFont" w:cs="Times New Roman"/>
          <w:b/>
          <w:bCs/>
          <w:color w:val="000000"/>
          <w:kern w:val="0"/>
          <w:sz w:val="20"/>
          <w:szCs w:val="20"/>
          <w:highlight w:val="none"/>
          <w:lang w:bidi="ar"/>
        </w:rPr>
      </w:pPr>
    </w:p>
    <w:p w14:paraId="1428908D">
      <w:pPr>
        <w:widowControl/>
        <w:spacing w:line="360" w:lineRule="auto"/>
        <w:jc w:val="left"/>
        <w:rPr>
          <w:rFonts w:hint="default" w:ascii="Times New Roman" w:hAnsi="Times New Roman" w:eastAsia="CIDFont" w:cs="Times New Roman"/>
          <w:b/>
          <w:bCs/>
          <w:color w:val="000000"/>
          <w:kern w:val="0"/>
          <w:sz w:val="20"/>
          <w:szCs w:val="20"/>
          <w:highlight w:val="none"/>
          <w:lang w:bidi="ar"/>
        </w:rPr>
      </w:pPr>
    </w:p>
    <w:p w14:paraId="6973F84D">
      <w:pPr>
        <w:widowControl/>
        <w:spacing w:line="360" w:lineRule="auto"/>
        <w:jc w:val="left"/>
        <w:rPr>
          <w:rFonts w:hint="default" w:ascii="Times New Roman" w:hAnsi="Times New Roman" w:eastAsia="CIDFont" w:cs="Times New Roman"/>
          <w:b/>
          <w:bCs/>
          <w:color w:val="000000"/>
          <w:kern w:val="0"/>
          <w:sz w:val="20"/>
          <w:szCs w:val="20"/>
          <w:highlight w:val="none"/>
          <w:lang w:bidi="ar"/>
        </w:rPr>
      </w:pPr>
    </w:p>
    <w:p w14:paraId="3784DF9C">
      <w:pPr>
        <w:jc w:val="left"/>
        <w:outlineLvl w:val="0"/>
        <w:rPr>
          <w:rFonts w:hint="default" w:ascii="Times New Roman" w:hAnsi="Times New Roman" w:cs="Times New Roman"/>
          <w:b/>
          <w:bCs/>
          <w:sz w:val="20"/>
          <w:szCs w:val="20"/>
          <w:highlight w:val="none"/>
        </w:rPr>
      </w:pPr>
      <w:bookmarkStart w:id="5" w:name="_Toc13139"/>
      <w:r>
        <w:rPr>
          <w:rFonts w:hint="default" w:ascii="Times New Roman" w:hAnsi="Times New Roman" w:eastAsia="宋体" w:cs="Times New Roman"/>
          <w:b/>
          <w:bCs/>
          <w:color w:val="000000"/>
          <w:kern w:val="0"/>
          <w:sz w:val="20"/>
          <w:szCs w:val="20"/>
          <w:highlight w:val="none"/>
          <w:lang w:eastAsia="zh-CN" w:bidi="ar"/>
        </w:rPr>
        <w:t>Additional</w:t>
      </w:r>
      <w:r>
        <w:rPr>
          <w:rFonts w:hint="default" w:ascii="Times New Roman" w:hAnsi="Times New Roman" w:eastAsia="CIDFont" w:cs="Times New Roman"/>
          <w:b/>
          <w:bCs/>
          <w:color w:val="000000"/>
          <w:kern w:val="0"/>
          <w:sz w:val="20"/>
          <w:szCs w:val="20"/>
          <w:highlight w:val="none"/>
          <w:lang w:bidi="ar"/>
        </w:rPr>
        <w:t xml:space="preserve"> </w:t>
      </w:r>
      <w:r>
        <w:rPr>
          <w:rFonts w:hint="default" w:ascii="Times New Roman" w:hAnsi="Times New Roman" w:cs="Times New Roman"/>
          <w:b/>
          <w:bCs/>
          <w:sz w:val="20"/>
          <w:szCs w:val="20"/>
          <w:highlight w:val="none"/>
        </w:rPr>
        <w:t>Table 6. Basic characteristics of Studies Included in the Analysis of Overall eGDR Levels</w:t>
      </w:r>
      <w:bookmarkEnd w:id="5"/>
    </w:p>
    <w:tbl>
      <w:tblPr>
        <w:tblStyle w:val="9"/>
        <w:tblW w:w="16575" w:type="dxa"/>
        <w:jc w:val="center"/>
        <w:tblLayout w:type="fixed"/>
        <w:tblCellMar>
          <w:top w:w="0" w:type="dxa"/>
          <w:left w:w="108" w:type="dxa"/>
          <w:bottom w:w="0" w:type="dxa"/>
          <w:right w:w="108" w:type="dxa"/>
        </w:tblCellMar>
      </w:tblPr>
      <w:tblGrid>
        <w:gridCol w:w="1706"/>
        <w:gridCol w:w="825"/>
        <w:gridCol w:w="1001"/>
        <w:gridCol w:w="2730"/>
        <w:gridCol w:w="2372"/>
        <w:gridCol w:w="1703"/>
        <w:gridCol w:w="1270"/>
        <w:gridCol w:w="889"/>
        <w:gridCol w:w="864"/>
        <w:gridCol w:w="1249"/>
        <w:gridCol w:w="1025"/>
        <w:gridCol w:w="941"/>
      </w:tblGrid>
      <w:tr w14:paraId="071F2809">
        <w:trPr>
          <w:trHeight w:val="156" w:hRule="atLeast"/>
          <w:jc w:val="center"/>
        </w:trPr>
        <w:tc>
          <w:tcPr>
            <w:tcW w:w="1706" w:type="dxa"/>
            <w:tcBorders>
              <w:top w:val="single" w:color="auto" w:sz="4" w:space="0"/>
              <w:left w:val="nil"/>
              <w:bottom w:val="single" w:color="auto" w:sz="4" w:space="0"/>
              <w:right w:val="nil"/>
            </w:tcBorders>
            <w:shd w:val="clear" w:color="auto" w:fill="auto"/>
            <w:vAlign w:val="center"/>
          </w:tcPr>
          <w:p w14:paraId="7BD6E4A9">
            <w:pPr>
              <w:jc w:val="left"/>
              <w:rPr>
                <w:rFonts w:hint="default" w:ascii="Times New Roman" w:hAnsi="Times New Roman" w:cs="Times New Roman"/>
                <w:b/>
                <w:bCs/>
                <w:sz w:val="20"/>
                <w:szCs w:val="20"/>
                <w:highlight w:val="none"/>
              </w:rPr>
            </w:pPr>
            <w:r>
              <w:rPr>
                <w:rFonts w:hint="default" w:ascii="Times New Roman" w:hAnsi="Times New Roman" w:cs="Times New Roman"/>
                <w:b/>
                <w:bCs/>
                <w:sz w:val="20"/>
                <w:szCs w:val="20"/>
                <w:highlight w:val="none"/>
              </w:rPr>
              <w:t>Study</w:t>
            </w:r>
          </w:p>
        </w:tc>
        <w:tc>
          <w:tcPr>
            <w:tcW w:w="825" w:type="dxa"/>
            <w:tcBorders>
              <w:top w:val="single" w:color="auto" w:sz="4" w:space="0"/>
              <w:left w:val="nil"/>
              <w:bottom w:val="single" w:color="auto" w:sz="4" w:space="0"/>
              <w:right w:val="nil"/>
            </w:tcBorders>
            <w:shd w:val="clear" w:color="auto" w:fill="auto"/>
            <w:vAlign w:val="center"/>
          </w:tcPr>
          <w:p w14:paraId="2B6418CC">
            <w:pPr>
              <w:jc w:val="left"/>
              <w:rPr>
                <w:rFonts w:hint="default" w:ascii="Times New Roman" w:hAnsi="Times New Roman" w:cs="Times New Roman"/>
                <w:b/>
                <w:bCs/>
                <w:sz w:val="20"/>
                <w:szCs w:val="20"/>
                <w:highlight w:val="none"/>
              </w:rPr>
            </w:pPr>
            <w:r>
              <w:rPr>
                <w:rFonts w:hint="default" w:ascii="Times New Roman" w:hAnsi="Times New Roman" w:cs="Times New Roman"/>
                <w:b/>
                <w:bCs/>
                <w:sz w:val="20"/>
                <w:szCs w:val="20"/>
                <w:highlight w:val="none"/>
              </w:rPr>
              <w:t>Design</w:t>
            </w:r>
          </w:p>
        </w:tc>
        <w:tc>
          <w:tcPr>
            <w:tcW w:w="1001" w:type="dxa"/>
            <w:tcBorders>
              <w:top w:val="single" w:color="auto" w:sz="4" w:space="0"/>
              <w:left w:val="nil"/>
              <w:bottom w:val="single" w:color="auto" w:sz="4" w:space="0"/>
              <w:right w:val="nil"/>
            </w:tcBorders>
            <w:shd w:val="clear" w:color="auto" w:fill="auto"/>
            <w:noWrap/>
            <w:vAlign w:val="center"/>
          </w:tcPr>
          <w:p w14:paraId="71D72466">
            <w:pPr>
              <w:jc w:val="left"/>
              <w:rPr>
                <w:rFonts w:hint="default" w:ascii="Times New Roman" w:hAnsi="Times New Roman" w:cs="Times New Roman"/>
                <w:b/>
                <w:bCs/>
                <w:sz w:val="20"/>
                <w:szCs w:val="20"/>
                <w:highlight w:val="none"/>
              </w:rPr>
            </w:pPr>
            <w:r>
              <w:rPr>
                <w:rFonts w:hint="default" w:ascii="Times New Roman" w:hAnsi="Times New Roman" w:cs="Times New Roman"/>
                <w:b/>
                <w:bCs/>
                <w:sz w:val="20"/>
                <w:szCs w:val="20"/>
                <w:highlight w:val="none"/>
              </w:rPr>
              <w:t>Country</w:t>
            </w:r>
          </w:p>
        </w:tc>
        <w:tc>
          <w:tcPr>
            <w:tcW w:w="2730" w:type="dxa"/>
            <w:tcBorders>
              <w:top w:val="single" w:color="auto" w:sz="4" w:space="0"/>
              <w:left w:val="nil"/>
              <w:bottom w:val="single" w:color="auto" w:sz="4" w:space="0"/>
              <w:right w:val="nil"/>
            </w:tcBorders>
            <w:shd w:val="clear" w:color="auto" w:fill="auto"/>
            <w:noWrap/>
            <w:vAlign w:val="center"/>
          </w:tcPr>
          <w:p w14:paraId="7499274F">
            <w:pPr>
              <w:jc w:val="left"/>
              <w:rPr>
                <w:rFonts w:hint="default" w:ascii="Times New Roman" w:hAnsi="Times New Roman" w:cs="Times New Roman"/>
                <w:b/>
                <w:bCs/>
                <w:sz w:val="20"/>
                <w:szCs w:val="20"/>
                <w:highlight w:val="none"/>
              </w:rPr>
            </w:pPr>
            <w:r>
              <w:rPr>
                <w:rFonts w:hint="default" w:ascii="Times New Roman" w:hAnsi="Times New Roman" w:cs="Times New Roman"/>
                <w:b/>
                <w:bCs/>
                <w:sz w:val="20"/>
                <w:szCs w:val="20"/>
                <w:highlight w:val="none"/>
              </w:rPr>
              <w:t>Participates</w:t>
            </w:r>
          </w:p>
        </w:tc>
        <w:tc>
          <w:tcPr>
            <w:tcW w:w="2372" w:type="dxa"/>
            <w:tcBorders>
              <w:top w:val="single" w:color="auto" w:sz="4" w:space="0"/>
              <w:left w:val="nil"/>
              <w:bottom w:val="single" w:color="auto" w:sz="4" w:space="0"/>
              <w:right w:val="nil"/>
            </w:tcBorders>
            <w:shd w:val="clear" w:color="auto" w:fill="auto"/>
            <w:noWrap/>
            <w:vAlign w:val="center"/>
          </w:tcPr>
          <w:p w14:paraId="03511081">
            <w:pPr>
              <w:jc w:val="left"/>
              <w:rPr>
                <w:rFonts w:hint="default" w:ascii="Times New Roman" w:hAnsi="Times New Roman" w:cs="Times New Roman"/>
                <w:b/>
                <w:bCs/>
                <w:sz w:val="20"/>
                <w:szCs w:val="20"/>
                <w:highlight w:val="none"/>
              </w:rPr>
            </w:pPr>
            <w:r>
              <w:rPr>
                <w:rFonts w:hint="default" w:ascii="Times New Roman" w:hAnsi="Times New Roman" w:cs="Times New Roman"/>
                <w:b/>
                <w:bCs/>
                <w:sz w:val="20"/>
                <w:szCs w:val="20"/>
                <w:highlight w:val="none"/>
              </w:rPr>
              <w:t>Data Source</w:t>
            </w:r>
          </w:p>
        </w:tc>
        <w:tc>
          <w:tcPr>
            <w:tcW w:w="1703" w:type="dxa"/>
            <w:tcBorders>
              <w:top w:val="single" w:color="auto" w:sz="4" w:space="0"/>
              <w:left w:val="nil"/>
              <w:bottom w:val="single" w:color="auto" w:sz="4" w:space="0"/>
              <w:right w:val="nil"/>
            </w:tcBorders>
            <w:shd w:val="clear" w:color="auto" w:fill="auto"/>
            <w:noWrap/>
            <w:vAlign w:val="center"/>
          </w:tcPr>
          <w:p w14:paraId="0FDA5193">
            <w:pPr>
              <w:jc w:val="left"/>
              <w:rPr>
                <w:rFonts w:hint="default" w:ascii="Times New Roman" w:hAnsi="Times New Roman" w:cs="Times New Roman"/>
                <w:b/>
                <w:bCs/>
                <w:sz w:val="20"/>
                <w:szCs w:val="20"/>
                <w:highlight w:val="none"/>
              </w:rPr>
            </w:pPr>
            <w:r>
              <w:rPr>
                <w:rFonts w:hint="default" w:ascii="Times New Roman" w:hAnsi="Times New Roman" w:cs="Times New Roman"/>
                <w:b/>
                <w:bCs/>
                <w:sz w:val="20"/>
                <w:szCs w:val="20"/>
                <w:highlight w:val="none"/>
              </w:rPr>
              <w:t xml:space="preserve">Data collection </w:t>
            </w:r>
          </w:p>
        </w:tc>
        <w:tc>
          <w:tcPr>
            <w:tcW w:w="1270" w:type="dxa"/>
            <w:tcBorders>
              <w:top w:val="single" w:color="auto" w:sz="4" w:space="0"/>
              <w:left w:val="nil"/>
              <w:bottom w:val="single" w:color="auto" w:sz="4" w:space="0"/>
              <w:right w:val="nil"/>
            </w:tcBorders>
            <w:shd w:val="clear" w:color="auto" w:fill="auto"/>
            <w:noWrap/>
            <w:vAlign w:val="center"/>
          </w:tcPr>
          <w:p w14:paraId="14D80B47">
            <w:pPr>
              <w:jc w:val="left"/>
              <w:rPr>
                <w:rFonts w:hint="default" w:ascii="Times New Roman" w:hAnsi="Times New Roman" w:cs="Times New Roman"/>
                <w:b/>
                <w:bCs/>
                <w:sz w:val="20"/>
                <w:szCs w:val="20"/>
                <w:highlight w:val="none"/>
              </w:rPr>
            </w:pPr>
            <w:r>
              <w:rPr>
                <w:rFonts w:hint="default" w:ascii="Times New Roman" w:hAnsi="Times New Roman" w:cs="Times New Roman"/>
                <w:b/>
                <w:bCs/>
                <w:sz w:val="20"/>
                <w:szCs w:val="20"/>
                <w:highlight w:val="none"/>
              </w:rPr>
              <w:t>Duration of DM, y</w:t>
            </w:r>
          </w:p>
        </w:tc>
        <w:tc>
          <w:tcPr>
            <w:tcW w:w="889" w:type="dxa"/>
            <w:tcBorders>
              <w:top w:val="single" w:color="auto" w:sz="4" w:space="0"/>
              <w:left w:val="nil"/>
              <w:bottom w:val="single" w:color="auto" w:sz="4" w:space="0"/>
              <w:right w:val="nil"/>
            </w:tcBorders>
            <w:shd w:val="clear" w:color="auto" w:fill="auto"/>
            <w:noWrap/>
            <w:vAlign w:val="center"/>
          </w:tcPr>
          <w:p w14:paraId="76197ACA">
            <w:pPr>
              <w:jc w:val="left"/>
              <w:rPr>
                <w:rFonts w:hint="default" w:ascii="Times New Roman" w:hAnsi="Times New Roman" w:cs="Times New Roman"/>
                <w:b/>
                <w:bCs/>
                <w:sz w:val="20"/>
                <w:szCs w:val="20"/>
                <w:highlight w:val="none"/>
              </w:rPr>
            </w:pPr>
            <w:r>
              <w:rPr>
                <w:rFonts w:hint="default" w:ascii="Times New Roman" w:hAnsi="Times New Roman" w:cs="Times New Roman"/>
                <w:b/>
                <w:bCs/>
                <w:sz w:val="20"/>
                <w:szCs w:val="20"/>
                <w:highlight w:val="none"/>
              </w:rPr>
              <w:t>Sample size</w:t>
            </w:r>
          </w:p>
        </w:tc>
        <w:tc>
          <w:tcPr>
            <w:tcW w:w="864" w:type="dxa"/>
            <w:tcBorders>
              <w:top w:val="single" w:color="auto" w:sz="4" w:space="0"/>
              <w:left w:val="nil"/>
              <w:bottom w:val="single" w:color="auto" w:sz="4" w:space="0"/>
              <w:right w:val="nil"/>
            </w:tcBorders>
            <w:shd w:val="clear" w:color="auto" w:fill="auto"/>
            <w:noWrap/>
            <w:vAlign w:val="center"/>
          </w:tcPr>
          <w:p w14:paraId="7A19FE04">
            <w:pPr>
              <w:jc w:val="left"/>
              <w:rPr>
                <w:rFonts w:hint="default" w:ascii="Times New Roman" w:hAnsi="Times New Roman" w:cs="Times New Roman"/>
                <w:b/>
                <w:bCs/>
                <w:sz w:val="20"/>
                <w:szCs w:val="20"/>
                <w:highlight w:val="none"/>
              </w:rPr>
            </w:pPr>
            <w:r>
              <w:rPr>
                <w:rFonts w:hint="default" w:ascii="Times New Roman" w:hAnsi="Times New Roman" w:cs="Times New Roman"/>
                <w:b/>
                <w:bCs/>
                <w:sz w:val="20"/>
                <w:szCs w:val="20"/>
                <w:highlight w:val="none"/>
              </w:rPr>
              <w:t>Men, %</w:t>
            </w:r>
          </w:p>
        </w:tc>
        <w:tc>
          <w:tcPr>
            <w:tcW w:w="1249" w:type="dxa"/>
            <w:tcBorders>
              <w:top w:val="single" w:color="auto" w:sz="4" w:space="0"/>
              <w:left w:val="nil"/>
              <w:bottom w:val="single" w:color="auto" w:sz="4" w:space="0"/>
              <w:right w:val="nil"/>
            </w:tcBorders>
            <w:shd w:val="clear" w:color="auto" w:fill="auto"/>
            <w:noWrap/>
            <w:vAlign w:val="center"/>
          </w:tcPr>
          <w:p w14:paraId="48C64116">
            <w:pPr>
              <w:jc w:val="left"/>
              <w:rPr>
                <w:rFonts w:hint="default" w:ascii="Times New Roman" w:hAnsi="Times New Roman" w:cs="Times New Roman"/>
                <w:b/>
                <w:bCs/>
                <w:sz w:val="20"/>
                <w:szCs w:val="20"/>
                <w:highlight w:val="none"/>
              </w:rPr>
            </w:pPr>
            <w:r>
              <w:rPr>
                <w:rFonts w:hint="default" w:ascii="Times New Roman" w:hAnsi="Times New Roman" w:cs="Times New Roman"/>
                <w:b/>
                <w:bCs/>
                <w:sz w:val="20"/>
                <w:szCs w:val="20"/>
                <w:highlight w:val="none"/>
              </w:rPr>
              <w:t>Age, y</w:t>
            </w:r>
          </w:p>
        </w:tc>
        <w:tc>
          <w:tcPr>
            <w:tcW w:w="1025" w:type="dxa"/>
            <w:tcBorders>
              <w:top w:val="single" w:color="auto" w:sz="4" w:space="0"/>
              <w:left w:val="nil"/>
              <w:bottom w:val="single" w:color="auto" w:sz="4" w:space="0"/>
              <w:right w:val="nil"/>
            </w:tcBorders>
            <w:shd w:val="clear" w:color="auto" w:fill="auto"/>
            <w:noWrap/>
            <w:vAlign w:val="center"/>
          </w:tcPr>
          <w:p w14:paraId="4A686526">
            <w:pPr>
              <w:jc w:val="left"/>
              <w:rPr>
                <w:rFonts w:hint="default" w:ascii="Times New Roman" w:hAnsi="Times New Roman" w:cs="Times New Roman"/>
                <w:b/>
                <w:bCs/>
                <w:sz w:val="20"/>
                <w:szCs w:val="20"/>
                <w:highlight w:val="none"/>
              </w:rPr>
            </w:pPr>
            <w:r>
              <w:rPr>
                <w:rFonts w:hint="default" w:ascii="Times New Roman" w:hAnsi="Times New Roman" w:cs="Times New Roman"/>
                <w:b/>
                <w:bCs/>
                <w:sz w:val="20"/>
                <w:szCs w:val="20"/>
                <w:highlight w:val="none"/>
              </w:rPr>
              <w:t>Single-center study</w:t>
            </w:r>
          </w:p>
        </w:tc>
        <w:tc>
          <w:tcPr>
            <w:tcW w:w="941" w:type="dxa"/>
            <w:tcBorders>
              <w:top w:val="single" w:color="auto" w:sz="4" w:space="0"/>
              <w:left w:val="nil"/>
              <w:bottom w:val="single" w:color="auto" w:sz="4" w:space="0"/>
              <w:right w:val="nil"/>
            </w:tcBorders>
            <w:shd w:val="clear" w:color="auto" w:fill="auto"/>
            <w:vAlign w:val="center"/>
          </w:tcPr>
          <w:p w14:paraId="239F8227">
            <w:pPr>
              <w:jc w:val="left"/>
              <w:rPr>
                <w:rFonts w:hint="default" w:ascii="Times New Roman" w:hAnsi="Times New Roman" w:cs="Times New Roman"/>
                <w:b/>
                <w:bCs/>
                <w:sz w:val="20"/>
                <w:szCs w:val="20"/>
                <w:highlight w:val="none"/>
              </w:rPr>
            </w:pPr>
            <w:r>
              <w:rPr>
                <w:rFonts w:hint="default" w:ascii="Times New Roman" w:hAnsi="Times New Roman" w:cs="Times New Roman"/>
                <w:b/>
                <w:bCs/>
                <w:sz w:val="20"/>
                <w:szCs w:val="20"/>
                <w:highlight w:val="none"/>
              </w:rPr>
              <w:t>eGDR</w:t>
            </w:r>
          </w:p>
          <w:p w14:paraId="5B06D7E4">
            <w:pPr>
              <w:jc w:val="left"/>
              <w:rPr>
                <w:rFonts w:hint="default" w:ascii="Times New Roman" w:hAnsi="Times New Roman" w:cs="Times New Roman"/>
                <w:b/>
                <w:bCs/>
                <w:sz w:val="20"/>
                <w:szCs w:val="20"/>
                <w:highlight w:val="none"/>
              </w:rPr>
            </w:pPr>
            <w:r>
              <w:rPr>
                <w:rFonts w:hint="default" w:ascii="Times New Roman" w:hAnsi="Times New Roman" w:cs="Times New Roman"/>
                <w:b/>
                <w:bCs/>
                <w:sz w:val="20"/>
                <w:szCs w:val="20"/>
                <w:highlight w:val="none"/>
              </w:rPr>
              <w:t>formula</w:t>
            </w:r>
          </w:p>
        </w:tc>
      </w:tr>
      <w:tr w14:paraId="32B3B0E8">
        <w:tblPrEx>
          <w:tblCellMar>
            <w:top w:w="0" w:type="dxa"/>
            <w:left w:w="108" w:type="dxa"/>
            <w:bottom w:w="0" w:type="dxa"/>
            <w:right w:w="108" w:type="dxa"/>
          </w:tblCellMar>
        </w:tblPrEx>
        <w:trPr>
          <w:trHeight w:val="792" w:hRule="atLeast"/>
          <w:jc w:val="center"/>
        </w:trPr>
        <w:tc>
          <w:tcPr>
            <w:tcW w:w="1706" w:type="dxa"/>
            <w:tcBorders>
              <w:top w:val="single" w:color="auto" w:sz="4" w:space="0"/>
              <w:left w:val="nil"/>
              <w:bottom w:val="nil"/>
              <w:right w:val="nil"/>
            </w:tcBorders>
            <w:shd w:val="clear" w:color="auto" w:fill="auto"/>
            <w:noWrap/>
            <w:vAlign w:val="center"/>
          </w:tcPr>
          <w:p w14:paraId="06EC5C30">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Zeng 2024 </w:t>
            </w:r>
          </w:p>
        </w:tc>
        <w:tc>
          <w:tcPr>
            <w:tcW w:w="825" w:type="dxa"/>
            <w:tcBorders>
              <w:top w:val="single" w:color="auto" w:sz="4" w:space="0"/>
              <w:left w:val="nil"/>
              <w:bottom w:val="nil"/>
              <w:right w:val="nil"/>
            </w:tcBorders>
            <w:shd w:val="clear" w:color="auto" w:fill="auto"/>
            <w:noWrap/>
            <w:vAlign w:val="center"/>
          </w:tcPr>
          <w:p w14:paraId="4F8EE129">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CS</w:t>
            </w:r>
          </w:p>
        </w:tc>
        <w:tc>
          <w:tcPr>
            <w:tcW w:w="1001" w:type="dxa"/>
            <w:tcBorders>
              <w:top w:val="single" w:color="auto" w:sz="4" w:space="0"/>
              <w:left w:val="nil"/>
              <w:bottom w:val="nil"/>
              <w:right w:val="nil"/>
            </w:tcBorders>
            <w:shd w:val="clear" w:color="auto" w:fill="auto"/>
            <w:noWrap/>
            <w:vAlign w:val="center"/>
          </w:tcPr>
          <w:p w14:paraId="0D53736A">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China</w:t>
            </w:r>
          </w:p>
        </w:tc>
        <w:tc>
          <w:tcPr>
            <w:tcW w:w="2730" w:type="dxa"/>
            <w:tcBorders>
              <w:top w:val="single" w:color="auto" w:sz="4" w:space="0"/>
              <w:left w:val="nil"/>
              <w:bottom w:val="nil"/>
              <w:right w:val="nil"/>
            </w:tcBorders>
            <w:shd w:val="clear" w:color="auto" w:fill="auto"/>
            <w:noWrap/>
            <w:vAlign w:val="center"/>
          </w:tcPr>
          <w:p w14:paraId="166594E6">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Patients with T1DM</w:t>
            </w:r>
          </w:p>
        </w:tc>
        <w:tc>
          <w:tcPr>
            <w:tcW w:w="2372" w:type="dxa"/>
            <w:tcBorders>
              <w:top w:val="single" w:color="auto" w:sz="4" w:space="0"/>
              <w:left w:val="nil"/>
              <w:bottom w:val="nil"/>
              <w:right w:val="nil"/>
            </w:tcBorders>
            <w:shd w:val="clear" w:color="auto" w:fill="auto"/>
            <w:noWrap/>
            <w:vAlign w:val="center"/>
          </w:tcPr>
          <w:p w14:paraId="6E2D2660">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First Affiliated Hospital of Shantou University Medical College</w:t>
            </w:r>
          </w:p>
        </w:tc>
        <w:tc>
          <w:tcPr>
            <w:tcW w:w="1703" w:type="dxa"/>
            <w:tcBorders>
              <w:top w:val="single" w:color="auto" w:sz="4" w:space="0"/>
              <w:left w:val="nil"/>
              <w:bottom w:val="nil"/>
              <w:right w:val="nil"/>
            </w:tcBorders>
            <w:shd w:val="clear" w:color="auto" w:fill="auto"/>
            <w:noWrap/>
            <w:vAlign w:val="center"/>
          </w:tcPr>
          <w:p w14:paraId="33C7C54D">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July 2021 to June 2023</w:t>
            </w:r>
          </w:p>
        </w:tc>
        <w:tc>
          <w:tcPr>
            <w:tcW w:w="1270" w:type="dxa"/>
            <w:tcBorders>
              <w:top w:val="single" w:color="auto" w:sz="4" w:space="0"/>
              <w:left w:val="nil"/>
              <w:bottom w:val="nil"/>
              <w:right w:val="nil"/>
            </w:tcBorders>
            <w:shd w:val="clear" w:color="auto" w:fill="auto"/>
            <w:noWrap/>
            <w:vAlign w:val="center"/>
          </w:tcPr>
          <w:p w14:paraId="102CFE23">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11.35 ± 8.66 </w:t>
            </w:r>
          </w:p>
        </w:tc>
        <w:tc>
          <w:tcPr>
            <w:tcW w:w="889" w:type="dxa"/>
            <w:tcBorders>
              <w:top w:val="single" w:color="auto" w:sz="4" w:space="0"/>
              <w:left w:val="nil"/>
              <w:bottom w:val="nil"/>
              <w:right w:val="nil"/>
            </w:tcBorders>
            <w:shd w:val="clear" w:color="auto" w:fill="auto"/>
            <w:noWrap/>
            <w:vAlign w:val="center"/>
          </w:tcPr>
          <w:p w14:paraId="4A9E7A2C">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101</w:t>
            </w:r>
          </w:p>
        </w:tc>
        <w:tc>
          <w:tcPr>
            <w:tcW w:w="864" w:type="dxa"/>
            <w:tcBorders>
              <w:top w:val="single" w:color="auto" w:sz="4" w:space="0"/>
              <w:left w:val="nil"/>
              <w:bottom w:val="nil"/>
              <w:right w:val="nil"/>
            </w:tcBorders>
            <w:shd w:val="clear" w:color="auto" w:fill="auto"/>
            <w:noWrap/>
            <w:vAlign w:val="center"/>
          </w:tcPr>
          <w:p w14:paraId="3055C2FE">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44.55%</w:t>
            </w:r>
          </w:p>
        </w:tc>
        <w:tc>
          <w:tcPr>
            <w:tcW w:w="1249" w:type="dxa"/>
            <w:tcBorders>
              <w:top w:val="single" w:color="auto" w:sz="4" w:space="0"/>
              <w:left w:val="nil"/>
              <w:bottom w:val="nil"/>
              <w:right w:val="nil"/>
            </w:tcBorders>
            <w:shd w:val="clear" w:color="auto" w:fill="auto"/>
            <w:noWrap/>
            <w:vAlign w:val="center"/>
          </w:tcPr>
          <w:p w14:paraId="36C819AC">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30.97±15.43</w:t>
            </w:r>
          </w:p>
        </w:tc>
        <w:tc>
          <w:tcPr>
            <w:tcW w:w="1025" w:type="dxa"/>
            <w:tcBorders>
              <w:top w:val="single" w:color="auto" w:sz="4" w:space="0"/>
              <w:left w:val="nil"/>
              <w:bottom w:val="nil"/>
              <w:right w:val="nil"/>
            </w:tcBorders>
            <w:shd w:val="clear" w:color="auto" w:fill="auto"/>
            <w:noWrap/>
            <w:vAlign w:val="center"/>
          </w:tcPr>
          <w:p w14:paraId="61CE68FC">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yes</w:t>
            </w:r>
          </w:p>
        </w:tc>
        <w:tc>
          <w:tcPr>
            <w:tcW w:w="941" w:type="dxa"/>
            <w:tcBorders>
              <w:top w:val="single" w:color="auto" w:sz="4" w:space="0"/>
              <w:left w:val="nil"/>
              <w:bottom w:val="nil"/>
              <w:right w:val="nil"/>
            </w:tcBorders>
            <w:shd w:val="clear" w:color="auto" w:fill="auto"/>
            <w:noWrap/>
            <w:vAlign w:val="center"/>
          </w:tcPr>
          <w:p w14:paraId="31A00CEC">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A</w:t>
            </w:r>
          </w:p>
        </w:tc>
      </w:tr>
      <w:tr w14:paraId="415B9B52">
        <w:tblPrEx>
          <w:tblCellMar>
            <w:top w:w="0" w:type="dxa"/>
            <w:left w:w="108" w:type="dxa"/>
            <w:bottom w:w="0" w:type="dxa"/>
            <w:right w:w="108" w:type="dxa"/>
          </w:tblCellMar>
        </w:tblPrEx>
        <w:trPr>
          <w:trHeight w:val="517" w:hRule="atLeast"/>
          <w:jc w:val="center"/>
        </w:trPr>
        <w:tc>
          <w:tcPr>
            <w:tcW w:w="1706" w:type="dxa"/>
            <w:tcBorders>
              <w:top w:val="nil"/>
              <w:left w:val="nil"/>
              <w:bottom w:val="nil"/>
              <w:right w:val="nil"/>
            </w:tcBorders>
            <w:shd w:val="clear" w:color="auto" w:fill="auto"/>
            <w:noWrap/>
            <w:vAlign w:val="center"/>
          </w:tcPr>
          <w:p w14:paraId="0DA50939">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Promsod 2024 </w:t>
            </w:r>
          </w:p>
        </w:tc>
        <w:tc>
          <w:tcPr>
            <w:tcW w:w="825" w:type="dxa"/>
            <w:tcBorders>
              <w:top w:val="nil"/>
              <w:left w:val="nil"/>
              <w:bottom w:val="nil"/>
              <w:right w:val="nil"/>
            </w:tcBorders>
            <w:shd w:val="clear" w:color="auto" w:fill="auto"/>
            <w:noWrap/>
            <w:vAlign w:val="center"/>
          </w:tcPr>
          <w:p w14:paraId="280C294A">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CS</w:t>
            </w:r>
          </w:p>
        </w:tc>
        <w:tc>
          <w:tcPr>
            <w:tcW w:w="1001" w:type="dxa"/>
            <w:tcBorders>
              <w:top w:val="nil"/>
              <w:left w:val="nil"/>
              <w:bottom w:val="nil"/>
              <w:right w:val="nil"/>
            </w:tcBorders>
            <w:shd w:val="clear" w:color="auto" w:fill="auto"/>
            <w:noWrap/>
            <w:vAlign w:val="center"/>
          </w:tcPr>
          <w:p w14:paraId="7F8AF5D8">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Thailand</w:t>
            </w:r>
          </w:p>
        </w:tc>
        <w:tc>
          <w:tcPr>
            <w:tcW w:w="2730" w:type="dxa"/>
            <w:tcBorders>
              <w:top w:val="nil"/>
              <w:left w:val="nil"/>
              <w:bottom w:val="nil"/>
              <w:right w:val="nil"/>
            </w:tcBorders>
            <w:shd w:val="clear" w:color="auto" w:fill="auto"/>
            <w:noWrap/>
            <w:vAlign w:val="center"/>
          </w:tcPr>
          <w:p w14:paraId="576C5B14">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Adolescents and young adults with T1DM</w:t>
            </w:r>
          </w:p>
        </w:tc>
        <w:tc>
          <w:tcPr>
            <w:tcW w:w="2372" w:type="dxa"/>
            <w:tcBorders>
              <w:top w:val="nil"/>
              <w:left w:val="nil"/>
              <w:bottom w:val="nil"/>
              <w:right w:val="nil"/>
            </w:tcBorders>
            <w:shd w:val="clear" w:color="auto" w:fill="auto"/>
            <w:noWrap/>
            <w:vAlign w:val="center"/>
          </w:tcPr>
          <w:p w14:paraId="581C37E2">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King Chulalongkorn Memorial Hospital</w:t>
            </w:r>
          </w:p>
        </w:tc>
        <w:tc>
          <w:tcPr>
            <w:tcW w:w="1703" w:type="dxa"/>
            <w:tcBorders>
              <w:top w:val="nil"/>
              <w:left w:val="nil"/>
              <w:bottom w:val="nil"/>
              <w:right w:val="nil"/>
            </w:tcBorders>
            <w:shd w:val="clear" w:color="auto" w:fill="auto"/>
            <w:noWrap/>
            <w:vAlign w:val="center"/>
          </w:tcPr>
          <w:p w14:paraId="3333FAD6">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August to December 2022</w:t>
            </w:r>
          </w:p>
        </w:tc>
        <w:tc>
          <w:tcPr>
            <w:tcW w:w="1270" w:type="dxa"/>
            <w:tcBorders>
              <w:top w:val="nil"/>
              <w:left w:val="nil"/>
              <w:bottom w:val="nil"/>
              <w:right w:val="nil"/>
            </w:tcBorders>
            <w:shd w:val="clear" w:color="auto" w:fill="auto"/>
            <w:noWrap/>
            <w:vAlign w:val="center"/>
          </w:tcPr>
          <w:p w14:paraId="19918DCD">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Median 7.5 </w:t>
            </w:r>
          </w:p>
        </w:tc>
        <w:tc>
          <w:tcPr>
            <w:tcW w:w="889" w:type="dxa"/>
            <w:tcBorders>
              <w:top w:val="nil"/>
              <w:left w:val="nil"/>
              <w:bottom w:val="nil"/>
              <w:right w:val="nil"/>
            </w:tcBorders>
            <w:shd w:val="clear" w:color="auto" w:fill="auto"/>
            <w:noWrap/>
            <w:vAlign w:val="center"/>
          </w:tcPr>
          <w:p w14:paraId="4385E462">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30</w:t>
            </w:r>
          </w:p>
        </w:tc>
        <w:tc>
          <w:tcPr>
            <w:tcW w:w="864" w:type="dxa"/>
            <w:tcBorders>
              <w:top w:val="nil"/>
              <w:left w:val="nil"/>
              <w:bottom w:val="nil"/>
              <w:right w:val="nil"/>
            </w:tcBorders>
            <w:shd w:val="clear" w:color="auto" w:fill="auto"/>
            <w:noWrap/>
            <w:vAlign w:val="center"/>
          </w:tcPr>
          <w:p w14:paraId="709B45C7">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53.3%</w:t>
            </w:r>
          </w:p>
        </w:tc>
        <w:tc>
          <w:tcPr>
            <w:tcW w:w="1249" w:type="dxa"/>
            <w:tcBorders>
              <w:top w:val="nil"/>
              <w:left w:val="nil"/>
              <w:bottom w:val="nil"/>
              <w:right w:val="nil"/>
            </w:tcBorders>
            <w:shd w:val="clear" w:color="auto" w:fill="auto"/>
            <w:noWrap/>
            <w:vAlign w:val="center"/>
          </w:tcPr>
          <w:p w14:paraId="0EACFF92">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18.7±3.4</w:t>
            </w:r>
          </w:p>
        </w:tc>
        <w:tc>
          <w:tcPr>
            <w:tcW w:w="1025" w:type="dxa"/>
            <w:tcBorders>
              <w:top w:val="nil"/>
              <w:left w:val="nil"/>
              <w:bottom w:val="nil"/>
              <w:right w:val="nil"/>
            </w:tcBorders>
            <w:shd w:val="clear" w:color="auto" w:fill="auto"/>
            <w:noWrap/>
            <w:vAlign w:val="center"/>
          </w:tcPr>
          <w:p w14:paraId="3E5AAB23">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yes</w:t>
            </w:r>
          </w:p>
        </w:tc>
        <w:tc>
          <w:tcPr>
            <w:tcW w:w="941" w:type="dxa"/>
            <w:tcBorders>
              <w:top w:val="nil"/>
              <w:left w:val="nil"/>
              <w:bottom w:val="nil"/>
              <w:right w:val="nil"/>
            </w:tcBorders>
            <w:shd w:val="clear" w:color="auto" w:fill="auto"/>
            <w:vAlign w:val="center"/>
          </w:tcPr>
          <w:p w14:paraId="05C8A577">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B</w:t>
            </w:r>
          </w:p>
        </w:tc>
      </w:tr>
      <w:tr w14:paraId="08983970">
        <w:tblPrEx>
          <w:tblCellMar>
            <w:top w:w="0" w:type="dxa"/>
            <w:left w:w="108" w:type="dxa"/>
            <w:bottom w:w="0" w:type="dxa"/>
            <w:right w:w="108" w:type="dxa"/>
          </w:tblCellMar>
        </w:tblPrEx>
        <w:trPr>
          <w:trHeight w:val="517" w:hRule="atLeast"/>
          <w:jc w:val="center"/>
        </w:trPr>
        <w:tc>
          <w:tcPr>
            <w:tcW w:w="1706" w:type="dxa"/>
            <w:tcBorders>
              <w:top w:val="nil"/>
              <w:left w:val="nil"/>
              <w:bottom w:val="nil"/>
              <w:right w:val="nil"/>
            </w:tcBorders>
            <w:shd w:val="clear" w:color="auto" w:fill="auto"/>
            <w:noWrap/>
            <w:vAlign w:val="center"/>
          </w:tcPr>
          <w:p w14:paraId="233565A6">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Mondkar 2024</w:t>
            </w:r>
          </w:p>
        </w:tc>
        <w:tc>
          <w:tcPr>
            <w:tcW w:w="825" w:type="dxa"/>
            <w:tcBorders>
              <w:top w:val="nil"/>
              <w:left w:val="nil"/>
              <w:bottom w:val="nil"/>
              <w:right w:val="nil"/>
            </w:tcBorders>
            <w:shd w:val="clear" w:color="auto" w:fill="auto"/>
            <w:noWrap/>
            <w:vAlign w:val="center"/>
          </w:tcPr>
          <w:p w14:paraId="725B4346">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PC</w:t>
            </w:r>
          </w:p>
        </w:tc>
        <w:tc>
          <w:tcPr>
            <w:tcW w:w="1001" w:type="dxa"/>
            <w:tcBorders>
              <w:top w:val="nil"/>
              <w:left w:val="nil"/>
              <w:bottom w:val="nil"/>
              <w:right w:val="nil"/>
            </w:tcBorders>
            <w:shd w:val="clear" w:color="auto" w:fill="auto"/>
            <w:noWrap/>
            <w:vAlign w:val="center"/>
          </w:tcPr>
          <w:p w14:paraId="4778542E">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India</w:t>
            </w:r>
          </w:p>
        </w:tc>
        <w:tc>
          <w:tcPr>
            <w:tcW w:w="2730" w:type="dxa"/>
            <w:tcBorders>
              <w:top w:val="nil"/>
              <w:left w:val="nil"/>
              <w:bottom w:val="nil"/>
              <w:right w:val="nil"/>
            </w:tcBorders>
            <w:shd w:val="clear" w:color="auto" w:fill="auto"/>
            <w:noWrap/>
            <w:vAlign w:val="center"/>
          </w:tcPr>
          <w:p w14:paraId="6C3621D5">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Adolescents with T1DM, aged 10-19 years</w:t>
            </w:r>
          </w:p>
        </w:tc>
        <w:tc>
          <w:tcPr>
            <w:tcW w:w="2372" w:type="dxa"/>
            <w:tcBorders>
              <w:top w:val="nil"/>
              <w:left w:val="nil"/>
              <w:bottom w:val="nil"/>
              <w:right w:val="nil"/>
            </w:tcBorders>
            <w:shd w:val="clear" w:color="auto" w:fill="auto"/>
            <w:noWrap/>
            <w:vAlign w:val="center"/>
          </w:tcPr>
          <w:p w14:paraId="6CA26892">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Tertiary care center, Western Maharashtra</w:t>
            </w:r>
          </w:p>
        </w:tc>
        <w:tc>
          <w:tcPr>
            <w:tcW w:w="1703" w:type="dxa"/>
            <w:tcBorders>
              <w:top w:val="nil"/>
              <w:left w:val="nil"/>
              <w:bottom w:val="nil"/>
              <w:right w:val="nil"/>
            </w:tcBorders>
            <w:shd w:val="clear" w:color="auto" w:fill="auto"/>
            <w:noWrap/>
            <w:vAlign w:val="center"/>
          </w:tcPr>
          <w:p w14:paraId="3A1A2A5B">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November 2019 to August 2020</w:t>
            </w:r>
          </w:p>
        </w:tc>
        <w:tc>
          <w:tcPr>
            <w:tcW w:w="1270" w:type="dxa"/>
            <w:tcBorders>
              <w:top w:val="nil"/>
              <w:left w:val="nil"/>
              <w:bottom w:val="nil"/>
              <w:right w:val="nil"/>
            </w:tcBorders>
            <w:shd w:val="clear" w:color="auto" w:fill="auto"/>
            <w:noWrap/>
            <w:vAlign w:val="center"/>
          </w:tcPr>
          <w:p w14:paraId="793B2132">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5.2 ±2.3</w:t>
            </w:r>
          </w:p>
        </w:tc>
        <w:tc>
          <w:tcPr>
            <w:tcW w:w="889" w:type="dxa"/>
            <w:tcBorders>
              <w:top w:val="nil"/>
              <w:left w:val="nil"/>
              <w:bottom w:val="nil"/>
              <w:right w:val="nil"/>
            </w:tcBorders>
            <w:shd w:val="clear" w:color="auto" w:fill="auto"/>
            <w:noWrap/>
            <w:vAlign w:val="center"/>
          </w:tcPr>
          <w:p w14:paraId="75977867">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82</w:t>
            </w:r>
          </w:p>
        </w:tc>
        <w:tc>
          <w:tcPr>
            <w:tcW w:w="864" w:type="dxa"/>
            <w:tcBorders>
              <w:top w:val="nil"/>
              <w:left w:val="nil"/>
              <w:bottom w:val="nil"/>
              <w:right w:val="nil"/>
            </w:tcBorders>
            <w:shd w:val="clear" w:color="auto" w:fill="auto"/>
            <w:noWrap/>
            <w:vAlign w:val="center"/>
          </w:tcPr>
          <w:p w14:paraId="1958FEF0">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51%</w:t>
            </w:r>
          </w:p>
        </w:tc>
        <w:tc>
          <w:tcPr>
            <w:tcW w:w="1249" w:type="dxa"/>
            <w:tcBorders>
              <w:top w:val="nil"/>
              <w:left w:val="nil"/>
              <w:bottom w:val="nil"/>
              <w:right w:val="nil"/>
            </w:tcBorders>
            <w:shd w:val="clear" w:color="auto" w:fill="auto"/>
            <w:noWrap/>
            <w:vAlign w:val="center"/>
          </w:tcPr>
          <w:p w14:paraId="32D0B6FE">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14.7 ±2.9</w:t>
            </w:r>
          </w:p>
        </w:tc>
        <w:tc>
          <w:tcPr>
            <w:tcW w:w="1025" w:type="dxa"/>
            <w:tcBorders>
              <w:top w:val="nil"/>
              <w:left w:val="nil"/>
              <w:bottom w:val="nil"/>
              <w:right w:val="nil"/>
            </w:tcBorders>
            <w:shd w:val="clear" w:color="auto" w:fill="auto"/>
            <w:noWrap/>
            <w:vAlign w:val="center"/>
          </w:tcPr>
          <w:p w14:paraId="588361D3">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yes</w:t>
            </w:r>
          </w:p>
        </w:tc>
        <w:tc>
          <w:tcPr>
            <w:tcW w:w="941" w:type="dxa"/>
            <w:tcBorders>
              <w:top w:val="nil"/>
              <w:left w:val="nil"/>
              <w:bottom w:val="nil"/>
              <w:right w:val="nil"/>
            </w:tcBorders>
            <w:shd w:val="clear" w:color="auto" w:fill="auto"/>
            <w:vAlign w:val="center"/>
          </w:tcPr>
          <w:p w14:paraId="2BB194B0">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A</w:t>
            </w:r>
          </w:p>
        </w:tc>
      </w:tr>
      <w:tr w14:paraId="5EA6C45C">
        <w:tblPrEx>
          <w:tblCellMar>
            <w:top w:w="0" w:type="dxa"/>
            <w:left w:w="108" w:type="dxa"/>
            <w:bottom w:w="0" w:type="dxa"/>
            <w:right w:w="108" w:type="dxa"/>
          </w:tblCellMar>
        </w:tblPrEx>
        <w:trPr>
          <w:trHeight w:val="517" w:hRule="atLeast"/>
          <w:jc w:val="center"/>
        </w:trPr>
        <w:tc>
          <w:tcPr>
            <w:tcW w:w="1706" w:type="dxa"/>
            <w:tcBorders>
              <w:top w:val="nil"/>
              <w:left w:val="nil"/>
              <w:bottom w:val="nil"/>
              <w:right w:val="nil"/>
            </w:tcBorders>
            <w:shd w:val="clear" w:color="auto" w:fill="auto"/>
            <w:noWrap/>
            <w:vAlign w:val="center"/>
          </w:tcPr>
          <w:p w14:paraId="04C7E215">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Özkaya 2024</w:t>
            </w:r>
          </w:p>
        </w:tc>
        <w:tc>
          <w:tcPr>
            <w:tcW w:w="825" w:type="dxa"/>
            <w:tcBorders>
              <w:top w:val="nil"/>
              <w:left w:val="nil"/>
              <w:bottom w:val="nil"/>
              <w:right w:val="nil"/>
            </w:tcBorders>
            <w:shd w:val="clear" w:color="auto" w:fill="auto"/>
            <w:noWrap/>
            <w:vAlign w:val="center"/>
          </w:tcPr>
          <w:p w14:paraId="0580E65A">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CS</w:t>
            </w:r>
          </w:p>
        </w:tc>
        <w:tc>
          <w:tcPr>
            <w:tcW w:w="1001" w:type="dxa"/>
            <w:tcBorders>
              <w:top w:val="nil"/>
              <w:left w:val="nil"/>
              <w:bottom w:val="nil"/>
              <w:right w:val="nil"/>
            </w:tcBorders>
            <w:shd w:val="clear" w:color="auto" w:fill="auto"/>
            <w:noWrap/>
            <w:vAlign w:val="center"/>
          </w:tcPr>
          <w:p w14:paraId="0E5518CA">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Turkey</w:t>
            </w:r>
          </w:p>
        </w:tc>
        <w:tc>
          <w:tcPr>
            <w:tcW w:w="2730" w:type="dxa"/>
            <w:tcBorders>
              <w:top w:val="nil"/>
              <w:left w:val="nil"/>
              <w:bottom w:val="nil"/>
              <w:right w:val="nil"/>
            </w:tcBorders>
            <w:shd w:val="clear" w:color="auto" w:fill="auto"/>
            <w:noWrap/>
            <w:vAlign w:val="center"/>
          </w:tcPr>
          <w:p w14:paraId="2A0992AF">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Children and adolescents with T1DM, aged 6-18 years</w:t>
            </w:r>
          </w:p>
        </w:tc>
        <w:tc>
          <w:tcPr>
            <w:tcW w:w="2372" w:type="dxa"/>
            <w:tcBorders>
              <w:top w:val="nil"/>
              <w:left w:val="nil"/>
              <w:bottom w:val="nil"/>
              <w:right w:val="nil"/>
            </w:tcBorders>
            <w:shd w:val="clear" w:color="auto" w:fill="auto"/>
            <w:noWrap/>
            <w:vAlign w:val="center"/>
          </w:tcPr>
          <w:p w14:paraId="4550D0C2">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Bursa Uludağ University Health Research Center</w:t>
            </w:r>
          </w:p>
        </w:tc>
        <w:tc>
          <w:tcPr>
            <w:tcW w:w="1703" w:type="dxa"/>
            <w:tcBorders>
              <w:top w:val="nil"/>
              <w:left w:val="nil"/>
              <w:bottom w:val="nil"/>
              <w:right w:val="nil"/>
            </w:tcBorders>
            <w:shd w:val="clear" w:color="auto" w:fill="auto"/>
            <w:noWrap/>
            <w:vAlign w:val="center"/>
          </w:tcPr>
          <w:p w14:paraId="7A65108E">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December 2019 to June 2020</w:t>
            </w:r>
          </w:p>
        </w:tc>
        <w:tc>
          <w:tcPr>
            <w:tcW w:w="1270" w:type="dxa"/>
            <w:tcBorders>
              <w:top w:val="nil"/>
              <w:left w:val="nil"/>
              <w:bottom w:val="nil"/>
              <w:right w:val="nil"/>
            </w:tcBorders>
            <w:shd w:val="clear" w:color="auto" w:fill="auto"/>
            <w:noWrap/>
            <w:vAlign w:val="center"/>
          </w:tcPr>
          <w:p w14:paraId="477A3F8D">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5.3±3.3</w:t>
            </w:r>
          </w:p>
        </w:tc>
        <w:tc>
          <w:tcPr>
            <w:tcW w:w="889" w:type="dxa"/>
            <w:tcBorders>
              <w:top w:val="nil"/>
              <w:left w:val="nil"/>
              <w:bottom w:val="nil"/>
              <w:right w:val="nil"/>
            </w:tcBorders>
            <w:shd w:val="clear" w:color="auto" w:fill="auto"/>
            <w:noWrap/>
            <w:vAlign w:val="center"/>
          </w:tcPr>
          <w:p w14:paraId="09261A4A">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150</w:t>
            </w:r>
          </w:p>
        </w:tc>
        <w:tc>
          <w:tcPr>
            <w:tcW w:w="864" w:type="dxa"/>
            <w:tcBorders>
              <w:top w:val="nil"/>
              <w:left w:val="nil"/>
              <w:bottom w:val="nil"/>
              <w:right w:val="nil"/>
            </w:tcBorders>
            <w:shd w:val="clear" w:color="auto" w:fill="auto"/>
            <w:noWrap/>
            <w:vAlign w:val="center"/>
          </w:tcPr>
          <w:p w14:paraId="1E01E6D9">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47%</w:t>
            </w:r>
          </w:p>
        </w:tc>
        <w:tc>
          <w:tcPr>
            <w:tcW w:w="1249" w:type="dxa"/>
            <w:tcBorders>
              <w:top w:val="nil"/>
              <w:left w:val="nil"/>
              <w:bottom w:val="nil"/>
              <w:right w:val="nil"/>
            </w:tcBorders>
            <w:shd w:val="clear" w:color="auto" w:fill="auto"/>
            <w:noWrap/>
            <w:vAlign w:val="center"/>
          </w:tcPr>
          <w:p w14:paraId="1CC99759">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12.2±3.1</w:t>
            </w:r>
          </w:p>
        </w:tc>
        <w:tc>
          <w:tcPr>
            <w:tcW w:w="1025" w:type="dxa"/>
            <w:tcBorders>
              <w:top w:val="nil"/>
              <w:left w:val="nil"/>
              <w:bottom w:val="nil"/>
              <w:right w:val="nil"/>
            </w:tcBorders>
            <w:shd w:val="clear" w:color="auto" w:fill="auto"/>
            <w:noWrap/>
            <w:vAlign w:val="center"/>
          </w:tcPr>
          <w:p w14:paraId="69FA29ED">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yes</w:t>
            </w:r>
          </w:p>
        </w:tc>
        <w:tc>
          <w:tcPr>
            <w:tcW w:w="941" w:type="dxa"/>
            <w:tcBorders>
              <w:top w:val="nil"/>
              <w:left w:val="nil"/>
              <w:bottom w:val="nil"/>
              <w:right w:val="nil"/>
            </w:tcBorders>
            <w:shd w:val="clear" w:color="auto" w:fill="auto"/>
            <w:vAlign w:val="center"/>
          </w:tcPr>
          <w:p w14:paraId="5F39173A">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A</w:t>
            </w:r>
          </w:p>
        </w:tc>
      </w:tr>
      <w:tr w14:paraId="4716C830">
        <w:tblPrEx>
          <w:tblCellMar>
            <w:top w:w="0" w:type="dxa"/>
            <w:left w:w="108" w:type="dxa"/>
            <w:bottom w:w="0" w:type="dxa"/>
            <w:right w:w="108" w:type="dxa"/>
          </w:tblCellMar>
        </w:tblPrEx>
        <w:trPr>
          <w:trHeight w:val="517" w:hRule="atLeast"/>
          <w:jc w:val="center"/>
        </w:trPr>
        <w:tc>
          <w:tcPr>
            <w:tcW w:w="1706" w:type="dxa"/>
            <w:tcBorders>
              <w:top w:val="nil"/>
              <w:left w:val="nil"/>
              <w:bottom w:val="nil"/>
              <w:right w:val="nil"/>
            </w:tcBorders>
            <w:shd w:val="clear" w:color="auto" w:fill="auto"/>
            <w:noWrap/>
            <w:vAlign w:val="center"/>
          </w:tcPr>
          <w:p w14:paraId="036523FF">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Cielonko 2023  </w:t>
            </w:r>
          </w:p>
        </w:tc>
        <w:tc>
          <w:tcPr>
            <w:tcW w:w="825" w:type="dxa"/>
            <w:tcBorders>
              <w:top w:val="nil"/>
              <w:left w:val="nil"/>
              <w:bottom w:val="nil"/>
              <w:right w:val="nil"/>
            </w:tcBorders>
            <w:shd w:val="clear" w:color="auto" w:fill="auto"/>
            <w:noWrap/>
            <w:vAlign w:val="center"/>
          </w:tcPr>
          <w:p w14:paraId="030D47B4">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CS</w:t>
            </w:r>
          </w:p>
        </w:tc>
        <w:tc>
          <w:tcPr>
            <w:tcW w:w="1001" w:type="dxa"/>
            <w:tcBorders>
              <w:top w:val="nil"/>
              <w:left w:val="nil"/>
              <w:bottom w:val="nil"/>
              <w:right w:val="nil"/>
            </w:tcBorders>
            <w:shd w:val="clear" w:color="auto" w:fill="auto"/>
            <w:noWrap/>
            <w:vAlign w:val="center"/>
          </w:tcPr>
          <w:p w14:paraId="26A86368">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USA</w:t>
            </w:r>
          </w:p>
        </w:tc>
        <w:tc>
          <w:tcPr>
            <w:tcW w:w="2730" w:type="dxa"/>
            <w:tcBorders>
              <w:top w:val="nil"/>
              <w:left w:val="nil"/>
              <w:bottom w:val="nil"/>
              <w:right w:val="nil"/>
            </w:tcBorders>
            <w:shd w:val="clear" w:color="auto" w:fill="auto"/>
            <w:noWrap/>
            <w:vAlign w:val="center"/>
          </w:tcPr>
          <w:p w14:paraId="2A8EB02C">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Youth with T1DM, aged 6-18 years </w:t>
            </w:r>
          </w:p>
        </w:tc>
        <w:tc>
          <w:tcPr>
            <w:tcW w:w="2372" w:type="dxa"/>
            <w:tcBorders>
              <w:top w:val="nil"/>
              <w:left w:val="nil"/>
              <w:bottom w:val="nil"/>
              <w:right w:val="nil"/>
            </w:tcBorders>
            <w:shd w:val="clear" w:color="auto" w:fill="auto"/>
            <w:noWrap/>
            <w:vAlign w:val="center"/>
          </w:tcPr>
          <w:p w14:paraId="5320ACAE">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Phoenix Children's Hospital</w:t>
            </w:r>
          </w:p>
        </w:tc>
        <w:tc>
          <w:tcPr>
            <w:tcW w:w="1703" w:type="dxa"/>
            <w:tcBorders>
              <w:top w:val="nil"/>
              <w:left w:val="nil"/>
              <w:bottom w:val="nil"/>
              <w:right w:val="nil"/>
            </w:tcBorders>
            <w:shd w:val="clear" w:color="auto" w:fill="auto"/>
            <w:noWrap/>
            <w:vAlign w:val="center"/>
          </w:tcPr>
          <w:p w14:paraId="26287360">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NR</w:t>
            </w:r>
          </w:p>
        </w:tc>
        <w:tc>
          <w:tcPr>
            <w:tcW w:w="1270" w:type="dxa"/>
            <w:tcBorders>
              <w:top w:val="nil"/>
              <w:left w:val="nil"/>
              <w:bottom w:val="nil"/>
              <w:right w:val="nil"/>
            </w:tcBorders>
            <w:shd w:val="clear" w:color="auto" w:fill="auto"/>
            <w:noWrap/>
            <w:vAlign w:val="center"/>
          </w:tcPr>
          <w:p w14:paraId="25185EA2">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7.7 ± 2.6  </w:t>
            </w:r>
          </w:p>
        </w:tc>
        <w:tc>
          <w:tcPr>
            <w:tcW w:w="889" w:type="dxa"/>
            <w:tcBorders>
              <w:top w:val="nil"/>
              <w:left w:val="nil"/>
              <w:bottom w:val="nil"/>
              <w:right w:val="nil"/>
            </w:tcBorders>
            <w:shd w:val="clear" w:color="auto" w:fill="auto"/>
            <w:noWrap/>
            <w:vAlign w:val="center"/>
          </w:tcPr>
          <w:p w14:paraId="477668D4">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38</w:t>
            </w:r>
          </w:p>
        </w:tc>
        <w:tc>
          <w:tcPr>
            <w:tcW w:w="864" w:type="dxa"/>
            <w:tcBorders>
              <w:top w:val="nil"/>
              <w:left w:val="nil"/>
              <w:bottom w:val="nil"/>
              <w:right w:val="nil"/>
            </w:tcBorders>
            <w:shd w:val="clear" w:color="auto" w:fill="auto"/>
            <w:noWrap/>
            <w:vAlign w:val="center"/>
          </w:tcPr>
          <w:p w14:paraId="2626CA71">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36.84%</w:t>
            </w:r>
          </w:p>
        </w:tc>
        <w:tc>
          <w:tcPr>
            <w:tcW w:w="1249" w:type="dxa"/>
            <w:tcBorders>
              <w:top w:val="nil"/>
              <w:left w:val="nil"/>
              <w:bottom w:val="nil"/>
              <w:right w:val="nil"/>
            </w:tcBorders>
            <w:shd w:val="clear" w:color="auto" w:fill="auto"/>
            <w:noWrap/>
            <w:vAlign w:val="center"/>
          </w:tcPr>
          <w:p w14:paraId="45A4DE83">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13.3 ± 3.0</w:t>
            </w:r>
          </w:p>
        </w:tc>
        <w:tc>
          <w:tcPr>
            <w:tcW w:w="1025" w:type="dxa"/>
            <w:tcBorders>
              <w:top w:val="nil"/>
              <w:left w:val="nil"/>
              <w:bottom w:val="nil"/>
              <w:right w:val="nil"/>
            </w:tcBorders>
            <w:shd w:val="clear" w:color="auto" w:fill="auto"/>
            <w:noWrap/>
            <w:vAlign w:val="center"/>
          </w:tcPr>
          <w:p w14:paraId="0969F316">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yes</w:t>
            </w:r>
          </w:p>
        </w:tc>
        <w:tc>
          <w:tcPr>
            <w:tcW w:w="941" w:type="dxa"/>
            <w:tcBorders>
              <w:top w:val="nil"/>
              <w:left w:val="nil"/>
              <w:bottom w:val="nil"/>
              <w:right w:val="nil"/>
            </w:tcBorders>
            <w:shd w:val="clear" w:color="auto" w:fill="auto"/>
            <w:vAlign w:val="center"/>
          </w:tcPr>
          <w:p w14:paraId="521FE837">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w:t>
            </w:r>
          </w:p>
        </w:tc>
      </w:tr>
      <w:tr w14:paraId="6DE2C465">
        <w:tblPrEx>
          <w:tblCellMar>
            <w:top w:w="0" w:type="dxa"/>
            <w:left w:w="108" w:type="dxa"/>
            <w:bottom w:w="0" w:type="dxa"/>
            <w:right w:w="108" w:type="dxa"/>
          </w:tblCellMar>
        </w:tblPrEx>
        <w:trPr>
          <w:trHeight w:val="775" w:hRule="atLeast"/>
          <w:jc w:val="center"/>
        </w:trPr>
        <w:tc>
          <w:tcPr>
            <w:tcW w:w="1706" w:type="dxa"/>
            <w:tcBorders>
              <w:top w:val="nil"/>
              <w:left w:val="nil"/>
              <w:bottom w:val="nil"/>
              <w:right w:val="nil"/>
            </w:tcBorders>
            <w:shd w:val="clear" w:color="auto" w:fill="auto"/>
            <w:noWrap/>
            <w:vAlign w:val="center"/>
          </w:tcPr>
          <w:p w14:paraId="17C903F0">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Canat 2023 </w:t>
            </w:r>
          </w:p>
        </w:tc>
        <w:tc>
          <w:tcPr>
            <w:tcW w:w="825" w:type="dxa"/>
            <w:tcBorders>
              <w:top w:val="nil"/>
              <w:left w:val="nil"/>
              <w:bottom w:val="nil"/>
              <w:right w:val="nil"/>
            </w:tcBorders>
            <w:shd w:val="clear" w:color="auto" w:fill="auto"/>
            <w:noWrap/>
            <w:vAlign w:val="center"/>
          </w:tcPr>
          <w:p w14:paraId="6916510B">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CS</w:t>
            </w:r>
          </w:p>
        </w:tc>
        <w:tc>
          <w:tcPr>
            <w:tcW w:w="1001" w:type="dxa"/>
            <w:tcBorders>
              <w:top w:val="nil"/>
              <w:left w:val="nil"/>
              <w:bottom w:val="nil"/>
              <w:right w:val="nil"/>
            </w:tcBorders>
            <w:shd w:val="clear" w:color="auto" w:fill="auto"/>
            <w:noWrap/>
            <w:vAlign w:val="center"/>
          </w:tcPr>
          <w:p w14:paraId="664B0D27">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Turkey</w:t>
            </w:r>
          </w:p>
        </w:tc>
        <w:tc>
          <w:tcPr>
            <w:tcW w:w="2730" w:type="dxa"/>
            <w:tcBorders>
              <w:top w:val="nil"/>
              <w:left w:val="nil"/>
              <w:bottom w:val="nil"/>
              <w:right w:val="nil"/>
            </w:tcBorders>
            <w:shd w:val="clear" w:color="auto" w:fill="auto"/>
            <w:noWrap/>
            <w:vAlign w:val="center"/>
          </w:tcPr>
          <w:p w14:paraId="6641BD35">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Adults with T1DM who were on multiple insulin injections or continuous insulin infusion</w:t>
            </w:r>
          </w:p>
        </w:tc>
        <w:tc>
          <w:tcPr>
            <w:tcW w:w="2372" w:type="dxa"/>
            <w:tcBorders>
              <w:top w:val="nil"/>
              <w:left w:val="nil"/>
              <w:bottom w:val="nil"/>
              <w:right w:val="nil"/>
            </w:tcBorders>
            <w:shd w:val="clear" w:color="auto" w:fill="auto"/>
            <w:noWrap/>
            <w:vAlign w:val="center"/>
          </w:tcPr>
          <w:p w14:paraId="41C0D12A">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Sisli Hamidiye Etfal Training and Research Hospital</w:t>
            </w:r>
          </w:p>
        </w:tc>
        <w:tc>
          <w:tcPr>
            <w:tcW w:w="1703" w:type="dxa"/>
            <w:tcBorders>
              <w:top w:val="nil"/>
              <w:left w:val="nil"/>
              <w:bottom w:val="nil"/>
              <w:right w:val="nil"/>
            </w:tcBorders>
            <w:shd w:val="clear" w:color="auto" w:fill="auto"/>
            <w:noWrap/>
            <w:vAlign w:val="center"/>
          </w:tcPr>
          <w:p w14:paraId="3B6A07E7">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January to December, 2022</w:t>
            </w:r>
          </w:p>
        </w:tc>
        <w:tc>
          <w:tcPr>
            <w:tcW w:w="1270" w:type="dxa"/>
            <w:tcBorders>
              <w:top w:val="nil"/>
              <w:left w:val="nil"/>
              <w:bottom w:val="nil"/>
              <w:right w:val="nil"/>
            </w:tcBorders>
            <w:shd w:val="clear" w:color="auto" w:fill="auto"/>
            <w:noWrap/>
            <w:vAlign w:val="center"/>
          </w:tcPr>
          <w:p w14:paraId="75620798">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11.67±8.89</w:t>
            </w:r>
          </w:p>
        </w:tc>
        <w:tc>
          <w:tcPr>
            <w:tcW w:w="889" w:type="dxa"/>
            <w:tcBorders>
              <w:top w:val="nil"/>
              <w:left w:val="nil"/>
              <w:bottom w:val="nil"/>
              <w:right w:val="nil"/>
            </w:tcBorders>
            <w:shd w:val="clear" w:color="auto" w:fill="auto"/>
            <w:noWrap/>
            <w:vAlign w:val="center"/>
          </w:tcPr>
          <w:p w14:paraId="5968F022">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184</w:t>
            </w:r>
          </w:p>
        </w:tc>
        <w:tc>
          <w:tcPr>
            <w:tcW w:w="864" w:type="dxa"/>
            <w:tcBorders>
              <w:top w:val="nil"/>
              <w:left w:val="nil"/>
              <w:bottom w:val="nil"/>
              <w:right w:val="nil"/>
            </w:tcBorders>
            <w:shd w:val="clear" w:color="auto" w:fill="auto"/>
            <w:noWrap/>
            <w:vAlign w:val="center"/>
          </w:tcPr>
          <w:p w14:paraId="660F4234">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48.30%</w:t>
            </w:r>
          </w:p>
        </w:tc>
        <w:tc>
          <w:tcPr>
            <w:tcW w:w="1249" w:type="dxa"/>
            <w:tcBorders>
              <w:top w:val="nil"/>
              <w:left w:val="nil"/>
              <w:bottom w:val="nil"/>
              <w:right w:val="nil"/>
            </w:tcBorders>
            <w:shd w:val="clear" w:color="auto" w:fill="auto"/>
            <w:noWrap/>
            <w:vAlign w:val="center"/>
          </w:tcPr>
          <w:p w14:paraId="42E9E0AB">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33.18±10.86</w:t>
            </w:r>
          </w:p>
        </w:tc>
        <w:tc>
          <w:tcPr>
            <w:tcW w:w="1025" w:type="dxa"/>
            <w:tcBorders>
              <w:top w:val="nil"/>
              <w:left w:val="nil"/>
              <w:bottom w:val="nil"/>
              <w:right w:val="nil"/>
            </w:tcBorders>
            <w:shd w:val="clear" w:color="auto" w:fill="auto"/>
            <w:noWrap/>
            <w:vAlign w:val="center"/>
          </w:tcPr>
          <w:p w14:paraId="5DC56A13">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yes</w:t>
            </w:r>
          </w:p>
        </w:tc>
        <w:tc>
          <w:tcPr>
            <w:tcW w:w="941" w:type="dxa"/>
            <w:tcBorders>
              <w:top w:val="nil"/>
              <w:left w:val="nil"/>
              <w:bottom w:val="nil"/>
              <w:right w:val="nil"/>
            </w:tcBorders>
            <w:shd w:val="clear" w:color="auto" w:fill="auto"/>
            <w:vAlign w:val="center"/>
          </w:tcPr>
          <w:p w14:paraId="0798C6C6">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A</w:t>
            </w:r>
          </w:p>
        </w:tc>
      </w:tr>
      <w:tr w14:paraId="5F53D14A">
        <w:tblPrEx>
          <w:tblCellMar>
            <w:top w:w="0" w:type="dxa"/>
            <w:left w:w="108" w:type="dxa"/>
            <w:bottom w:w="0" w:type="dxa"/>
            <w:right w:w="108" w:type="dxa"/>
          </w:tblCellMar>
        </w:tblPrEx>
        <w:trPr>
          <w:trHeight w:val="517" w:hRule="atLeast"/>
          <w:jc w:val="center"/>
        </w:trPr>
        <w:tc>
          <w:tcPr>
            <w:tcW w:w="1706" w:type="dxa"/>
            <w:tcBorders>
              <w:top w:val="nil"/>
              <w:left w:val="nil"/>
              <w:bottom w:val="nil"/>
              <w:right w:val="nil"/>
            </w:tcBorders>
            <w:shd w:val="clear" w:color="auto" w:fill="auto"/>
            <w:noWrap/>
            <w:vAlign w:val="center"/>
          </w:tcPr>
          <w:p w14:paraId="0864D30B">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Malinowska-Polubiec 2023 </w:t>
            </w:r>
          </w:p>
        </w:tc>
        <w:tc>
          <w:tcPr>
            <w:tcW w:w="825" w:type="dxa"/>
            <w:tcBorders>
              <w:top w:val="nil"/>
              <w:left w:val="nil"/>
              <w:bottom w:val="nil"/>
              <w:right w:val="nil"/>
            </w:tcBorders>
            <w:shd w:val="clear" w:color="auto" w:fill="auto"/>
            <w:noWrap/>
            <w:vAlign w:val="center"/>
          </w:tcPr>
          <w:p w14:paraId="14A7FE83">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RC</w:t>
            </w:r>
          </w:p>
        </w:tc>
        <w:tc>
          <w:tcPr>
            <w:tcW w:w="1001" w:type="dxa"/>
            <w:tcBorders>
              <w:top w:val="nil"/>
              <w:left w:val="nil"/>
              <w:bottom w:val="nil"/>
              <w:right w:val="nil"/>
            </w:tcBorders>
            <w:shd w:val="clear" w:color="auto" w:fill="auto"/>
            <w:noWrap/>
            <w:vAlign w:val="center"/>
          </w:tcPr>
          <w:p w14:paraId="719C05B4">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Poland</w:t>
            </w:r>
          </w:p>
        </w:tc>
        <w:tc>
          <w:tcPr>
            <w:tcW w:w="2730" w:type="dxa"/>
            <w:tcBorders>
              <w:top w:val="nil"/>
              <w:left w:val="nil"/>
              <w:bottom w:val="nil"/>
              <w:right w:val="nil"/>
            </w:tcBorders>
            <w:shd w:val="clear" w:color="auto" w:fill="auto"/>
            <w:noWrap/>
            <w:vAlign w:val="center"/>
          </w:tcPr>
          <w:p w14:paraId="3DB691B9">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Pregnant women with T1DM</w:t>
            </w:r>
          </w:p>
        </w:tc>
        <w:tc>
          <w:tcPr>
            <w:tcW w:w="2372" w:type="dxa"/>
            <w:tcBorders>
              <w:top w:val="nil"/>
              <w:left w:val="nil"/>
              <w:bottom w:val="nil"/>
              <w:right w:val="nil"/>
            </w:tcBorders>
            <w:shd w:val="clear" w:color="auto" w:fill="auto"/>
            <w:vAlign w:val="center"/>
          </w:tcPr>
          <w:p w14:paraId="25B2E91D">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Three public perinatal tertiary referral centers </w:t>
            </w:r>
          </w:p>
        </w:tc>
        <w:tc>
          <w:tcPr>
            <w:tcW w:w="1703" w:type="dxa"/>
            <w:tcBorders>
              <w:top w:val="nil"/>
              <w:left w:val="nil"/>
              <w:bottom w:val="nil"/>
              <w:right w:val="nil"/>
            </w:tcBorders>
            <w:shd w:val="clear" w:color="auto" w:fill="auto"/>
            <w:noWrap/>
            <w:vAlign w:val="center"/>
          </w:tcPr>
          <w:p w14:paraId="21DB8283">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2015 to 2022</w:t>
            </w:r>
          </w:p>
        </w:tc>
        <w:tc>
          <w:tcPr>
            <w:tcW w:w="1270" w:type="dxa"/>
            <w:tcBorders>
              <w:top w:val="nil"/>
              <w:left w:val="nil"/>
              <w:bottom w:val="nil"/>
              <w:right w:val="nil"/>
            </w:tcBorders>
            <w:shd w:val="clear" w:color="auto" w:fill="auto"/>
            <w:noWrap/>
            <w:vAlign w:val="center"/>
          </w:tcPr>
          <w:p w14:paraId="31FAD736">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12.0±7.9</w:t>
            </w:r>
          </w:p>
        </w:tc>
        <w:tc>
          <w:tcPr>
            <w:tcW w:w="889" w:type="dxa"/>
            <w:tcBorders>
              <w:top w:val="nil"/>
              <w:left w:val="nil"/>
              <w:bottom w:val="nil"/>
              <w:right w:val="nil"/>
            </w:tcBorders>
            <w:shd w:val="clear" w:color="auto" w:fill="auto"/>
            <w:noWrap/>
            <w:vAlign w:val="center"/>
          </w:tcPr>
          <w:p w14:paraId="3B002F49">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495</w:t>
            </w:r>
          </w:p>
        </w:tc>
        <w:tc>
          <w:tcPr>
            <w:tcW w:w="864" w:type="dxa"/>
            <w:tcBorders>
              <w:top w:val="nil"/>
              <w:left w:val="nil"/>
              <w:bottom w:val="nil"/>
              <w:right w:val="nil"/>
            </w:tcBorders>
            <w:shd w:val="clear" w:color="auto" w:fill="auto"/>
            <w:noWrap/>
            <w:vAlign w:val="center"/>
          </w:tcPr>
          <w:p w14:paraId="4C9977FD">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0</w:t>
            </w:r>
          </w:p>
        </w:tc>
        <w:tc>
          <w:tcPr>
            <w:tcW w:w="1249" w:type="dxa"/>
            <w:tcBorders>
              <w:top w:val="nil"/>
              <w:left w:val="nil"/>
              <w:bottom w:val="nil"/>
              <w:right w:val="nil"/>
            </w:tcBorders>
            <w:shd w:val="clear" w:color="auto" w:fill="auto"/>
            <w:noWrap/>
            <w:vAlign w:val="center"/>
          </w:tcPr>
          <w:p w14:paraId="2C911890">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30.0±5.1</w:t>
            </w:r>
          </w:p>
        </w:tc>
        <w:tc>
          <w:tcPr>
            <w:tcW w:w="1025" w:type="dxa"/>
            <w:tcBorders>
              <w:top w:val="nil"/>
              <w:left w:val="nil"/>
              <w:bottom w:val="nil"/>
              <w:right w:val="nil"/>
            </w:tcBorders>
            <w:shd w:val="clear" w:color="auto" w:fill="auto"/>
            <w:noWrap/>
            <w:vAlign w:val="center"/>
          </w:tcPr>
          <w:p w14:paraId="175C28BD">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no</w:t>
            </w:r>
          </w:p>
        </w:tc>
        <w:tc>
          <w:tcPr>
            <w:tcW w:w="941" w:type="dxa"/>
            <w:tcBorders>
              <w:top w:val="nil"/>
              <w:left w:val="nil"/>
              <w:bottom w:val="nil"/>
              <w:right w:val="nil"/>
            </w:tcBorders>
            <w:shd w:val="clear" w:color="auto" w:fill="auto"/>
            <w:noWrap/>
            <w:vAlign w:val="center"/>
          </w:tcPr>
          <w:p w14:paraId="5F8BD8F9">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B</w:t>
            </w:r>
          </w:p>
        </w:tc>
      </w:tr>
      <w:tr w14:paraId="42895E4B">
        <w:tblPrEx>
          <w:tblCellMar>
            <w:top w:w="0" w:type="dxa"/>
            <w:left w:w="108" w:type="dxa"/>
            <w:bottom w:w="0" w:type="dxa"/>
            <w:right w:w="108" w:type="dxa"/>
          </w:tblCellMar>
        </w:tblPrEx>
        <w:trPr>
          <w:trHeight w:val="775" w:hRule="atLeast"/>
          <w:jc w:val="center"/>
        </w:trPr>
        <w:tc>
          <w:tcPr>
            <w:tcW w:w="1706" w:type="dxa"/>
            <w:tcBorders>
              <w:top w:val="nil"/>
              <w:left w:val="nil"/>
              <w:bottom w:val="nil"/>
              <w:right w:val="nil"/>
            </w:tcBorders>
            <w:shd w:val="clear" w:color="auto" w:fill="auto"/>
            <w:noWrap/>
            <w:vAlign w:val="center"/>
          </w:tcPr>
          <w:p w14:paraId="1ABBF0FE">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Jirawatwarakul 2023</w:t>
            </w:r>
          </w:p>
        </w:tc>
        <w:tc>
          <w:tcPr>
            <w:tcW w:w="825" w:type="dxa"/>
            <w:tcBorders>
              <w:top w:val="nil"/>
              <w:left w:val="nil"/>
              <w:bottom w:val="nil"/>
              <w:right w:val="nil"/>
            </w:tcBorders>
            <w:shd w:val="clear" w:color="auto" w:fill="auto"/>
            <w:noWrap/>
            <w:vAlign w:val="center"/>
          </w:tcPr>
          <w:p w14:paraId="794A11F6">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RC</w:t>
            </w:r>
          </w:p>
        </w:tc>
        <w:tc>
          <w:tcPr>
            <w:tcW w:w="1001" w:type="dxa"/>
            <w:tcBorders>
              <w:top w:val="nil"/>
              <w:left w:val="nil"/>
              <w:bottom w:val="nil"/>
              <w:right w:val="nil"/>
            </w:tcBorders>
            <w:shd w:val="clear" w:color="auto" w:fill="auto"/>
            <w:noWrap/>
            <w:vAlign w:val="center"/>
          </w:tcPr>
          <w:p w14:paraId="6DEE5C71">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Thailand</w:t>
            </w:r>
          </w:p>
        </w:tc>
        <w:tc>
          <w:tcPr>
            <w:tcW w:w="2730" w:type="dxa"/>
            <w:tcBorders>
              <w:top w:val="nil"/>
              <w:left w:val="nil"/>
              <w:bottom w:val="nil"/>
              <w:right w:val="nil"/>
            </w:tcBorders>
            <w:shd w:val="clear" w:color="auto" w:fill="auto"/>
            <w:noWrap/>
            <w:vAlign w:val="center"/>
          </w:tcPr>
          <w:p w14:paraId="270D842B">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Individuals with T1DM, aged 18-50 years</w:t>
            </w:r>
          </w:p>
        </w:tc>
        <w:tc>
          <w:tcPr>
            <w:tcW w:w="2372" w:type="dxa"/>
            <w:tcBorders>
              <w:top w:val="nil"/>
              <w:left w:val="nil"/>
              <w:bottom w:val="nil"/>
              <w:right w:val="nil"/>
            </w:tcBorders>
            <w:shd w:val="clear" w:color="auto" w:fill="auto"/>
            <w:noWrap/>
            <w:vAlign w:val="center"/>
          </w:tcPr>
          <w:p w14:paraId="79CDCFF5">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Prince of Songkla University Hospital Health Information System</w:t>
            </w:r>
          </w:p>
        </w:tc>
        <w:tc>
          <w:tcPr>
            <w:tcW w:w="1703" w:type="dxa"/>
            <w:tcBorders>
              <w:top w:val="nil"/>
              <w:left w:val="nil"/>
              <w:bottom w:val="nil"/>
              <w:right w:val="nil"/>
            </w:tcBorders>
            <w:shd w:val="clear" w:color="auto" w:fill="auto"/>
            <w:noWrap/>
            <w:vAlign w:val="center"/>
          </w:tcPr>
          <w:p w14:paraId="094BDF44">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January 2001 to November 2022</w:t>
            </w:r>
          </w:p>
        </w:tc>
        <w:tc>
          <w:tcPr>
            <w:tcW w:w="1270" w:type="dxa"/>
            <w:tcBorders>
              <w:top w:val="nil"/>
              <w:left w:val="nil"/>
              <w:bottom w:val="nil"/>
              <w:right w:val="nil"/>
            </w:tcBorders>
            <w:shd w:val="clear" w:color="auto" w:fill="auto"/>
            <w:noWrap/>
            <w:vAlign w:val="center"/>
          </w:tcPr>
          <w:p w14:paraId="6C3FE5CF">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Median 2.9 </w:t>
            </w:r>
          </w:p>
        </w:tc>
        <w:tc>
          <w:tcPr>
            <w:tcW w:w="889" w:type="dxa"/>
            <w:tcBorders>
              <w:top w:val="nil"/>
              <w:left w:val="nil"/>
              <w:bottom w:val="nil"/>
              <w:right w:val="nil"/>
            </w:tcBorders>
            <w:shd w:val="clear" w:color="auto" w:fill="auto"/>
            <w:noWrap/>
            <w:vAlign w:val="center"/>
          </w:tcPr>
          <w:p w14:paraId="1B3C119F">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69</w:t>
            </w:r>
          </w:p>
        </w:tc>
        <w:tc>
          <w:tcPr>
            <w:tcW w:w="864" w:type="dxa"/>
            <w:tcBorders>
              <w:top w:val="nil"/>
              <w:left w:val="nil"/>
              <w:bottom w:val="nil"/>
              <w:right w:val="nil"/>
            </w:tcBorders>
            <w:shd w:val="clear" w:color="auto" w:fill="auto"/>
            <w:noWrap/>
            <w:vAlign w:val="center"/>
          </w:tcPr>
          <w:p w14:paraId="21FC8415">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26.09%</w:t>
            </w:r>
          </w:p>
        </w:tc>
        <w:tc>
          <w:tcPr>
            <w:tcW w:w="1249" w:type="dxa"/>
            <w:tcBorders>
              <w:top w:val="nil"/>
              <w:left w:val="nil"/>
              <w:bottom w:val="nil"/>
              <w:right w:val="nil"/>
            </w:tcBorders>
            <w:shd w:val="clear" w:color="auto" w:fill="auto"/>
            <w:noWrap/>
            <w:vAlign w:val="center"/>
          </w:tcPr>
          <w:p w14:paraId="1E990F56">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24.91±7.05 </w:t>
            </w:r>
          </w:p>
        </w:tc>
        <w:tc>
          <w:tcPr>
            <w:tcW w:w="1025" w:type="dxa"/>
            <w:tcBorders>
              <w:top w:val="nil"/>
              <w:left w:val="nil"/>
              <w:bottom w:val="nil"/>
              <w:right w:val="nil"/>
            </w:tcBorders>
            <w:shd w:val="clear" w:color="auto" w:fill="auto"/>
            <w:noWrap/>
            <w:vAlign w:val="center"/>
          </w:tcPr>
          <w:p w14:paraId="76C8A42E">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yes</w:t>
            </w:r>
          </w:p>
        </w:tc>
        <w:tc>
          <w:tcPr>
            <w:tcW w:w="941" w:type="dxa"/>
            <w:tcBorders>
              <w:top w:val="nil"/>
              <w:left w:val="nil"/>
              <w:bottom w:val="nil"/>
              <w:right w:val="nil"/>
            </w:tcBorders>
            <w:shd w:val="clear" w:color="auto" w:fill="auto"/>
            <w:noWrap/>
            <w:vAlign w:val="center"/>
          </w:tcPr>
          <w:p w14:paraId="53D6306A">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B</w:t>
            </w:r>
          </w:p>
        </w:tc>
      </w:tr>
      <w:tr w14:paraId="08EF16C1">
        <w:tblPrEx>
          <w:tblCellMar>
            <w:top w:w="0" w:type="dxa"/>
            <w:left w:w="108" w:type="dxa"/>
            <w:bottom w:w="0" w:type="dxa"/>
            <w:right w:w="108" w:type="dxa"/>
          </w:tblCellMar>
        </w:tblPrEx>
        <w:trPr>
          <w:trHeight w:val="517" w:hRule="atLeast"/>
          <w:jc w:val="center"/>
        </w:trPr>
        <w:tc>
          <w:tcPr>
            <w:tcW w:w="1706" w:type="dxa"/>
            <w:tcBorders>
              <w:top w:val="nil"/>
              <w:left w:val="nil"/>
              <w:bottom w:val="nil"/>
              <w:right w:val="nil"/>
            </w:tcBorders>
            <w:shd w:val="clear" w:color="auto" w:fill="auto"/>
            <w:noWrap/>
            <w:vAlign w:val="center"/>
          </w:tcPr>
          <w:p w14:paraId="1ABC9B70">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Oza 2023 </w:t>
            </w:r>
          </w:p>
        </w:tc>
        <w:tc>
          <w:tcPr>
            <w:tcW w:w="825" w:type="dxa"/>
            <w:tcBorders>
              <w:top w:val="nil"/>
              <w:left w:val="nil"/>
              <w:bottom w:val="nil"/>
              <w:right w:val="nil"/>
            </w:tcBorders>
            <w:shd w:val="clear" w:color="auto" w:fill="auto"/>
            <w:noWrap/>
            <w:vAlign w:val="center"/>
          </w:tcPr>
          <w:p w14:paraId="4C2F639B">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PC</w:t>
            </w:r>
          </w:p>
        </w:tc>
        <w:tc>
          <w:tcPr>
            <w:tcW w:w="1001" w:type="dxa"/>
            <w:tcBorders>
              <w:top w:val="nil"/>
              <w:left w:val="nil"/>
              <w:bottom w:val="nil"/>
              <w:right w:val="nil"/>
            </w:tcBorders>
            <w:shd w:val="clear" w:color="auto" w:fill="auto"/>
            <w:noWrap/>
            <w:vAlign w:val="center"/>
          </w:tcPr>
          <w:p w14:paraId="799F7BE6">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India</w:t>
            </w:r>
          </w:p>
        </w:tc>
        <w:tc>
          <w:tcPr>
            <w:tcW w:w="2730" w:type="dxa"/>
            <w:tcBorders>
              <w:top w:val="nil"/>
              <w:left w:val="nil"/>
              <w:bottom w:val="nil"/>
              <w:right w:val="nil"/>
            </w:tcBorders>
            <w:shd w:val="clear" w:color="auto" w:fill="auto"/>
            <w:noWrap/>
            <w:vAlign w:val="center"/>
          </w:tcPr>
          <w:p w14:paraId="736B8325">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Children and adolescents with T1DM, aged 3-18 years</w:t>
            </w:r>
          </w:p>
        </w:tc>
        <w:tc>
          <w:tcPr>
            <w:tcW w:w="2372" w:type="dxa"/>
            <w:tcBorders>
              <w:top w:val="nil"/>
              <w:left w:val="nil"/>
              <w:bottom w:val="nil"/>
              <w:right w:val="nil"/>
            </w:tcBorders>
            <w:shd w:val="clear" w:color="auto" w:fill="auto"/>
            <w:noWrap/>
            <w:vAlign w:val="center"/>
          </w:tcPr>
          <w:p w14:paraId="2C767A7B">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Tertiary care hospital in Pune</w:t>
            </w:r>
          </w:p>
        </w:tc>
        <w:tc>
          <w:tcPr>
            <w:tcW w:w="1703" w:type="dxa"/>
            <w:tcBorders>
              <w:top w:val="nil"/>
              <w:left w:val="nil"/>
              <w:bottom w:val="nil"/>
              <w:right w:val="nil"/>
            </w:tcBorders>
            <w:shd w:val="clear" w:color="auto" w:fill="auto"/>
            <w:noWrap/>
            <w:vAlign w:val="center"/>
          </w:tcPr>
          <w:p w14:paraId="03C3020F">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December 2015 to March 2016</w:t>
            </w:r>
          </w:p>
        </w:tc>
        <w:tc>
          <w:tcPr>
            <w:tcW w:w="1270" w:type="dxa"/>
            <w:tcBorders>
              <w:top w:val="nil"/>
              <w:left w:val="nil"/>
              <w:bottom w:val="nil"/>
              <w:right w:val="nil"/>
            </w:tcBorders>
            <w:shd w:val="clear" w:color="auto" w:fill="auto"/>
            <w:noWrap/>
            <w:vAlign w:val="center"/>
          </w:tcPr>
          <w:p w14:paraId="52D879C5">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4.15±3.18</w:t>
            </w:r>
          </w:p>
        </w:tc>
        <w:tc>
          <w:tcPr>
            <w:tcW w:w="889" w:type="dxa"/>
            <w:tcBorders>
              <w:top w:val="nil"/>
              <w:left w:val="nil"/>
              <w:bottom w:val="nil"/>
              <w:right w:val="nil"/>
            </w:tcBorders>
            <w:shd w:val="clear" w:color="auto" w:fill="auto"/>
            <w:noWrap/>
            <w:vAlign w:val="center"/>
          </w:tcPr>
          <w:p w14:paraId="39BE9F03">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112</w:t>
            </w:r>
          </w:p>
        </w:tc>
        <w:tc>
          <w:tcPr>
            <w:tcW w:w="864" w:type="dxa"/>
            <w:tcBorders>
              <w:top w:val="nil"/>
              <w:left w:val="nil"/>
              <w:bottom w:val="nil"/>
              <w:right w:val="nil"/>
            </w:tcBorders>
            <w:shd w:val="clear" w:color="auto" w:fill="auto"/>
            <w:noWrap/>
            <w:vAlign w:val="center"/>
          </w:tcPr>
          <w:p w14:paraId="28C75FBC">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44.60%</w:t>
            </w:r>
          </w:p>
        </w:tc>
        <w:tc>
          <w:tcPr>
            <w:tcW w:w="1249" w:type="dxa"/>
            <w:tcBorders>
              <w:top w:val="nil"/>
              <w:left w:val="nil"/>
              <w:bottom w:val="nil"/>
              <w:right w:val="nil"/>
            </w:tcBorders>
            <w:shd w:val="clear" w:color="auto" w:fill="auto"/>
            <w:noWrap/>
            <w:vAlign w:val="center"/>
          </w:tcPr>
          <w:p w14:paraId="174F10C7">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11.0 ± 3.9</w:t>
            </w:r>
          </w:p>
        </w:tc>
        <w:tc>
          <w:tcPr>
            <w:tcW w:w="1025" w:type="dxa"/>
            <w:tcBorders>
              <w:top w:val="nil"/>
              <w:left w:val="nil"/>
              <w:bottom w:val="nil"/>
              <w:right w:val="nil"/>
            </w:tcBorders>
            <w:shd w:val="clear" w:color="auto" w:fill="auto"/>
            <w:noWrap/>
            <w:vAlign w:val="center"/>
          </w:tcPr>
          <w:p w14:paraId="06CA753E">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yes</w:t>
            </w:r>
          </w:p>
        </w:tc>
        <w:tc>
          <w:tcPr>
            <w:tcW w:w="941" w:type="dxa"/>
            <w:tcBorders>
              <w:top w:val="nil"/>
              <w:left w:val="nil"/>
              <w:bottom w:val="nil"/>
              <w:right w:val="nil"/>
            </w:tcBorders>
            <w:shd w:val="clear" w:color="auto" w:fill="auto"/>
            <w:noWrap/>
            <w:vAlign w:val="center"/>
          </w:tcPr>
          <w:p w14:paraId="6B696828">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A</w:t>
            </w:r>
          </w:p>
        </w:tc>
      </w:tr>
      <w:tr w14:paraId="69F98C3B">
        <w:tblPrEx>
          <w:tblCellMar>
            <w:top w:w="0" w:type="dxa"/>
            <w:left w:w="108" w:type="dxa"/>
            <w:bottom w:w="0" w:type="dxa"/>
            <w:right w:w="108" w:type="dxa"/>
          </w:tblCellMar>
        </w:tblPrEx>
        <w:trPr>
          <w:trHeight w:val="517" w:hRule="atLeast"/>
          <w:jc w:val="center"/>
        </w:trPr>
        <w:tc>
          <w:tcPr>
            <w:tcW w:w="1706" w:type="dxa"/>
            <w:tcBorders>
              <w:top w:val="nil"/>
              <w:left w:val="nil"/>
              <w:bottom w:val="nil"/>
              <w:right w:val="nil"/>
            </w:tcBorders>
            <w:shd w:val="clear" w:color="auto" w:fill="auto"/>
            <w:noWrap/>
            <w:vAlign w:val="center"/>
          </w:tcPr>
          <w:p w14:paraId="3B4E4F59">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Popa 2023 </w:t>
            </w:r>
          </w:p>
        </w:tc>
        <w:tc>
          <w:tcPr>
            <w:tcW w:w="825" w:type="dxa"/>
            <w:tcBorders>
              <w:top w:val="nil"/>
              <w:left w:val="nil"/>
              <w:bottom w:val="nil"/>
              <w:right w:val="nil"/>
            </w:tcBorders>
            <w:shd w:val="clear" w:color="auto" w:fill="auto"/>
            <w:noWrap/>
            <w:vAlign w:val="center"/>
          </w:tcPr>
          <w:p w14:paraId="4A75DFF8">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CS</w:t>
            </w:r>
          </w:p>
        </w:tc>
        <w:tc>
          <w:tcPr>
            <w:tcW w:w="1001" w:type="dxa"/>
            <w:tcBorders>
              <w:top w:val="nil"/>
              <w:left w:val="nil"/>
              <w:bottom w:val="nil"/>
              <w:right w:val="nil"/>
            </w:tcBorders>
            <w:shd w:val="clear" w:color="auto" w:fill="auto"/>
            <w:noWrap/>
            <w:vAlign w:val="center"/>
          </w:tcPr>
          <w:p w14:paraId="2BBB8E12">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Romania</w:t>
            </w:r>
          </w:p>
        </w:tc>
        <w:tc>
          <w:tcPr>
            <w:tcW w:w="2730" w:type="dxa"/>
            <w:tcBorders>
              <w:top w:val="nil"/>
              <w:left w:val="nil"/>
              <w:bottom w:val="nil"/>
              <w:right w:val="nil"/>
            </w:tcBorders>
            <w:shd w:val="clear" w:color="auto" w:fill="auto"/>
            <w:noWrap/>
            <w:vAlign w:val="center"/>
          </w:tcPr>
          <w:p w14:paraId="2ACD40A8">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Patients with T1DM</w:t>
            </w:r>
          </w:p>
        </w:tc>
        <w:tc>
          <w:tcPr>
            <w:tcW w:w="2372" w:type="dxa"/>
            <w:tcBorders>
              <w:top w:val="nil"/>
              <w:left w:val="nil"/>
              <w:bottom w:val="nil"/>
              <w:right w:val="nil"/>
            </w:tcBorders>
            <w:shd w:val="clear" w:color="auto" w:fill="auto"/>
            <w:noWrap/>
            <w:vAlign w:val="center"/>
          </w:tcPr>
          <w:p w14:paraId="763D3863">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Emergency Clinical Hospital Craiova</w:t>
            </w:r>
          </w:p>
        </w:tc>
        <w:tc>
          <w:tcPr>
            <w:tcW w:w="1703" w:type="dxa"/>
            <w:tcBorders>
              <w:top w:val="nil"/>
              <w:left w:val="nil"/>
              <w:bottom w:val="nil"/>
              <w:right w:val="nil"/>
            </w:tcBorders>
            <w:shd w:val="clear" w:color="auto" w:fill="auto"/>
            <w:noWrap/>
            <w:vAlign w:val="center"/>
          </w:tcPr>
          <w:p w14:paraId="47A03AE8">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NR</w:t>
            </w:r>
          </w:p>
        </w:tc>
        <w:tc>
          <w:tcPr>
            <w:tcW w:w="1270" w:type="dxa"/>
            <w:tcBorders>
              <w:top w:val="nil"/>
              <w:left w:val="nil"/>
              <w:bottom w:val="nil"/>
              <w:right w:val="nil"/>
            </w:tcBorders>
            <w:shd w:val="clear" w:color="auto" w:fill="auto"/>
            <w:noWrap/>
            <w:vAlign w:val="center"/>
          </w:tcPr>
          <w:p w14:paraId="187C8D57">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14.9±10.6</w:t>
            </w:r>
          </w:p>
        </w:tc>
        <w:tc>
          <w:tcPr>
            <w:tcW w:w="889" w:type="dxa"/>
            <w:tcBorders>
              <w:top w:val="nil"/>
              <w:left w:val="nil"/>
              <w:bottom w:val="nil"/>
              <w:right w:val="nil"/>
            </w:tcBorders>
            <w:shd w:val="clear" w:color="auto" w:fill="auto"/>
            <w:noWrap/>
            <w:vAlign w:val="center"/>
          </w:tcPr>
          <w:p w14:paraId="49B4052E">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181</w:t>
            </w:r>
          </w:p>
        </w:tc>
        <w:tc>
          <w:tcPr>
            <w:tcW w:w="864" w:type="dxa"/>
            <w:tcBorders>
              <w:top w:val="nil"/>
              <w:left w:val="nil"/>
              <w:bottom w:val="nil"/>
              <w:right w:val="nil"/>
            </w:tcBorders>
            <w:shd w:val="clear" w:color="auto" w:fill="auto"/>
            <w:noWrap/>
            <w:vAlign w:val="center"/>
          </w:tcPr>
          <w:p w14:paraId="4AD98B17">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40.20%</w:t>
            </w:r>
          </w:p>
        </w:tc>
        <w:tc>
          <w:tcPr>
            <w:tcW w:w="1249" w:type="dxa"/>
            <w:tcBorders>
              <w:top w:val="nil"/>
              <w:left w:val="nil"/>
              <w:bottom w:val="nil"/>
              <w:right w:val="nil"/>
            </w:tcBorders>
            <w:shd w:val="clear" w:color="auto" w:fill="auto"/>
            <w:noWrap/>
            <w:vAlign w:val="center"/>
          </w:tcPr>
          <w:p w14:paraId="1486063D">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40.2±13.1</w:t>
            </w:r>
          </w:p>
        </w:tc>
        <w:tc>
          <w:tcPr>
            <w:tcW w:w="1025" w:type="dxa"/>
            <w:tcBorders>
              <w:top w:val="nil"/>
              <w:left w:val="nil"/>
              <w:bottom w:val="nil"/>
              <w:right w:val="nil"/>
            </w:tcBorders>
            <w:shd w:val="clear" w:color="auto" w:fill="auto"/>
            <w:noWrap/>
            <w:vAlign w:val="center"/>
          </w:tcPr>
          <w:p w14:paraId="4C685E7E">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yes</w:t>
            </w:r>
          </w:p>
        </w:tc>
        <w:tc>
          <w:tcPr>
            <w:tcW w:w="941" w:type="dxa"/>
            <w:tcBorders>
              <w:top w:val="nil"/>
              <w:left w:val="nil"/>
              <w:bottom w:val="nil"/>
              <w:right w:val="nil"/>
            </w:tcBorders>
            <w:shd w:val="clear" w:color="auto" w:fill="auto"/>
            <w:noWrap/>
            <w:vAlign w:val="center"/>
          </w:tcPr>
          <w:p w14:paraId="7E6D3285">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A</w:t>
            </w:r>
          </w:p>
        </w:tc>
      </w:tr>
      <w:tr w14:paraId="7DAF1E7D">
        <w:tblPrEx>
          <w:tblCellMar>
            <w:top w:w="0" w:type="dxa"/>
            <w:left w:w="108" w:type="dxa"/>
            <w:bottom w:w="0" w:type="dxa"/>
            <w:right w:w="108" w:type="dxa"/>
          </w:tblCellMar>
        </w:tblPrEx>
        <w:trPr>
          <w:trHeight w:val="517" w:hRule="atLeast"/>
          <w:jc w:val="center"/>
        </w:trPr>
        <w:tc>
          <w:tcPr>
            <w:tcW w:w="1706" w:type="dxa"/>
            <w:tcBorders>
              <w:top w:val="nil"/>
              <w:left w:val="nil"/>
              <w:bottom w:val="nil"/>
              <w:right w:val="nil"/>
            </w:tcBorders>
            <w:shd w:val="clear" w:color="auto" w:fill="auto"/>
            <w:noWrap/>
            <w:vAlign w:val="center"/>
          </w:tcPr>
          <w:p w14:paraId="2578E1F6">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Karguppikar 2022</w:t>
            </w:r>
          </w:p>
        </w:tc>
        <w:tc>
          <w:tcPr>
            <w:tcW w:w="825" w:type="dxa"/>
            <w:tcBorders>
              <w:top w:val="nil"/>
              <w:left w:val="nil"/>
              <w:bottom w:val="nil"/>
              <w:right w:val="nil"/>
            </w:tcBorders>
            <w:shd w:val="clear" w:color="auto" w:fill="auto"/>
            <w:noWrap/>
            <w:vAlign w:val="center"/>
          </w:tcPr>
          <w:p w14:paraId="01A99ACD">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CS</w:t>
            </w:r>
          </w:p>
        </w:tc>
        <w:tc>
          <w:tcPr>
            <w:tcW w:w="1001" w:type="dxa"/>
            <w:tcBorders>
              <w:top w:val="nil"/>
              <w:left w:val="nil"/>
              <w:bottom w:val="nil"/>
              <w:right w:val="nil"/>
            </w:tcBorders>
            <w:shd w:val="clear" w:color="auto" w:fill="auto"/>
            <w:noWrap/>
            <w:vAlign w:val="center"/>
          </w:tcPr>
          <w:p w14:paraId="26C8B181">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India</w:t>
            </w:r>
          </w:p>
        </w:tc>
        <w:tc>
          <w:tcPr>
            <w:tcW w:w="2730" w:type="dxa"/>
            <w:tcBorders>
              <w:top w:val="nil"/>
              <w:left w:val="nil"/>
              <w:bottom w:val="nil"/>
              <w:right w:val="nil"/>
            </w:tcBorders>
            <w:shd w:val="clear" w:color="auto" w:fill="auto"/>
            <w:noWrap/>
            <w:vAlign w:val="center"/>
          </w:tcPr>
          <w:p w14:paraId="0EED8511">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Children and youth with T1DM, aged 2.6-21 years </w:t>
            </w:r>
          </w:p>
        </w:tc>
        <w:tc>
          <w:tcPr>
            <w:tcW w:w="2372" w:type="dxa"/>
            <w:tcBorders>
              <w:top w:val="nil"/>
              <w:left w:val="nil"/>
              <w:bottom w:val="nil"/>
              <w:right w:val="nil"/>
            </w:tcBorders>
            <w:shd w:val="clear" w:color="auto" w:fill="auto"/>
            <w:noWrap/>
            <w:vAlign w:val="center"/>
          </w:tcPr>
          <w:p w14:paraId="55B6FBE9">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Tertiary care hospital in Pune</w:t>
            </w:r>
          </w:p>
        </w:tc>
        <w:tc>
          <w:tcPr>
            <w:tcW w:w="1703" w:type="dxa"/>
            <w:tcBorders>
              <w:top w:val="nil"/>
              <w:left w:val="nil"/>
              <w:bottom w:val="nil"/>
              <w:right w:val="nil"/>
            </w:tcBorders>
            <w:shd w:val="clear" w:color="auto" w:fill="auto"/>
            <w:noWrap/>
            <w:vAlign w:val="center"/>
          </w:tcPr>
          <w:p w14:paraId="0D64D438">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October 2020 to March 2021</w:t>
            </w:r>
          </w:p>
        </w:tc>
        <w:tc>
          <w:tcPr>
            <w:tcW w:w="1270" w:type="dxa"/>
            <w:tcBorders>
              <w:top w:val="nil"/>
              <w:left w:val="nil"/>
              <w:bottom w:val="nil"/>
              <w:right w:val="nil"/>
            </w:tcBorders>
            <w:shd w:val="clear" w:color="auto" w:fill="auto"/>
            <w:noWrap/>
            <w:vAlign w:val="center"/>
          </w:tcPr>
          <w:p w14:paraId="02323498">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6.7 ±3.6</w:t>
            </w:r>
          </w:p>
        </w:tc>
        <w:tc>
          <w:tcPr>
            <w:tcW w:w="889" w:type="dxa"/>
            <w:tcBorders>
              <w:top w:val="nil"/>
              <w:left w:val="nil"/>
              <w:bottom w:val="nil"/>
              <w:right w:val="nil"/>
            </w:tcBorders>
            <w:shd w:val="clear" w:color="auto" w:fill="auto"/>
            <w:noWrap/>
            <w:vAlign w:val="center"/>
          </w:tcPr>
          <w:p w14:paraId="5FD90922">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319</w:t>
            </w:r>
          </w:p>
        </w:tc>
        <w:tc>
          <w:tcPr>
            <w:tcW w:w="864" w:type="dxa"/>
            <w:tcBorders>
              <w:top w:val="nil"/>
              <w:left w:val="nil"/>
              <w:bottom w:val="nil"/>
              <w:right w:val="nil"/>
            </w:tcBorders>
            <w:shd w:val="clear" w:color="auto" w:fill="auto"/>
            <w:noWrap/>
            <w:vAlign w:val="center"/>
          </w:tcPr>
          <w:p w14:paraId="39076DCD">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47.30%</w:t>
            </w:r>
          </w:p>
        </w:tc>
        <w:tc>
          <w:tcPr>
            <w:tcW w:w="1249" w:type="dxa"/>
            <w:tcBorders>
              <w:top w:val="nil"/>
              <w:left w:val="nil"/>
              <w:bottom w:val="nil"/>
              <w:right w:val="nil"/>
            </w:tcBorders>
            <w:shd w:val="clear" w:color="auto" w:fill="auto"/>
            <w:noWrap/>
            <w:vAlign w:val="center"/>
          </w:tcPr>
          <w:p w14:paraId="4A3B69A1">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13.8 ± 4.3</w:t>
            </w:r>
          </w:p>
        </w:tc>
        <w:tc>
          <w:tcPr>
            <w:tcW w:w="1025" w:type="dxa"/>
            <w:tcBorders>
              <w:top w:val="nil"/>
              <w:left w:val="nil"/>
              <w:bottom w:val="nil"/>
              <w:right w:val="nil"/>
            </w:tcBorders>
            <w:shd w:val="clear" w:color="auto" w:fill="auto"/>
            <w:noWrap/>
            <w:vAlign w:val="center"/>
          </w:tcPr>
          <w:p w14:paraId="1A34A76C">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yes</w:t>
            </w:r>
          </w:p>
        </w:tc>
        <w:tc>
          <w:tcPr>
            <w:tcW w:w="941" w:type="dxa"/>
            <w:tcBorders>
              <w:top w:val="nil"/>
              <w:left w:val="nil"/>
              <w:bottom w:val="nil"/>
              <w:right w:val="nil"/>
            </w:tcBorders>
            <w:shd w:val="clear" w:color="auto" w:fill="auto"/>
            <w:noWrap/>
            <w:vAlign w:val="center"/>
          </w:tcPr>
          <w:p w14:paraId="0E843C98">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A</w:t>
            </w:r>
          </w:p>
        </w:tc>
      </w:tr>
      <w:tr w14:paraId="0DA8CCEB">
        <w:tblPrEx>
          <w:tblCellMar>
            <w:top w:w="0" w:type="dxa"/>
            <w:left w:w="108" w:type="dxa"/>
            <w:bottom w:w="0" w:type="dxa"/>
            <w:right w:w="108" w:type="dxa"/>
          </w:tblCellMar>
        </w:tblPrEx>
        <w:trPr>
          <w:trHeight w:val="1034" w:hRule="atLeast"/>
          <w:jc w:val="center"/>
        </w:trPr>
        <w:tc>
          <w:tcPr>
            <w:tcW w:w="1706" w:type="dxa"/>
            <w:tcBorders>
              <w:top w:val="nil"/>
              <w:left w:val="nil"/>
              <w:bottom w:val="nil"/>
              <w:right w:val="nil"/>
            </w:tcBorders>
            <w:shd w:val="clear" w:color="auto" w:fill="auto"/>
            <w:noWrap/>
            <w:vAlign w:val="center"/>
          </w:tcPr>
          <w:p w14:paraId="150410E1">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Kietsiriroje 2022 </w:t>
            </w:r>
          </w:p>
        </w:tc>
        <w:tc>
          <w:tcPr>
            <w:tcW w:w="825" w:type="dxa"/>
            <w:tcBorders>
              <w:top w:val="nil"/>
              <w:left w:val="nil"/>
              <w:bottom w:val="nil"/>
              <w:right w:val="nil"/>
            </w:tcBorders>
            <w:shd w:val="clear" w:color="auto" w:fill="auto"/>
            <w:noWrap/>
            <w:vAlign w:val="center"/>
          </w:tcPr>
          <w:p w14:paraId="01CA8630">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CS</w:t>
            </w:r>
          </w:p>
        </w:tc>
        <w:tc>
          <w:tcPr>
            <w:tcW w:w="1001" w:type="dxa"/>
            <w:tcBorders>
              <w:top w:val="nil"/>
              <w:left w:val="nil"/>
              <w:bottom w:val="nil"/>
              <w:right w:val="nil"/>
            </w:tcBorders>
            <w:shd w:val="clear" w:color="auto" w:fill="auto"/>
            <w:noWrap/>
            <w:vAlign w:val="center"/>
          </w:tcPr>
          <w:p w14:paraId="406CAF00">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UK</w:t>
            </w:r>
          </w:p>
        </w:tc>
        <w:tc>
          <w:tcPr>
            <w:tcW w:w="2730" w:type="dxa"/>
            <w:tcBorders>
              <w:top w:val="nil"/>
              <w:left w:val="nil"/>
              <w:bottom w:val="nil"/>
              <w:right w:val="nil"/>
            </w:tcBorders>
            <w:shd w:val="clear" w:color="auto" w:fill="auto"/>
            <w:noWrap/>
            <w:vAlign w:val="center"/>
          </w:tcPr>
          <w:p w14:paraId="0FC1572C">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Patients with T1DM</w:t>
            </w:r>
          </w:p>
        </w:tc>
        <w:tc>
          <w:tcPr>
            <w:tcW w:w="2372" w:type="dxa"/>
            <w:tcBorders>
              <w:top w:val="nil"/>
              <w:left w:val="nil"/>
              <w:bottom w:val="nil"/>
              <w:right w:val="nil"/>
            </w:tcBorders>
            <w:shd w:val="clear" w:color="auto" w:fill="auto"/>
            <w:vAlign w:val="center"/>
          </w:tcPr>
          <w:p w14:paraId="0FDA2648">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Baseline data from three RCTs : ISRCTN40811115, ISRCTN13641847, NCT05231642</w:t>
            </w:r>
          </w:p>
        </w:tc>
        <w:tc>
          <w:tcPr>
            <w:tcW w:w="1703" w:type="dxa"/>
            <w:tcBorders>
              <w:top w:val="nil"/>
              <w:left w:val="nil"/>
              <w:bottom w:val="nil"/>
              <w:right w:val="nil"/>
            </w:tcBorders>
            <w:shd w:val="clear" w:color="auto" w:fill="auto"/>
            <w:vAlign w:val="center"/>
          </w:tcPr>
          <w:p w14:paraId="78A37263">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2021 to 2022,</w:t>
            </w:r>
            <w:r>
              <w:rPr>
                <w:rFonts w:hint="default" w:ascii="Times New Roman" w:hAnsi="Times New Roman" w:cs="Times New Roman"/>
                <w:sz w:val="20"/>
                <w:szCs w:val="20"/>
                <w:highlight w:val="none"/>
              </w:rPr>
              <w:br w:type="textWrapping"/>
            </w:r>
            <w:r>
              <w:rPr>
                <w:rFonts w:hint="default" w:ascii="Times New Roman" w:hAnsi="Times New Roman" w:cs="Times New Roman"/>
                <w:sz w:val="20"/>
                <w:szCs w:val="20"/>
                <w:highlight w:val="none"/>
              </w:rPr>
              <w:t>2020 to 2022,</w:t>
            </w:r>
            <w:r>
              <w:rPr>
                <w:rFonts w:hint="default" w:ascii="Times New Roman" w:hAnsi="Times New Roman" w:cs="Times New Roman"/>
                <w:sz w:val="20"/>
                <w:szCs w:val="20"/>
                <w:highlight w:val="none"/>
              </w:rPr>
              <w:br w:type="textWrapping"/>
            </w:r>
            <w:r>
              <w:rPr>
                <w:rFonts w:hint="default" w:ascii="Times New Roman" w:hAnsi="Times New Roman" w:cs="Times New Roman"/>
                <w:sz w:val="20"/>
                <w:szCs w:val="20"/>
                <w:highlight w:val="none"/>
              </w:rPr>
              <w:t>2017 to 2019</w:t>
            </w:r>
          </w:p>
        </w:tc>
        <w:tc>
          <w:tcPr>
            <w:tcW w:w="1270" w:type="dxa"/>
            <w:tcBorders>
              <w:top w:val="nil"/>
              <w:left w:val="nil"/>
              <w:bottom w:val="nil"/>
              <w:right w:val="nil"/>
            </w:tcBorders>
            <w:shd w:val="clear" w:color="auto" w:fill="auto"/>
            <w:noWrap/>
            <w:vAlign w:val="center"/>
          </w:tcPr>
          <w:p w14:paraId="07CD7B32">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16.5±7.0</w:t>
            </w:r>
          </w:p>
        </w:tc>
        <w:tc>
          <w:tcPr>
            <w:tcW w:w="889" w:type="dxa"/>
            <w:tcBorders>
              <w:top w:val="nil"/>
              <w:left w:val="nil"/>
              <w:bottom w:val="nil"/>
              <w:right w:val="nil"/>
            </w:tcBorders>
            <w:shd w:val="clear" w:color="auto" w:fill="auto"/>
            <w:noWrap/>
            <w:vAlign w:val="center"/>
          </w:tcPr>
          <w:p w14:paraId="5E0AC7E9">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107</w:t>
            </w:r>
          </w:p>
        </w:tc>
        <w:tc>
          <w:tcPr>
            <w:tcW w:w="864" w:type="dxa"/>
            <w:tcBorders>
              <w:top w:val="nil"/>
              <w:left w:val="nil"/>
              <w:bottom w:val="nil"/>
              <w:right w:val="nil"/>
            </w:tcBorders>
            <w:shd w:val="clear" w:color="auto" w:fill="auto"/>
            <w:noWrap/>
            <w:vAlign w:val="center"/>
          </w:tcPr>
          <w:p w14:paraId="4830615D">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50.50%</w:t>
            </w:r>
          </w:p>
        </w:tc>
        <w:tc>
          <w:tcPr>
            <w:tcW w:w="1249" w:type="dxa"/>
            <w:tcBorders>
              <w:top w:val="nil"/>
              <w:left w:val="nil"/>
              <w:bottom w:val="nil"/>
              <w:right w:val="nil"/>
            </w:tcBorders>
            <w:shd w:val="clear" w:color="auto" w:fill="auto"/>
            <w:noWrap/>
            <w:vAlign w:val="center"/>
          </w:tcPr>
          <w:p w14:paraId="7A155507">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29±6</w:t>
            </w:r>
          </w:p>
        </w:tc>
        <w:tc>
          <w:tcPr>
            <w:tcW w:w="1025" w:type="dxa"/>
            <w:tcBorders>
              <w:top w:val="nil"/>
              <w:left w:val="nil"/>
              <w:bottom w:val="nil"/>
              <w:right w:val="nil"/>
            </w:tcBorders>
            <w:shd w:val="clear" w:color="auto" w:fill="auto"/>
            <w:noWrap/>
            <w:vAlign w:val="center"/>
          </w:tcPr>
          <w:p w14:paraId="0109B57C">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no</w:t>
            </w:r>
          </w:p>
        </w:tc>
        <w:tc>
          <w:tcPr>
            <w:tcW w:w="941" w:type="dxa"/>
            <w:tcBorders>
              <w:top w:val="nil"/>
              <w:left w:val="nil"/>
              <w:bottom w:val="nil"/>
              <w:right w:val="nil"/>
            </w:tcBorders>
            <w:shd w:val="clear" w:color="auto" w:fill="auto"/>
            <w:vAlign w:val="center"/>
          </w:tcPr>
          <w:p w14:paraId="1FE48FF6">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B</w:t>
            </w:r>
          </w:p>
        </w:tc>
      </w:tr>
      <w:tr w14:paraId="7B69DCE9">
        <w:tblPrEx>
          <w:tblCellMar>
            <w:top w:w="0" w:type="dxa"/>
            <w:left w:w="108" w:type="dxa"/>
            <w:bottom w:w="0" w:type="dxa"/>
            <w:right w:w="108" w:type="dxa"/>
          </w:tblCellMar>
        </w:tblPrEx>
        <w:trPr>
          <w:trHeight w:val="775" w:hRule="atLeast"/>
          <w:jc w:val="center"/>
        </w:trPr>
        <w:tc>
          <w:tcPr>
            <w:tcW w:w="1706" w:type="dxa"/>
            <w:tcBorders>
              <w:top w:val="nil"/>
              <w:left w:val="nil"/>
              <w:bottom w:val="nil"/>
              <w:right w:val="nil"/>
            </w:tcBorders>
            <w:shd w:val="clear" w:color="auto" w:fill="auto"/>
            <w:noWrap/>
            <w:vAlign w:val="center"/>
          </w:tcPr>
          <w:p w14:paraId="40557DCC">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Lecumberr 2022 </w:t>
            </w:r>
          </w:p>
        </w:tc>
        <w:tc>
          <w:tcPr>
            <w:tcW w:w="825" w:type="dxa"/>
            <w:tcBorders>
              <w:top w:val="nil"/>
              <w:left w:val="nil"/>
              <w:bottom w:val="nil"/>
              <w:right w:val="nil"/>
            </w:tcBorders>
            <w:shd w:val="clear" w:color="auto" w:fill="auto"/>
            <w:noWrap/>
            <w:vAlign w:val="center"/>
          </w:tcPr>
          <w:p w14:paraId="46D80611">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CS</w:t>
            </w:r>
          </w:p>
        </w:tc>
        <w:tc>
          <w:tcPr>
            <w:tcW w:w="1001" w:type="dxa"/>
            <w:tcBorders>
              <w:top w:val="nil"/>
              <w:left w:val="nil"/>
              <w:bottom w:val="nil"/>
              <w:right w:val="nil"/>
            </w:tcBorders>
            <w:shd w:val="clear" w:color="auto" w:fill="auto"/>
            <w:noWrap/>
            <w:vAlign w:val="center"/>
          </w:tcPr>
          <w:p w14:paraId="309FB333">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Spain</w:t>
            </w:r>
          </w:p>
        </w:tc>
        <w:tc>
          <w:tcPr>
            <w:tcW w:w="2730" w:type="dxa"/>
            <w:tcBorders>
              <w:top w:val="nil"/>
              <w:left w:val="nil"/>
              <w:bottom w:val="nil"/>
              <w:right w:val="nil"/>
            </w:tcBorders>
            <w:shd w:val="clear" w:color="auto" w:fill="auto"/>
            <w:noWrap/>
            <w:vAlign w:val="center"/>
          </w:tcPr>
          <w:p w14:paraId="56E64B94">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Patients with T1DM</w:t>
            </w:r>
          </w:p>
        </w:tc>
        <w:tc>
          <w:tcPr>
            <w:tcW w:w="2372" w:type="dxa"/>
            <w:tcBorders>
              <w:top w:val="nil"/>
              <w:left w:val="nil"/>
              <w:bottom w:val="nil"/>
              <w:right w:val="nil"/>
            </w:tcBorders>
            <w:shd w:val="clear" w:color="auto" w:fill="auto"/>
            <w:noWrap/>
            <w:vAlign w:val="center"/>
          </w:tcPr>
          <w:p w14:paraId="184EBD63">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Diabetes Unit of an Academic Hospital in Madrid</w:t>
            </w:r>
          </w:p>
        </w:tc>
        <w:tc>
          <w:tcPr>
            <w:tcW w:w="1703" w:type="dxa"/>
            <w:tcBorders>
              <w:top w:val="nil"/>
              <w:left w:val="nil"/>
              <w:bottom w:val="nil"/>
              <w:right w:val="nil"/>
            </w:tcBorders>
            <w:shd w:val="clear" w:color="auto" w:fill="auto"/>
            <w:vAlign w:val="center"/>
          </w:tcPr>
          <w:p w14:paraId="728669D3">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2016 to 2018</w:t>
            </w:r>
          </w:p>
        </w:tc>
        <w:tc>
          <w:tcPr>
            <w:tcW w:w="1270" w:type="dxa"/>
            <w:tcBorders>
              <w:top w:val="nil"/>
              <w:left w:val="nil"/>
              <w:bottom w:val="nil"/>
              <w:right w:val="nil"/>
            </w:tcBorders>
            <w:shd w:val="clear" w:color="auto" w:fill="auto"/>
            <w:noWrap/>
            <w:vAlign w:val="center"/>
          </w:tcPr>
          <w:p w14:paraId="2B645D33">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20 ± 11</w:t>
            </w:r>
          </w:p>
        </w:tc>
        <w:tc>
          <w:tcPr>
            <w:tcW w:w="889" w:type="dxa"/>
            <w:tcBorders>
              <w:top w:val="nil"/>
              <w:left w:val="nil"/>
              <w:bottom w:val="nil"/>
              <w:right w:val="nil"/>
            </w:tcBorders>
            <w:shd w:val="clear" w:color="auto" w:fill="auto"/>
            <w:noWrap/>
            <w:vAlign w:val="center"/>
          </w:tcPr>
          <w:p w14:paraId="209E0E0A">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280</w:t>
            </w:r>
          </w:p>
        </w:tc>
        <w:tc>
          <w:tcPr>
            <w:tcW w:w="864" w:type="dxa"/>
            <w:tcBorders>
              <w:top w:val="nil"/>
              <w:left w:val="nil"/>
              <w:bottom w:val="nil"/>
              <w:right w:val="nil"/>
            </w:tcBorders>
            <w:shd w:val="clear" w:color="auto" w:fill="auto"/>
            <w:noWrap/>
            <w:vAlign w:val="center"/>
          </w:tcPr>
          <w:p w14:paraId="20D2070D">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57%</w:t>
            </w:r>
          </w:p>
        </w:tc>
        <w:tc>
          <w:tcPr>
            <w:tcW w:w="1249" w:type="dxa"/>
            <w:tcBorders>
              <w:top w:val="nil"/>
              <w:left w:val="nil"/>
              <w:bottom w:val="nil"/>
              <w:right w:val="nil"/>
            </w:tcBorders>
            <w:shd w:val="clear" w:color="auto" w:fill="auto"/>
            <w:noWrap/>
            <w:vAlign w:val="center"/>
          </w:tcPr>
          <w:p w14:paraId="0971CA1C">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36 ± 12</w:t>
            </w:r>
          </w:p>
        </w:tc>
        <w:tc>
          <w:tcPr>
            <w:tcW w:w="1025" w:type="dxa"/>
            <w:tcBorders>
              <w:top w:val="nil"/>
              <w:left w:val="nil"/>
              <w:bottom w:val="nil"/>
              <w:right w:val="nil"/>
            </w:tcBorders>
            <w:shd w:val="clear" w:color="auto" w:fill="auto"/>
            <w:noWrap/>
            <w:vAlign w:val="center"/>
          </w:tcPr>
          <w:p w14:paraId="0A0A707B">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yes</w:t>
            </w:r>
          </w:p>
        </w:tc>
        <w:tc>
          <w:tcPr>
            <w:tcW w:w="941" w:type="dxa"/>
            <w:tcBorders>
              <w:top w:val="nil"/>
              <w:left w:val="nil"/>
              <w:bottom w:val="nil"/>
              <w:right w:val="nil"/>
            </w:tcBorders>
            <w:shd w:val="clear" w:color="auto" w:fill="auto"/>
            <w:vAlign w:val="center"/>
          </w:tcPr>
          <w:p w14:paraId="01EC88DD">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A</w:t>
            </w:r>
          </w:p>
        </w:tc>
      </w:tr>
      <w:tr w14:paraId="25C9D0D0">
        <w:tblPrEx>
          <w:tblCellMar>
            <w:top w:w="0" w:type="dxa"/>
            <w:left w:w="108" w:type="dxa"/>
            <w:bottom w:w="0" w:type="dxa"/>
            <w:right w:w="108" w:type="dxa"/>
          </w:tblCellMar>
        </w:tblPrEx>
        <w:trPr>
          <w:trHeight w:val="775" w:hRule="atLeast"/>
          <w:jc w:val="center"/>
        </w:trPr>
        <w:tc>
          <w:tcPr>
            <w:tcW w:w="1706" w:type="dxa"/>
            <w:tcBorders>
              <w:top w:val="nil"/>
              <w:left w:val="nil"/>
              <w:bottom w:val="nil"/>
              <w:right w:val="nil"/>
            </w:tcBorders>
            <w:shd w:val="clear" w:color="auto" w:fill="auto"/>
            <w:noWrap/>
            <w:vAlign w:val="center"/>
          </w:tcPr>
          <w:p w14:paraId="2E21600B">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Valente 2022</w:t>
            </w:r>
          </w:p>
        </w:tc>
        <w:tc>
          <w:tcPr>
            <w:tcW w:w="825" w:type="dxa"/>
            <w:tcBorders>
              <w:top w:val="nil"/>
              <w:left w:val="nil"/>
              <w:bottom w:val="nil"/>
              <w:right w:val="nil"/>
            </w:tcBorders>
            <w:shd w:val="clear" w:color="auto" w:fill="auto"/>
            <w:noWrap/>
            <w:vAlign w:val="center"/>
          </w:tcPr>
          <w:p w14:paraId="0526EC6A">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CS</w:t>
            </w:r>
          </w:p>
        </w:tc>
        <w:tc>
          <w:tcPr>
            <w:tcW w:w="1001" w:type="dxa"/>
            <w:tcBorders>
              <w:top w:val="nil"/>
              <w:left w:val="nil"/>
              <w:bottom w:val="nil"/>
              <w:right w:val="nil"/>
            </w:tcBorders>
            <w:shd w:val="clear" w:color="auto" w:fill="auto"/>
            <w:noWrap/>
            <w:vAlign w:val="center"/>
          </w:tcPr>
          <w:p w14:paraId="0EEE6C30">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Brazil</w:t>
            </w:r>
          </w:p>
        </w:tc>
        <w:tc>
          <w:tcPr>
            <w:tcW w:w="2730" w:type="dxa"/>
            <w:tcBorders>
              <w:top w:val="nil"/>
              <w:left w:val="nil"/>
              <w:bottom w:val="nil"/>
              <w:right w:val="nil"/>
            </w:tcBorders>
            <w:shd w:val="clear" w:color="auto" w:fill="auto"/>
            <w:vAlign w:val="center"/>
          </w:tcPr>
          <w:p w14:paraId="36064C7D">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Individuals with T1DM aged 15-35 years</w:t>
            </w:r>
          </w:p>
        </w:tc>
        <w:tc>
          <w:tcPr>
            <w:tcW w:w="2372" w:type="dxa"/>
            <w:tcBorders>
              <w:top w:val="nil"/>
              <w:left w:val="nil"/>
              <w:bottom w:val="nil"/>
              <w:right w:val="nil"/>
            </w:tcBorders>
            <w:shd w:val="clear" w:color="auto" w:fill="auto"/>
            <w:vAlign w:val="center"/>
          </w:tcPr>
          <w:p w14:paraId="31135AA3">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Diabetes Centre of the Federal University of São Paulo</w:t>
            </w:r>
          </w:p>
        </w:tc>
        <w:tc>
          <w:tcPr>
            <w:tcW w:w="1703" w:type="dxa"/>
            <w:tcBorders>
              <w:top w:val="nil"/>
              <w:left w:val="nil"/>
              <w:bottom w:val="nil"/>
              <w:right w:val="nil"/>
            </w:tcBorders>
            <w:shd w:val="clear" w:color="auto" w:fill="auto"/>
            <w:noWrap/>
            <w:vAlign w:val="center"/>
          </w:tcPr>
          <w:p w14:paraId="76FF7777">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February of 2012 to July of 2014</w:t>
            </w:r>
          </w:p>
        </w:tc>
        <w:tc>
          <w:tcPr>
            <w:tcW w:w="1270" w:type="dxa"/>
            <w:tcBorders>
              <w:top w:val="nil"/>
              <w:left w:val="nil"/>
              <w:bottom w:val="nil"/>
              <w:right w:val="nil"/>
            </w:tcBorders>
            <w:shd w:val="clear" w:color="auto" w:fill="auto"/>
            <w:noWrap/>
            <w:vAlign w:val="center"/>
          </w:tcPr>
          <w:p w14:paraId="49B9D866">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12.1 ± 7.2</w:t>
            </w:r>
          </w:p>
        </w:tc>
        <w:tc>
          <w:tcPr>
            <w:tcW w:w="889" w:type="dxa"/>
            <w:tcBorders>
              <w:top w:val="nil"/>
              <w:left w:val="nil"/>
              <w:bottom w:val="nil"/>
              <w:right w:val="nil"/>
            </w:tcBorders>
            <w:shd w:val="clear" w:color="auto" w:fill="auto"/>
            <w:noWrap/>
            <w:vAlign w:val="center"/>
          </w:tcPr>
          <w:p w14:paraId="7D435EFE">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181</w:t>
            </w:r>
          </w:p>
        </w:tc>
        <w:tc>
          <w:tcPr>
            <w:tcW w:w="864" w:type="dxa"/>
            <w:tcBorders>
              <w:top w:val="nil"/>
              <w:left w:val="nil"/>
              <w:bottom w:val="nil"/>
              <w:right w:val="nil"/>
            </w:tcBorders>
            <w:shd w:val="clear" w:color="auto" w:fill="auto"/>
            <w:noWrap/>
            <w:vAlign w:val="center"/>
          </w:tcPr>
          <w:p w14:paraId="330F5323">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51.93%</w:t>
            </w:r>
          </w:p>
        </w:tc>
        <w:tc>
          <w:tcPr>
            <w:tcW w:w="1249" w:type="dxa"/>
            <w:tcBorders>
              <w:top w:val="nil"/>
              <w:left w:val="nil"/>
              <w:bottom w:val="nil"/>
              <w:right w:val="nil"/>
            </w:tcBorders>
            <w:shd w:val="clear" w:color="auto" w:fill="auto"/>
            <w:noWrap/>
            <w:vAlign w:val="center"/>
          </w:tcPr>
          <w:p w14:paraId="5F7BAB0E">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23.6 ± 5.5</w:t>
            </w:r>
          </w:p>
        </w:tc>
        <w:tc>
          <w:tcPr>
            <w:tcW w:w="1025" w:type="dxa"/>
            <w:tcBorders>
              <w:top w:val="nil"/>
              <w:left w:val="nil"/>
              <w:bottom w:val="nil"/>
              <w:right w:val="nil"/>
            </w:tcBorders>
            <w:shd w:val="clear" w:color="auto" w:fill="auto"/>
            <w:noWrap/>
            <w:vAlign w:val="center"/>
          </w:tcPr>
          <w:p w14:paraId="2DC4B3A1">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yes</w:t>
            </w:r>
          </w:p>
        </w:tc>
        <w:tc>
          <w:tcPr>
            <w:tcW w:w="941" w:type="dxa"/>
            <w:tcBorders>
              <w:top w:val="nil"/>
              <w:left w:val="nil"/>
              <w:bottom w:val="nil"/>
              <w:right w:val="nil"/>
            </w:tcBorders>
            <w:shd w:val="clear" w:color="auto" w:fill="auto"/>
            <w:vAlign w:val="center"/>
          </w:tcPr>
          <w:p w14:paraId="74084A5A">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A</w:t>
            </w:r>
          </w:p>
        </w:tc>
      </w:tr>
      <w:tr w14:paraId="37C5679E">
        <w:tblPrEx>
          <w:tblCellMar>
            <w:top w:w="0" w:type="dxa"/>
            <w:left w:w="108" w:type="dxa"/>
            <w:bottom w:w="0" w:type="dxa"/>
            <w:right w:w="108" w:type="dxa"/>
          </w:tblCellMar>
        </w:tblPrEx>
        <w:trPr>
          <w:trHeight w:val="517" w:hRule="atLeast"/>
          <w:jc w:val="center"/>
        </w:trPr>
        <w:tc>
          <w:tcPr>
            <w:tcW w:w="1706" w:type="dxa"/>
            <w:tcBorders>
              <w:top w:val="nil"/>
              <w:left w:val="nil"/>
              <w:bottom w:val="nil"/>
              <w:right w:val="nil"/>
            </w:tcBorders>
            <w:shd w:val="clear" w:color="auto" w:fill="auto"/>
            <w:noWrap/>
            <w:vAlign w:val="center"/>
          </w:tcPr>
          <w:p w14:paraId="06321412">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Calcaterra 2021 </w:t>
            </w:r>
          </w:p>
        </w:tc>
        <w:tc>
          <w:tcPr>
            <w:tcW w:w="825" w:type="dxa"/>
            <w:tcBorders>
              <w:top w:val="nil"/>
              <w:left w:val="nil"/>
              <w:bottom w:val="nil"/>
              <w:right w:val="nil"/>
            </w:tcBorders>
            <w:shd w:val="clear" w:color="auto" w:fill="auto"/>
            <w:noWrap/>
            <w:vAlign w:val="center"/>
          </w:tcPr>
          <w:p w14:paraId="5BFD5D9C">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CS</w:t>
            </w:r>
          </w:p>
        </w:tc>
        <w:tc>
          <w:tcPr>
            <w:tcW w:w="1001" w:type="dxa"/>
            <w:tcBorders>
              <w:top w:val="nil"/>
              <w:left w:val="nil"/>
              <w:bottom w:val="nil"/>
              <w:right w:val="nil"/>
            </w:tcBorders>
            <w:shd w:val="clear" w:color="auto" w:fill="auto"/>
            <w:noWrap/>
            <w:vAlign w:val="center"/>
          </w:tcPr>
          <w:p w14:paraId="57D8018A">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Italy</w:t>
            </w:r>
          </w:p>
        </w:tc>
        <w:tc>
          <w:tcPr>
            <w:tcW w:w="2730" w:type="dxa"/>
            <w:tcBorders>
              <w:top w:val="nil"/>
              <w:left w:val="nil"/>
              <w:bottom w:val="nil"/>
              <w:right w:val="nil"/>
            </w:tcBorders>
            <w:shd w:val="clear" w:color="auto" w:fill="auto"/>
            <w:noWrap/>
            <w:vAlign w:val="center"/>
          </w:tcPr>
          <w:p w14:paraId="19081B3F">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Pediatric patients with T1DM</w:t>
            </w:r>
          </w:p>
        </w:tc>
        <w:tc>
          <w:tcPr>
            <w:tcW w:w="2372" w:type="dxa"/>
            <w:tcBorders>
              <w:top w:val="nil"/>
              <w:left w:val="nil"/>
              <w:bottom w:val="nil"/>
              <w:right w:val="nil"/>
            </w:tcBorders>
            <w:shd w:val="clear" w:color="auto" w:fill="auto"/>
            <w:noWrap/>
            <w:vAlign w:val="center"/>
          </w:tcPr>
          <w:p w14:paraId="58A5AB48">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Children’s Hospital Vittore Buzzi</w:t>
            </w:r>
          </w:p>
        </w:tc>
        <w:tc>
          <w:tcPr>
            <w:tcW w:w="1703" w:type="dxa"/>
            <w:tcBorders>
              <w:top w:val="nil"/>
              <w:left w:val="nil"/>
              <w:bottom w:val="nil"/>
              <w:right w:val="nil"/>
            </w:tcBorders>
            <w:shd w:val="clear" w:color="auto" w:fill="auto"/>
            <w:noWrap/>
            <w:vAlign w:val="center"/>
          </w:tcPr>
          <w:p w14:paraId="0A6C940C">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September 2020 to May 2021</w:t>
            </w:r>
          </w:p>
        </w:tc>
        <w:tc>
          <w:tcPr>
            <w:tcW w:w="1270" w:type="dxa"/>
            <w:tcBorders>
              <w:top w:val="nil"/>
              <w:left w:val="nil"/>
              <w:bottom w:val="nil"/>
              <w:right w:val="nil"/>
            </w:tcBorders>
            <w:shd w:val="clear" w:color="auto" w:fill="auto"/>
            <w:noWrap/>
            <w:vAlign w:val="center"/>
          </w:tcPr>
          <w:p w14:paraId="0A8F0B8A">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5.64 ± 4.84</w:t>
            </w:r>
          </w:p>
        </w:tc>
        <w:tc>
          <w:tcPr>
            <w:tcW w:w="889" w:type="dxa"/>
            <w:tcBorders>
              <w:top w:val="nil"/>
              <w:left w:val="nil"/>
              <w:bottom w:val="nil"/>
              <w:right w:val="nil"/>
            </w:tcBorders>
            <w:shd w:val="clear" w:color="auto" w:fill="auto"/>
            <w:noWrap/>
            <w:vAlign w:val="center"/>
          </w:tcPr>
          <w:p w14:paraId="6D1ED5F5">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138</w:t>
            </w:r>
          </w:p>
        </w:tc>
        <w:tc>
          <w:tcPr>
            <w:tcW w:w="864" w:type="dxa"/>
            <w:tcBorders>
              <w:top w:val="nil"/>
              <w:left w:val="nil"/>
              <w:bottom w:val="nil"/>
              <w:right w:val="nil"/>
            </w:tcBorders>
            <w:shd w:val="clear" w:color="auto" w:fill="auto"/>
            <w:noWrap/>
            <w:vAlign w:val="center"/>
          </w:tcPr>
          <w:p w14:paraId="69BF47AA">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52.90%</w:t>
            </w:r>
          </w:p>
        </w:tc>
        <w:tc>
          <w:tcPr>
            <w:tcW w:w="1249" w:type="dxa"/>
            <w:tcBorders>
              <w:top w:val="nil"/>
              <w:left w:val="nil"/>
              <w:bottom w:val="nil"/>
              <w:right w:val="nil"/>
            </w:tcBorders>
            <w:shd w:val="clear" w:color="auto" w:fill="auto"/>
            <w:noWrap/>
            <w:vAlign w:val="center"/>
          </w:tcPr>
          <w:p w14:paraId="29F779A2">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12.5 ± 4.5</w:t>
            </w:r>
          </w:p>
        </w:tc>
        <w:tc>
          <w:tcPr>
            <w:tcW w:w="1025" w:type="dxa"/>
            <w:tcBorders>
              <w:top w:val="nil"/>
              <w:left w:val="nil"/>
              <w:bottom w:val="nil"/>
              <w:right w:val="nil"/>
            </w:tcBorders>
            <w:shd w:val="clear" w:color="auto" w:fill="auto"/>
            <w:noWrap/>
            <w:vAlign w:val="center"/>
          </w:tcPr>
          <w:p w14:paraId="76D96909">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yes</w:t>
            </w:r>
          </w:p>
        </w:tc>
        <w:tc>
          <w:tcPr>
            <w:tcW w:w="941" w:type="dxa"/>
            <w:tcBorders>
              <w:top w:val="nil"/>
              <w:left w:val="nil"/>
              <w:bottom w:val="nil"/>
              <w:right w:val="nil"/>
            </w:tcBorders>
            <w:shd w:val="clear" w:color="auto" w:fill="auto"/>
            <w:vAlign w:val="center"/>
          </w:tcPr>
          <w:p w14:paraId="35141488">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w:t>
            </w:r>
          </w:p>
        </w:tc>
      </w:tr>
      <w:tr w14:paraId="49F3CA3B">
        <w:tblPrEx>
          <w:tblCellMar>
            <w:top w:w="0" w:type="dxa"/>
            <w:left w:w="108" w:type="dxa"/>
            <w:bottom w:w="0" w:type="dxa"/>
            <w:right w:w="108" w:type="dxa"/>
          </w:tblCellMar>
        </w:tblPrEx>
        <w:trPr>
          <w:trHeight w:val="517" w:hRule="atLeast"/>
          <w:jc w:val="center"/>
        </w:trPr>
        <w:tc>
          <w:tcPr>
            <w:tcW w:w="1706" w:type="dxa"/>
            <w:tcBorders>
              <w:top w:val="nil"/>
              <w:left w:val="nil"/>
              <w:bottom w:val="nil"/>
              <w:right w:val="nil"/>
            </w:tcBorders>
            <w:shd w:val="clear" w:color="auto" w:fill="auto"/>
            <w:noWrap/>
            <w:vAlign w:val="center"/>
          </w:tcPr>
          <w:p w14:paraId="3FC3BC74">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Helliwell 2021</w:t>
            </w:r>
          </w:p>
        </w:tc>
        <w:tc>
          <w:tcPr>
            <w:tcW w:w="825" w:type="dxa"/>
            <w:tcBorders>
              <w:top w:val="nil"/>
              <w:left w:val="nil"/>
              <w:bottom w:val="nil"/>
              <w:right w:val="nil"/>
            </w:tcBorders>
            <w:shd w:val="clear" w:color="auto" w:fill="auto"/>
            <w:noWrap/>
            <w:vAlign w:val="center"/>
          </w:tcPr>
          <w:p w14:paraId="3351707F">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CS</w:t>
            </w:r>
          </w:p>
        </w:tc>
        <w:tc>
          <w:tcPr>
            <w:tcW w:w="1001" w:type="dxa"/>
            <w:tcBorders>
              <w:top w:val="nil"/>
              <w:left w:val="nil"/>
              <w:bottom w:val="nil"/>
              <w:right w:val="nil"/>
            </w:tcBorders>
            <w:shd w:val="clear" w:color="auto" w:fill="auto"/>
            <w:noWrap/>
            <w:vAlign w:val="center"/>
          </w:tcPr>
          <w:p w14:paraId="222CC9EA">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UK</w:t>
            </w:r>
          </w:p>
        </w:tc>
        <w:tc>
          <w:tcPr>
            <w:tcW w:w="2730" w:type="dxa"/>
            <w:tcBorders>
              <w:top w:val="nil"/>
              <w:left w:val="nil"/>
              <w:bottom w:val="nil"/>
              <w:right w:val="nil"/>
            </w:tcBorders>
            <w:shd w:val="clear" w:color="auto" w:fill="auto"/>
            <w:vAlign w:val="center"/>
          </w:tcPr>
          <w:p w14:paraId="3FD1F987">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Individuals with T1DM </w:t>
            </w:r>
          </w:p>
        </w:tc>
        <w:tc>
          <w:tcPr>
            <w:tcW w:w="2372" w:type="dxa"/>
            <w:tcBorders>
              <w:top w:val="nil"/>
              <w:left w:val="nil"/>
              <w:bottom w:val="nil"/>
              <w:right w:val="nil"/>
            </w:tcBorders>
            <w:shd w:val="clear" w:color="auto" w:fill="auto"/>
            <w:noWrap/>
            <w:vAlign w:val="center"/>
          </w:tcPr>
          <w:p w14:paraId="38B3BFEF">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Leeds Teaching Hospital Trust</w:t>
            </w:r>
          </w:p>
        </w:tc>
        <w:tc>
          <w:tcPr>
            <w:tcW w:w="1703" w:type="dxa"/>
            <w:tcBorders>
              <w:top w:val="nil"/>
              <w:left w:val="nil"/>
              <w:bottom w:val="nil"/>
              <w:right w:val="nil"/>
            </w:tcBorders>
            <w:shd w:val="clear" w:color="auto" w:fill="auto"/>
            <w:noWrap/>
            <w:vAlign w:val="center"/>
          </w:tcPr>
          <w:p w14:paraId="0511E8EA">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November 2016 to February 2018</w:t>
            </w:r>
          </w:p>
        </w:tc>
        <w:tc>
          <w:tcPr>
            <w:tcW w:w="1270" w:type="dxa"/>
            <w:tcBorders>
              <w:top w:val="nil"/>
              <w:left w:val="nil"/>
              <w:bottom w:val="nil"/>
              <w:right w:val="nil"/>
            </w:tcBorders>
            <w:shd w:val="clear" w:color="auto" w:fill="auto"/>
            <w:noWrap/>
            <w:vAlign w:val="center"/>
          </w:tcPr>
          <w:p w14:paraId="6922CBF9">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Median 20</w:t>
            </w:r>
          </w:p>
        </w:tc>
        <w:tc>
          <w:tcPr>
            <w:tcW w:w="889" w:type="dxa"/>
            <w:tcBorders>
              <w:top w:val="nil"/>
              <w:left w:val="nil"/>
              <w:bottom w:val="nil"/>
              <w:right w:val="nil"/>
            </w:tcBorders>
            <w:shd w:val="clear" w:color="auto" w:fill="auto"/>
            <w:noWrap/>
            <w:vAlign w:val="center"/>
          </w:tcPr>
          <w:p w14:paraId="4BFE8EDC">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2,151</w:t>
            </w:r>
          </w:p>
        </w:tc>
        <w:tc>
          <w:tcPr>
            <w:tcW w:w="864" w:type="dxa"/>
            <w:tcBorders>
              <w:top w:val="nil"/>
              <w:left w:val="nil"/>
              <w:bottom w:val="nil"/>
              <w:right w:val="nil"/>
            </w:tcBorders>
            <w:shd w:val="clear" w:color="auto" w:fill="auto"/>
            <w:noWrap/>
            <w:vAlign w:val="center"/>
          </w:tcPr>
          <w:p w14:paraId="585E15BF">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51.10%</w:t>
            </w:r>
          </w:p>
        </w:tc>
        <w:tc>
          <w:tcPr>
            <w:tcW w:w="1249" w:type="dxa"/>
            <w:tcBorders>
              <w:top w:val="nil"/>
              <w:left w:val="nil"/>
              <w:bottom w:val="nil"/>
              <w:right w:val="nil"/>
            </w:tcBorders>
            <w:shd w:val="clear" w:color="auto" w:fill="auto"/>
            <w:noWrap/>
            <w:vAlign w:val="center"/>
          </w:tcPr>
          <w:p w14:paraId="77DA4525">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41 (29, 55)</w:t>
            </w:r>
          </w:p>
        </w:tc>
        <w:tc>
          <w:tcPr>
            <w:tcW w:w="1025" w:type="dxa"/>
            <w:tcBorders>
              <w:top w:val="nil"/>
              <w:left w:val="nil"/>
              <w:bottom w:val="nil"/>
              <w:right w:val="nil"/>
            </w:tcBorders>
            <w:shd w:val="clear" w:color="auto" w:fill="auto"/>
            <w:noWrap/>
            <w:vAlign w:val="center"/>
          </w:tcPr>
          <w:p w14:paraId="17A79078">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yes</w:t>
            </w:r>
          </w:p>
        </w:tc>
        <w:tc>
          <w:tcPr>
            <w:tcW w:w="941" w:type="dxa"/>
            <w:tcBorders>
              <w:top w:val="nil"/>
              <w:left w:val="nil"/>
              <w:bottom w:val="nil"/>
              <w:right w:val="nil"/>
            </w:tcBorders>
            <w:shd w:val="clear" w:color="auto" w:fill="auto"/>
            <w:noWrap/>
            <w:vAlign w:val="center"/>
          </w:tcPr>
          <w:p w14:paraId="0B97D6FA">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B</w:t>
            </w:r>
          </w:p>
        </w:tc>
      </w:tr>
      <w:tr w14:paraId="4F243933">
        <w:tblPrEx>
          <w:tblCellMar>
            <w:top w:w="0" w:type="dxa"/>
            <w:left w:w="108" w:type="dxa"/>
            <w:bottom w:w="0" w:type="dxa"/>
            <w:right w:w="108" w:type="dxa"/>
          </w:tblCellMar>
        </w:tblPrEx>
        <w:trPr>
          <w:trHeight w:val="775" w:hRule="atLeast"/>
          <w:jc w:val="center"/>
        </w:trPr>
        <w:tc>
          <w:tcPr>
            <w:tcW w:w="1706" w:type="dxa"/>
            <w:tcBorders>
              <w:top w:val="nil"/>
              <w:left w:val="nil"/>
              <w:bottom w:val="nil"/>
              <w:right w:val="nil"/>
            </w:tcBorders>
            <w:shd w:val="clear" w:color="auto" w:fill="auto"/>
            <w:noWrap/>
            <w:vAlign w:val="center"/>
          </w:tcPr>
          <w:p w14:paraId="3026EA14">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Miller 2021</w:t>
            </w:r>
          </w:p>
        </w:tc>
        <w:tc>
          <w:tcPr>
            <w:tcW w:w="825" w:type="dxa"/>
            <w:tcBorders>
              <w:top w:val="nil"/>
              <w:left w:val="nil"/>
              <w:bottom w:val="nil"/>
              <w:right w:val="nil"/>
            </w:tcBorders>
            <w:shd w:val="clear" w:color="auto" w:fill="auto"/>
            <w:noWrap/>
            <w:vAlign w:val="center"/>
          </w:tcPr>
          <w:p w14:paraId="68319DBA">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PC</w:t>
            </w:r>
          </w:p>
        </w:tc>
        <w:tc>
          <w:tcPr>
            <w:tcW w:w="1001" w:type="dxa"/>
            <w:tcBorders>
              <w:top w:val="nil"/>
              <w:left w:val="nil"/>
              <w:bottom w:val="nil"/>
              <w:right w:val="nil"/>
            </w:tcBorders>
            <w:shd w:val="clear" w:color="auto" w:fill="auto"/>
            <w:noWrap/>
            <w:vAlign w:val="center"/>
          </w:tcPr>
          <w:p w14:paraId="1CE7A02D">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USA</w:t>
            </w:r>
          </w:p>
        </w:tc>
        <w:tc>
          <w:tcPr>
            <w:tcW w:w="2730" w:type="dxa"/>
            <w:tcBorders>
              <w:top w:val="nil"/>
              <w:left w:val="nil"/>
              <w:bottom w:val="nil"/>
              <w:right w:val="nil"/>
            </w:tcBorders>
            <w:shd w:val="clear" w:color="auto" w:fill="auto"/>
            <w:noWrap/>
            <w:vAlign w:val="center"/>
          </w:tcPr>
          <w:p w14:paraId="651BB424">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European-ancestry individuals diagnosed with childhood-onset T1DM before 17 years</w:t>
            </w:r>
          </w:p>
        </w:tc>
        <w:tc>
          <w:tcPr>
            <w:tcW w:w="2372" w:type="dxa"/>
            <w:tcBorders>
              <w:top w:val="nil"/>
              <w:left w:val="nil"/>
              <w:bottom w:val="nil"/>
              <w:right w:val="nil"/>
            </w:tcBorders>
            <w:shd w:val="clear" w:color="auto" w:fill="auto"/>
            <w:noWrap/>
            <w:vAlign w:val="center"/>
          </w:tcPr>
          <w:p w14:paraId="3EAA4587">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Pittsburgh Epidemiology of Diabetes Complications study</w:t>
            </w:r>
          </w:p>
        </w:tc>
        <w:tc>
          <w:tcPr>
            <w:tcW w:w="1703" w:type="dxa"/>
            <w:tcBorders>
              <w:top w:val="nil"/>
              <w:left w:val="nil"/>
              <w:bottom w:val="nil"/>
              <w:right w:val="nil"/>
            </w:tcBorders>
            <w:shd w:val="clear" w:color="auto" w:fill="auto"/>
            <w:noWrap/>
            <w:vAlign w:val="center"/>
          </w:tcPr>
          <w:p w14:paraId="17B8EA89">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1950-1980</w:t>
            </w:r>
          </w:p>
        </w:tc>
        <w:tc>
          <w:tcPr>
            <w:tcW w:w="1270" w:type="dxa"/>
            <w:tcBorders>
              <w:top w:val="nil"/>
              <w:left w:val="nil"/>
              <w:bottom w:val="nil"/>
              <w:right w:val="nil"/>
            </w:tcBorders>
            <w:shd w:val="clear" w:color="auto" w:fill="auto"/>
            <w:noWrap/>
            <w:vAlign w:val="center"/>
          </w:tcPr>
          <w:p w14:paraId="72E6DA5D">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18.8±7.5</w:t>
            </w:r>
          </w:p>
        </w:tc>
        <w:tc>
          <w:tcPr>
            <w:tcW w:w="889" w:type="dxa"/>
            <w:tcBorders>
              <w:top w:val="nil"/>
              <w:left w:val="nil"/>
              <w:bottom w:val="nil"/>
              <w:right w:val="nil"/>
            </w:tcBorders>
            <w:shd w:val="clear" w:color="auto" w:fill="auto"/>
            <w:noWrap/>
            <w:vAlign w:val="center"/>
          </w:tcPr>
          <w:p w14:paraId="0FAAB5FA">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422</w:t>
            </w:r>
          </w:p>
        </w:tc>
        <w:tc>
          <w:tcPr>
            <w:tcW w:w="864" w:type="dxa"/>
            <w:tcBorders>
              <w:top w:val="nil"/>
              <w:left w:val="nil"/>
              <w:bottom w:val="nil"/>
              <w:right w:val="nil"/>
            </w:tcBorders>
            <w:shd w:val="clear" w:color="auto" w:fill="auto"/>
            <w:noWrap/>
            <w:vAlign w:val="center"/>
          </w:tcPr>
          <w:p w14:paraId="6A8F647F">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53%</w:t>
            </w:r>
          </w:p>
        </w:tc>
        <w:tc>
          <w:tcPr>
            <w:tcW w:w="1249" w:type="dxa"/>
            <w:tcBorders>
              <w:top w:val="nil"/>
              <w:left w:val="nil"/>
              <w:bottom w:val="nil"/>
              <w:right w:val="nil"/>
            </w:tcBorders>
            <w:shd w:val="clear" w:color="auto" w:fill="auto"/>
            <w:noWrap/>
            <w:vAlign w:val="center"/>
          </w:tcPr>
          <w:p w14:paraId="157934FE">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27.2±7.9</w:t>
            </w:r>
          </w:p>
        </w:tc>
        <w:tc>
          <w:tcPr>
            <w:tcW w:w="1025" w:type="dxa"/>
            <w:tcBorders>
              <w:top w:val="nil"/>
              <w:left w:val="nil"/>
              <w:bottom w:val="nil"/>
              <w:right w:val="nil"/>
            </w:tcBorders>
            <w:shd w:val="clear" w:color="auto" w:fill="auto"/>
            <w:noWrap/>
            <w:vAlign w:val="center"/>
          </w:tcPr>
          <w:p w14:paraId="2C8A07B5">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yes</w:t>
            </w:r>
          </w:p>
        </w:tc>
        <w:tc>
          <w:tcPr>
            <w:tcW w:w="941" w:type="dxa"/>
            <w:tcBorders>
              <w:top w:val="nil"/>
              <w:left w:val="nil"/>
              <w:bottom w:val="nil"/>
              <w:right w:val="nil"/>
            </w:tcBorders>
            <w:shd w:val="clear" w:color="auto" w:fill="auto"/>
            <w:noWrap/>
            <w:vAlign w:val="center"/>
          </w:tcPr>
          <w:p w14:paraId="3088496C">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A</w:t>
            </w:r>
          </w:p>
        </w:tc>
      </w:tr>
      <w:tr w14:paraId="5CC31A84">
        <w:tblPrEx>
          <w:tblCellMar>
            <w:top w:w="0" w:type="dxa"/>
            <w:left w:w="108" w:type="dxa"/>
            <w:bottom w:w="0" w:type="dxa"/>
            <w:right w:w="108" w:type="dxa"/>
          </w:tblCellMar>
        </w:tblPrEx>
        <w:trPr>
          <w:trHeight w:val="775" w:hRule="atLeast"/>
          <w:jc w:val="center"/>
        </w:trPr>
        <w:tc>
          <w:tcPr>
            <w:tcW w:w="1706" w:type="dxa"/>
            <w:tcBorders>
              <w:top w:val="nil"/>
              <w:left w:val="nil"/>
              <w:bottom w:val="nil"/>
              <w:right w:val="nil"/>
            </w:tcBorders>
            <w:shd w:val="clear" w:color="auto" w:fill="auto"/>
            <w:noWrap/>
            <w:vAlign w:val="center"/>
          </w:tcPr>
          <w:p w14:paraId="56E44B4A">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Ibrahim 2020 </w:t>
            </w:r>
          </w:p>
        </w:tc>
        <w:tc>
          <w:tcPr>
            <w:tcW w:w="825" w:type="dxa"/>
            <w:tcBorders>
              <w:top w:val="nil"/>
              <w:left w:val="nil"/>
              <w:bottom w:val="nil"/>
              <w:right w:val="nil"/>
            </w:tcBorders>
            <w:shd w:val="clear" w:color="auto" w:fill="auto"/>
            <w:noWrap/>
            <w:vAlign w:val="center"/>
          </w:tcPr>
          <w:p w14:paraId="66C80E9C">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CS</w:t>
            </w:r>
          </w:p>
        </w:tc>
        <w:tc>
          <w:tcPr>
            <w:tcW w:w="1001" w:type="dxa"/>
            <w:tcBorders>
              <w:top w:val="nil"/>
              <w:left w:val="nil"/>
              <w:bottom w:val="nil"/>
              <w:right w:val="nil"/>
            </w:tcBorders>
            <w:shd w:val="clear" w:color="auto" w:fill="auto"/>
            <w:noWrap/>
            <w:vAlign w:val="center"/>
          </w:tcPr>
          <w:p w14:paraId="78422466">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Egypt</w:t>
            </w:r>
          </w:p>
        </w:tc>
        <w:tc>
          <w:tcPr>
            <w:tcW w:w="2730" w:type="dxa"/>
            <w:tcBorders>
              <w:top w:val="nil"/>
              <w:left w:val="nil"/>
              <w:bottom w:val="nil"/>
              <w:right w:val="nil"/>
            </w:tcBorders>
            <w:shd w:val="clear" w:color="auto" w:fill="auto"/>
            <w:noWrap/>
            <w:vAlign w:val="center"/>
          </w:tcPr>
          <w:p w14:paraId="24968380">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Adolescents with T1DM</w:t>
            </w:r>
          </w:p>
        </w:tc>
        <w:tc>
          <w:tcPr>
            <w:tcW w:w="2372" w:type="dxa"/>
            <w:tcBorders>
              <w:top w:val="nil"/>
              <w:left w:val="nil"/>
              <w:bottom w:val="nil"/>
              <w:right w:val="nil"/>
            </w:tcBorders>
            <w:shd w:val="clear" w:color="auto" w:fill="auto"/>
            <w:noWrap/>
            <w:vAlign w:val="center"/>
          </w:tcPr>
          <w:p w14:paraId="46002A4D">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Diabetes Endocrine and Metabolism Pediatric Unit at Cairo University</w:t>
            </w:r>
          </w:p>
        </w:tc>
        <w:tc>
          <w:tcPr>
            <w:tcW w:w="1703" w:type="dxa"/>
            <w:tcBorders>
              <w:top w:val="nil"/>
              <w:left w:val="nil"/>
              <w:bottom w:val="nil"/>
              <w:right w:val="nil"/>
            </w:tcBorders>
            <w:shd w:val="clear" w:color="auto" w:fill="auto"/>
            <w:noWrap/>
            <w:vAlign w:val="center"/>
          </w:tcPr>
          <w:p w14:paraId="6AD25B1A">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December 2016 to December 2018</w:t>
            </w:r>
          </w:p>
        </w:tc>
        <w:tc>
          <w:tcPr>
            <w:tcW w:w="1270" w:type="dxa"/>
            <w:tcBorders>
              <w:top w:val="nil"/>
              <w:left w:val="nil"/>
              <w:bottom w:val="nil"/>
              <w:right w:val="nil"/>
            </w:tcBorders>
            <w:shd w:val="clear" w:color="auto" w:fill="auto"/>
            <w:noWrap/>
            <w:vAlign w:val="center"/>
          </w:tcPr>
          <w:p w14:paraId="3DFE06A5">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NR</w:t>
            </w:r>
          </w:p>
        </w:tc>
        <w:tc>
          <w:tcPr>
            <w:tcW w:w="889" w:type="dxa"/>
            <w:tcBorders>
              <w:top w:val="nil"/>
              <w:left w:val="nil"/>
              <w:bottom w:val="nil"/>
              <w:right w:val="nil"/>
            </w:tcBorders>
            <w:shd w:val="clear" w:color="auto" w:fill="auto"/>
            <w:noWrap/>
            <w:vAlign w:val="center"/>
          </w:tcPr>
          <w:p w14:paraId="3FFAEE1D">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50</w:t>
            </w:r>
          </w:p>
        </w:tc>
        <w:tc>
          <w:tcPr>
            <w:tcW w:w="864" w:type="dxa"/>
            <w:tcBorders>
              <w:top w:val="nil"/>
              <w:left w:val="nil"/>
              <w:bottom w:val="nil"/>
              <w:right w:val="nil"/>
            </w:tcBorders>
            <w:shd w:val="clear" w:color="auto" w:fill="auto"/>
            <w:noWrap/>
            <w:vAlign w:val="center"/>
          </w:tcPr>
          <w:p w14:paraId="42DF5C89">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42%</w:t>
            </w:r>
          </w:p>
        </w:tc>
        <w:tc>
          <w:tcPr>
            <w:tcW w:w="1249" w:type="dxa"/>
            <w:tcBorders>
              <w:top w:val="nil"/>
              <w:left w:val="nil"/>
              <w:bottom w:val="nil"/>
              <w:right w:val="nil"/>
            </w:tcBorders>
            <w:shd w:val="clear" w:color="auto" w:fill="auto"/>
            <w:noWrap/>
            <w:vAlign w:val="center"/>
          </w:tcPr>
          <w:p w14:paraId="7659A825">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14.44±1.76</w:t>
            </w:r>
          </w:p>
        </w:tc>
        <w:tc>
          <w:tcPr>
            <w:tcW w:w="1025" w:type="dxa"/>
            <w:tcBorders>
              <w:top w:val="nil"/>
              <w:left w:val="nil"/>
              <w:bottom w:val="nil"/>
              <w:right w:val="nil"/>
            </w:tcBorders>
            <w:shd w:val="clear" w:color="auto" w:fill="auto"/>
            <w:noWrap/>
            <w:vAlign w:val="center"/>
          </w:tcPr>
          <w:p w14:paraId="52506831">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yes</w:t>
            </w:r>
          </w:p>
        </w:tc>
        <w:tc>
          <w:tcPr>
            <w:tcW w:w="941" w:type="dxa"/>
            <w:tcBorders>
              <w:top w:val="nil"/>
              <w:left w:val="nil"/>
              <w:bottom w:val="nil"/>
              <w:right w:val="nil"/>
            </w:tcBorders>
            <w:shd w:val="clear" w:color="auto" w:fill="auto"/>
            <w:vAlign w:val="center"/>
          </w:tcPr>
          <w:p w14:paraId="559B7901">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w:t>
            </w:r>
          </w:p>
        </w:tc>
      </w:tr>
      <w:tr w14:paraId="77940090">
        <w:tblPrEx>
          <w:tblCellMar>
            <w:top w:w="0" w:type="dxa"/>
            <w:left w:w="108" w:type="dxa"/>
            <w:bottom w:w="0" w:type="dxa"/>
            <w:right w:w="108" w:type="dxa"/>
          </w:tblCellMar>
        </w:tblPrEx>
        <w:trPr>
          <w:trHeight w:val="517" w:hRule="atLeast"/>
          <w:jc w:val="center"/>
        </w:trPr>
        <w:tc>
          <w:tcPr>
            <w:tcW w:w="1706" w:type="dxa"/>
            <w:tcBorders>
              <w:top w:val="nil"/>
              <w:left w:val="nil"/>
              <w:bottom w:val="nil"/>
              <w:right w:val="nil"/>
            </w:tcBorders>
            <w:shd w:val="clear" w:color="auto" w:fill="auto"/>
            <w:noWrap/>
            <w:vAlign w:val="center"/>
          </w:tcPr>
          <w:p w14:paraId="13535EA3">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Simoniene 2020</w:t>
            </w:r>
          </w:p>
        </w:tc>
        <w:tc>
          <w:tcPr>
            <w:tcW w:w="825" w:type="dxa"/>
            <w:tcBorders>
              <w:top w:val="nil"/>
              <w:left w:val="nil"/>
              <w:bottom w:val="nil"/>
              <w:right w:val="nil"/>
            </w:tcBorders>
            <w:shd w:val="clear" w:color="auto" w:fill="auto"/>
            <w:noWrap/>
            <w:vAlign w:val="center"/>
          </w:tcPr>
          <w:p w14:paraId="1E15262D">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CS</w:t>
            </w:r>
          </w:p>
        </w:tc>
        <w:tc>
          <w:tcPr>
            <w:tcW w:w="1001" w:type="dxa"/>
            <w:tcBorders>
              <w:top w:val="nil"/>
              <w:left w:val="nil"/>
              <w:bottom w:val="nil"/>
              <w:right w:val="nil"/>
            </w:tcBorders>
            <w:shd w:val="clear" w:color="auto" w:fill="auto"/>
            <w:noWrap/>
            <w:vAlign w:val="center"/>
          </w:tcPr>
          <w:p w14:paraId="4222F3C2">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Lithuania</w:t>
            </w:r>
          </w:p>
        </w:tc>
        <w:tc>
          <w:tcPr>
            <w:tcW w:w="2730" w:type="dxa"/>
            <w:tcBorders>
              <w:top w:val="nil"/>
              <w:left w:val="nil"/>
              <w:bottom w:val="nil"/>
              <w:right w:val="nil"/>
            </w:tcBorders>
            <w:shd w:val="clear" w:color="auto" w:fill="auto"/>
            <w:noWrap/>
            <w:vAlign w:val="center"/>
          </w:tcPr>
          <w:p w14:paraId="6497BF2C">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Adults with T1DM</w:t>
            </w:r>
          </w:p>
        </w:tc>
        <w:tc>
          <w:tcPr>
            <w:tcW w:w="2372" w:type="dxa"/>
            <w:tcBorders>
              <w:top w:val="nil"/>
              <w:left w:val="nil"/>
              <w:bottom w:val="nil"/>
              <w:right w:val="nil"/>
            </w:tcBorders>
            <w:shd w:val="clear" w:color="auto" w:fill="auto"/>
            <w:vAlign w:val="center"/>
          </w:tcPr>
          <w:p w14:paraId="10FD5524">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Lithuanian University of Health Sciences </w:t>
            </w:r>
          </w:p>
        </w:tc>
        <w:tc>
          <w:tcPr>
            <w:tcW w:w="1703" w:type="dxa"/>
            <w:tcBorders>
              <w:top w:val="nil"/>
              <w:left w:val="nil"/>
              <w:bottom w:val="nil"/>
              <w:right w:val="nil"/>
            </w:tcBorders>
            <w:shd w:val="clear" w:color="auto" w:fill="auto"/>
            <w:noWrap/>
            <w:vAlign w:val="center"/>
          </w:tcPr>
          <w:p w14:paraId="5D8B6BA7">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February 2015 to April 2016</w:t>
            </w:r>
          </w:p>
        </w:tc>
        <w:tc>
          <w:tcPr>
            <w:tcW w:w="1270" w:type="dxa"/>
            <w:tcBorders>
              <w:top w:val="nil"/>
              <w:left w:val="nil"/>
              <w:bottom w:val="nil"/>
              <w:right w:val="nil"/>
            </w:tcBorders>
            <w:shd w:val="clear" w:color="auto" w:fill="auto"/>
            <w:noWrap/>
            <w:vAlign w:val="center"/>
          </w:tcPr>
          <w:p w14:paraId="42316064">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16.4±10.8</w:t>
            </w:r>
          </w:p>
        </w:tc>
        <w:tc>
          <w:tcPr>
            <w:tcW w:w="889" w:type="dxa"/>
            <w:tcBorders>
              <w:top w:val="nil"/>
              <w:left w:val="nil"/>
              <w:bottom w:val="nil"/>
              <w:right w:val="nil"/>
            </w:tcBorders>
            <w:shd w:val="clear" w:color="auto" w:fill="auto"/>
            <w:noWrap/>
            <w:vAlign w:val="center"/>
          </w:tcPr>
          <w:p w14:paraId="62920E71">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200</w:t>
            </w:r>
          </w:p>
        </w:tc>
        <w:tc>
          <w:tcPr>
            <w:tcW w:w="864" w:type="dxa"/>
            <w:tcBorders>
              <w:top w:val="nil"/>
              <w:left w:val="nil"/>
              <w:bottom w:val="nil"/>
              <w:right w:val="nil"/>
            </w:tcBorders>
            <w:shd w:val="clear" w:color="auto" w:fill="auto"/>
            <w:noWrap/>
            <w:vAlign w:val="center"/>
          </w:tcPr>
          <w:p w14:paraId="69B42414">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58.00%</w:t>
            </w:r>
          </w:p>
        </w:tc>
        <w:tc>
          <w:tcPr>
            <w:tcW w:w="1249" w:type="dxa"/>
            <w:tcBorders>
              <w:top w:val="nil"/>
              <w:left w:val="nil"/>
              <w:bottom w:val="nil"/>
              <w:right w:val="nil"/>
            </w:tcBorders>
            <w:shd w:val="clear" w:color="auto" w:fill="auto"/>
            <w:noWrap/>
            <w:vAlign w:val="center"/>
          </w:tcPr>
          <w:p w14:paraId="48D86DFF">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39.9±12.1</w:t>
            </w:r>
          </w:p>
        </w:tc>
        <w:tc>
          <w:tcPr>
            <w:tcW w:w="1025" w:type="dxa"/>
            <w:tcBorders>
              <w:top w:val="nil"/>
              <w:left w:val="nil"/>
              <w:bottom w:val="nil"/>
              <w:right w:val="nil"/>
            </w:tcBorders>
            <w:shd w:val="clear" w:color="auto" w:fill="auto"/>
            <w:noWrap/>
            <w:vAlign w:val="center"/>
          </w:tcPr>
          <w:p w14:paraId="191F79C3">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yes</w:t>
            </w:r>
          </w:p>
        </w:tc>
        <w:tc>
          <w:tcPr>
            <w:tcW w:w="941" w:type="dxa"/>
            <w:tcBorders>
              <w:top w:val="nil"/>
              <w:left w:val="nil"/>
              <w:bottom w:val="nil"/>
              <w:right w:val="nil"/>
            </w:tcBorders>
            <w:shd w:val="clear" w:color="auto" w:fill="auto"/>
            <w:vAlign w:val="center"/>
          </w:tcPr>
          <w:p w14:paraId="034B9D17">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A</w:t>
            </w:r>
          </w:p>
        </w:tc>
      </w:tr>
      <w:tr w14:paraId="65E6E2F1">
        <w:tblPrEx>
          <w:tblCellMar>
            <w:top w:w="0" w:type="dxa"/>
            <w:left w:w="108" w:type="dxa"/>
            <w:bottom w:w="0" w:type="dxa"/>
            <w:right w:w="108" w:type="dxa"/>
          </w:tblCellMar>
        </w:tblPrEx>
        <w:trPr>
          <w:trHeight w:val="259" w:hRule="atLeast"/>
          <w:jc w:val="center"/>
        </w:trPr>
        <w:tc>
          <w:tcPr>
            <w:tcW w:w="1706" w:type="dxa"/>
            <w:tcBorders>
              <w:top w:val="nil"/>
              <w:left w:val="nil"/>
              <w:bottom w:val="nil"/>
              <w:right w:val="nil"/>
            </w:tcBorders>
            <w:shd w:val="clear" w:color="auto" w:fill="auto"/>
            <w:noWrap/>
            <w:vAlign w:val="center"/>
          </w:tcPr>
          <w:p w14:paraId="197C1AFC">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Nishtala 2020 </w:t>
            </w:r>
          </w:p>
        </w:tc>
        <w:tc>
          <w:tcPr>
            <w:tcW w:w="825" w:type="dxa"/>
            <w:tcBorders>
              <w:top w:val="nil"/>
              <w:left w:val="nil"/>
              <w:bottom w:val="nil"/>
              <w:right w:val="nil"/>
            </w:tcBorders>
            <w:shd w:val="clear" w:color="auto" w:fill="auto"/>
            <w:noWrap/>
            <w:vAlign w:val="center"/>
          </w:tcPr>
          <w:p w14:paraId="6BE05753">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CS</w:t>
            </w:r>
          </w:p>
        </w:tc>
        <w:tc>
          <w:tcPr>
            <w:tcW w:w="1001" w:type="dxa"/>
            <w:tcBorders>
              <w:top w:val="nil"/>
              <w:left w:val="nil"/>
              <w:bottom w:val="nil"/>
              <w:right w:val="nil"/>
            </w:tcBorders>
            <w:shd w:val="clear" w:color="auto" w:fill="auto"/>
            <w:noWrap/>
            <w:vAlign w:val="center"/>
          </w:tcPr>
          <w:p w14:paraId="39238035">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UK</w:t>
            </w:r>
          </w:p>
        </w:tc>
        <w:tc>
          <w:tcPr>
            <w:tcW w:w="2730" w:type="dxa"/>
            <w:tcBorders>
              <w:top w:val="nil"/>
              <w:left w:val="nil"/>
              <w:bottom w:val="nil"/>
              <w:right w:val="nil"/>
            </w:tcBorders>
            <w:shd w:val="clear" w:color="auto" w:fill="auto"/>
            <w:noWrap/>
            <w:vAlign w:val="center"/>
          </w:tcPr>
          <w:p w14:paraId="1070D6CB">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Young adults with T1DM</w:t>
            </w:r>
          </w:p>
        </w:tc>
        <w:tc>
          <w:tcPr>
            <w:tcW w:w="2372" w:type="dxa"/>
            <w:tcBorders>
              <w:top w:val="nil"/>
              <w:left w:val="nil"/>
              <w:bottom w:val="nil"/>
              <w:right w:val="nil"/>
            </w:tcBorders>
            <w:shd w:val="clear" w:color="auto" w:fill="auto"/>
            <w:noWrap/>
            <w:vAlign w:val="center"/>
          </w:tcPr>
          <w:p w14:paraId="0AE9DC6B">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A large teaching hospital </w:t>
            </w:r>
          </w:p>
        </w:tc>
        <w:tc>
          <w:tcPr>
            <w:tcW w:w="1703" w:type="dxa"/>
            <w:tcBorders>
              <w:top w:val="nil"/>
              <w:left w:val="nil"/>
              <w:bottom w:val="nil"/>
              <w:right w:val="nil"/>
            </w:tcBorders>
            <w:shd w:val="clear" w:color="auto" w:fill="auto"/>
            <w:noWrap/>
            <w:vAlign w:val="center"/>
          </w:tcPr>
          <w:p w14:paraId="36476B1C">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NR</w:t>
            </w:r>
          </w:p>
        </w:tc>
        <w:tc>
          <w:tcPr>
            <w:tcW w:w="1270" w:type="dxa"/>
            <w:tcBorders>
              <w:top w:val="nil"/>
              <w:left w:val="nil"/>
              <w:bottom w:val="nil"/>
              <w:right w:val="nil"/>
            </w:tcBorders>
            <w:shd w:val="clear" w:color="auto" w:fill="auto"/>
            <w:noWrap/>
            <w:vAlign w:val="center"/>
          </w:tcPr>
          <w:p w14:paraId="2FF709D2">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NR</w:t>
            </w:r>
          </w:p>
        </w:tc>
        <w:tc>
          <w:tcPr>
            <w:tcW w:w="889" w:type="dxa"/>
            <w:tcBorders>
              <w:top w:val="nil"/>
              <w:left w:val="nil"/>
              <w:bottom w:val="nil"/>
              <w:right w:val="nil"/>
            </w:tcBorders>
            <w:shd w:val="clear" w:color="auto" w:fill="auto"/>
            <w:noWrap/>
            <w:vAlign w:val="center"/>
          </w:tcPr>
          <w:p w14:paraId="7F84DEF4">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175</w:t>
            </w:r>
          </w:p>
        </w:tc>
        <w:tc>
          <w:tcPr>
            <w:tcW w:w="864" w:type="dxa"/>
            <w:tcBorders>
              <w:top w:val="nil"/>
              <w:left w:val="nil"/>
              <w:bottom w:val="nil"/>
              <w:right w:val="nil"/>
            </w:tcBorders>
            <w:shd w:val="clear" w:color="auto" w:fill="auto"/>
            <w:noWrap/>
            <w:vAlign w:val="center"/>
          </w:tcPr>
          <w:p w14:paraId="02C5C7C9">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61.70%</w:t>
            </w:r>
          </w:p>
        </w:tc>
        <w:tc>
          <w:tcPr>
            <w:tcW w:w="1249" w:type="dxa"/>
            <w:tcBorders>
              <w:top w:val="nil"/>
              <w:left w:val="nil"/>
              <w:bottom w:val="nil"/>
              <w:right w:val="nil"/>
            </w:tcBorders>
            <w:shd w:val="clear" w:color="auto" w:fill="auto"/>
            <w:noWrap/>
            <w:vAlign w:val="center"/>
          </w:tcPr>
          <w:p w14:paraId="7BE3C5A8">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22.0±1.6</w:t>
            </w:r>
          </w:p>
        </w:tc>
        <w:tc>
          <w:tcPr>
            <w:tcW w:w="1025" w:type="dxa"/>
            <w:tcBorders>
              <w:top w:val="nil"/>
              <w:left w:val="nil"/>
              <w:bottom w:val="nil"/>
              <w:right w:val="nil"/>
            </w:tcBorders>
            <w:shd w:val="clear" w:color="auto" w:fill="auto"/>
            <w:noWrap/>
            <w:vAlign w:val="center"/>
          </w:tcPr>
          <w:p w14:paraId="63897394">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yes</w:t>
            </w:r>
          </w:p>
        </w:tc>
        <w:tc>
          <w:tcPr>
            <w:tcW w:w="941" w:type="dxa"/>
            <w:tcBorders>
              <w:top w:val="nil"/>
              <w:left w:val="nil"/>
              <w:bottom w:val="nil"/>
              <w:right w:val="nil"/>
            </w:tcBorders>
            <w:shd w:val="clear" w:color="auto" w:fill="auto"/>
            <w:noWrap/>
            <w:vAlign w:val="center"/>
          </w:tcPr>
          <w:p w14:paraId="483C81A0">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B</w:t>
            </w:r>
          </w:p>
        </w:tc>
      </w:tr>
      <w:tr w14:paraId="0A9348E2">
        <w:tblPrEx>
          <w:tblCellMar>
            <w:top w:w="0" w:type="dxa"/>
            <w:left w:w="108" w:type="dxa"/>
            <w:bottom w:w="0" w:type="dxa"/>
            <w:right w:w="108" w:type="dxa"/>
          </w:tblCellMar>
        </w:tblPrEx>
        <w:trPr>
          <w:trHeight w:val="1034" w:hRule="atLeast"/>
          <w:jc w:val="center"/>
        </w:trPr>
        <w:tc>
          <w:tcPr>
            <w:tcW w:w="1706" w:type="dxa"/>
            <w:tcBorders>
              <w:top w:val="nil"/>
              <w:left w:val="nil"/>
              <w:bottom w:val="nil"/>
              <w:right w:val="nil"/>
            </w:tcBorders>
            <w:shd w:val="clear" w:color="auto" w:fill="auto"/>
            <w:noWrap/>
            <w:vAlign w:val="center"/>
          </w:tcPr>
          <w:p w14:paraId="112B9717">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Garofolo 2020</w:t>
            </w:r>
          </w:p>
        </w:tc>
        <w:tc>
          <w:tcPr>
            <w:tcW w:w="825" w:type="dxa"/>
            <w:tcBorders>
              <w:top w:val="nil"/>
              <w:left w:val="nil"/>
              <w:bottom w:val="nil"/>
              <w:right w:val="nil"/>
            </w:tcBorders>
            <w:shd w:val="clear" w:color="auto" w:fill="auto"/>
            <w:noWrap/>
            <w:vAlign w:val="center"/>
          </w:tcPr>
          <w:p w14:paraId="17499255">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PC</w:t>
            </w:r>
          </w:p>
        </w:tc>
        <w:tc>
          <w:tcPr>
            <w:tcW w:w="1001" w:type="dxa"/>
            <w:tcBorders>
              <w:top w:val="nil"/>
              <w:left w:val="nil"/>
              <w:bottom w:val="nil"/>
              <w:right w:val="nil"/>
            </w:tcBorders>
            <w:shd w:val="clear" w:color="auto" w:fill="auto"/>
            <w:noWrap/>
            <w:vAlign w:val="center"/>
          </w:tcPr>
          <w:p w14:paraId="09B2AA9B">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Italy</w:t>
            </w:r>
          </w:p>
        </w:tc>
        <w:tc>
          <w:tcPr>
            <w:tcW w:w="2730" w:type="dxa"/>
            <w:tcBorders>
              <w:top w:val="nil"/>
              <w:left w:val="nil"/>
              <w:bottom w:val="nil"/>
              <w:right w:val="nil"/>
            </w:tcBorders>
            <w:shd w:val="clear" w:color="auto" w:fill="auto"/>
            <w:vAlign w:val="center"/>
          </w:tcPr>
          <w:p w14:paraId="0377D518">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Individuals with T1DM </w:t>
            </w:r>
          </w:p>
        </w:tc>
        <w:tc>
          <w:tcPr>
            <w:tcW w:w="2372" w:type="dxa"/>
            <w:tcBorders>
              <w:top w:val="nil"/>
              <w:left w:val="nil"/>
              <w:bottom w:val="nil"/>
              <w:right w:val="nil"/>
            </w:tcBorders>
            <w:shd w:val="clear" w:color="auto" w:fill="auto"/>
            <w:vAlign w:val="center"/>
          </w:tcPr>
          <w:p w14:paraId="2677025E">
            <w:pPr>
              <w:jc w:val="left"/>
              <w:rPr>
                <w:rFonts w:hint="default" w:ascii="Times New Roman" w:hAnsi="Times New Roman" w:cs="Times New Roman"/>
                <w:sz w:val="20"/>
                <w:szCs w:val="20"/>
                <w:highlight w:val="none"/>
                <w:lang w:val="it-IT"/>
              </w:rPr>
            </w:pPr>
            <w:r>
              <w:rPr>
                <w:rFonts w:hint="default" w:ascii="Times New Roman" w:hAnsi="Times New Roman" w:cs="Times New Roman"/>
                <w:sz w:val="20"/>
                <w:szCs w:val="20"/>
                <w:highlight w:val="none"/>
                <w:lang w:val="it-IT"/>
              </w:rPr>
              <w:t>University of Pisa and Azienda Ospedaliero-Universitaria Pisana</w:t>
            </w:r>
          </w:p>
        </w:tc>
        <w:tc>
          <w:tcPr>
            <w:tcW w:w="1703" w:type="dxa"/>
            <w:tcBorders>
              <w:top w:val="nil"/>
              <w:left w:val="nil"/>
              <w:bottom w:val="nil"/>
              <w:right w:val="nil"/>
            </w:tcBorders>
            <w:shd w:val="clear" w:color="auto" w:fill="auto"/>
            <w:noWrap/>
            <w:vAlign w:val="center"/>
          </w:tcPr>
          <w:p w14:paraId="3F1B0480">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December 2017 to October 2018</w:t>
            </w:r>
          </w:p>
        </w:tc>
        <w:tc>
          <w:tcPr>
            <w:tcW w:w="1270" w:type="dxa"/>
            <w:tcBorders>
              <w:top w:val="nil"/>
              <w:left w:val="nil"/>
              <w:bottom w:val="nil"/>
              <w:right w:val="nil"/>
            </w:tcBorders>
            <w:shd w:val="clear" w:color="auto" w:fill="auto"/>
            <w:noWrap/>
            <w:vAlign w:val="center"/>
          </w:tcPr>
          <w:p w14:paraId="146623B7">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19.4±12.2</w:t>
            </w:r>
          </w:p>
        </w:tc>
        <w:tc>
          <w:tcPr>
            <w:tcW w:w="889" w:type="dxa"/>
            <w:tcBorders>
              <w:top w:val="nil"/>
              <w:left w:val="nil"/>
              <w:bottom w:val="nil"/>
              <w:right w:val="nil"/>
            </w:tcBorders>
            <w:shd w:val="clear" w:color="auto" w:fill="auto"/>
            <w:noWrap/>
            <w:vAlign w:val="center"/>
          </w:tcPr>
          <w:p w14:paraId="2C553AED">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774</w:t>
            </w:r>
          </w:p>
        </w:tc>
        <w:tc>
          <w:tcPr>
            <w:tcW w:w="864" w:type="dxa"/>
            <w:tcBorders>
              <w:top w:val="nil"/>
              <w:left w:val="nil"/>
              <w:bottom w:val="nil"/>
              <w:right w:val="nil"/>
            </w:tcBorders>
            <w:shd w:val="clear" w:color="auto" w:fill="auto"/>
            <w:noWrap/>
            <w:vAlign w:val="center"/>
          </w:tcPr>
          <w:p w14:paraId="0320569F">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52.60%</w:t>
            </w:r>
          </w:p>
        </w:tc>
        <w:tc>
          <w:tcPr>
            <w:tcW w:w="1249" w:type="dxa"/>
            <w:tcBorders>
              <w:top w:val="nil"/>
              <w:left w:val="nil"/>
              <w:bottom w:val="nil"/>
              <w:right w:val="nil"/>
            </w:tcBorders>
            <w:shd w:val="clear" w:color="auto" w:fill="auto"/>
            <w:vAlign w:val="center"/>
          </w:tcPr>
          <w:p w14:paraId="61C57422">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40.2±11.7 </w:t>
            </w:r>
          </w:p>
        </w:tc>
        <w:tc>
          <w:tcPr>
            <w:tcW w:w="1025" w:type="dxa"/>
            <w:tcBorders>
              <w:top w:val="nil"/>
              <w:left w:val="nil"/>
              <w:bottom w:val="nil"/>
              <w:right w:val="nil"/>
            </w:tcBorders>
            <w:shd w:val="clear" w:color="auto" w:fill="auto"/>
            <w:noWrap/>
            <w:vAlign w:val="center"/>
          </w:tcPr>
          <w:p w14:paraId="029F4902">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yes</w:t>
            </w:r>
          </w:p>
        </w:tc>
        <w:tc>
          <w:tcPr>
            <w:tcW w:w="941" w:type="dxa"/>
            <w:tcBorders>
              <w:top w:val="nil"/>
              <w:left w:val="nil"/>
              <w:bottom w:val="nil"/>
              <w:right w:val="nil"/>
            </w:tcBorders>
            <w:shd w:val="clear" w:color="auto" w:fill="auto"/>
            <w:vAlign w:val="center"/>
          </w:tcPr>
          <w:p w14:paraId="41E4B1F9">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w:t>
            </w:r>
          </w:p>
        </w:tc>
      </w:tr>
      <w:tr w14:paraId="3B85BB4C">
        <w:tblPrEx>
          <w:tblCellMar>
            <w:top w:w="0" w:type="dxa"/>
            <w:left w:w="108" w:type="dxa"/>
            <w:bottom w:w="0" w:type="dxa"/>
            <w:right w:w="108" w:type="dxa"/>
          </w:tblCellMar>
        </w:tblPrEx>
        <w:trPr>
          <w:trHeight w:val="775" w:hRule="atLeast"/>
          <w:jc w:val="center"/>
        </w:trPr>
        <w:tc>
          <w:tcPr>
            <w:tcW w:w="1706" w:type="dxa"/>
            <w:tcBorders>
              <w:top w:val="nil"/>
              <w:left w:val="nil"/>
              <w:bottom w:val="nil"/>
              <w:right w:val="nil"/>
            </w:tcBorders>
            <w:shd w:val="clear" w:color="auto" w:fill="auto"/>
            <w:noWrap/>
            <w:vAlign w:val="center"/>
          </w:tcPr>
          <w:p w14:paraId="0DA7F0D2">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Köken 2020 </w:t>
            </w:r>
          </w:p>
        </w:tc>
        <w:tc>
          <w:tcPr>
            <w:tcW w:w="825" w:type="dxa"/>
            <w:tcBorders>
              <w:top w:val="nil"/>
              <w:left w:val="nil"/>
              <w:bottom w:val="nil"/>
              <w:right w:val="nil"/>
            </w:tcBorders>
            <w:shd w:val="clear" w:color="auto" w:fill="auto"/>
            <w:noWrap/>
            <w:vAlign w:val="center"/>
          </w:tcPr>
          <w:p w14:paraId="7546F1EA">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CS</w:t>
            </w:r>
          </w:p>
        </w:tc>
        <w:tc>
          <w:tcPr>
            <w:tcW w:w="1001" w:type="dxa"/>
            <w:tcBorders>
              <w:top w:val="nil"/>
              <w:left w:val="nil"/>
              <w:bottom w:val="nil"/>
              <w:right w:val="nil"/>
            </w:tcBorders>
            <w:shd w:val="clear" w:color="auto" w:fill="auto"/>
            <w:noWrap/>
            <w:vAlign w:val="center"/>
          </w:tcPr>
          <w:p w14:paraId="4EF3E477">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Turkey</w:t>
            </w:r>
          </w:p>
        </w:tc>
        <w:tc>
          <w:tcPr>
            <w:tcW w:w="2730" w:type="dxa"/>
            <w:tcBorders>
              <w:top w:val="nil"/>
              <w:left w:val="nil"/>
              <w:bottom w:val="nil"/>
              <w:right w:val="nil"/>
            </w:tcBorders>
            <w:shd w:val="clear" w:color="auto" w:fill="auto"/>
            <w:noWrap/>
            <w:vAlign w:val="center"/>
          </w:tcPr>
          <w:p w14:paraId="30F485E5">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Children and adolescents with T1DM, aged 10-18 years  </w:t>
            </w:r>
          </w:p>
        </w:tc>
        <w:tc>
          <w:tcPr>
            <w:tcW w:w="2372" w:type="dxa"/>
            <w:tcBorders>
              <w:top w:val="nil"/>
              <w:left w:val="nil"/>
              <w:bottom w:val="nil"/>
              <w:right w:val="nil"/>
            </w:tcBorders>
            <w:shd w:val="clear" w:color="auto" w:fill="auto"/>
            <w:vAlign w:val="center"/>
          </w:tcPr>
          <w:p w14:paraId="259C54DC">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Faculty of Medicine, Samsun Ondokuz</w:t>
            </w:r>
            <w:r>
              <w:rPr>
                <w:rFonts w:hint="default" w:ascii="Times New Roman" w:hAnsi="Times New Roman" w:cs="Times New Roman"/>
                <w:sz w:val="20"/>
                <w:szCs w:val="20"/>
                <w:highlight w:val="none"/>
              </w:rPr>
              <w:br w:type="textWrapping"/>
            </w:r>
            <w:r>
              <w:rPr>
                <w:rFonts w:hint="default" w:ascii="Times New Roman" w:hAnsi="Times New Roman" w:cs="Times New Roman"/>
                <w:sz w:val="20"/>
                <w:szCs w:val="20"/>
                <w:highlight w:val="none"/>
              </w:rPr>
              <w:t>Mayıs University</w:t>
            </w:r>
          </w:p>
        </w:tc>
        <w:tc>
          <w:tcPr>
            <w:tcW w:w="1703" w:type="dxa"/>
            <w:tcBorders>
              <w:top w:val="nil"/>
              <w:left w:val="nil"/>
              <w:bottom w:val="nil"/>
              <w:right w:val="nil"/>
            </w:tcBorders>
            <w:shd w:val="clear" w:color="auto" w:fill="auto"/>
            <w:noWrap/>
            <w:vAlign w:val="center"/>
          </w:tcPr>
          <w:p w14:paraId="3AAA52EC">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NR</w:t>
            </w:r>
          </w:p>
        </w:tc>
        <w:tc>
          <w:tcPr>
            <w:tcW w:w="1270" w:type="dxa"/>
            <w:tcBorders>
              <w:top w:val="nil"/>
              <w:left w:val="nil"/>
              <w:bottom w:val="nil"/>
              <w:right w:val="nil"/>
            </w:tcBorders>
            <w:shd w:val="clear" w:color="auto" w:fill="auto"/>
            <w:noWrap/>
            <w:vAlign w:val="center"/>
          </w:tcPr>
          <w:p w14:paraId="4491C2AD">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At least 6 months</w:t>
            </w:r>
          </w:p>
        </w:tc>
        <w:tc>
          <w:tcPr>
            <w:tcW w:w="889" w:type="dxa"/>
            <w:tcBorders>
              <w:top w:val="nil"/>
              <w:left w:val="nil"/>
              <w:bottom w:val="nil"/>
              <w:right w:val="nil"/>
            </w:tcBorders>
            <w:shd w:val="clear" w:color="auto" w:fill="auto"/>
            <w:noWrap/>
            <w:vAlign w:val="center"/>
          </w:tcPr>
          <w:p w14:paraId="1AEB80DD">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200</w:t>
            </w:r>
          </w:p>
        </w:tc>
        <w:tc>
          <w:tcPr>
            <w:tcW w:w="864" w:type="dxa"/>
            <w:tcBorders>
              <w:top w:val="nil"/>
              <w:left w:val="nil"/>
              <w:bottom w:val="nil"/>
              <w:right w:val="nil"/>
            </w:tcBorders>
            <w:shd w:val="clear" w:color="auto" w:fill="auto"/>
            <w:noWrap/>
            <w:vAlign w:val="center"/>
          </w:tcPr>
          <w:p w14:paraId="1C77B97E">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52%</w:t>
            </w:r>
          </w:p>
        </w:tc>
        <w:tc>
          <w:tcPr>
            <w:tcW w:w="1249" w:type="dxa"/>
            <w:tcBorders>
              <w:top w:val="nil"/>
              <w:left w:val="nil"/>
              <w:bottom w:val="nil"/>
              <w:right w:val="nil"/>
            </w:tcBorders>
            <w:shd w:val="clear" w:color="auto" w:fill="auto"/>
            <w:noWrap/>
            <w:vAlign w:val="center"/>
          </w:tcPr>
          <w:p w14:paraId="6AB887AF">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13.8±2.8</w:t>
            </w:r>
          </w:p>
        </w:tc>
        <w:tc>
          <w:tcPr>
            <w:tcW w:w="1025" w:type="dxa"/>
            <w:tcBorders>
              <w:top w:val="nil"/>
              <w:left w:val="nil"/>
              <w:bottom w:val="nil"/>
              <w:right w:val="nil"/>
            </w:tcBorders>
            <w:shd w:val="clear" w:color="auto" w:fill="auto"/>
            <w:noWrap/>
            <w:vAlign w:val="center"/>
          </w:tcPr>
          <w:p w14:paraId="4729082F">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yes</w:t>
            </w:r>
          </w:p>
        </w:tc>
        <w:tc>
          <w:tcPr>
            <w:tcW w:w="941" w:type="dxa"/>
            <w:tcBorders>
              <w:top w:val="nil"/>
              <w:left w:val="nil"/>
              <w:bottom w:val="nil"/>
              <w:right w:val="nil"/>
            </w:tcBorders>
            <w:shd w:val="clear" w:color="auto" w:fill="auto"/>
            <w:vAlign w:val="center"/>
          </w:tcPr>
          <w:p w14:paraId="4307BE25">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w:t>
            </w:r>
          </w:p>
        </w:tc>
      </w:tr>
      <w:tr w14:paraId="53693BA5">
        <w:tblPrEx>
          <w:tblCellMar>
            <w:top w:w="0" w:type="dxa"/>
            <w:left w:w="108" w:type="dxa"/>
            <w:bottom w:w="0" w:type="dxa"/>
            <w:right w:w="108" w:type="dxa"/>
          </w:tblCellMar>
        </w:tblPrEx>
        <w:trPr>
          <w:trHeight w:val="517" w:hRule="atLeast"/>
          <w:jc w:val="center"/>
        </w:trPr>
        <w:tc>
          <w:tcPr>
            <w:tcW w:w="1706" w:type="dxa"/>
            <w:tcBorders>
              <w:top w:val="nil"/>
              <w:left w:val="nil"/>
              <w:bottom w:val="nil"/>
              <w:right w:val="nil"/>
            </w:tcBorders>
            <w:shd w:val="clear" w:color="auto" w:fill="auto"/>
            <w:noWrap/>
            <w:vAlign w:val="center"/>
          </w:tcPr>
          <w:p w14:paraId="790E70C7">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Rusu A, 2019 </w:t>
            </w:r>
          </w:p>
        </w:tc>
        <w:tc>
          <w:tcPr>
            <w:tcW w:w="825" w:type="dxa"/>
            <w:tcBorders>
              <w:top w:val="nil"/>
              <w:left w:val="nil"/>
              <w:bottom w:val="nil"/>
              <w:right w:val="nil"/>
            </w:tcBorders>
            <w:shd w:val="clear" w:color="auto" w:fill="auto"/>
            <w:noWrap/>
            <w:vAlign w:val="center"/>
          </w:tcPr>
          <w:p w14:paraId="32BB3F99">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CS</w:t>
            </w:r>
          </w:p>
        </w:tc>
        <w:tc>
          <w:tcPr>
            <w:tcW w:w="1001" w:type="dxa"/>
            <w:tcBorders>
              <w:top w:val="nil"/>
              <w:left w:val="nil"/>
              <w:bottom w:val="nil"/>
              <w:right w:val="nil"/>
            </w:tcBorders>
            <w:shd w:val="clear" w:color="auto" w:fill="auto"/>
            <w:noWrap/>
            <w:vAlign w:val="center"/>
          </w:tcPr>
          <w:p w14:paraId="78299E44">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Romania</w:t>
            </w:r>
          </w:p>
        </w:tc>
        <w:tc>
          <w:tcPr>
            <w:tcW w:w="2730" w:type="dxa"/>
            <w:tcBorders>
              <w:top w:val="nil"/>
              <w:left w:val="nil"/>
              <w:bottom w:val="nil"/>
              <w:right w:val="nil"/>
            </w:tcBorders>
            <w:shd w:val="clear" w:color="auto" w:fill="auto"/>
            <w:noWrap/>
            <w:vAlign w:val="center"/>
          </w:tcPr>
          <w:p w14:paraId="0D3C9BB8">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Adults with T1DM</w:t>
            </w:r>
          </w:p>
        </w:tc>
        <w:tc>
          <w:tcPr>
            <w:tcW w:w="2372" w:type="dxa"/>
            <w:tcBorders>
              <w:top w:val="nil"/>
              <w:left w:val="nil"/>
              <w:bottom w:val="nil"/>
              <w:right w:val="nil"/>
            </w:tcBorders>
            <w:shd w:val="clear" w:color="auto" w:fill="auto"/>
            <w:noWrap/>
            <w:vAlign w:val="center"/>
          </w:tcPr>
          <w:p w14:paraId="234AE93A">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Emergency County Clinical Hospital Cluj-Napoca</w:t>
            </w:r>
          </w:p>
        </w:tc>
        <w:tc>
          <w:tcPr>
            <w:tcW w:w="1703" w:type="dxa"/>
            <w:tcBorders>
              <w:top w:val="nil"/>
              <w:left w:val="nil"/>
              <w:bottom w:val="nil"/>
              <w:right w:val="nil"/>
            </w:tcBorders>
            <w:shd w:val="clear" w:color="auto" w:fill="auto"/>
            <w:noWrap/>
            <w:vAlign w:val="center"/>
          </w:tcPr>
          <w:p w14:paraId="044F8CA4">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May 2017 to January 2018</w:t>
            </w:r>
          </w:p>
        </w:tc>
        <w:tc>
          <w:tcPr>
            <w:tcW w:w="1270" w:type="dxa"/>
            <w:tcBorders>
              <w:top w:val="nil"/>
              <w:left w:val="nil"/>
              <w:bottom w:val="nil"/>
              <w:right w:val="nil"/>
            </w:tcBorders>
            <w:shd w:val="clear" w:color="auto" w:fill="auto"/>
            <w:noWrap/>
            <w:vAlign w:val="center"/>
          </w:tcPr>
          <w:p w14:paraId="7347C38E">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17.5±11.5</w:t>
            </w:r>
          </w:p>
        </w:tc>
        <w:tc>
          <w:tcPr>
            <w:tcW w:w="889" w:type="dxa"/>
            <w:tcBorders>
              <w:top w:val="nil"/>
              <w:left w:val="nil"/>
              <w:bottom w:val="nil"/>
              <w:right w:val="nil"/>
            </w:tcBorders>
            <w:shd w:val="clear" w:color="auto" w:fill="auto"/>
            <w:noWrap/>
            <w:vAlign w:val="center"/>
          </w:tcPr>
          <w:p w14:paraId="4413CCC2">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109</w:t>
            </w:r>
          </w:p>
        </w:tc>
        <w:tc>
          <w:tcPr>
            <w:tcW w:w="864" w:type="dxa"/>
            <w:tcBorders>
              <w:top w:val="nil"/>
              <w:left w:val="nil"/>
              <w:bottom w:val="nil"/>
              <w:right w:val="nil"/>
            </w:tcBorders>
            <w:shd w:val="clear" w:color="auto" w:fill="auto"/>
            <w:noWrap/>
            <w:vAlign w:val="center"/>
          </w:tcPr>
          <w:p w14:paraId="2F9E83B1">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55.00%</w:t>
            </w:r>
          </w:p>
        </w:tc>
        <w:tc>
          <w:tcPr>
            <w:tcW w:w="1249" w:type="dxa"/>
            <w:tcBorders>
              <w:top w:val="nil"/>
              <w:left w:val="nil"/>
              <w:bottom w:val="nil"/>
              <w:right w:val="nil"/>
            </w:tcBorders>
            <w:shd w:val="clear" w:color="auto" w:fill="auto"/>
            <w:noWrap/>
            <w:vAlign w:val="center"/>
          </w:tcPr>
          <w:p w14:paraId="262616FB">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37.4±14.6</w:t>
            </w:r>
          </w:p>
        </w:tc>
        <w:tc>
          <w:tcPr>
            <w:tcW w:w="1025" w:type="dxa"/>
            <w:tcBorders>
              <w:top w:val="nil"/>
              <w:left w:val="nil"/>
              <w:bottom w:val="nil"/>
              <w:right w:val="nil"/>
            </w:tcBorders>
            <w:shd w:val="clear" w:color="auto" w:fill="auto"/>
            <w:noWrap/>
            <w:vAlign w:val="center"/>
          </w:tcPr>
          <w:p w14:paraId="60ACF5C6">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yes</w:t>
            </w:r>
          </w:p>
        </w:tc>
        <w:tc>
          <w:tcPr>
            <w:tcW w:w="941" w:type="dxa"/>
            <w:tcBorders>
              <w:top w:val="nil"/>
              <w:left w:val="nil"/>
              <w:bottom w:val="nil"/>
              <w:right w:val="nil"/>
            </w:tcBorders>
            <w:shd w:val="clear" w:color="auto" w:fill="auto"/>
            <w:noWrap/>
            <w:vAlign w:val="center"/>
          </w:tcPr>
          <w:p w14:paraId="6D6E1590">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w:t>
            </w:r>
          </w:p>
        </w:tc>
      </w:tr>
      <w:tr w14:paraId="32EEAACB">
        <w:tblPrEx>
          <w:tblCellMar>
            <w:top w:w="0" w:type="dxa"/>
            <w:left w:w="108" w:type="dxa"/>
            <w:bottom w:w="0" w:type="dxa"/>
            <w:right w:w="108" w:type="dxa"/>
          </w:tblCellMar>
        </w:tblPrEx>
        <w:trPr>
          <w:trHeight w:val="90" w:hRule="atLeast"/>
          <w:jc w:val="center"/>
        </w:trPr>
        <w:tc>
          <w:tcPr>
            <w:tcW w:w="1706" w:type="dxa"/>
            <w:tcBorders>
              <w:top w:val="nil"/>
              <w:left w:val="nil"/>
              <w:bottom w:val="nil"/>
              <w:right w:val="nil"/>
            </w:tcBorders>
            <w:shd w:val="clear" w:color="auto" w:fill="auto"/>
            <w:noWrap/>
            <w:vAlign w:val="center"/>
          </w:tcPr>
          <w:p w14:paraId="7F0E7926">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Rogowicz-Frontczak 2018 </w:t>
            </w:r>
          </w:p>
        </w:tc>
        <w:tc>
          <w:tcPr>
            <w:tcW w:w="825" w:type="dxa"/>
            <w:tcBorders>
              <w:top w:val="nil"/>
              <w:left w:val="nil"/>
              <w:bottom w:val="nil"/>
              <w:right w:val="nil"/>
            </w:tcBorders>
            <w:shd w:val="clear" w:color="auto" w:fill="auto"/>
            <w:noWrap/>
            <w:vAlign w:val="center"/>
          </w:tcPr>
          <w:p w14:paraId="4961C3DB">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CS</w:t>
            </w:r>
          </w:p>
        </w:tc>
        <w:tc>
          <w:tcPr>
            <w:tcW w:w="1001" w:type="dxa"/>
            <w:tcBorders>
              <w:top w:val="nil"/>
              <w:left w:val="nil"/>
              <w:bottom w:val="nil"/>
              <w:right w:val="nil"/>
            </w:tcBorders>
            <w:shd w:val="clear" w:color="auto" w:fill="auto"/>
            <w:noWrap/>
            <w:vAlign w:val="center"/>
          </w:tcPr>
          <w:p w14:paraId="43DB5D95">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Poland</w:t>
            </w:r>
          </w:p>
        </w:tc>
        <w:tc>
          <w:tcPr>
            <w:tcW w:w="2730" w:type="dxa"/>
            <w:tcBorders>
              <w:top w:val="nil"/>
              <w:left w:val="nil"/>
              <w:bottom w:val="nil"/>
              <w:right w:val="nil"/>
            </w:tcBorders>
            <w:shd w:val="clear" w:color="auto" w:fill="auto"/>
            <w:noWrap/>
            <w:vAlign w:val="center"/>
          </w:tcPr>
          <w:p w14:paraId="289759E5">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Patients with T1DM</w:t>
            </w:r>
          </w:p>
        </w:tc>
        <w:tc>
          <w:tcPr>
            <w:tcW w:w="2372" w:type="dxa"/>
            <w:tcBorders>
              <w:top w:val="nil"/>
              <w:left w:val="nil"/>
              <w:bottom w:val="nil"/>
              <w:right w:val="nil"/>
            </w:tcBorders>
            <w:shd w:val="clear" w:color="auto" w:fill="auto"/>
            <w:noWrap/>
            <w:vAlign w:val="center"/>
          </w:tcPr>
          <w:p w14:paraId="38AFD890">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Poznan University of Medical Sciences</w:t>
            </w:r>
          </w:p>
        </w:tc>
        <w:tc>
          <w:tcPr>
            <w:tcW w:w="1703" w:type="dxa"/>
            <w:tcBorders>
              <w:top w:val="nil"/>
              <w:left w:val="nil"/>
              <w:bottom w:val="nil"/>
              <w:right w:val="nil"/>
            </w:tcBorders>
            <w:shd w:val="clear" w:color="auto" w:fill="auto"/>
            <w:noWrap/>
            <w:vAlign w:val="center"/>
          </w:tcPr>
          <w:p w14:paraId="167BB6A8">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NR</w:t>
            </w:r>
          </w:p>
        </w:tc>
        <w:tc>
          <w:tcPr>
            <w:tcW w:w="1270" w:type="dxa"/>
            <w:tcBorders>
              <w:top w:val="nil"/>
              <w:left w:val="nil"/>
              <w:bottom w:val="nil"/>
              <w:right w:val="nil"/>
            </w:tcBorders>
            <w:shd w:val="clear" w:color="auto" w:fill="auto"/>
            <w:noWrap/>
            <w:vAlign w:val="center"/>
          </w:tcPr>
          <w:p w14:paraId="7AF6AFA0">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13±6</w:t>
            </w:r>
          </w:p>
        </w:tc>
        <w:tc>
          <w:tcPr>
            <w:tcW w:w="889" w:type="dxa"/>
            <w:tcBorders>
              <w:top w:val="nil"/>
              <w:left w:val="nil"/>
              <w:bottom w:val="nil"/>
              <w:right w:val="nil"/>
            </w:tcBorders>
            <w:shd w:val="clear" w:color="auto" w:fill="auto"/>
            <w:noWrap/>
            <w:vAlign w:val="center"/>
          </w:tcPr>
          <w:p w14:paraId="73AB5975">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100</w:t>
            </w:r>
          </w:p>
        </w:tc>
        <w:tc>
          <w:tcPr>
            <w:tcW w:w="864" w:type="dxa"/>
            <w:tcBorders>
              <w:top w:val="nil"/>
              <w:left w:val="nil"/>
              <w:bottom w:val="nil"/>
              <w:right w:val="nil"/>
            </w:tcBorders>
            <w:shd w:val="clear" w:color="auto" w:fill="auto"/>
            <w:noWrap/>
            <w:vAlign w:val="center"/>
          </w:tcPr>
          <w:p w14:paraId="101E87C8">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53%</w:t>
            </w:r>
          </w:p>
        </w:tc>
        <w:tc>
          <w:tcPr>
            <w:tcW w:w="1249" w:type="dxa"/>
            <w:tcBorders>
              <w:top w:val="nil"/>
              <w:left w:val="nil"/>
              <w:bottom w:val="nil"/>
              <w:right w:val="nil"/>
            </w:tcBorders>
            <w:shd w:val="clear" w:color="auto" w:fill="auto"/>
            <w:noWrap/>
            <w:vAlign w:val="center"/>
          </w:tcPr>
          <w:p w14:paraId="472EF0BC">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29±6</w:t>
            </w:r>
          </w:p>
        </w:tc>
        <w:tc>
          <w:tcPr>
            <w:tcW w:w="1025" w:type="dxa"/>
            <w:tcBorders>
              <w:top w:val="nil"/>
              <w:left w:val="nil"/>
              <w:bottom w:val="nil"/>
              <w:right w:val="nil"/>
            </w:tcBorders>
            <w:shd w:val="clear" w:color="auto" w:fill="auto"/>
            <w:noWrap/>
            <w:vAlign w:val="center"/>
          </w:tcPr>
          <w:p w14:paraId="6C4DC600">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yes</w:t>
            </w:r>
          </w:p>
        </w:tc>
        <w:tc>
          <w:tcPr>
            <w:tcW w:w="941" w:type="dxa"/>
            <w:tcBorders>
              <w:top w:val="nil"/>
              <w:left w:val="nil"/>
              <w:bottom w:val="nil"/>
              <w:right w:val="nil"/>
            </w:tcBorders>
            <w:shd w:val="clear" w:color="auto" w:fill="auto"/>
            <w:vAlign w:val="center"/>
          </w:tcPr>
          <w:p w14:paraId="19486337">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A</w:t>
            </w:r>
          </w:p>
        </w:tc>
      </w:tr>
      <w:tr w14:paraId="414C8241">
        <w:tblPrEx>
          <w:tblCellMar>
            <w:top w:w="0" w:type="dxa"/>
            <w:left w:w="108" w:type="dxa"/>
            <w:bottom w:w="0" w:type="dxa"/>
            <w:right w:w="108" w:type="dxa"/>
          </w:tblCellMar>
        </w:tblPrEx>
        <w:trPr>
          <w:trHeight w:val="1292" w:hRule="atLeast"/>
          <w:jc w:val="center"/>
        </w:trPr>
        <w:tc>
          <w:tcPr>
            <w:tcW w:w="1706" w:type="dxa"/>
            <w:tcBorders>
              <w:top w:val="nil"/>
              <w:left w:val="nil"/>
              <w:bottom w:val="nil"/>
              <w:right w:val="nil"/>
            </w:tcBorders>
            <w:shd w:val="clear" w:color="auto" w:fill="auto"/>
            <w:noWrap/>
            <w:vAlign w:val="center"/>
          </w:tcPr>
          <w:p w14:paraId="3721FE25">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Sheriba 2018 </w:t>
            </w:r>
          </w:p>
        </w:tc>
        <w:tc>
          <w:tcPr>
            <w:tcW w:w="825" w:type="dxa"/>
            <w:tcBorders>
              <w:top w:val="nil"/>
              <w:left w:val="nil"/>
              <w:bottom w:val="nil"/>
              <w:right w:val="nil"/>
            </w:tcBorders>
            <w:shd w:val="clear" w:color="auto" w:fill="auto"/>
            <w:noWrap/>
            <w:vAlign w:val="center"/>
          </w:tcPr>
          <w:p w14:paraId="28AAD118">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PC</w:t>
            </w:r>
          </w:p>
        </w:tc>
        <w:tc>
          <w:tcPr>
            <w:tcW w:w="1001" w:type="dxa"/>
            <w:tcBorders>
              <w:top w:val="nil"/>
              <w:left w:val="nil"/>
              <w:bottom w:val="nil"/>
              <w:right w:val="nil"/>
            </w:tcBorders>
            <w:shd w:val="clear" w:color="auto" w:fill="auto"/>
            <w:noWrap/>
            <w:vAlign w:val="center"/>
          </w:tcPr>
          <w:p w14:paraId="0414C076">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Egypt</w:t>
            </w:r>
          </w:p>
        </w:tc>
        <w:tc>
          <w:tcPr>
            <w:tcW w:w="2730" w:type="dxa"/>
            <w:tcBorders>
              <w:top w:val="nil"/>
              <w:left w:val="nil"/>
              <w:bottom w:val="nil"/>
              <w:right w:val="nil"/>
            </w:tcBorders>
            <w:shd w:val="clear" w:color="auto" w:fill="auto"/>
            <w:noWrap/>
            <w:vAlign w:val="center"/>
          </w:tcPr>
          <w:p w14:paraId="656F73E4">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Male patients with T1DM</w:t>
            </w:r>
          </w:p>
        </w:tc>
        <w:tc>
          <w:tcPr>
            <w:tcW w:w="2372" w:type="dxa"/>
            <w:tcBorders>
              <w:top w:val="nil"/>
              <w:left w:val="nil"/>
              <w:bottom w:val="nil"/>
              <w:right w:val="nil"/>
            </w:tcBorders>
            <w:shd w:val="clear" w:color="auto" w:fill="auto"/>
            <w:vAlign w:val="center"/>
          </w:tcPr>
          <w:p w14:paraId="17A9DD13">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Diabetes Outpatient Clinic of Ain Shams University Hospital</w:t>
            </w:r>
          </w:p>
        </w:tc>
        <w:tc>
          <w:tcPr>
            <w:tcW w:w="1703" w:type="dxa"/>
            <w:tcBorders>
              <w:top w:val="nil"/>
              <w:left w:val="nil"/>
              <w:bottom w:val="nil"/>
              <w:right w:val="nil"/>
            </w:tcBorders>
            <w:shd w:val="clear" w:color="auto" w:fill="auto"/>
            <w:noWrap/>
            <w:vAlign w:val="center"/>
          </w:tcPr>
          <w:p w14:paraId="68A05B07">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October 2013 to June 2014</w:t>
            </w:r>
          </w:p>
        </w:tc>
        <w:tc>
          <w:tcPr>
            <w:tcW w:w="1270" w:type="dxa"/>
            <w:tcBorders>
              <w:top w:val="nil"/>
              <w:left w:val="nil"/>
              <w:bottom w:val="nil"/>
              <w:right w:val="nil"/>
            </w:tcBorders>
            <w:shd w:val="clear" w:color="auto" w:fill="auto"/>
            <w:noWrap/>
            <w:vAlign w:val="center"/>
          </w:tcPr>
          <w:p w14:paraId="08BA8EF6">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NR</w:t>
            </w:r>
          </w:p>
        </w:tc>
        <w:tc>
          <w:tcPr>
            <w:tcW w:w="889" w:type="dxa"/>
            <w:tcBorders>
              <w:top w:val="nil"/>
              <w:left w:val="nil"/>
              <w:bottom w:val="nil"/>
              <w:right w:val="nil"/>
            </w:tcBorders>
            <w:shd w:val="clear" w:color="auto" w:fill="auto"/>
            <w:noWrap/>
            <w:vAlign w:val="center"/>
          </w:tcPr>
          <w:p w14:paraId="4F2AE118">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40</w:t>
            </w:r>
          </w:p>
        </w:tc>
        <w:tc>
          <w:tcPr>
            <w:tcW w:w="864" w:type="dxa"/>
            <w:tcBorders>
              <w:top w:val="nil"/>
              <w:left w:val="nil"/>
              <w:bottom w:val="nil"/>
              <w:right w:val="nil"/>
            </w:tcBorders>
            <w:shd w:val="clear" w:color="auto" w:fill="auto"/>
            <w:noWrap/>
            <w:vAlign w:val="center"/>
          </w:tcPr>
          <w:p w14:paraId="6A9D287F">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100%</w:t>
            </w:r>
          </w:p>
        </w:tc>
        <w:tc>
          <w:tcPr>
            <w:tcW w:w="1249" w:type="dxa"/>
            <w:tcBorders>
              <w:top w:val="nil"/>
              <w:left w:val="nil"/>
              <w:bottom w:val="nil"/>
              <w:right w:val="nil"/>
            </w:tcBorders>
            <w:shd w:val="clear" w:color="auto" w:fill="auto"/>
            <w:noWrap/>
            <w:vAlign w:val="center"/>
          </w:tcPr>
          <w:p w14:paraId="308F5344">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24.55±2.46</w:t>
            </w:r>
          </w:p>
        </w:tc>
        <w:tc>
          <w:tcPr>
            <w:tcW w:w="1025" w:type="dxa"/>
            <w:tcBorders>
              <w:top w:val="nil"/>
              <w:left w:val="nil"/>
              <w:bottom w:val="nil"/>
              <w:right w:val="nil"/>
            </w:tcBorders>
            <w:shd w:val="clear" w:color="auto" w:fill="auto"/>
            <w:noWrap/>
            <w:vAlign w:val="center"/>
          </w:tcPr>
          <w:p w14:paraId="60FEAA31">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yes</w:t>
            </w:r>
          </w:p>
        </w:tc>
        <w:tc>
          <w:tcPr>
            <w:tcW w:w="941" w:type="dxa"/>
            <w:tcBorders>
              <w:top w:val="nil"/>
              <w:left w:val="nil"/>
              <w:bottom w:val="nil"/>
              <w:right w:val="nil"/>
            </w:tcBorders>
            <w:shd w:val="clear" w:color="auto" w:fill="auto"/>
            <w:vAlign w:val="center"/>
          </w:tcPr>
          <w:p w14:paraId="4003D0B6">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A</w:t>
            </w:r>
          </w:p>
        </w:tc>
      </w:tr>
      <w:tr w14:paraId="138B8037">
        <w:tblPrEx>
          <w:tblCellMar>
            <w:top w:w="0" w:type="dxa"/>
            <w:left w:w="108" w:type="dxa"/>
            <w:bottom w:w="0" w:type="dxa"/>
            <w:right w:w="108" w:type="dxa"/>
          </w:tblCellMar>
        </w:tblPrEx>
        <w:trPr>
          <w:trHeight w:val="517" w:hRule="atLeast"/>
          <w:jc w:val="center"/>
        </w:trPr>
        <w:tc>
          <w:tcPr>
            <w:tcW w:w="1706" w:type="dxa"/>
            <w:tcBorders>
              <w:top w:val="nil"/>
              <w:left w:val="nil"/>
              <w:bottom w:val="nil"/>
              <w:right w:val="nil"/>
            </w:tcBorders>
            <w:shd w:val="clear" w:color="auto" w:fill="auto"/>
            <w:noWrap/>
            <w:vAlign w:val="center"/>
          </w:tcPr>
          <w:p w14:paraId="0928A1EA">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Fernandez-Miro 2017 </w:t>
            </w:r>
          </w:p>
        </w:tc>
        <w:tc>
          <w:tcPr>
            <w:tcW w:w="825" w:type="dxa"/>
            <w:tcBorders>
              <w:top w:val="nil"/>
              <w:left w:val="nil"/>
              <w:bottom w:val="nil"/>
              <w:right w:val="nil"/>
            </w:tcBorders>
            <w:shd w:val="clear" w:color="auto" w:fill="auto"/>
            <w:noWrap/>
            <w:vAlign w:val="center"/>
          </w:tcPr>
          <w:p w14:paraId="7E4624E1">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CS</w:t>
            </w:r>
          </w:p>
        </w:tc>
        <w:tc>
          <w:tcPr>
            <w:tcW w:w="1001" w:type="dxa"/>
            <w:tcBorders>
              <w:top w:val="nil"/>
              <w:left w:val="nil"/>
              <w:bottom w:val="nil"/>
              <w:right w:val="nil"/>
            </w:tcBorders>
            <w:shd w:val="clear" w:color="auto" w:fill="auto"/>
            <w:noWrap/>
            <w:vAlign w:val="center"/>
          </w:tcPr>
          <w:p w14:paraId="6B53FA69">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Spain</w:t>
            </w:r>
          </w:p>
        </w:tc>
        <w:tc>
          <w:tcPr>
            <w:tcW w:w="2730" w:type="dxa"/>
            <w:tcBorders>
              <w:top w:val="nil"/>
              <w:left w:val="nil"/>
              <w:bottom w:val="nil"/>
              <w:right w:val="nil"/>
            </w:tcBorders>
            <w:shd w:val="clear" w:color="auto" w:fill="auto"/>
            <w:noWrap/>
            <w:vAlign w:val="center"/>
          </w:tcPr>
          <w:p w14:paraId="22141467">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Male patients with T1DM</w:t>
            </w:r>
          </w:p>
        </w:tc>
        <w:tc>
          <w:tcPr>
            <w:tcW w:w="2372" w:type="dxa"/>
            <w:tcBorders>
              <w:top w:val="nil"/>
              <w:left w:val="nil"/>
              <w:bottom w:val="nil"/>
              <w:right w:val="nil"/>
            </w:tcBorders>
            <w:shd w:val="clear" w:color="auto" w:fill="auto"/>
            <w:noWrap/>
            <w:vAlign w:val="center"/>
          </w:tcPr>
          <w:p w14:paraId="0CA2E994">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Three hospitals in the urban area of Barcelona </w:t>
            </w:r>
          </w:p>
        </w:tc>
        <w:tc>
          <w:tcPr>
            <w:tcW w:w="1703" w:type="dxa"/>
            <w:tcBorders>
              <w:top w:val="nil"/>
              <w:left w:val="nil"/>
              <w:bottom w:val="nil"/>
              <w:right w:val="nil"/>
            </w:tcBorders>
            <w:shd w:val="clear" w:color="auto" w:fill="auto"/>
            <w:noWrap/>
            <w:vAlign w:val="center"/>
          </w:tcPr>
          <w:p w14:paraId="37209C58">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July 2013 to February 2014</w:t>
            </w:r>
          </w:p>
        </w:tc>
        <w:tc>
          <w:tcPr>
            <w:tcW w:w="1270" w:type="dxa"/>
            <w:tcBorders>
              <w:top w:val="nil"/>
              <w:left w:val="nil"/>
              <w:bottom w:val="nil"/>
              <w:right w:val="nil"/>
            </w:tcBorders>
            <w:shd w:val="clear" w:color="auto" w:fill="auto"/>
            <w:noWrap/>
            <w:vAlign w:val="center"/>
          </w:tcPr>
          <w:p w14:paraId="766AD3F8">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NR</w:t>
            </w:r>
          </w:p>
        </w:tc>
        <w:tc>
          <w:tcPr>
            <w:tcW w:w="889" w:type="dxa"/>
            <w:tcBorders>
              <w:top w:val="nil"/>
              <w:left w:val="nil"/>
              <w:bottom w:val="nil"/>
              <w:right w:val="nil"/>
            </w:tcBorders>
            <w:shd w:val="clear" w:color="auto" w:fill="auto"/>
            <w:noWrap/>
            <w:vAlign w:val="center"/>
          </w:tcPr>
          <w:p w14:paraId="0E837C04">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181</w:t>
            </w:r>
          </w:p>
        </w:tc>
        <w:tc>
          <w:tcPr>
            <w:tcW w:w="864" w:type="dxa"/>
            <w:tcBorders>
              <w:top w:val="nil"/>
              <w:left w:val="nil"/>
              <w:bottom w:val="nil"/>
              <w:right w:val="nil"/>
            </w:tcBorders>
            <w:shd w:val="clear" w:color="auto" w:fill="auto"/>
            <w:noWrap/>
            <w:vAlign w:val="center"/>
          </w:tcPr>
          <w:p w14:paraId="05E19684">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100%</w:t>
            </w:r>
          </w:p>
        </w:tc>
        <w:tc>
          <w:tcPr>
            <w:tcW w:w="1249" w:type="dxa"/>
            <w:tcBorders>
              <w:top w:val="nil"/>
              <w:left w:val="nil"/>
              <w:bottom w:val="nil"/>
              <w:right w:val="nil"/>
            </w:tcBorders>
            <w:shd w:val="clear" w:color="auto" w:fill="auto"/>
            <w:noWrap/>
            <w:vAlign w:val="center"/>
          </w:tcPr>
          <w:p w14:paraId="45245078">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44.2±13.2</w:t>
            </w:r>
          </w:p>
        </w:tc>
        <w:tc>
          <w:tcPr>
            <w:tcW w:w="1025" w:type="dxa"/>
            <w:tcBorders>
              <w:top w:val="nil"/>
              <w:left w:val="nil"/>
              <w:bottom w:val="nil"/>
              <w:right w:val="nil"/>
            </w:tcBorders>
            <w:shd w:val="clear" w:color="auto" w:fill="auto"/>
            <w:noWrap/>
            <w:vAlign w:val="center"/>
          </w:tcPr>
          <w:p w14:paraId="03C6E69D">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yes</w:t>
            </w:r>
          </w:p>
        </w:tc>
        <w:tc>
          <w:tcPr>
            <w:tcW w:w="941" w:type="dxa"/>
            <w:tcBorders>
              <w:top w:val="nil"/>
              <w:left w:val="nil"/>
              <w:bottom w:val="nil"/>
              <w:right w:val="nil"/>
            </w:tcBorders>
            <w:shd w:val="clear" w:color="auto" w:fill="auto"/>
            <w:vAlign w:val="center"/>
          </w:tcPr>
          <w:p w14:paraId="4814612F">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A</w:t>
            </w:r>
          </w:p>
        </w:tc>
      </w:tr>
      <w:tr w14:paraId="74769925">
        <w:tblPrEx>
          <w:tblCellMar>
            <w:top w:w="0" w:type="dxa"/>
            <w:left w:w="108" w:type="dxa"/>
            <w:bottom w:w="0" w:type="dxa"/>
            <w:right w:w="108" w:type="dxa"/>
          </w:tblCellMar>
        </w:tblPrEx>
        <w:trPr>
          <w:trHeight w:val="517" w:hRule="atLeast"/>
          <w:jc w:val="center"/>
        </w:trPr>
        <w:tc>
          <w:tcPr>
            <w:tcW w:w="1706" w:type="dxa"/>
            <w:tcBorders>
              <w:top w:val="nil"/>
              <w:left w:val="nil"/>
              <w:bottom w:val="nil"/>
              <w:right w:val="nil"/>
            </w:tcBorders>
            <w:shd w:val="clear" w:color="auto" w:fill="auto"/>
            <w:noWrap/>
            <w:vAlign w:val="center"/>
          </w:tcPr>
          <w:p w14:paraId="7DA235FC">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Calcaterra 2018 </w:t>
            </w:r>
          </w:p>
        </w:tc>
        <w:tc>
          <w:tcPr>
            <w:tcW w:w="825" w:type="dxa"/>
            <w:tcBorders>
              <w:top w:val="nil"/>
              <w:left w:val="nil"/>
              <w:bottom w:val="nil"/>
              <w:right w:val="nil"/>
            </w:tcBorders>
            <w:shd w:val="clear" w:color="auto" w:fill="auto"/>
            <w:noWrap/>
            <w:vAlign w:val="center"/>
          </w:tcPr>
          <w:p w14:paraId="22C4E0D8">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CS</w:t>
            </w:r>
          </w:p>
        </w:tc>
        <w:tc>
          <w:tcPr>
            <w:tcW w:w="1001" w:type="dxa"/>
            <w:tcBorders>
              <w:top w:val="nil"/>
              <w:left w:val="nil"/>
              <w:bottom w:val="nil"/>
              <w:right w:val="nil"/>
            </w:tcBorders>
            <w:shd w:val="clear" w:color="auto" w:fill="auto"/>
            <w:noWrap/>
            <w:vAlign w:val="center"/>
          </w:tcPr>
          <w:p w14:paraId="04229A4F">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Italy</w:t>
            </w:r>
          </w:p>
        </w:tc>
        <w:tc>
          <w:tcPr>
            <w:tcW w:w="2730" w:type="dxa"/>
            <w:tcBorders>
              <w:top w:val="nil"/>
              <w:left w:val="nil"/>
              <w:bottom w:val="nil"/>
              <w:right w:val="nil"/>
            </w:tcBorders>
            <w:shd w:val="clear" w:color="auto" w:fill="auto"/>
            <w:noWrap/>
            <w:vAlign w:val="center"/>
          </w:tcPr>
          <w:p w14:paraId="54B60AA8">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Youths with T1DM</w:t>
            </w:r>
          </w:p>
        </w:tc>
        <w:tc>
          <w:tcPr>
            <w:tcW w:w="2372" w:type="dxa"/>
            <w:tcBorders>
              <w:top w:val="nil"/>
              <w:left w:val="nil"/>
              <w:bottom w:val="nil"/>
              <w:right w:val="nil"/>
            </w:tcBorders>
            <w:shd w:val="clear" w:color="auto" w:fill="auto"/>
            <w:noWrap/>
            <w:vAlign w:val="center"/>
          </w:tcPr>
          <w:p w14:paraId="3962C62F">
            <w:pPr>
              <w:jc w:val="left"/>
              <w:rPr>
                <w:rFonts w:hint="default" w:ascii="Times New Roman" w:hAnsi="Times New Roman" w:cs="Times New Roman"/>
                <w:sz w:val="20"/>
                <w:szCs w:val="20"/>
                <w:highlight w:val="none"/>
                <w:lang w:val="it-IT"/>
              </w:rPr>
            </w:pPr>
            <w:r>
              <w:rPr>
                <w:rFonts w:hint="default" w:ascii="Times New Roman" w:hAnsi="Times New Roman" w:cs="Times New Roman"/>
                <w:sz w:val="20"/>
                <w:szCs w:val="20"/>
                <w:highlight w:val="none"/>
                <w:lang w:val="it-IT"/>
              </w:rPr>
              <w:t>Fondazione IRCCS Policlinico San Matteo</w:t>
            </w:r>
          </w:p>
        </w:tc>
        <w:tc>
          <w:tcPr>
            <w:tcW w:w="1703" w:type="dxa"/>
            <w:tcBorders>
              <w:top w:val="nil"/>
              <w:left w:val="nil"/>
              <w:bottom w:val="nil"/>
              <w:right w:val="nil"/>
            </w:tcBorders>
            <w:shd w:val="clear" w:color="auto" w:fill="auto"/>
            <w:noWrap/>
            <w:vAlign w:val="center"/>
          </w:tcPr>
          <w:p w14:paraId="2CFA19AF">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September to December, 2017</w:t>
            </w:r>
          </w:p>
        </w:tc>
        <w:tc>
          <w:tcPr>
            <w:tcW w:w="1270" w:type="dxa"/>
            <w:tcBorders>
              <w:top w:val="nil"/>
              <w:left w:val="nil"/>
              <w:bottom w:val="nil"/>
              <w:right w:val="nil"/>
            </w:tcBorders>
            <w:shd w:val="clear" w:color="auto" w:fill="auto"/>
            <w:noWrap/>
            <w:vAlign w:val="center"/>
          </w:tcPr>
          <w:p w14:paraId="6C154910">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NR</w:t>
            </w:r>
          </w:p>
        </w:tc>
        <w:tc>
          <w:tcPr>
            <w:tcW w:w="889" w:type="dxa"/>
            <w:tcBorders>
              <w:top w:val="nil"/>
              <w:left w:val="nil"/>
              <w:bottom w:val="nil"/>
              <w:right w:val="nil"/>
            </w:tcBorders>
            <w:shd w:val="clear" w:color="auto" w:fill="auto"/>
            <w:noWrap/>
            <w:vAlign w:val="center"/>
          </w:tcPr>
          <w:p w14:paraId="173AA9EE">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104</w:t>
            </w:r>
          </w:p>
        </w:tc>
        <w:tc>
          <w:tcPr>
            <w:tcW w:w="864" w:type="dxa"/>
            <w:tcBorders>
              <w:top w:val="nil"/>
              <w:left w:val="nil"/>
              <w:bottom w:val="nil"/>
              <w:right w:val="nil"/>
            </w:tcBorders>
            <w:shd w:val="clear" w:color="auto" w:fill="auto"/>
            <w:noWrap/>
            <w:vAlign w:val="center"/>
          </w:tcPr>
          <w:p w14:paraId="6954AB88">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52%</w:t>
            </w:r>
          </w:p>
        </w:tc>
        <w:tc>
          <w:tcPr>
            <w:tcW w:w="1249" w:type="dxa"/>
            <w:tcBorders>
              <w:top w:val="nil"/>
              <w:left w:val="nil"/>
              <w:bottom w:val="nil"/>
              <w:right w:val="nil"/>
            </w:tcBorders>
            <w:shd w:val="clear" w:color="auto" w:fill="auto"/>
            <w:noWrap/>
            <w:vAlign w:val="center"/>
          </w:tcPr>
          <w:p w14:paraId="43FFA1C8">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16.4±8.6</w:t>
            </w:r>
          </w:p>
        </w:tc>
        <w:tc>
          <w:tcPr>
            <w:tcW w:w="1025" w:type="dxa"/>
            <w:tcBorders>
              <w:top w:val="nil"/>
              <w:left w:val="nil"/>
              <w:bottom w:val="nil"/>
              <w:right w:val="nil"/>
            </w:tcBorders>
            <w:shd w:val="clear" w:color="auto" w:fill="auto"/>
            <w:noWrap/>
            <w:vAlign w:val="center"/>
          </w:tcPr>
          <w:p w14:paraId="6A4CA596">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yes</w:t>
            </w:r>
          </w:p>
        </w:tc>
        <w:tc>
          <w:tcPr>
            <w:tcW w:w="941" w:type="dxa"/>
            <w:tcBorders>
              <w:top w:val="nil"/>
              <w:left w:val="nil"/>
              <w:bottom w:val="nil"/>
              <w:right w:val="nil"/>
            </w:tcBorders>
            <w:shd w:val="clear" w:color="auto" w:fill="auto"/>
            <w:vAlign w:val="center"/>
          </w:tcPr>
          <w:p w14:paraId="53C022C1">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w:t>
            </w:r>
          </w:p>
        </w:tc>
      </w:tr>
      <w:tr w14:paraId="1CD4187E">
        <w:tblPrEx>
          <w:tblCellMar>
            <w:top w:w="0" w:type="dxa"/>
            <w:left w:w="108" w:type="dxa"/>
            <w:bottom w:w="0" w:type="dxa"/>
            <w:right w:w="108" w:type="dxa"/>
          </w:tblCellMar>
        </w:tblPrEx>
        <w:trPr>
          <w:trHeight w:val="517" w:hRule="atLeast"/>
          <w:jc w:val="center"/>
        </w:trPr>
        <w:tc>
          <w:tcPr>
            <w:tcW w:w="1706" w:type="dxa"/>
            <w:tcBorders>
              <w:top w:val="nil"/>
              <w:left w:val="nil"/>
              <w:bottom w:val="nil"/>
              <w:right w:val="nil"/>
            </w:tcBorders>
            <w:shd w:val="clear" w:color="auto" w:fill="auto"/>
            <w:noWrap/>
            <w:vAlign w:val="center"/>
          </w:tcPr>
          <w:p w14:paraId="072DFC7A">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Gon 2017</w:t>
            </w:r>
          </w:p>
        </w:tc>
        <w:tc>
          <w:tcPr>
            <w:tcW w:w="825" w:type="dxa"/>
            <w:tcBorders>
              <w:top w:val="nil"/>
              <w:left w:val="nil"/>
              <w:bottom w:val="nil"/>
              <w:right w:val="nil"/>
            </w:tcBorders>
            <w:shd w:val="clear" w:color="auto" w:fill="auto"/>
            <w:noWrap/>
            <w:vAlign w:val="center"/>
          </w:tcPr>
          <w:p w14:paraId="57D518B7">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CS</w:t>
            </w:r>
          </w:p>
        </w:tc>
        <w:tc>
          <w:tcPr>
            <w:tcW w:w="1001" w:type="dxa"/>
            <w:tcBorders>
              <w:top w:val="nil"/>
              <w:left w:val="nil"/>
              <w:bottom w:val="nil"/>
              <w:right w:val="nil"/>
            </w:tcBorders>
            <w:shd w:val="clear" w:color="auto" w:fill="auto"/>
            <w:noWrap/>
            <w:vAlign w:val="center"/>
          </w:tcPr>
          <w:p w14:paraId="3068468C">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Mexico</w:t>
            </w:r>
          </w:p>
        </w:tc>
        <w:tc>
          <w:tcPr>
            <w:tcW w:w="2730" w:type="dxa"/>
            <w:tcBorders>
              <w:top w:val="nil"/>
              <w:left w:val="nil"/>
              <w:bottom w:val="nil"/>
              <w:right w:val="nil"/>
            </w:tcBorders>
            <w:shd w:val="clear" w:color="auto" w:fill="auto"/>
            <w:noWrap/>
            <w:vAlign w:val="center"/>
          </w:tcPr>
          <w:p w14:paraId="7882111C">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Adults with T1DM</w:t>
            </w:r>
          </w:p>
        </w:tc>
        <w:tc>
          <w:tcPr>
            <w:tcW w:w="2372" w:type="dxa"/>
            <w:tcBorders>
              <w:top w:val="nil"/>
              <w:left w:val="nil"/>
              <w:bottom w:val="nil"/>
              <w:right w:val="nil"/>
            </w:tcBorders>
            <w:shd w:val="clear" w:color="auto" w:fill="auto"/>
            <w:noWrap/>
            <w:vAlign w:val="center"/>
          </w:tcPr>
          <w:p w14:paraId="59E2C250">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National Medical Center 21st Century </w:t>
            </w:r>
          </w:p>
        </w:tc>
        <w:tc>
          <w:tcPr>
            <w:tcW w:w="1703" w:type="dxa"/>
            <w:tcBorders>
              <w:top w:val="nil"/>
              <w:left w:val="nil"/>
              <w:bottom w:val="nil"/>
              <w:right w:val="nil"/>
            </w:tcBorders>
            <w:shd w:val="clear" w:color="auto" w:fill="auto"/>
            <w:noWrap/>
            <w:vAlign w:val="center"/>
          </w:tcPr>
          <w:p w14:paraId="762DBD25">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NR</w:t>
            </w:r>
          </w:p>
        </w:tc>
        <w:tc>
          <w:tcPr>
            <w:tcW w:w="1270" w:type="dxa"/>
            <w:tcBorders>
              <w:top w:val="nil"/>
              <w:left w:val="nil"/>
              <w:bottom w:val="nil"/>
              <w:right w:val="nil"/>
            </w:tcBorders>
            <w:shd w:val="clear" w:color="auto" w:fill="auto"/>
            <w:noWrap/>
            <w:vAlign w:val="center"/>
          </w:tcPr>
          <w:p w14:paraId="0FD62307">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At least 10 years</w:t>
            </w:r>
          </w:p>
        </w:tc>
        <w:tc>
          <w:tcPr>
            <w:tcW w:w="889" w:type="dxa"/>
            <w:tcBorders>
              <w:top w:val="nil"/>
              <w:left w:val="nil"/>
              <w:bottom w:val="nil"/>
              <w:right w:val="nil"/>
            </w:tcBorders>
            <w:shd w:val="clear" w:color="auto" w:fill="auto"/>
            <w:noWrap/>
            <w:vAlign w:val="center"/>
          </w:tcPr>
          <w:p w14:paraId="20370235">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48</w:t>
            </w:r>
          </w:p>
        </w:tc>
        <w:tc>
          <w:tcPr>
            <w:tcW w:w="864" w:type="dxa"/>
            <w:tcBorders>
              <w:top w:val="nil"/>
              <w:left w:val="nil"/>
              <w:bottom w:val="nil"/>
              <w:right w:val="nil"/>
            </w:tcBorders>
            <w:shd w:val="clear" w:color="auto" w:fill="auto"/>
            <w:noWrap/>
            <w:vAlign w:val="center"/>
          </w:tcPr>
          <w:p w14:paraId="330B3758">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27%</w:t>
            </w:r>
          </w:p>
        </w:tc>
        <w:tc>
          <w:tcPr>
            <w:tcW w:w="1249" w:type="dxa"/>
            <w:tcBorders>
              <w:top w:val="nil"/>
              <w:left w:val="nil"/>
              <w:bottom w:val="nil"/>
              <w:right w:val="nil"/>
            </w:tcBorders>
            <w:shd w:val="clear" w:color="auto" w:fill="auto"/>
            <w:noWrap/>
            <w:vAlign w:val="center"/>
          </w:tcPr>
          <w:p w14:paraId="60F19A2D">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31.4 + 9.9 </w:t>
            </w:r>
          </w:p>
        </w:tc>
        <w:tc>
          <w:tcPr>
            <w:tcW w:w="1025" w:type="dxa"/>
            <w:tcBorders>
              <w:top w:val="nil"/>
              <w:left w:val="nil"/>
              <w:bottom w:val="nil"/>
              <w:right w:val="nil"/>
            </w:tcBorders>
            <w:shd w:val="clear" w:color="auto" w:fill="auto"/>
            <w:noWrap/>
            <w:vAlign w:val="center"/>
          </w:tcPr>
          <w:p w14:paraId="66FEC5C9">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yes</w:t>
            </w:r>
          </w:p>
        </w:tc>
        <w:tc>
          <w:tcPr>
            <w:tcW w:w="941" w:type="dxa"/>
            <w:tcBorders>
              <w:top w:val="nil"/>
              <w:left w:val="nil"/>
              <w:bottom w:val="nil"/>
              <w:right w:val="nil"/>
            </w:tcBorders>
            <w:shd w:val="clear" w:color="auto" w:fill="auto"/>
            <w:vAlign w:val="center"/>
          </w:tcPr>
          <w:p w14:paraId="5734C73C">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A</w:t>
            </w:r>
          </w:p>
        </w:tc>
      </w:tr>
      <w:tr w14:paraId="1D5D80D7">
        <w:tblPrEx>
          <w:tblCellMar>
            <w:top w:w="0" w:type="dxa"/>
            <w:left w:w="108" w:type="dxa"/>
            <w:bottom w:w="0" w:type="dxa"/>
            <w:right w:w="108" w:type="dxa"/>
          </w:tblCellMar>
        </w:tblPrEx>
        <w:trPr>
          <w:trHeight w:val="517" w:hRule="atLeast"/>
          <w:jc w:val="center"/>
        </w:trPr>
        <w:tc>
          <w:tcPr>
            <w:tcW w:w="1706" w:type="dxa"/>
            <w:tcBorders>
              <w:top w:val="nil"/>
              <w:left w:val="nil"/>
              <w:bottom w:val="nil"/>
              <w:right w:val="nil"/>
            </w:tcBorders>
            <w:shd w:val="clear" w:color="auto" w:fill="auto"/>
            <w:noWrap/>
            <w:vAlign w:val="center"/>
          </w:tcPr>
          <w:p w14:paraId="12C9FAD7">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Kupfer 2017</w:t>
            </w:r>
          </w:p>
        </w:tc>
        <w:tc>
          <w:tcPr>
            <w:tcW w:w="825" w:type="dxa"/>
            <w:tcBorders>
              <w:top w:val="nil"/>
              <w:left w:val="nil"/>
              <w:bottom w:val="nil"/>
              <w:right w:val="nil"/>
            </w:tcBorders>
            <w:shd w:val="clear" w:color="auto" w:fill="auto"/>
            <w:noWrap/>
            <w:vAlign w:val="center"/>
          </w:tcPr>
          <w:p w14:paraId="14EAC9D1">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CS</w:t>
            </w:r>
          </w:p>
        </w:tc>
        <w:tc>
          <w:tcPr>
            <w:tcW w:w="1001" w:type="dxa"/>
            <w:tcBorders>
              <w:top w:val="nil"/>
              <w:left w:val="nil"/>
              <w:bottom w:val="nil"/>
              <w:right w:val="nil"/>
            </w:tcBorders>
            <w:shd w:val="clear" w:color="auto" w:fill="auto"/>
            <w:noWrap/>
            <w:vAlign w:val="center"/>
          </w:tcPr>
          <w:p w14:paraId="6FD8AF7A">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Brasil</w:t>
            </w:r>
          </w:p>
        </w:tc>
        <w:tc>
          <w:tcPr>
            <w:tcW w:w="2730" w:type="dxa"/>
            <w:tcBorders>
              <w:top w:val="nil"/>
              <w:left w:val="nil"/>
              <w:bottom w:val="nil"/>
              <w:right w:val="nil"/>
            </w:tcBorders>
            <w:shd w:val="clear" w:color="auto" w:fill="auto"/>
            <w:noWrap/>
            <w:vAlign w:val="center"/>
          </w:tcPr>
          <w:p w14:paraId="2CCA856F">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Young adult women with T1DM</w:t>
            </w:r>
          </w:p>
        </w:tc>
        <w:tc>
          <w:tcPr>
            <w:tcW w:w="2372" w:type="dxa"/>
            <w:tcBorders>
              <w:top w:val="nil"/>
              <w:left w:val="nil"/>
              <w:bottom w:val="nil"/>
              <w:right w:val="nil"/>
            </w:tcBorders>
            <w:shd w:val="clear" w:color="auto" w:fill="auto"/>
            <w:noWrap/>
            <w:vAlign w:val="center"/>
          </w:tcPr>
          <w:p w14:paraId="59E148C7">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IEDE</w:t>
            </w:r>
          </w:p>
        </w:tc>
        <w:tc>
          <w:tcPr>
            <w:tcW w:w="1703" w:type="dxa"/>
            <w:tcBorders>
              <w:top w:val="nil"/>
              <w:left w:val="nil"/>
              <w:bottom w:val="nil"/>
              <w:right w:val="nil"/>
            </w:tcBorders>
            <w:shd w:val="clear" w:color="auto" w:fill="auto"/>
            <w:noWrap/>
            <w:vAlign w:val="center"/>
          </w:tcPr>
          <w:p w14:paraId="7F669B93">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NR</w:t>
            </w:r>
          </w:p>
        </w:tc>
        <w:tc>
          <w:tcPr>
            <w:tcW w:w="1270" w:type="dxa"/>
            <w:tcBorders>
              <w:top w:val="nil"/>
              <w:left w:val="nil"/>
              <w:bottom w:val="nil"/>
              <w:right w:val="nil"/>
            </w:tcBorders>
            <w:shd w:val="clear" w:color="auto" w:fill="auto"/>
            <w:noWrap/>
            <w:vAlign w:val="center"/>
          </w:tcPr>
          <w:p w14:paraId="0299AC10">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18.1±9.5</w:t>
            </w:r>
          </w:p>
        </w:tc>
        <w:tc>
          <w:tcPr>
            <w:tcW w:w="889" w:type="dxa"/>
            <w:tcBorders>
              <w:top w:val="nil"/>
              <w:left w:val="nil"/>
              <w:bottom w:val="nil"/>
              <w:right w:val="nil"/>
            </w:tcBorders>
            <w:shd w:val="clear" w:color="auto" w:fill="auto"/>
            <w:noWrap/>
            <w:vAlign w:val="center"/>
          </w:tcPr>
          <w:p w14:paraId="535EF235">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45</w:t>
            </w:r>
          </w:p>
        </w:tc>
        <w:tc>
          <w:tcPr>
            <w:tcW w:w="864" w:type="dxa"/>
            <w:tcBorders>
              <w:top w:val="nil"/>
              <w:left w:val="nil"/>
              <w:bottom w:val="nil"/>
              <w:right w:val="nil"/>
            </w:tcBorders>
            <w:shd w:val="clear" w:color="auto" w:fill="auto"/>
            <w:noWrap/>
            <w:vAlign w:val="center"/>
          </w:tcPr>
          <w:p w14:paraId="24AE982D">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0</w:t>
            </w:r>
          </w:p>
        </w:tc>
        <w:tc>
          <w:tcPr>
            <w:tcW w:w="1249" w:type="dxa"/>
            <w:tcBorders>
              <w:top w:val="nil"/>
              <w:left w:val="nil"/>
              <w:bottom w:val="nil"/>
              <w:right w:val="nil"/>
            </w:tcBorders>
            <w:shd w:val="clear" w:color="auto" w:fill="auto"/>
            <w:noWrap/>
            <w:vAlign w:val="center"/>
          </w:tcPr>
          <w:p w14:paraId="580907E2">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36.2 ± 9.5</w:t>
            </w:r>
          </w:p>
        </w:tc>
        <w:tc>
          <w:tcPr>
            <w:tcW w:w="1025" w:type="dxa"/>
            <w:tcBorders>
              <w:top w:val="nil"/>
              <w:left w:val="nil"/>
              <w:bottom w:val="nil"/>
              <w:right w:val="nil"/>
            </w:tcBorders>
            <w:shd w:val="clear" w:color="auto" w:fill="auto"/>
            <w:noWrap/>
            <w:vAlign w:val="center"/>
          </w:tcPr>
          <w:p w14:paraId="5EAB3F4B">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yes</w:t>
            </w:r>
          </w:p>
        </w:tc>
        <w:tc>
          <w:tcPr>
            <w:tcW w:w="941" w:type="dxa"/>
            <w:tcBorders>
              <w:top w:val="nil"/>
              <w:left w:val="nil"/>
              <w:bottom w:val="nil"/>
              <w:right w:val="nil"/>
            </w:tcBorders>
            <w:shd w:val="clear" w:color="auto" w:fill="auto"/>
            <w:vAlign w:val="center"/>
          </w:tcPr>
          <w:p w14:paraId="4D67ED80">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A</w:t>
            </w:r>
          </w:p>
        </w:tc>
      </w:tr>
      <w:tr w14:paraId="4F040919">
        <w:tblPrEx>
          <w:tblCellMar>
            <w:top w:w="0" w:type="dxa"/>
            <w:left w:w="108" w:type="dxa"/>
            <w:bottom w:w="0" w:type="dxa"/>
            <w:right w:w="108" w:type="dxa"/>
          </w:tblCellMar>
        </w:tblPrEx>
        <w:trPr>
          <w:trHeight w:val="517" w:hRule="atLeast"/>
          <w:jc w:val="center"/>
        </w:trPr>
        <w:tc>
          <w:tcPr>
            <w:tcW w:w="1706" w:type="dxa"/>
            <w:tcBorders>
              <w:top w:val="nil"/>
              <w:left w:val="nil"/>
              <w:bottom w:val="nil"/>
              <w:right w:val="nil"/>
            </w:tcBorders>
            <w:shd w:val="clear" w:color="auto" w:fill="auto"/>
            <w:noWrap/>
            <w:vAlign w:val="center"/>
          </w:tcPr>
          <w:p w14:paraId="3AFCF8D6">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Uday 2017 </w:t>
            </w:r>
          </w:p>
        </w:tc>
        <w:tc>
          <w:tcPr>
            <w:tcW w:w="825" w:type="dxa"/>
            <w:tcBorders>
              <w:top w:val="nil"/>
              <w:left w:val="nil"/>
              <w:bottom w:val="nil"/>
              <w:right w:val="nil"/>
            </w:tcBorders>
            <w:shd w:val="clear" w:color="auto" w:fill="auto"/>
            <w:noWrap/>
            <w:vAlign w:val="center"/>
          </w:tcPr>
          <w:p w14:paraId="4179176B">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CS</w:t>
            </w:r>
          </w:p>
        </w:tc>
        <w:tc>
          <w:tcPr>
            <w:tcW w:w="1001" w:type="dxa"/>
            <w:tcBorders>
              <w:top w:val="nil"/>
              <w:left w:val="nil"/>
              <w:bottom w:val="nil"/>
              <w:right w:val="nil"/>
            </w:tcBorders>
            <w:shd w:val="clear" w:color="auto" w:fill="auto"/>
            <w:noWrap/>
            <w:vAlign w:val="center"/>
          </w:tcPr>
          <w:p w14:paraId="4ED2B5BE">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UK</w:t>
            </w:r>
          </w:p>
        </w:tc>
        <w:tc>
          <w:tcPr>
            <w:tcW w:w="2730" w:type="dxa"/>
            <w:tcBorders>
              <w:top w:val="nil"/>
              <w:left w:val="nil"/>
              <w:bottom w:val="nil"/>
              <w:right w:val="nil"/>
            </w:tcBorders>
            <w:shd w:val="clear" w:color="auto" w:fill="auto"/>
            <w:noWrap/>
            <w:vAlign w:val="center"/>
          </w:tcPr>
          <w:p w14:paraId="440D2729">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Children and adolescents with T1DM, aged 5-18 years </w:t>
            </w:r>
          </w:p>
        </w:tc>
        <w:tc>
          <w:tcPr>
            <w:tcW w:w="2372" w:type="dxa"/>
            <w:tcBorders>
              <w:top w:val="nil"/>
              <w:left w:val="nil"/>
              <w:bottom w:val="nil"/>
              <w:right w:val="nil"/>
            </w:tcBorders>
            <w:shd w:val="clear" w:color="auto" w:fill="auto"/>
            <w:noWrap/>
            <w:vAlign w:val="center"/>
          </w:tcPr>
          <w:p w14:paraId="1E7ED8EC">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Bradford, West Yorkshire</w:t>
            </w:r>
          </w:p>
        </w:tc>
        <w:tc>
          <w:tcPr>
            <w:tcW w:w="1703" w:type="dxa"/>
            <w:tcBorders>
              <w:top w:val="nil"/>
              <w:left w:val="nil"/>
              <w:bottom w:val="nil"/>
              <w:right w:val="nil"/>
            </w:tcBorders>
            <w:shd w:val="clear" w:color="auto" w:fill="auto"/>
            <w:noWrap/>
            <w:vAlign w:val="center"/>
          </w:tcPr>
          <w:p w14:paraId="532A711D">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November 2013 to April 2014</w:t>
            </w:r>
          </w:p>
        </w:tc>
        <w:tc>
          <w:tcPr>
            <w:tcW w:w="1270" w:type="dxa"/>
            <w:tcBorders>
              <w:top w:val="nil"/>
              <w:left w:val="nil"/>
              <w:bottom w:val="nil"/>
              <w:right w:val="nil"/>
            </w:tcBorders>
            <w:shd w:val="clear" w:color="auto" w:fill="auto"/>
            <w:noWrap/>
            <w:vAlign w:val="center"/>
          </w:tcPr>
          <w:p w14:paraId="3B723F3A">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5.4±3.5</w:t>
            </w:r>
          </w:p>
        </w:tc>
        <w:tc>
          <w:tcPr>
            <w:tcW w:w="889" w:type="dxa"/>
            <w:tcBorders>
              <w:top w:val="nil"/>
              <w:left w:val="nil"/>
              <w:bottom w:val="nil"/>
              <w:right w:val="nil"/>
            </w:tcBorders>
            <w:shd w:val="clear" w:color="auto" w:fill="auto"/>
            <w:noWrap/>
            <w:vAlign w:val="center"/>
          </w:tcPr>
          <w:p w14:paraId="6E5E5CB8">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69</w:t>
            </w:r>
          </w:p>
        </w:tc>
        <w:tc>
          <w:tcPr>
            <w:tcW w:w="864" w:type="dxa"/>
            <w:tcBorders>
              <w:top w:val="nil"/>
              <w:left w:val="nil"/>
              <w:bottom w:val="nil"/>
              <w:right w:val="nil"/>
            </w:tcBorders>
            <w:shd w:val="clear" w:color="auto" w:fill="auto"/>
            <w:noWrap/>
            <w:vAlign w:val="center"/>
          </w:tcPr>
          <w:p w14:paraId="3DA0EC0B">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50.72%</w:t>
            </w:r>
          </w:p>
        </w:tc>
        <w:tc>
          <w:tcPr>
            <w:tcW w:w="1249" w:type="dxa"/>
            <w:tcBorders>
              <w:top w:val="nil"/>
              <w:left w:val="nil"/>
              <w:bottom w:val="nil"/>
              <w:right w:val="nil"/>
            </w:tcBorders>
            <w:shd w:val="clear" w:color="auto" w:fill="auto"/>
            <w:noWrap/>
            <w:vAlign w:val="center"/>
          </w:tcPr>
          <w:p w14:paraId="57C141FE">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12.7±3.1</w:t>
            </w:r>
          </w:p>
        </w:tc>
        <w:tc>
          <w:tcPr>
            <w:tcW w:w="1025" w:type="dxa"/>
            <w:tcBorders>
              <w:top w:val="nil"/>
              <w:left w:val="nil"/>
              <w:bottom w:val="nil"/>
              <w:right w:val="nil"/>
            </w:tcBorders>
            <w:shd w:val="clear" w:color="auto" w:fill="auto"/>
            <w:noWrap/>
            <w:vAlign w:val="center"/>
          </w:tcPr>
          <w:p w14:paraId="7E11937C">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yes</w:t>
            </w:r>
          </w:p>
        </w:tc>
        <w:tc>
          <w:tcPr>
            <w:tcW w:w="941" w:type="dxa"/>
            <w:tcBorders>
              <w:top w:val="nil"/>
              <w:left w:val="nil"/>
              <w:bottom w:val="nil"/>
              <w:right w:val="nil"/>
            </w:tcBorders>
            <w:shd w:val="clear" w:color="auto" w:fill="auto"/>
            <w:vAlign w:val="center"/>
          </w:tcPr>
          <w:p w14:paraId="7779FBE0">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w:t>
            </w:r>
          </w:p>
        </w:tc>
      </w:tr>
      <w:tr w14:paraId="46D753F7">
        <w:tblPrEx>
          <w:tblCellMar>
            <w:top w:w="0" w:type="dxa"/>
            <w:left w:w="108" w:type="dxa"/>
            <w:bottom w:w="0" w:type="dxa"/>
            <w:right w:w="108" w:type="dxa"/>
          </w:tblCellMar>
        </w:tblPrEx>
        <w:trPr>
          <w:trHeight w:val="517" w:hRule="atLeast"/>
          <w:jc w:val="center"/>
        </w:trPr>
        <w:tc>
          <w:tcPr>
            <w:tcW w:w="1706" w:type="dxa"/>
            <w:tcBorders>
              <w:top w:val="nil"/>
              <w:left w:val="nil"/>
              <w:bottom w:val="nil"/>
              <w:right w:val="nil"/>
            </w:tcBorders>
            <w:shd w:val="clear" w:color="auto" w:fill="auto"/>
            <w:noWrap/>
            <w:vAlign w:val="center"/>
          </w:tcPr>
          <w:p w14:paraId="4A1C7D7F">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Vladu 2017</w:t>
            </w:r>
          </w:p>
        </w:tc>
        <w:tc>
          <w:tcPr>
            <w:tcW w:w="825" w:type="dxa"/>
            <w:tcBorders>
              <w:top w:val="nil"/>
              <w:left w:val="nil"/>
              <w:bottom w:val="nil"/>
              <w:right w:val="nil"/>
            </w:tcBorders>
            <w:shd w:val="clear" w:color="auto" w:fill="auto"/>
            <w:noWrap/>
            <w:vAlign w:val="center"/>
          </w:tcPr>
          <w:p w14:paraId="25CA4EAA">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CS</w:t>
            </w:r>
          </w:p>
        </w:tc>
        <w:tc>
          <w:tcPr>
            <w:tcW w:w="1001" w:type="dxa"/>
            <w:tcBorders>
              <w:top w:val="nil"/>
              <w:left w:val="nil"/>
              <w:bottom w:val="nil"/>
              <w:right w:val="nil"/>
            </w:tcBorders>
            <w:shd w:val="clear" w:color="auto" w:fill="auto"/>
            <w:noWrap/>
            <w:vAlign w:val="center"/>
          </w:tcPr>
          <w:p w14:paraId="57047097">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Romania</w:t>
            </w:r>
          </w:p>
        </w:tc>
        <w:tc>
          <w:tcPr>
            <w:tcW w:w="2730" w:type="dxa"/>
            <w:tcBorders>
              <w:top w:val="nil"/>
              <w:left w:val="nil"/>
              <w:bottom w:val="nil"/>
              <w:right w:val="nil"/>
            </w:tcBorders>
            <w:shd w:val="clear" w:color="auto" w:fill="auto"/>
            <w:noWrap/>
            <w:vAlign w:val="center"/>
          </w:tcPr>
          <w:p w14:paraId="0D2B1242">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Adults with T1DM</w:t>
            </w:r>
          </w:p>
        </w:tc>
        <w:tc>
          <w:tcPr>
            <w:tcW w:w="2372" w:type="dxa"/>
            <w:tcBorders>
              <w:top w:val="nil"/>
              <w:left w:val="nil"/>
              <w:bottom w:val="nil"/>
              <w:right w:val="nil"/>
            </w:tcBorders>
            <w:shd w:val="clear" w:color="auto" w:fill="auto"/>
            <w:vAlign w:val="center"/>
          </w:tcPr>
          <w:p w14:paraId="74966E4D">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Clinical Centre of Diabetes of Dolj county</w:t>
            </w:r>
          </w:p>
        </w:tc>
        <w:tc>
          <w:tcPr>
            <w:tcW w:w="1703" w:type="dxa"/>
            <w:tcBorders>
              <w:top w:val="nil"/>
              <w:left w:val="nil"/>
              <w:bottom w:val="nil"/>
              <w:right w:val="nil"/>
            </w:tcBorders>
            <w:shd w:val="clear" w:color="auto" w:fill="auto"/>
            <w:noWrap/>
            <w:vAlign w:val="center"/>
          </w:tcPr>
          <w:p w14:paraId="2848F19C">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2010 to 2013</w:t>
            </w:r>
          </w:p>
        </w:tc>
        <w:tc>
          <w:tcPr>
            <w:tcW w:w="1270" w:type="dxa"/>
            <w:tcBorders>
              <w:top w:val="nil"/>
              <w:left w:val="nil"/>
              <w:bottom w:val="nil"/>
              <w:right w:val="nil"/>
            </w:tcBorders>
            <w:shd w:val="clear" w:color="auto" w:fill="auto"/>
            <w:noWrap/>
            <w:vAlign w:val="center"/>
          </w:tcPr>
          <w:p w14:paraId="5C44BFFA">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21.49±8.49</w:t>
            </w:r>
          </w:p>
        </w:tc>
        <w:tc>
          <w:tcPr>
            <w:tcW w:w="889" w:type="dxa"/>
            <w:tcBorders>
              <w:top w:val="nil"/>
              <w:left w:val="nil"/>
              <w:bottom w:val="nil"/>
              <w:right w:val="nil"/>
            </w:tcBorders>
            <w:shd w:val="clear" w:color="auto" w:fill="auto"/>
            <w:noWrap/>
            <w:vAlign w:val="center"/>
          </w:tcPr>
          <w:p w14:paraId="6664681B">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200</w:t>
            </w:r>
          </w:p>
        </w:tc>
        <w:tc>
          <w:tcPr>
            <w:tcW w:w="864" w:type="dxa"/>
            <w:tcBorders>
              <w:top w:val="nil"/>
              <w:left w:val="nil"/>
              <w:bottom w:val="nil"/>
              <w:right w:val="nil"/>
            </w:tcBorders>
            <w:shd w:val="clear" w:color="auto" w:fill="auto"/>
            <w:noWrap/>
            <w:vAlign w:val="center"/>
          </w:tcPr>
          <w:p w14:paraId="6BCAA6D1">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42%</w:t>
            </w:r>
          </w:p>
        </w:tc>
        <w:tc>
          <w:tcPr>
            <w:tcW w:w="1249" w:type="dxa"/>
            <w:tcBorders>
              <w:top w:val="nil"/>
              <w:left w:val="nil"/>
              <w:bottom w:val="nil"/>
              <w:right w:val="nil"/>
            </w:tcBorders>
            <w:shd w:val="clear" w:color="auto" w:fill="auto"/>
            <w:noWrap/>
            <w:vAlign w:val="center"/>
          </w:tcPr>
          <w:p w14:paraId="08ECE9E5">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37.57±12.45</w:t>
            </w:r>
          </w:p>
        </w:tc>
        <w:tc>
          <w:tcPr>
            <w:tcW w:w="1025" w:type="dxa"/>
            <w:tcBorders>
              <w:top w:val="nil"/>
              <w:left w:val="nil"/>
              <w:bottom w:val="nil"/>
              <w:right w:val="nil"/>
            </w:tcBorders>
            <w:shd w:val="clear" w:color="auto" w:fill="auto"/>
            <w:noWrap/>
            <w:vAlign w:val="center"/>
          </w:tcPr>
          <w:p w14:paraId="67E65604">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yes</w:t>
            </w:r>
          </w:p>
        </w:tc>
        <w:tc>
          <w:tcPr>
            <w:tcW w:w="941" w:type="dxa"/>
            <w:tcBorders>
              <w:top w:val="nil"/>
              <w:left w:val="nil"/>
              <w:bottom w:val="nil"/>
              <w:right w:val="nil"/>
            </w:tcBorders>
            <w:shd w:val="clear" w:color="auto" w:fill="auto"/>
            <w:noWrap/>
            <w:vAlign w:val="center"/>
          </w:tcPr>
          <w:p w14:paraId="06515530">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w:t>
            </w:r>
          </w:p>
        </w:tc>
      </w:tr>
      <w:tr w14:paraId="56335139">
        <w:tblPrEx>
          <w:tblCellMar>
            <w:top w:w="0" w:type="dxa"/>
            <w:left w:w="108" w:type="dxa"/>
            <w:bottom w:w="0" w:type="dxa"/>
            <w:right w:w="108" w:type="dxa"/>
          </w:tblCellMar>
        </w:tblPrEx>
        <w:trPr>
          <w:trHeight w:val="517" w:hRule="atLeast"/>
          <w:jc w:val="center"/>
        </w:trPr>
        <w:tc>
          <w:tcPr>
            <w:tcW w:w="1706" w:type="dxa"/>
            <w:tcBorders>
              <w:top w:val="nil"/>
              <w:left w:val="nil"/>
              <w:bottom w:val="nil"/>
              <w:right w:val="nil"/>
            </w:tcBorders>
            <w:shd w:val="clear" w:color="auto" w:fill="auto"/>
            <w:noWrap/>
            <w:vAlign w:val="center"/>
          </w:tcPr>
          <w:p w14:paraId="036C53BA">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Duvnjak 2016 </w:t>
            </w:r>
          </w:p>
        </w:tc>
        <w:tc>
          <w:tcPr>
            <w:tcW w:w="825" w:type="dxa"/>
            <w:tcBorders>
              <w:top w:val="nil"/>
              <w:left w:val="nil"/>
              <w:bottom w:val="nil"/>
              <w:right w:val="nil"/>
            </w:tcBorders>
            <w:shd w:val="clear" w:color="auto" w:fill="auto"/>
            <w:noWrap/>
            <w:vAlign w:val="center"/>
          </w:tcPr>
          <w:p w14:paraId="6ED7399A">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PC</w:t>
            </w:r>
          </w:p>
        </w:tc>
        <w:tc>
          <w:tcPr>
            <w:tcW w:w="1001" w:type="dxa"/>
            <w:tcBorders>
              <w:top w:val="nil"/>
              <w:left w:val="nil"/>
              <w:bottom w:val="nil"/>
              <w:right w:val="nil"/>
            </w:tcBorders>
            <w:shd w:val="clear" w:color="auto" w:fill="auto"/>
            <w:noWrap/>
            <w:vAlign w:val="center"/>
          </w:tcPr>
          <w:p w14:paraId="4AD64E9E">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Croatia</w:t>
            </w:r>
          </w:p>
        </w:tc>
        <w:tc>
          <w:tcPr>
            <w:tcW w:w="2730" w:type="dxa"/>
            <w:tcBorders>
              <w:top w:val="nil"/>
              <w:left w:val="nil"/>
              <w:bottom w:val="nil"/>
              <w:right w:val="nil"/>
            </w:tcBorders>
            <w:shd w:val="clear" w:color="auto" w:fill="auto"/>
            <w:vAlign w:val="center"/>
          </w:tcPr>
          <w:p w14:paraId="5143A77E">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T1DM patients aged 25 to 61 years</w:t>
            </w:r>
          </w:p>
        </w:tc>
        <w:tc>
          <w:tcPr>
            <w:tcW w:w="2372" w:type="dxa"/>
            <w:tcBorders>
              <w:top w:val="nil"/>
              <w:left w:val="nil"/>
              <w:bottom w:val="nil"/>
              <w:right w:val="nil"/>
            </w:tcBorders>
            <w:shd w:val="clear" w:color="auto" w:fill="auto"/>
            <w:vAlign w:val="center"/>
          </w:tcPr>
          <w:p w14:paraId="72E9D087">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Vuk Vrhovac University Hospital</w:t>
            </w:r>
          </w:p>
        </w:tc>
        <w:tc>
          <w:tcPr>
            <w:tcW w:w="1703" w:type="dxa"/>
            <w:tcBorders>
              <w:top w:val="nil"/>
              <w:left w:val="nil"/>
              <w:bottom w:val="nil"/>
              <w:right w:val="nil"/>
            </w:tcBorders>
            <w:shd w:val="clear" w:color="auto" w:fill="auto"/>
            <w:noWrap/>
            <w:vAlign w:val="center"/>
          </w:tcPr>
          <w:p w14:paraId="2822A038">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2010 to 2015</w:t>
            </w:r>
          </w:p>
        </w:tc>
        <w:tc>
          <w:tcPr>
            <w:tcW w:w="1270" w:type="dxa"/>
            <w:tcBorders>
              <w:top w:val="nil"/>
              <w:left w:val="nil"/>
              <w:bottom w:val="nil"/>
              <w:right w:val="nil"/>
            </w:tcBorders>
            <w:shd w:val="clear" w:color="auto" w:fill="auto"/>
            <w:noWrap/>
            <w:vAlign w:val="center"/>
          </w:tcPr>
          <w:p w14:paraId="1B3890CE">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17.09±9.67  </w:t>
            </w:r>
          </w:p>
        </w:tc>
        <w:tc>
          <w:tcPr>
            <w:tcW w:w="889" w:type="dxa"/>
            <w:tcBorders>
              <w:top w:val="nil"/>
              <w:left w:val="nil"/>
              <w:bottom w:val="nil"/>
              <w:right w:val="nil"/>
            </w:tcBorders>
            <w:shd w:val="clear" w:color="auto" w:fill="auto"/>
            <w:noWrap/>
            <w:vAlign w:val="center"/>
          </w:tcPr>
          <w:p w14:paraId="6C54D189">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832</w:t>
            </w:r>
          </w:p>
        </w:tc>
        <w:tc>
          <w:tcPr>
            <w:tcW w:w="864" w:type="dxa"/>
            <w:tcBorders>
              <w:top w:val="nil"/>
              <w:left w:val="nil"/>
              <w:bottom w:val="nil"/>
              <w:right w:val="nil"/>
            </w:tcBorders>
            <w:shd w:val="clear" w:color="auto" w:fill="auto"/>
            <w:noWrap/>
            <w:vAlign w:val="center"/>
          </w:tcPr>
          <w:p w14:paraId="4346D082">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NR</w:t>
            </w:r>
          </w:p>
        </w:tc>
        <w:tc>
          <w:tcPr>
            <w:tcW w:w="1249" w:type="dxa"/>
            <w:tcBorders>
              <w:top w:val="nil"/>
              <w:left w:val="nil"/>
              <w:bottom w:val="nil"/>
              <w:right w:val="nil"/>
            </w:tcBorders>
            <w:shd w:val="clear" w:color="auto" w:fill="auto"/>
            <w:noWrap/>
            <w:vAlign w:val="center"/>
          </w:tcPr>
          <w:p w14:paraId="76C83820">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39.24±9.37 </w:t>
            </w:r>
          </w:p>
        </w:tc>
        <w:tc>
          <w:tcPr>
            <w:tcW w:w="1025" w:type="dxa"/>
            <w:tcBorders>
              <w:top w:val="nil"/>
              <w:left w:val="nil"/>
              <w:bottom w:val="nil"/>
              <w:right w:val="nil"/>
            </w:tcBorders>
            <w:shd w:val="clear" w:color="auto" w:fill="auto"/>
            <w:noWrap/>
            <w:vAlign w:val="center"/>
          </w:tcPr>
          <w:p w14:paraId="0AF40C9F">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yes</w:t>
            </w:r>
          </w:p>
        </w:tc>
        <w:tc>
          <w:tcPr>
            <w:tcW w:w="941" w:type="dxa"/>
            <w:tcBorders>
              <w:top w:val="nil"/>
              <w:left w:val="nil"/>
              <w:bottom w:val="nil"/>
              <w:right w:val="nil"/>
            </w:tcBorders>
            <w:shd w:val="clear" w:color="auto" w:fill="auto"/>
            <w:vAlign w:val="center"/>
          </w:tcPr>
          <w:p w14:paraId="098BFEEB">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A</w:t>
            </w:r>
          </w:p>
        </w:tc>
      </w:tr>
      <w:tr w14:paraId="37EBE682">
        <w:tblPrEx>
          <w:tblCellMar>
            <w:top w:w="0" w:type="dxa"/>
            <w:left w:w="108" w:type="dxa"/>
            <w:bottom w:w="0" w:type="dxa"/>
            <w:right w:w="108" w:type="dxa"/>
          </w:tblCellMar>
        </w:tblPrEx>
        <w:trPr>
          <w:trHeight w:val="517" w:hRule="atLeast"/>
          <w:jc w:val="center"/>
        </w:trPr>
        <w:tc>
          <w:tcPr>
            <w:tcW w:w="1706" w:type="dxa"/>
            <w:tcBorders>
              <w:top w:val="nil"/>
              <w:left w:val="nil"/>
              <w:bottom w:val="nil"/>
              <w:right w:val="nil"/>
            </w:tcBorders>
            <w:shd w:val="clear" w:color="auto" w:fill="auto"/>
            <w:noWrap/>
            <w:vAlign w:val="center"/>
          </w:tcPr>
          <w:p w14:paraId="1DDBFEF6">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Pop 2016</w:t>
            </w:r>
          </w:p>
        </w:tc>
        <w:tc>
          <w:tcPr>
            <w:tcW w:w="825" w:type="dxa"/>
            <w:tcBorders>
              <w:top w:val="nil"/>
              <w:left w:val="nil"/>
              <w:bottom w:val="nil"/>
              <w:right w:val="nil"/>
            </w:tcBorders>
            <w:shd w:val="clear" w:color="auto" w:fill="auto"/>
            <w:noWrap/>
            <w:vAlign w:val="center"/>
          </w:tcPr>
          <w:p w14:paraId="3C2F4E86">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CS</w:t>
            </w:r>
          </w:p>
        </w:tc>
        <w:tc>
          <w:tcPr>
            <w:tcW w:w="1001" w:type="dxa"/>
            <w:tcBorders>
              <w:top w:val="nil"/>
              <w:left w:val="nil"/>
              <w:bottom w:val="nil"/>
              <w:right w:val="nil"/>
            </w:tcBorders>
            <w:shd w:val="clear" w:color="auto" w:fill="auto"/>
            <w:noWrap/>
            <w:vAlign w:val="center"/>
          </w:tcPr>
          <w:p w14:paraId="6EF79CF6">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Romania</w:t>
            </w:r>
          </w:p>
        </w:tc>
        <w:tc>
          <w:tcPr>
            <w:tcW w:w="2730" w:type="dxa"/>
            <w:tcBorders>
              <w:top w:val="nil"/>
              <w:left w:val="nil"/>
              <w:bottom w:val="nil"/>
              <w:right w:val="nil"/>
            </w:tcBorders>
            <w:shd w:val="clear" w:color="auto" w:fill="auto"/>
            <w:noWrap/>
            <w:vAlign w:val="center"/>
          </w:tcPr>
          <w:p w14:paraId="49848A43">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Patients with T1DM</w:t>
            </w:r>
          </w:p>
        </w:tc>
        <w:tc>
          <w:tcPr>
            <w:tcW w:w="2372" w:type="dxa"/>
            <w:tcBorders>
              <w:top w:val="nil"/>
              <w:left w:val="nil"/>
              <w:bottom w:val="nil"/>
              <w:right w:val="nil"/>
            </w:tcBorders>
            <w:shd w:val="clear" w:color="auto" w:fill="auto"/>
            <w:vAlign w:val="center"/>
          </w:tcPr>
          <w:p w14:paraId="209DB460">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Romanian diabetic nephropathy study</w:t>
            </w:r>
          </w:p>
        </w:tc>
        <w:tc>
          <w:tcPr>
            <w:tcW w:w="1703" w:type="dxa"/>
            <w:tcBorders>
              <w:top w:val="nil"/>
              <w:left w:val="nil"/>
              <w:bottom w:val="nil"/>
              <w:right w:val="nil"/>
            </w:tcBorders>
            <w:shd w:val="clear" w:color="auto" w:fill="auto"/>
            <w:noWrap/>
            <w:vAlign w:val="center"/>
          </w:tcPr>
          <w:p w14:paraId="585705A8">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2010 to 2011</w:t>
            </w:r>
          </w:p>
        </w:tc>
        <w:tc>
          <w:tcPr>
            <w:tcW w:w="1270" w:type="dxa"/>
            <w:tcBorders>
              <w:top w:val="nil"/>
              <w:left w:val="nil"/>
              <w:bottom w:val="nil"/>
              <w:right w:val="nil"/>
            </w:tcBorders>
            <w:shd w:val="clear" w:color="auto" w:fill="auto"/>
            <w:noWrap/>
            <w:vAlign w:val="center"/>
          </w:tcPr>
          <w:p w14:paraId="05FB9153">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22.7±8.0</w:t>
            </w:r>
          </w:p>
        </w:tc>
        <w:tc>
          <w:tcPr>
            <w:tcW w:w="889" w:type="dxa"/>
            <w:tcBorders>
              <w:top w:val="nil"/>
              <w:left w:val="nil"/>
              <w:bottom w:val="nil"/>
              <w:right w:val="nil"/>
            </w:tcBorders>
            <w:shd w:val="clear" w:color="auto" w:fill="auto"/>
            <w:noWrap/>
            <w:vAlign w:val="center"/>
          </w:tcPr>
          <w:p w14:paraId="501ACB29">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272</w:t>
            </w:r>
          </w:p>
        </w:tc>
        <w:tc>
          <w:tcPr>
            <w:tcW w:w="864" w:type="dxa"/>
            <w:tcBorders>
              <w:top w:val="nil"/>
              <w:left w:val="nil"/>
              <w:bottom w:val="nil"/>
              <w:right w:val="nil"/>
            </w:tcBorders>
            <w:shd w:val="clear" w:color="auto" w:fill="auto"/>
            <w:noWrap/>
            <w:vAlign w:val="center"/>
          </w:tcPr>
          <w:p w14:paraId="5A40BCDD">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61.40%</w:t>
            </w:r>
          </w:p>
        </w:tc>
        <w:tc>
          <w:tcPr>
            <w:tcW w:w="1249" w:type="dxa"/>
            <w:tcBorders>
              <w:top w:val="nil"/>
              <w:left w:val="nil"/>
              <w:bottom w:val="nil"/>
              <w:right w:val="nil"/>
            </w:tcBorders>
            <w:shd w:val="clear" w:color="auto" w:fill="auto"/>
            <w:noWrap/>
            <w:vAlign w:val="center"/>
          </w:tcPr>
          <w:p w14:paraId="6C1C4B79">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44.3±11.9</w:t>
            </w:r>
          </w:p>
        </w:tc>
        <w:tc>
          <w:tcPr>
            <w:tcW w:w="1025" w:type="dxa"/>
            <w:tcBorders>
              <w:top w:val="nil"/>
              <w:left w:val="nil"/>
              <w:bottom w:val="nil"/>
              <w:right w:val="nil"/>
            </w:tcBorders>
            <w:shd w:val="clear" w:color="auto" w:fill="auto"/>
            <w:noWrap/>
            <w:vAlign w:val="center"/>
          </w:tcPr>
          <w:p w14:paraId="0E30533B">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no</w:t>
            </w:r>
          </w:p>
        </w:tc>
        <w:tc>
          <w:tcPr>
            <w:tcW w:w="941" w:type="dxa"/>
            <w:tcBorders>
              <w:top w:val="nil"/>
              <w:left w:val="nil"/>
              <w:bottom w:val="nil"/>
              <w:right w:val="nil"/>
            </w:tcBorders>
            <w:shd w:val="clear" w:color="auto" w:fill="auto"/>
            <w:vAlign w:val="center"/>
          </w:tcPr>
          <w:p w14:paraId="57B9FB96">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A</w:t>
            </w:r>
          </w:p>
        </w:tc>
      </w:tr>
      <w:tr w14:paraId="65D79579">
        <w:tblPrEx>
          <w:tblCellMar>
            <w:top w:w="0" w:type="dxa"/>
            <w:left w:w="108" w:type="dxa"/>
            <w:bottom w:w="0" w:type="dxa"/>
            <w:right w:w="108" w:type="dxa"/>
          </w:tblCellMar>
        </w:tblPrEx>
        <w:trPr>
          <w:trHeight w:val="517" w:hRule="atLeast"/>
          <w:jc w:val="center"/>
        </w:trPr>
        <w:tc>
          <w:tcPr>
            <w:tcW w:w="1706" w:type="dxa"/>
            <w:tcBorders>
              <w:top w:val="nil"/>
              <w:left w:val="nil"/>
              <w:bottom w:val="nil"/>
              <w:right w:val="nil"/>
            </w:tcBorders>
            <w:shd w:val="clear" w:color="auto" w:fill="auto"/>
            <w:noWrap/>
            <w:vAlign w:val="center"/>
          </w:tcPr>
          <w:p w14:paraId="66D40086">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Duta 2015 </w:t>
            </w:r>
          </w:p>
        </w:tc>
        <w:tc>
          <w:tcPr>
            <w:tcW w:w="825" w:type="dxa"/>
            <w:tcBorders>
              <w:top w:val="nil"/>
              <w:left w:val="nil"/>
              <w:bottom w:val="nil"/>
              <w:right w:val="nil"/>
            </w:tcBorders>
            <w:shd w:val="clear" w:color="auto" w:fill="auto"/>
            <w:noWrap/>
            <w:vAlign w:val="center"/>
          </w:tcPr>
          <w:p w14:paraId="489EB6C9">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CS</w:t>
            </w:r>
          </w:p>
        </w:tc>
        <w:tc>
          <w:tcPr>
            <w:tcW w:w="1001" w:type="dxa"/>
            <w:tcBorders>
              <w:top w:val="nil"/>
              <w:left w:val="nil"/>
              <w:bottom w:val="nil"/>
              <w:right w:val="nil"/>
            </w:tcBorders>
            <w:shd w:val="clear" w:color="auto" w:fill="auto"/>
            <w:noWrap/>
            <w:vAlign w:val="center"/>
          </w:tcPr>
          <w:p w14:paraId="1B953D90">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Romania</w:t>
            </w:r>
          </w:p>
        </w:tc>
        <w:tc>
          <w:tcPr>
            <w:tcW w:w="2730" w:type="dxa"/>
            <w:tcBorders>
              <w:top w:val="nil"/>
              <w:left w:val="nil"/>
              <w:bottom w:val="nil"/>
              <w:right w:val="nil"/>
            </w:tcBorders>
            <w:shd w:val="clear" w:color="auto" w:fill="auto"/>
            <w:noWrap/>
            <w:vAlign w:val="center"/>
          </w:tcPr>
          <w:p w14:paraId="0CC778CF">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Patients with T1DM</w:t>
            </w:r>
          </w:p>
        </w:tc>
        <w:tc>
          <w:tcPr>
            <w:tcW w:w="2372" w:type="dxa"/>
            <w:tcBorders>
              <w:top w:val="nil"/>
              <w:left w:val="nil"/>
              <w:bottom w:val="nil"/>
              <w:right w:val="nil"/>
            </w:tcBorders>
            <w:shd w:val="clear" w:color="auto" w:fill="auto"/>
            <w:noWrap/>
            <w:vAlign w:val="center"/>
          </w:tcPr>
          <w:p w14:paraId="35149B7F">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"N.C. Paulescu" Institute</w:t>
            </w:r>
          </w:p>
        </w:tc>
        <w:tc>
          <w:tcPr>
            <w:tcW w:w="1703" w:type="dxa"/>
            <w:tcBorders>
              <w:top w:val="nil"/>
              <w:left w:val="nil"/>
              <w:bottom w:val="nil"/>
              <w:right w:val="nil"/>
            </w:tcBorders>
            <w:shd w:val="clear" w:color="auto" w:fill="auto"/>
            <w:noWrap/>
            <w:vAlign w:val="center"/>
          </w:tcPr>
          <w:p w14:paraId="4BA0805D">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January to December 2012</w:t>
            </w:r>
          </w:p>
        </w:tc>
        <w:tc>
          <w:tcPr>
            <w:tcW w:w="1270" w:type="dxa"/>
            <w:tcBorders>
              <w:top w:val="nil"/>
              <w:left w:val="nil"/>
              <w:bottom w:val="nil"/>
              <w:right w:val="nil"/>
            </w:tcBorders>
            <w:shd w:val="clear" w:color="auto" w:fill="auto"/>
            <w:noWrap/>
            <w:vAlign w:val="center"/>
          </w:tcPr>
          <w:p w14:paraId="48760FB7">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24.59±8.18</w:t>
            </w:r>
          </w:p>
        </w:tc>
        <w:tc>
          <w:tcPr>
            <w:tcW w:w="889" w:type="dxa"/>
            <w:tcBorders>
              <w:top w:val="nil"/>
              <w:left w:val="nil"/>
              <w:bottom w:val="nil"/>
              <w:right w:val="nil"/>
            </w:tcBorders>
            <w:shd w:val="clear" w:color="auto" w:fill="auto"/>
            <w:noWrap/>
            <w:vAlign w:val="center"/>
          </w:tcPr>
          <w:p w14:paraId="6C6C22F0">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167</w:t>
            </w:r>
          </w:p>
        </w:tc>
        <w:tc>
          <w:tcPr>
            <w:tcW w:w="864" w:type="dxa"/>
            <w:tcBorders>
              <w:top w:val="nil"/>
              <w:left w:val="nil"/>
              <w:bottom w:val="nil"/>
              <w:right w:val="nil"/>
            </w:tcBorders>
            <w:shd w:val="clear" w:color="auto" w:fill="auto"/>
            <w:noWrap/>
            <w:vAlign w:val="center"/>
          </w:tcPr>
          <w:p w14:paraId="40489DC9">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64.67%</w:t>
            </w:r>
          </w:p>
        </w:tc>
        <w:tc>
          <w:tcPr>
            <w:tcW w:w="1249" w:type="dxa"/>
            <w:tcBorders>
              <w:top w:val="nil"/>
              <w:left w:val="nil"/>
              <w:bottom w:val="nil"/>
              <w:right w:val="nil"/>
            </w:tcBorders>
            <w:shd w:val="clear" w:color="auto" w:fill="auto"/>
            <w:noWrap/>
            <w:vAlign w:val="center"/>
          </w:tcPr>
          <w:p w14:paraId="73993B04">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46.37±13.38</w:t>
            </w:r>
          </w:p>
        </w:tc>
        <w:tc>
          <w:tcPr>
            <w:tcW w:w="1025" w:type="dxa"/>
            <w:tcBorders>
              <w:top w:val="nil"/>
              <w:left w:val="nil"/>
              <w:bottom w:val="nil"/>
              <w:right w:val="nil"/>
            </w:tcBorders>
            <w:shd w:val="clear" w:color="auto" w:fill="auto"/>
            <w:noWrap/>
            <w:vAlign w:val="center"/>
          </w:tcPr>
          <w:p w14:paraId="415C5DD0">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yes</w:t>
            </w:r>
          </w:p>
        </w:tc>
        <w:tc>
          <w:tcPr>
            <w:tcW w:w="941" w:type="dxa"/>
            <w:tcBorders>
              <w:top w:val="nil"/>
              <w:left w:val="nil"/>
              <w:bottom w:val="nil"/>
              <w:right w:val="nil"/>
            </w:tcBorders>
            <w:shd w:val="clear" w:color="auto" w:fill="auto"/>
            <w:vAlign w:val="center"/>
          </w:tcPr>
          <w:p w14:paraId="3EFF3A13">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A</w:t>
            </w:r>
          </w:p>
        </w:tc>
      </w:tr>
      <w:tr w14:paraId="76C8CEB6">
        <w:tblPrEx>
          <w:tblCellMar>
            <w:top w:w="0" w:type="dxa"/>
            <w:left w:w="108" w:type="dxa"/>
            <w:bottom w:w="0" w:type="dxa"/>
            <w:right w:w="108" w:type="dxa"/>
          </w:tblCellMar>
        </w:tblPrEx>
        <w:trPr>
          <w:trHeight w:val="517" w:hRule="atLeast"/>
          <w:jc w:val="center"/>
        </w:trPr>
        <w:tc>
          <w:tcPr>
            <w:tcW w:w="1706" w:type="dxa"/>
            <w:tcBorders>
              <w:top w:val="nil"/>
              <w:left w:val="nil"/>
              <w:bottom w:val="nil"/>
              <w:right w:val="nil"/>
            </w:tcBorders>
            <w:shd w:val="clear" w:color="auto" w:fill="auto"/>
            <w:noWrap/>
            <w:vAlign w:val="center"/>
          </w:tcPr>
          <w:p w14:paraId="54953D4D">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Leroux 2015</w:t>
            </w:r>
          </w:p>
        </w:tc>
        <w:tc>
          <w:tcPr>
            <w:tcW w:w="825" w:type="dxa"/>
            <w:tcBorders>
              <w:top w:val="nil"/>
              <w:left w:val="nil"/>
              <w:bottom w:val="nil"/>
              <w:right w:val="nil"/>
            </w:tcBorders>
            <w:shd w:val="clear" w:color="auto" w:fill="auto"/>
            <w:noWrap/>
            <w:vAlign w:val="center"/>
          </w:tcPr>
          <w:p w14:paraId="3AB716A4">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CS</w:t>
            </w:r>
          </w:p>
        </w:tc>
        <w:tc>
          <w:tcPr>
            <w:tcW w:w="1001" w:type="dxa"/>
            <w:tcBorders>
              <w:top w:val="nil"/>
              <w:left w:val="nil"/>
              <w:bottom w:val="nil"/>
              <w:right w:val="nil"/>
            </w:tcBorders>
            <w:shd w:val="clear" w:color="auto" w:fill="auto"/>
            <w:noWrap/>
            <w:vAlign w:val="center"/>
          </w:tcPr>
          <w:p w14:paraId="47C2A2FA">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Canada</w:t>
            </w:r>
          </w:p>
        </w:tc>
        <w:tc>
          <w:tcPr>
            <w:tcW w:w="2730" w:type="dxa"/>
            <w:tcBorders>
              <w:top w:val="nil"/>
              <w:left w:val="nil"/>
              <w:bottom w:val="nil"/>
              <w:right w:val="nil"/>
            </w:tcBorders>
            <w:shd w:val="clear" w:color="auto" w:fill="auto"/>
            <w:noWrap/>
            <w:vAlign w:val="center"/>
          </w:tcPr>
          <w:p w14:paraId="53978CAA">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Adults with T1DM, using insulin therapy</w:t>
            </w:r>
          </w:p>
        </w:tc>
        <w:tc>
          <w:tcPr>
            <w:tcW w:w="2372" w:type="dxa"/>
            <w:tcBorders>
              <w:top w:val="nil"/>
              <w:left w:val="nil"/>
              <w:bottom w:val="nil"/>
              <w:right w:val="nil"/>
            </w:tcBorders>
            <w:shd w:val="clear" w:color="auto" w:fill="auto"/>
            <w:noWrap/>
            <w:vAlign w:val="center"/>
          </w:tcPr>
          <w:p w14:paraId="030943C3">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Montreal University Hospital Centre </w:t>
            </w:r>
          </w:p>
        </w:tc>
        <w:tc>
          <w:tcPr>
            <w:tcW w:w="1703" w:type="dxa"/>
            <w:tcBorders>
              <w:top w:val="nil"/>
              <w:left w:val="nil"/>
              <w:bottom w:val="nil"/>
              <w:right w:val="nil"/>
            </w:tcBorders>
            <w:shd w:val="clear" w:color="auto" w:fill="auto"/>
            <w:noWrap/>
            <w:vAlign w:val="center"/>
          </w:tcPr>
          <w:p w14:paraId="397ED92C">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September 2011 to August 2013</w:t>
            </w:r>
          </w:p>
        </w:tc>
        <w:tc>
          <w:tcPr>
            <w:tcW w:w="1270" w:type="dxa"/>
            <w:tcBorders>
              <w:top w:val="nil"/>
              <w:left w:val="nil"/>
              <w:bottom w:val="nil"/>
              <w:right w:val="nil"/>
            </w:tcBorders>
            <w:shd w:val="clear" w:color="auto" w:fill="auto"/>
            <w:noWrap/>
            <w:vAlign w:val="center"/>
          </w:tcPr>
          <w:p w14:paraId="2C6E10CD">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23.1±12.8</w:t>
            </w:r>
          </w:p>
        </w:tc>
        <w:tc>
          <w:tcPr>
            <w:tcW w:w="889" w:type="dxa"/>
            <w:tcBorders>
              <w:top w:val="nil"/>
              <w:left w:val="nil"/>
              <w:bottom w:val="nil"/>
              <w:right w:val="nil"/>
            </w:tcBorders>
            <w:shd w:val="clear" w:color="auto" w:fill="auto"/>
            <w:noWrap/>
            <w:vAlign w:val="center"/>
          </w:tcPr>
          <w:p w14:paraId="064BA148">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124</w:t>
            </w:r>
          </w:p>
        </w:tc>
        <w:tc>
          <w:tcPr>
            <w:tcW w:w="864" w:type="dxa"/>
            <w:tcBorders>
              <w:top w:val="nil"/>
              <w:left w:val="nil"/>
              <w:bottom w:val="nil"/>
              <w:right w:val="nil"/>
            </w:tcBorders>
            <w:shd w:val="clear" w:color="auto" w:fill="auto"/>
            <w:noWrap/>
            <w:vAlign w:val="center"/>
          </w:tcPr>
          <w:p w14:paraId="54F09150">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49%</w:t>
            </w:r>
          </w:p>
        </w:tc>
        <w:tc>
          <w:tcPr>
            <w:tcW w:w="1249" w:type="dxa"/>
            <w:tcBorders>
              <w:top w:val="nil"/>
              <w:left w:val="nil"/>
              <w:bottom w:val="nil"/>
              <w:right w:val="nil"/>
            </w:tcBorders>
            <w:shd w:val="clear" w:color="auto" w:fill="auto"/>
            <w:noWrap/>
            <w:vAlign w:val="center"/>
          </w:tcPr>
          <w:p w14:paraId="579AAA60">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44.0±12.5</w:t>
            </w:r>
          </w:p>
        </w:tc>
        <w:tc>
          <w:tcPr>
            <w:tcW w:w="1025" w:type="dxa"/>
            <w:tcBorders>
              <w:top w:val="nil"/>
              <w:left w:val="nil"/>
              <w:bottom w:val="nil"/>
              <w:right w:val="nil"/>
            </w:tcBorders>
            <w:shd w:val="clear" w:color="auto" w:fill="auto"/>
            <w:noWrap/>
            <w:vAlign w:val="center"/>
          </w:tcPr>
          <w:p w14:paraId="307A73C3">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yes</w:t>
            </w:r>
          </w:p>
        </w:tc>
        <w:tc>
          <w:tcPr>
            <w:tcW w:w="941" w:type="dxa"/>
            <w:tcBorders>
              <w:top w:val="nil"/>
              <w:left w:val="nil"/>
              <w:bottom w:val="nil"/>
              <w:right w:val="nil"/>
            </w:tcBorders>
            <w:shd w:val="clear" w:color="auto" w:fill="auto"/>
            <w:vAlign w:val="center"/>
          </w:tcPr>
          <w:p w14:paraId="30C7A72D">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A</w:t>
            </w:r>
          </w:p>
        </w:tc>
      </w:tr>
      <w:tr w14:paraId="5192E253">
        <w:tblPrEx>
          <w:tblCellMar>
            <w:top w:w="0" w:type="dxa"/>
            <w:left w:w="108" w:type="dxa"/>
            <w:bottom w:w="0" w:type="dxa"/>
            <w:right w:w="108" w:type="dxa"/>
          </w:tblCellMar>
        </w:tblPrEx>
        <w:trPr>
          <w:trHeight w:val="517" w:hRule="atLeast"/>
          <w:jc w:val="center"/>
        </w:trPr>
        <w:tc>
          <w:tcPr>
            <w:tcW w:w="1706" w:type="dxa"/>
            <w:tcBorders>
              <w:top w:val="nil"/>
              <w:left w:val="nil"/>
              <w:bottom w:val="nil"/>
              <w:right w:val="nil"/>
            </w:tcBorders>
            <w:shd w:val="clear" w:color="auto" w:fill="auto"/>
            <w:noWrap/>
            <w:vAlign w:val="center"/>
          </w:tcPr>
          <w:p w14:paraId="6F3A54D5">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Epstein 2013 </w:t>
            </w:r>
          </w:p>
        </w:tc>
        <w:tc>
          <w:tcPr>
            <w:tcW w:w="825" w:type="dxa"/>
            <w:tcBorders>
              <w:top w:val="nil"/>
              <w:left w:val="nil"/>
              <w:bottom w:val="nil"/>
              <w:right w:val="nil"/>
            </w:tcBorders>
            <w:shd w:val="clear" w:color="auto" w:fill="auto"/>
            <w:noWrap/>
            <w:vAlign w:val="center"/>
          </w:tcPr>
          <w:p w14:paraId="0B1BD3DB">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CS</w:t>
            </w:r>
          </w:p>
        </w:tc>
        <w:tc>
          <w:tcPr>
            <w:tcW w:w="1001" w:type="dxa"/>
            <w:tcBorders>
              <w:top w:val="nil"/>
              <w:left w:val="nil"/>
              <w:bottom w:val="nil"/>
              <w:right w:val="nil"/>
            </w:tcBorders>
            <w:shd w:val="clear" w:color="auto" w:fill="auto"/>
            <w:noWrap/>
            <w:vAlign w:val="center"/>
          </w:tcPr>
          <w:p w14:paraId="02A1A6EC">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USA</w:t>
            </w:r>
          </w:p>
        </w:tc>
        <w:tc>
          <w:tcPr>
            <w:tcW w:w="2730" w:type="dxa"/>
            <w:tcBorders>
              <w:top w:val="nil"/>
              <w:left w:val="nil"/>
              <w:bottom w:val="nil"/>
              <w:right w:val="nil"/>
            </w:tcBorders>
            <w:shd w:val="clear" w:color="auto" w:fill="auto"/>
            <w:noWrap/>
            <w:vAlign w:val="center"/>
          </w:tcPr>
          <w:p w14:paraId="40F67635">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Adults with a prior clinical diagnosis of T1DM</w:t>
            </w:r>
          </w:p>
        </w:tc>
        <w:tc>
          <w:tcPr>
            <w:tcW w:w="2372" w:type="dxa"/>
            <w:tcBorders>
              <w:top w:val="nil"/>
              <w:left w:val="nil"/>
              <w:bottom w:val="nil"/>
              <w:right w:val="nil"/>
            </w:tcBorders>
            <w:shd w:val="clear" w:color="auto" w:fill="auto"/>
            <w:noWrap/>
            <w:vAlign w:val="center"/>
          </w:tcPr>
          <w:p w14:paraId="1FE41A72">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Montefiore Medical Center</w:t>
            </w:r>
          </w:p>
        </w:tc>
        <w:tc>
          <w:tcPr>
            <w:tcW w:w="1703" w:type="dxa"/>
            <w:tcBorders>
              <w:top w:val="nil"/>
              <w:left w:val="nil"/>
              <w:bottom w:val="nil"/>
              <w:right w:val="nil"/>
            </w:tcBorders>
            <w:shd w:val="clear" w:color="auto" w:fill="auto"/>
            <w:noWrap/>
            <w:vAlign w:val="center"/>
          </w:tcPr>
          <w:p w14:paraId="7CCD04D8">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NR</w:t>
            </w:r>
          </w:p>
        </w:tc>
        <w:tc>
          <w:tcPr>
            <w:tcW w:w="1270" w:type="dxa"/>
            <w:tcBorders>
              <w:top w:val="nil"/>
              <w:left w:val="nil"/>
              <w:bottom w:val="nil"/>
              <w:right w:val="nil"/>
            </w:tcBorders>
            <w:shd w:val="clear" w:color="auto" w:fill="auto"/>
            <w:noWrap/>
            <w:vAlign w:val="center"/>
          </w:tcPr>
          <w:p w14:paraId="31C50F0B">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Median 21 </w:t>
            </w:r>
          </w:p>
        </w:tc>
        <w:tc>
          <w:tcPr>
            <w:tcW w:w="889" w:type="dxa"/>
            <w:tcBorders>
              <w:top w:val="nil"/>
              <w:left w:val="nil"/>
              <w:bottom w:val="nil"/>
              <w:right w:val="nil"/>
            </w:tcBorders>
            <w:shd w:val="clear" w:color="auto" w:fill="auto"/>
            <w:noWrap/>
            <w:vAlign w:val="center"/>
          </w:tcPr>
          <w:p w14:paraId="689A943A">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207</w:t>
            </w:r>
          </w:p>
        </w:tc>
        <w:tc>
          <w:tcPr>
            <w:tcW w:w="864" w:type="dxa"/>
            <w:tcBorders>
              <w:top w:val="nil"/>
              <w:left w:val="nil"/>
              <w:bottom w:val="nil"/>
              <w:right w:val="nil"/>
            </w:tcBorders>
            <w:shd w:val="clear" w:color="auto" w:fill="auto"/>
            <w:noWrap/>
            <w:vAlign w:val="center"/>
          </w:tcPr>
          <w:p w14:paraId="564D3890">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80%</w:t>
            </w:r>
          </w:p>
        </w:tc>
        <w:tc>
          <w:tcPr>
            <w:tcW w:w="1249" w:type="dxa"/>
            <w:tcBorders>
              <w:top w:val="nil"/>
              <w:left w:val="nil"/>
              <w:bottom w:val="nil"/>
              <w:right w:val="nil"/>
            </w:tcBorders>
            <w:shd w:val="clear" w:color="auto" w:fill="auto"/>
            <w:noWrap/>
            <w:vAlign w:val="center"/>
          </w:tcPr>
          <w:p w14:paraId="36B8E79A">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43 (34–54)</w:t>
            </w:r>
          </w:p>
        </w:tc>
        <w:tc>
          <w:tcPr>
            <w:tcW w:w="1025" w:type="dxa"/>
            <w:tcBorders>
              <w:top w:val="nil"/>
              <w:left w:val="nil"/>
              <w:bottom w:val="nil"/>
              <w:right w:val="nil"/>
            </w:tcBorders>
            <w:shd w:val="clear" w:color="auto" w:fill="auto"/>
            <w:noWrap/>
            <w:vAlign w:val="center"/>
          </w:tcPr>
          <w:p w14:paraId="7554188F">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yes</w:t>
            </w:r>
          </w:p>
        </w:tc>
        <w:tc>
          <w:tcPr>
            <w:tcW w:w="941" w:type="dxa"/>
            <w:tcBorders>
              <w:top w:val="nil"/>
              <w:left w:val="nil"/>
              <w:bottom w:val="nil"/>
              <w:right w:val="nil"/>
            </w:tcBorders>
            <w:shd w:val="clear" w:color="auto" w:fill="auto"/>
            <w:vAlign w:val="center"/>
          </w:tcPr>
          <w:p w14:paraId="4C7F4665">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w:t>
            </w:r>
          </w:p>
        </w:tc>
      </w:tr>
      <w:tr w14:paraId="7169448F">
        <w:tblPrEx>
          <w:tblCellMar>
            <w:top w:w="0" w:type="dxa"/>
            <w:left w:w="108" w:type="dxa"/>
            <w:bottom w:w="0" w:type="dxa"/>
            <w:right w:w="108" w:type="dxa"/>
          </w:tblCellMar>
        </w:tblPrEx>
        <w:trPr>
          <w:trHeight w:val="517" w:hRule="atLeast"/>
          <w:jc w:val="center"/>
        </w:trPr>
        <w:tc>
          <w:tcPr>
            <w:tcW w:w="1706" w:type="dxa"/>
            <w:tcBorders>
              <w:top w:val="nil"/>
              <w:left w:val="nil"/>
              <w:bottom w:val="nil"/>
              <w:right w:val="nil"/>
            </w:tcBorders>
            <w:shd w:val="clear" w:color="auto" w:fill="auto"/>
            <w:noWrap/>
            <w:vAlign w:val="center"/>
          </w:tcPr>
          <w:p w14:paraId="5D6016D1">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Bulum 2012 </w:t>
            </w:r>
          </w:p>
        </w:tc>
        <w:tc>
          <w:tcPr>
            <w:tcW w:w="825" w:type="dxa"/>
            <w:tcBorders>
              <w:top w:val="nil"/>
              <w:left w:val="nil"/>
              <w:bottom w:val="nil"/>
              <w:right w:val="nil"/>
            </w:tcBorders>
            <w:shd w:val="clear" w:color="auto" w:fill="auto"/>
            <w:noWrap/>
            <w:vAlign w:val="center"/>
          </w:tcPr>
          <w:p w14:paraId="791DDD1D">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CS</w:t>
            </w:r>
          </w:p>
        </w:tc>
        <w:tc>
          <w:tcPr>
            <w:tcW w:w="1001" w:type="dxa"/>
            <w:tcBorders>
              <w:top w:val="nil"/>
              <w:left w:val="nil"/>
              <w:bottom w:val="nil"/>
              <w:right w:val="nil"/>
            </w:tcBorders>
            <w:shd w:val="clear" w:color="auto" w:fill="auto"/>
            <w:noWrap/>
            <w:vAlign w:val="center"/>
          </w:tcPr>
          <w:p w14:paraId="7EF3E2B0">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Croatia</w:t>
            </w:r>
          </w:p>
        </w:tc>
        <w:tc>
          <w:tcPr>
            <w:tcW w:w="2730" w:type="dxa"/>
            <w:tcBorders>
              <w:top w:val="nil"/>
              <w:left w:val="nil"/>
              <w:bottom w:val="nil"/>
              <w:right w:val="nil"/>
            </w:tcBorders>
            <w:shd w:val="clear" w:color="auto" w:fill="auto"/>
            <w:noWrap/>
            <w:vAlign w:val="center"/>
          </w:tcPr>
          <w:p w14:paraId="77E22345">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Euthyroid patients with T1DM, aged 18-65 years. </w:t>
            </w:r>
          </w:p>
        </w:tc>
        <w:tc>
          <w:tcPr>
            <w:tcW w:w="2372" w:type="dxa"/>
            <w:tcBorders>
              <w:top w:val="nil"/>
              <w:left w:val="nil"/>
              <w:bottom w:val="nil"/>
              <w:right w:val="nil"/>
            </w:tcBorders>
            <w:shd w:val="clear" w:color="auto" w:fill="auto"/>
            <w:noWrap/>
            <w:vAlign w:val="center"/>
          </w:tcPr>
          <w:p w14:paraId="17DEC11D">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Vuk Vrhovac Clinic </w:t>
            </w:r>
          </w:p>
        </w:tc>
        <w:tc>
          <w:tcPr>
            <w:tcW w:w="1703" w:type="dxa"/>
            <w:tcBorders>
              <w:top w:val="nil"/>
              <w:left w:val="nil"/>
              <w:bottom w:val="nil"/>
              <w:right w:val="nil"/>
            </w:tcBorders>
            <w:shd w:val="clear" w:color="auto" w:fill="auto"/>
            <w:noWrap/>
            <w:vAlign w:val="center"/>
          </w:tcPr>
          <w:p w14:paraId="488116DF">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NR</w:t>
            </w:r>
          </w:p>
        </w:tc>
        <w:tc>
          <w:tcPr>
            <w:tcW w:w="1270" w:type="dxa"/>
            <w:tcBorders>
              <w:top w:val="nil"/>
              <w:left w:val="nil"/>
              <w:bottom w:val="nil"/>
              <w:right w:val="nil"/>
            </w:tcBorders>
            <w:shd w:val="clear" w:color="auto" w:fill="auto"/>
            <w:noWrap/>
            <w:vAlign w:val="center"/>
          </w:tcPr>
          <w:p w14:paraId="7E998673">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16±10</w:t>
            </w:r>
          </w:p>
        </w:tc>
        <w:tc>
          <w:tcPr>
            <w:tcW w:w="889" w:type="dxa"/>
            <w:tcBorders>
              <w:top w:val="nil"/>
              <w:left w:val="nil"/>
              <w:bottom w:val="nil"/>
              <w:right w:val="nil"/>
            </w:tcBorders>
            <w:shd w:val="clear" w:color="auto" w:fill="auto"/>
            <w:noWrap/>
            <w:vAlign w:val="center"/>
          </w:tcPr>
          <w:p w14:paraId="50B17E7F">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353</w:t>
            </w:r>
          </w:p>
        </w:tc>
        <w:tc>
          <w:tcPr>
            <w:tcW w:w="864" w:type="dxa"/>
            <w:tcBorders>
              <w:top w:val="nil"/>
              <w:left w:val="nil"/>
              <w:bottom w:val="nil"/>
              <w:right w:val="nil"/>
            </w:tcBorders>
            <w:shd w:val="clear" w:color="auto" w:fill="auto"/>
            <w:noWrap/>
            <w:vAlign w:val="center"/>
          </w:tcPr>
          <w:p w14:paraId="5905ADBA">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53%</w:t>
            </w:r>
          </w:p>
        </w:tc>
        <w:tc>
          <w:tcPr>
            <w:tcW w:w="1249" w:type="dxa"/>
            <w:tcBorders>
              <w:top w:val="nil"/>
              <w:left w:val="nil"/>
              <w:bottom w:val="nil"/>
              <w:right w:val="nil"/>
            </w:tcBorders>
            <w:shd w:val="clear" w:color="auto" w:fill="auto"/>
            <w:noWrap/>
            <w:vAlign w:val="center"/>
          </w:tcPr>
          <w:p w14:paraId="3ECD50C6">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38±11</w:t>
            </w:r>
          </w:p>
        </w:tc>
        <w:tc>
          <w:tcPr>
            <w:tcW w:w="1025" w:type="dxa"/>
            <w:tcBorders>
              <w:top w:val="nil"/>
              <w:left w:val="nil"/>
              <w:bottom w:val="nil"/>
              <w:right w:val="nil"/>
            </w:tcBorders>
            <w:shd w:val="clear" w:color="auto" w:fill="auto"/>
            <w:noWrap/>
            <w:vAlign w:val="center"/>
          </w:tcPr>
          <w:p w14:paraId="698B028A">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yes</w:t>
            </w:r>
          </w:p>
        </w:tc>
        <w:tc>
          <w:tcPr>
            <w:tcW w:w="941" w:type="dxa"/>
            <w:tcBorders>
              <w:top w:val="nil"/>
              <w:left w:val="nil"/>
              <w:bottom w:val="nil"/>
              <w:right w:val="nil"/>
            </w:tcBorders>
            <w:shd w:val="clear" w:color="auto" w:fill="auto"/>
            <w:vAlign w:val="center"/>
          </w:tcPr>
          <w:p w14:paraId="0ECAFC00">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A</w:t>
            </w:r>
          </w:p>
        </w:tc>
      </w:tr>
      <w:tr w14:paraId="1ECB5D7C">
        <w:tblPrEx>
          <w:tblCellMar>
            <w:top w:w="0" w:type="dxa"/>
            <w:left w:w="108" w:type="dxa"/>
            <w:bottom w:w="0" w:type="dxa"/>
            <w:right w:w="108" w:type="dxa"/>
          </w:tblCellMar>
        </w:tblPrEx>
        <w:trPr>
          <w:trHeight w:val="517" w:hRule="atLeast"/>
          <w:jc w:val="center"/>
        </w:trPr>
        <w:tc>
          <w:tcPr>
            <w:tcW w:w="1706" w:type="dxa"/>
            <w:tcBorders>
              <w:top w:val="nil"/>
              <w:left w:val="nil"/>
              <w:bottom w:val="nil"/>
              <w:right w:val="nil"/>
            </w:tcBorders>
            <w:shd w:val="clear" w:color="auto" w:fill="auto"/>
            <w:noWrap/>
            <w:vAlign w:val="center"/>
          </w:tcPr>
          <w:p w14:paraId="531C9E5A">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Girgis 2012</w:t>
            </w:r>
          </w:p>
        </w:tc>
        <w:tc>
          <w:tcPr>
            <w:tcW w:w="825" w:type="dxa"/>
            <w:tcBorders>
              <w:top w:val="nil"/>
              <w:left w:val="nil"/>
              <w:bottom w:val="nil"/>
              <w:right w:val="nil"/>
            </w:tcBorders>
            <w:shd w:val="clear" w:color="auto" w:fill="auto"/>
            <w:noWrap/>
            <w:vAlign w:val="center"/>
          </w:tcPr>
          <w:p w14:paraId="27BCBAEA">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CS</w:t>
            </w:r>
          </w:p>
        </w:tc>
        <w:tc>
          <w:tcPr>
            <w:tcW w:w="1001" w:type="dxa"/>
            <w:tcBorders>
              <w:top w:val="nil"/>
              <w:left w:val="nil"/>
              <w:bottom w:val="nil"/>
              <w:right w:val="nil"/>
            </w:tcBorders>
            <w:shd w:val="clear" w:color="auto" w:fill="auto"/>
            <w:noWrap/>
            <w:vAlign w:val="center"/>
          </w:tcPr>
          <w:p w14:paraId="0ADFDDD3">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Australia</w:t>
            </w:r>
          </w:p>
        </w:tc>
        <w:tc>
          <w:tcPr>
            <w:tcW w:w="2730" w:type="dxa"/>
            <w:tcBorders>
              <w:top w:val="nil"/>
              <w:left w:val="nil"/>
              <w:bottom w:val="nil"/>
              <w:right w:val="nil"/>
            </w:tcBorders>
            <w:shd w:val="clear" w:color="auto" w:fill="auto"/>
            <w:noWrap/>
            <w:vAlign w:val="center"/>
          </w:tcPr>
          <w:p w14:paraId="42CEFE94">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Young adults with T1DM</w:t>
            </w:r>
          </w:p>
        </w:tc>
        <w:tc>
          <w:tcPr>
            <w:tcW w:w="2372" w:type="dxa"/>
            <w:tcBorders>
              <w:top w:val="nil"/>
              <w:left w:val="nil"/>
              <w:bottom w:val="nil"/>
              <w:right w:val="nil"/>
            </w:tcBorders>
            <w:shd w:val="clear" w:color="auto" w:fill="auto"/>
            <w:noWrap/>
            <w:vAlign w:val="center"/>
          </w:tcPr>
          <w:p w14:paraId="08B304CF">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Nepean Hospital</w:t>
            </w:r>
          </w:p>
        </w:tc>
        <w:tc>
          <w:tcPr>
            <w:tcW w:w="1703" w:type="dxa"/>
            <w:tcBorders>
              <w:top w:val="nil"/>
              <w:left w:val="nil"/>
              <w:bottom w:val="nil"/>
              <w:right w:val="nil"/>
            </w:tcBorders>
            <w:shd w:val="clear" w:color="auto" w:fill="auto"/>
            <w:noWrap/>
            <w:vAlign w:val="center"/>
          </w:tcPr>
          <w:p w14:paraId="37DE7F24">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January to September 2010</w:t>
            </w:r>
          </w:p>
        </w:tc>
        <w:tc>
          <w:tcPr>
            <w:tcW w:w="1270" w:type="dxa"/>
            <w:tcBorders>
              <w:top w:val="nil"/>
              <w:left w:val="nil"/>
              <w:bottom w:val="nil"/>
              <w:right w:val="nil"/>
            </w:tcBorders>
            <w:shd w:val="clear" w:color="auto" w:fill="auto"/>
            <w:noWrap/>
            <w:vAlign w:val="center"/>
          </w:tcPr>
          <w:p w14:paraId="5FBA86A8">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7.8±4.8</w:t>
            </w:r>
          </w:p>
        </w:tc>
        <w:tc>
          <w:tcPr>
            <w:tcW w:w="889" w:type="dxa"/>
            <w:tcBorders>
              <w:top w:val="nil"/>
              <w:left w:val="nil"/>
              <w:bottom w:val="nil"/>
              <w:right w:val="nil"/>
            </w:tcBorders>
            <w:shd w:val="clear" w:color="auto" w:fill="auto"/>
            <w:noWrap/>
            <w:vAlign w:val="center"/>
          </w:tcPr>
          <w:p w14:paraId="46DF25C7">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61</w:t>
            </w:r>
          </w:p>
        </w:tc>
        <w:tc>
          <w:tcPr>
            <w:tcW w:w="864" w:type="dxa"/>
            <w:tcBorders>
              <w:top w:val="nil"/>
              <w:left w:val="nil"/>
              <w:bottom w:val="nil"/>
              <w:right w:val="nil"/>
            </w:tcBorders>
            <w:shd w:val="clear" w:color="auto" w:fill="auto"/>
            <w:noWrap/>
            <w:vAlign w:val="center"/>
          </w:tcPr>
          <w:p w14:paraId="13551F3B">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48%</w:t>
            </w:r>
          </w:p>
        </w:tc>
        <w:tc>
          <w:tcPr>
            <w:tcW w:w="1249" w:type="dxa"/>
            <w:tcBorders>
              <w:top w:val="nil"/>
              <w:left w:val="nil"/>
              <w:bottom w:val="nil"/>
              <w:right w:val="nil"/>
            </w:tcBorders>
            <w:shd w:val="clear" w:color="auto" w:fill="auto"/>
            <w:noWrap/>
            <w:vAlign w:val="center"/>
          </w:tcPr>
          <w:p w14:paraId="06368C4F">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19.9±2.7</w:t>
            </w:r>
          </w:p>
        </w:tc>
        <w:tc>
          <w:tcPr>
            <w:tcW w:w="1025" w:type="dxa"/>
            <w:tcBorders>
              <w:top w:val="nil"/>
              <w:left w:val="nil"/>
              <w:bottom w:val="nil"/>
              <w:right w:val="nil"/>
            </w:tcBorders>
            <w:shd w:val="clear" w:color="auto" w:fill="auto"/>
            <w:noWrap/>
            <w:vAlign w:val="center"/>
          </w:tcPr>
          <w:p w14:paraId="2EF532DF">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yes</w:t>
            </w:r>
          </w:p>
        </w:tc>
        <w:tc>
          <w:tcPr>
            <w:tcW w:w="941" w:type="dxa"/>
            <w:tcBorders>
              <w:top w:val="nil"/>
              <w:left w:val="nil"/>
              <w:bottom w:val="nil"/>
              <w:right w:val="nil"/>
            </w:tcBorders>
            <w:shd w:val="clear" w:color="auto" w:fill="auto"/>
            <w:vAlign w:val="center"/>
          </w:tcPr>
          <w:p w14:paraId="77D18034">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A</w:t>
            </w:r>
          </w:p>
        </w:tc>
      </w:tr>
      <w:tr w14:paraId="1826711C">
        <w:tblPrEx>
          <w:tblCellMar>
            <w:top w:w="0" w:type="dxa"/>
            <w:left w:w="108" w:type="dxa"/>
            <w:bottom w:w="0" w:type="dxa"/>
            <w:right w:w="108" w:type="dxa"/>
          </w:tblCellMar>
        </w:tblPrEx>
        <w:trPr>
          <w:trHeight w:val="517" w:hRule="atLeast"/>
          <w:jc w:val="center"/>
        </w:trPr>
        <w:tc>
          <w:tcPr>
            <w:tcW w:w="1706" w:type="dxa"/>
            <w:tcBorders>
              <w:top w:val="nil"/>
              <w:left w:val="nil"/>
              <w:bottom w:val="nil"/>
              <w:right w:val="nil"/>
            </w:tcBorders>
            <w:shd w:val="clear" w:color="auto" w:fill="auto"/>
            <w:noWrap/>
            <w:vAlign w:val="center"/>
          </w:tcPr>
          <w:p w14:paraId="023BE79D">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Duvnjak  2012</w:t>
            </w:r>
          </w:p>
        </w:tc>
        <w:tc>
          <w:tcPr>
            <w:tcW w:w="825" w:type="dxa"/>
            <w:tcBorders>
              <w:top w:val="nil"/>
              <w:left w:val="nil"/>
              <w:bottom w:val="nil"/>
              <w:right w:val="nil"/>
            </w:tcBorders>
            <w:shd w:val="clear" w:color="auto" w:fill="auto"/>
            <w:noWrap/>
            <w:vAlign w:val="center"/>
          </w:tcPr>
          <w:p w14:paraId="0B6F396D">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CS</w:t>
            </w:r>
          </w:p>
        </w:tc>
        <w:tc>
          <w:tcPr>
            <w:tcW w:w="1001" w:type="dxa"/>
            <w:tcBorders>
              <w:top w:val="nil"/>
              <w:left w:val="nil"/>
              <w:bottom w:val="nil"/>
              <w:right w:val="nil"/>
            </w:tcBorders>
            <w:shd w:val="clear" w:color="auto" w:fill="auto"/>
            <w:noWrap/>
            <w:vAlign w:val="center"/>
          </w:tcPr>
          <w:p w14:paraId="5E6FD0A0">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Croatia</w:t>
            </w:r>
          </w:p>
        </w:tc>
        <w:tc>
          <w:tcPr>
            <w:tcW w:w="2730" w:type="dxa"/>
            <w:tcBorders>
              <w:top w:val="nil"/>
              <w:left w:val="nil"/>
              <w:bottom w:val="nil"/>
              <w:right w:val="nil"/>
            </w:tcBorders>
            <w:shd w:val="clear" w:color="auto" w:fill="auto"/>
            <w:noWrap/>
            <w:vAlign w:val="center"/>
          </w:tcPr>
          <w:p w14:paraId="1B32BCCD">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Patients with T1DM</w:t>
            </w:r>
          </w:p>
        </w:tc>
        <w:tc>
          <w:tcPr>
            <w:tcW w:w="2372" w:type="dxa"/>
            <w:tcBorders>
              <w:top w:val="nil"/>
              <w:left w:val="nil"/>
              <w:bottom w:val="nil"/>
              <w:right w:val="nil"/>
            </w:tcBorders>
            <w:shd w:val="clear" w:color="auto" w:fill="auto"/>
            <w:noWrap/>
            <w:vAlign w:val="center"/>
          </w:tcPr>
          <w:p w14:paraId="62F9FA3C">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Vuk Vrhovac University Hospital</w:t>
            </w:r>
          </w:p>
        </w:tc>
        <w:tc>
          <w:tcPr>
            <w:tcW w:w="1703" w:type="dxa"/>
            <w:tcBorders>
              <w:top w:val="nil"/>
              <w:left w:val="nil"/>
              <w:bottom w:val="nil"/>
              <w:right w:val="nil"/>
            </w:tcBorders>
            <w:shd w:val="clear" w:color="auto" w:fill="auto"/>
            <w:noWrap/>
            <w:vAlign w:val="center"/>
          </w:tcPr>
          <w:p w14:paraId="79C2D9F6">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January 2008 to September 2010</w:t>
            </w:r>
          </w:p>
        </w:tc>
        <w:tc>
          <w:tcPr>
            <w:tcW w:w="1270" w:type="dxa"/>
            <w:tcBorders>
              <w:top w:val="nil"/>
              <w:left w:val="nil"/>
              <w:bottom w:val="nil"/>
              <w:right w:val="nil"/>
            </w:tcBorders>
            <w:shd w:val="clear" w:color="auto" w:fill="auto"/>
            <w:noWrap/>
            <w:vAlign w:val="center"/>
          </w:tcPr>
          <w:p w14:paraId="4802C7D4">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18.00±10.04 </w:t>
            </w:r>
          </w:p>
        </w:tc>
        <w:tc>
          <w:tcPr>
            <w:tcW w:w="889" w:type="dxa"/>
            <w:tcBorders>
              <w:top w:val="nil"/>
              <w:left w:val="nil"/>
              <w:bottom w:val="nil"/>
              <w:right w:val="nil"/>
            </w:tcBorders>
            <w:shd w:val="clear" w:color="auto" w:fill="auto"/>
            <w:noWrap/>
            <w:vAlign w:val="center"/>
          </w:tcPr>
          <w:p w14:paraId="3B2082B0">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298</w:t>
            </w:r>
          </w:p>
        </w:tc>
        <w:tc>
          <w:tcPr>
            <w:tcW w:w="864" w:type="dxa"/>
            <w:tcBorders>
              <w:top w:val="nil"/>
              <w:left w:val="nil"/>
              <w:bottom w:val="nil"/>
              <w:right w:val="nil"/>
            </w:tcBorders>
            <w:shd w:val="clear" w:color="auto" w:fill="auto"/>
            <w:noWrap/>
            <w:vAlign w:val="center"/>
          </w:tcPr>
          <w:p w14:paraId="5790298D">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48.99%</w:t>
            </w:r>
          </w:p>
        </w:tc>
        <w:tc>
          <w:tcPr>
            <w:tcW w:w="1249" w:type="dxa"/>
            <w:tcBorders>
              <w:top w:val="nil"/>
              <w:left w:val="nil"/>
              <w:bottom w:val="nil"/>
              <w:right w:val="nil"/>
            </w:tcBorders>
            <w:shd w:val="clear" w:color="auto" w:fill="auto"/>
            <w:noWrap/>
            <w:vAlign w:val="center"/>
          </w:tcPr>
          <w:p w14:paraId="2A9C3896">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42.66±11.94</w:t>
            </w:r>
          </w:p>
        </w:tc>
        <w:tc>
          <w:tcPr>
            <w:tcW w:w="1025" w:type="dxa"/>
            <w:tcBorders>
              <w:top w:val="nil"/>
              <w:left w:val="nil"/>
              <w:bottom w:val="nil"/>
              <w:right w:val="nil"/>
            </w:tcBorders>
            <w:shd w:val="clear" w:color="auto" w:fill="auto"/>
            <w:noWrap/>
            <w:vAlign w:val="center"/>
          </w:tcPr>
          <w:p w14:paraId="5ABEE0EF">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yes</w:t>
            </w:r>
          </w:p>
        </w:tc>
        <w:tc>
          <w:tcPr>
            <w:tcW w:w="941" w:type="dxa"/>
            <w:tcBorders>
              <w:top w:val="nil"/>
              <w:left w:val="nil"/>
              <w:bottom w:val="nil"/>
              <w:right w:val="nil"/>
            </w:tcBorders>
            <w:shd w:val="clear" w:color="auto" w:fill="auto"/>
            <w:vAlign w:val="center"/>
          </w:tcPr>
          <w:p w14:paraId="45EE7038">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A</w:t>
            </w:r>
          </w:p>
        </w:tc>
      </w:tr>
      <w:tr w14:paraId="202A831E">
        <w:tblPrEx>
          <w:tblCellMar>
            <w:top w:w="0" w:type="dxa"/>
            <w:left w:w="108" w:type="dxa"/>
            <w:bottom w:w="0" w:type="dxa"/>
            <w:right w:w="108" w:type="dxa"/>
          </w:tblCellMar>
        </w:tblPrEx>
        <w:trPr>
          <w:trHeight w:val="775" w:hRule="atLeast"/>
          <w:jc w:val="center"/>
        </w:trPr>
        <w:tc>
          <w:tcPr>
            <w:tcW w:w="1706" w:type="dxa"/>
            <w:tcBorders>
              <w:top w:val="nil"/>
              <w:left w:val="nil"/>
              <w:bottom w:val="nil"/>
              <w:right w:val="nil"/>
            </w:tcBorders>
            <w:shd w:val="clear" w:color="auto" w:fill="auto"/>
            <w:noWrap/>
            <w:vAlign w:val="center"/>
          </w:tcPr>
          <w:p w14:paraId="339890A9">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Chillaron 2011</w:t>
            </w:r>
          </w:p>
        </w:tc>
        <w:tc>
          <w:tcPr>
            <w:tcW w:w="825" w:type="dxa"/>
            <w:tcBorders>
              <w:top w:val="nil"/>
              <w:left w:val="nil"/>
              <w:bottom w:val="nil"/>
              <w:right w:val="nil"/>
            </w:tcBorders>
            <w:shd w:val="clear" w:color="auto" w:fill="auto"/>
            <w:noWrap/>
            <w:vAlign w:val="center"/>
          </w:tcPr>
          <w:p w14:paraId="1393B7B6">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CS</w:t>
            </w:r>
          </w:p>
        </w:tc>
        <w:tc>
          <w:tcPr>
            <w:tcW w:w="1001" w:type="dxa"/>
            <w:tcBorders>
              <w:top w:val="nil"/>
              <w:left w:val="nil"/>
              <w:bottom w:val="nil"/>
              <w:right w:val="nil"/>
            </w:tcBorders>
            <w:shd w:val="clear" w:color="auto" w:fill="auto"/>
            <w:noWrap/>
            <w:vAlign w:val="center"/>
          </w:tcPr>
          <w:p w14:paraId="51A25882">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Spain</w:t>
            </w:r>
          </w:p>
        </w:tc>
        <w:tc>
          <w:tcPr>
            <w:tcW w:w="2730" w:type="dxa"/>
            <w:tcBorders>
              <w:top w:val="nil"/>
              <w:left w:val="nil"/>
              <w:bottom w:val="nil"/>
              <w:right w:val="nil"/>
            </w:tcBorders>
            <w:shd w:val="clear" w:color="auto" w:fill="auto"/>
            <w:noWrap/>
            <w:vAlign w:val="center"/>
          </w:tcPr>
          <w:p w14:paraId="0D526F07">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Patients with T1DM</w:t>
            </w:r>
          </w:p>
        </w:tc>
        <w:tc>
          <w:tcPr>
            <w:tcW w:w="2372" w:type="dxa"/>
            <w:tcBorders>
              <w:top w:val="nil"/>
              <w:left w:val="nil"/>
              <w:bottom w:val="nil"/>
              <w:right w:val="nil"/>
            </w:tcBorders>
            <w:shd w:val="clear" w:color="auto" w:fill="auto"/>
            <w:noWrap/>
            <w:vAlign w:val="center"/>
          </w:tcPr>
          <w:p w14:paraId="615173AC">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Hospital del Mar and Hospital General de Granollers   </w:t>
            </w:r>
          </w:p>
        </w:tc>
        <w:tc>
          <w:tcPr>
            <w:tcW w:w="1703" w:type="dxa"/>
            <w:tcBorders>
              <w:top w:val="nil"/>
              <w:left w:val="nil"/>
              <w:bottom w:val="nil"/>
              <w:right w:val="nil"/>
            </w:tcBorders>
            <w:shd w:val="clear" w:color="auto" w:fill="auto"/>
            <w:noWrap/>
            <w:vAlign w:val="center"/>
          </w:tcPr>
          <w:p w14:paraId="3ABB0A7D">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January and December 2008</w:t>
            </w:r>
          </w:p>
        </w:tc>
        <w:tc>
          <w:tcPr>
            <w:tcW w:w="1270" w:type="dxa"/>
            <w:tcBorders>
              <w:top w:val="nil"/>
              <w:left w:val="nil"/>
              <w:bottom w:val="nil"/>
              <w:right w:val="nil"/>
            </w:tcBorders>
            <w:shd w:val="clear" w:color="auto" w:fill="auto"/>
            <w:noWrap/>
            <w:vAlign w:val="center"/>
          </w:tcPr>
          <w:p w14:paraId="2A023FA9">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15.31±11.3</w:t>
            </w:r>
          </w:p>
        </w:tc>
        <w:tc>
          <w:tcPr>
            <w:tcW w:w="889" w:type="dxa"/>
            <w:tcBorders>
              <w:top w:val="nil"/>
              <w:left w:val="nil"/>
              <w:bottom w:val="nil"/>
              <w:right w:val="nil"/>
            </w:tcBorders>
            <w:shd w:val="clear" w:color="auto" w:fill="auto"/>
            <w:noWrap/>
            <w:vAlign w:val="center"/>
          </w:tcPr>
          <w:p w14:paraId="47A048FF">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291</w:t>
            </w:r>
          </w:p>
        </w:tc>
        <w:tc>
          <w:tcPr>
            <w:tcW w:w="864" w:type="dxa"/>
            <w:tcBorders>
              <w:top w:val="nil"/>
              <w:left w:val="nil"/>
              <w:bottom w:val="nil"/>
              <w:right w:val="nil"/>
            </w:tcBorders>
            <w:shd w:val="clear" w:color="auto" w:fill="auto"/>
            <w:noWrap/>
            <w:vAlign w:val="center"/>
          </w:tcPr>
          <w:p w14:paraId="0A1D8DF8">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57.04%</w:t>
            </w:r>
          </w:p>
        </w:tc>
        <w:tc>
          <w:tcPr>
            <w:tcW w:w="1249" w:type="dxa"/>
            <w:tcBorders>
              <w:top w:val="nil"/>
              <w:left w:val="nil"/>
              <w:bottom w:val="nil"/>
              <w:right w:val="nil"/>
            </w:tcBorders>
            <w:shd w:val="clear" w:color="auto" w:fill="auto"/>
            <w:noWrap/>
            <w:vAlign w:val="center"/>
          </w:tcPr>
          <w:p w14:paraId="20EB94F8">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38.0±11.8</w:t>
            </w:r>
          </w:p>
        </w:tc>
        <w:tc>
          <w:tcPr>
            <w:tcW w:w="1025" w:type="dxa"/>
            <w:tcBorders>
              <w:top w:val="nil"/>
              <w:left w:val="nil"/>
              <w:bottom w:val="nil"/>
              <w:right w:val="nil"/>
            </w:tcBorders>
            <w:shd w:val="clear" w:color="auto" w:fill="auto"/>
            <w:noWrap/>
            <w:vAlign w:val="center"/>
          </w:tcPr>
          <w:p w14:paraId="27842FA1">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yes</w:t>
            </w:r>
          </w:p>
        </w:tc>
        <w:tc>
          <w:tcPr>
            <w:tcW w:w="941" w:type="dxa"/>
            <w:tcBorders>
              <w:top w:val="nil"/>
              <w:left w:val="nil"/>
              <w:bottom w:val="nil"/>
              <w:right w:val="nil"/>
            </w:tcBorders>
            <w:shd w:val="clear" w:color="auto" w:fill="auto"/>
            <w:vAlign w:val="center"/>
          </w:tcPr>
          <w:p w14:paraId="00AF84A5">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A</w:t>
            </w:r>
          </w:p>
        </w:tc>
      </w:tr>
      <w:tr w14:paraId="7B3D4DCA">
        <w:tblPrEx>
          <w:tblCellMar>
            <w:top w:w="0" w:type="dxa"/>
            <w:left w:w="108" w:type="dxa"/>
            <w:bottom w:w="0" w:type="dxa"/>
            <w:right w:w="108" w:type="dxa"/>
          </w:tblCellMar>
        </w:tblPrEx>
        <w:trPr>
          <w:trHeight w:val="279" w:hRule="atLeast"/>
          <w:jc w:val="center"/>
        </w:trPr>
        <w:tc>
          <w:tcPr>
            <w:tcW w:w="1706" w:type="dxa"/>
            <w:tcBorders>
              <w:top w:val="nil"/>
              <w:left w:val="nil"/>
              <w:bottom w:val="nil"/>
              <w:right w:val="nil"/>
            </w:tcBorders>
            <w:shd w:val="clear" w:color="auto" w:fill="auto"/>
            <w:noWrap/>
            <w:vAlign w:val="center"/>
          </w:tcPr>
          <w:p w14:paraId="528C2E0A">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Januszewski 2011 </w:t>
            </w:r>
          </w:p>
        </w:tc>
        <w:tc>
          <w:tcPr>
            <w:tcW w:w="825" w:type="dxa"/>
            <w:tcBorders>
              <w:top w:val="nil"/>
              <w:left w:val="nil"/>
              <w:bottom w:val="nil"/>
              <w:right w:val="nil"/>
            </w:tcBorders>
            <w:shd w:val="clear" w:color="auto" w:fill="auto"/>
            <w:noWrap/>
            <w:vAlign w:val="center"/>
          </w:tcPr>
          <w:p w14:paraId="7E134FA8">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CS</w:t>
            </w:r>
          </w:p>
        </w:tc>
        <w:tc>
          <w:tcPr>
            <w:tcW w:w="1001" w:type="dxa"/>
            <w:tcBorders>
              <w:top w:val="nil"/>
              <w:left w:val="nil"/>
              <w:bottom w:val="nil"/>
              <w:right w:val="nil"/>
            </w:tcBorders>
            <w:shd w:val="clear" w:color="auto" w:fill="auto"/>
            <w:noWrap/>
            <w:vAlign w:val="center"/>
          </w:tcPr>
          <w:p w14:paraId="0680F0AC">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Australia</w:t>
            </w:r>
          </w:p>
        </w:tc>
        <w:tc>
          <w:tcPr>
            <w:tcW w:w="2730" w:type="dxa"/>
            <w:tcBorders>
              <w:top w:val="nil"/>
              <w:left w:val="nil"/>
              <w:bottom w:val="nil"/>
              <w:right w:val="nil"/>
            </w:tcBorders>
            <w:shd w:val="clear" w:color="auto" w:fill="auto"/>
            <w:noWrap/>
            <w:vAlign w:val="center"/>
          </w:tcPr>
          <w:p w14:paraId="684FCB82">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Patients with T1DM</w:t>
            </w:r>
          </w:p>
        </w:tc>
        <w:tc>
          <w:tcPr>
            <w:tcW w:w="2372" w:type="dxa"/>
            <w:tcBorders>
              <w:top w:val="nil"/>
              <w:left w:val="nil"/>
              <w:bottom w:val="nil"/>
              <w:right w:val="nil"/>
            </w:tcBorders>
            <w:shd w:val="clear" w:color="auto" w:fill="auto"/>
            <w:noWrap/>
            <w:vAlign w:val="center"/>
          </w:tcPr>
          <w:p w14:paraId="14C78FB6">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St. Vincent’s Hospital</w:t>
            </w:r>
          </w:p>
        </w:tc>
        <w:tc>
          <w:tcPr>
            <w:tcW w:w="1703" w:type="dxa"/>
            <w:tcBorders>
              <w:top w:val="nil"/>
              <w:left w:val="nil"/>
              <w:bottom w:val="nil"/>
              <w:right w:val="nil"/>
            </w:tcBorders>
            <w:shd w:val="clear" w:color="auto" w:fill="auto"/>
            <w:noWrap/>
            <w:vAlign w:val="center"/>
          </w:tcPr>
          <w:p w14:paraId="3A0BECE0">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NR</w:t>
            </w:r>
          </w:p>
        </w:tc>
        <w:tc>
          <w:tcPr>
            <w:tcW w:w="1270" w:type="dxa"/>
            <w:tcBorders>
              <w:top w:val="nil"/>
              <w:left w:val="nil"/>
              <w:bottom w:val="nil"/>
              <w:right w:val="nil"/>
            </w:tcBorders>
            <w:shd w:val="clear" w:color="auto" w:fill="auto"/>
            <w:noWrap/>
            <w:vAlign w:val="center"/>
          </w:tcPr>
          <w:p w14:paraId="2A59093E">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20.13±14.11</w:t>
            </w:r>
          </w:p>
        </w:tc>
        <w:tc>
          <w:tcPr>
            <w:tcW w:w="889" w:type="dxa"/>
            <w:tcBorders>
              <w:top w:val="nil"/>
              <w:left w:val="nil"/>
              <w:bottom w:val="nil"/>
              <w:right w:val="nil"/>
            </w:tcBorders>
            <w:shd w:val="clear" w:color="auto" w:fill="auto"/>
            <w:noWrap/>
            <w:vAlign w:val="center"/>
          </w:tcPr>
          <w:p w14:paraId="3A16AF5C">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69</w:t>
            </w:r>
          </w:p>
        </w:tc>
        <w:tc>
          <w:tcPr>
            <w:tcW w:w="864" w:type="dxa"/>
            <w:tcBorders>
              <w:top w:val="nil"/>
              <w:left w:val="nil"/>
              <w:bottom w:val="nil"/>
              <w:right w:val="nil"/>
            </w:tcBorders>
            <w:shd w:val="clear" w:color="auto" w:fill="auto"/>
            <w:noWrap/>
            <w:vAlign w:val="center"/>
          </w:tcPr>
          <w:p w14:paraId="45FDFB6E">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55.07%</w:t>
            </w:r>
          </w:p>
        </w:tc>
        <w:tc>
          <w:tcPr>
            <w:tcW w:w="1249" w:type="dxa"/>
            <w:tcBorders>
              <w:top w:val="nil"/>
              <w:left w:val="nil"/>
              <w:bottom w:val="nil"/>
              <w:right w:val="nil"/>
            </w:tcBorders>
            <w:shd w:val="clear" w:color="auto" w:fill="auto"/>
            <w:noWrap/>
            <w:vAlign w:val="center"/>
          </w:tcPr>
          <w:p w14:paraId="7509D07D">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36.48±14.06</w:t>
            </w:r>
          </w:p>
        </w:tc>
        <w:tc>
          <w:tcPr>
            <w:tcW w:w="1025" w:type="dxa"/>
            <w:tcBorders>
              <w:top w:val="nil"/>
              <w:left w:val="nil"/>
              <w:bottom w:val="nil"/>
              <w:right w:val="nil"/>
            </w:tcBorders>
            <w:shd w:val="clear" w:color="auto" w:fill="auto"/>
            <w:noWrap/>
            <w:vAlign w:val="center"/>
          </w:tcPr>
          <w:p w14:paraId="523D4E41">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yes</w:t>
            </w:r>
          </w:p>
        </w:tc>
        <w:tc>
          <w:tcPr>
            <w:tcW w:w="941" w:type="dxa"/>
            <w:tcBorders>
              <w:top w:val="nil"/>
              <w:left w:val="nil"/>
              <w:bottom w:val="nil"/>
              <w:right w:val="nil"/>
            </w:tcBorders>
            <w:shd w:val="clear" w:color="auto" w:fill="auto"/>
            <w:vAlign w:val="center"/>
          </w:tcPr>
          <w:p w14:paraId="25F4A9E1">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A</w:t>
            </w:r>
          </w:p>
        </w:tc>
      </w:tr>
      <w:tr w14:paraId="32418A29">
        <w:tblPrEx>
          <w:tblCellMar>
            <w:top w:w="0" w:type="dxa"/>
            <w:left w:w="108" w:type="dxa"/>
            <w:bottom w:w="0" w:type="dxa"/>
            <w:right w:w="108" w:type="dxa"/>
          </w:tblCellMar>
        </w:tblPrEx>
        <w:trPr>
          <w:trHeight w:val="517" w:hRule="atLeast"/>
          <w:jc w:val="center"/>
        </w:trPr>
        <w:tc>
          <w:tcPr>
            <w:tcW w:w="1706" w:type="dxa"/>
            <w:tcBorders>
              <w:top w:val="nil"/>
              <w:left w:val="nil"/>
              <w:bottom w:val="nil"/>
              <w:right w:val="nil"/>
            </w:tcBorders>
            <w:shd w:val="clear" w:color="auto" w:fill="auto"/>
            <w:noWrap/>
            <w:vAlign w:val="center"/>
          </w:tcPr>
          <w:p w14:paraId="451B42CF">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Momesso 2011 </w:t>
            </w:r>
          </w:p>
        </w:tc>
        <w:tc>
          <w:tcPr>
            <w:tcW w:w="825" w:type="dxa"/>
            <w:tcBorders>
              <w:top w:val="nil"/>
              <w:left w:val="nil"/>
              <w:bottom w:val="nil"/>
              <w:right w:val="nil"/>
            </w:tcBorders>
            <w:shd w:val="clear" w:color="auto" w:fill="auto"/>
            <w:noWrap/>
            <w:vAlign w:val="center"/>
          </w:tcPr>
          <w:p w14:paraId="0B3B281E">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CS</w:t>
            </w:r>
          </w:p>
        </w:tc>
        <w:tc>
          <w:tcPr>
            <w:tcW w:w="1001" w:type="dxa"/>
            <w:tcBorders>
              <w:top w:val="nil"/>
              <w:left w:val="nil"/>
              <w:bottom w:val="nil"/>
              <w:right w:val="nil"/>
            </w:tcBorders>
            <w:shd w:val="clear" w:color="auto" w:fill="auto"/>
            <w:noWrap/>
            <w:vAlign w:val="center"/>
          </w:tcPr>
          <w:p w14:paraId="3D5CE187">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Brasil</w:t>
            </w:r>
          </w:p>
        </w:tc>
        <w:tc>
          <w:tcPr>
            <w:tcW w:w="2730" w:type="dxa"/>
            <w:tcBorders>
              <w:top w:val="nil"/>
              <w:left w:val="nil"/>
              <w:bottom w:val="nil"/>
              <w:right w:val="nil"/>
            </w:tcBorders>
            <w:shd w:val="clear" w:color="auto" w:fill="auto"/>
            <w:noWrap/>
            <w:vAlign w:val="center"/>
          </w:tcPr>
          <w:p w14:paraId="3054690B">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Adult women with T1DM</w:t>
            </w:r>
          </w:p>
        </w:tc>
        <w:tc>
          <w:tcPr>
            <w:tcW w:w="2372" w:type="dxa"/>
            <w:tcBorders>
              <w:top w:val="nil"/>
              <w:left w:val="nil"/>
              <w:bottom w:val="nil"/>
              <w:right w:val="nil"/>
            </w:tcBorders>
            <w:shd w:val="clear" w:color="auto" w:fill="auto"/>
            <w:noWrap/>
            <w:vAlign w:val="center"/>
          </w:tcPr>
          <w:p w14:paraId="640BAC75">
            <w:pPr>
              <w:jc w:val="left"/>
              <w:rPr>
                <w:rFonts w:hint="default" w:ascii="Times New Roman" w:hAnsi="Times New Roman" w:cs="Times New Roman"/>
                <w:sz w:val="20"/>
                <w:szCs w:val="20"/>
                <w:highlight w:val="none"/>
                <w:lang w:val="pt-BR"/>
              </w:rPr>
            </w:pPr>
            <w:r>
              <w:rPr>
                <w:rFonts w:hint="default" w:ascii="Times New Roman" w:hAnsi="Times New Roman" w:cs="Times New Roman"/>
                <w:sz w:val="20"/>
                <w:szCs w:val="20"/>
                <w:highlight w:val="none"/>
                <w:lang w:val="pt-BR"/>
              </w:rPr>
              <w:t xml:space="preserve">Instituto Estadual de Diabetes Endocrinologia </w:t>
            </w:r>
          </w:p>
        </w:tc>
        <w:tc>
          <w:tcPr>
            <w:tcW w:w="1703" w:type="dxa"/>
            <w:tcBorders>
              <w:top w:val="nil"/>
              <w:left w:val="nil"/>
              <w:bottom w:val="nil"/>
              <w:right w:val="nil"/>
            </w:tcBorders>
            <w:shd w:val="clear" w:color="auto" w:fill="auto"/>
            <w:noWrap/>
            <w:vAlign w:val="center"/>
          </w:tcPr>
          <w:p w14:paraId="21E76819">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NR</w:t>
            </w:r>
          </w:p>
        </w:tc>
        <w:tc>
          <w:tcPr>
            <w:tcW w:w="1270" w:type="dxa"/>
            <w:tcBorders>
              <w:top w:val="nil"/>
              <w:left w:val="nil"/>
              <w:bottom w:val="nil"/>
              <w:right w:val="nil"/>
            </w:tcBorders>
            <w:shd w:val="clear" w:color="auto" w:fill="auto"/>
            <w:noWrap/>
            <w:vAlign w:val="center"/>
          </w:tcPr>
          <w:p w14:paraId="64727137">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18.16±3.29</w:t>
            </w:r>
          </w:p>
        </w:tc>
        <w:tc>
          <w:tcPr>
            <w:tcW w:w="889" w:type="dxa"/>
            <w:tcBorders>
              <w:top w:val="nil"/>
              <w:left w:val="nil"/>
              <w:bottom w:val="nil"/>
              <w:right w:val="nil"/>
            </w:tcBorders>
            <w:shd w:val="clear" w:color="auto" w:fill="auto"/>
            <w:noWrap/>
            <w:vAlign w:val="center"/>
          </w:tcPr>
          <w:p w14:paraId="04051CC7">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45</w:t>
            </w:r>
          </w:p>
        </w:tc>
        <w:tc>
          <w:tcPr>
            <w:tcW w:w="864" w:type="dxa"/>
            <w:tcBorders>
              <w:top w:val="nil"/>
              <w:left w:val="nil"/>
              <w:bottom w:val="nil"/>
              <w:right w:val="nil"/>
            </w:tcBorders>
            <w:shd w:val="clear" w:color="auto" w:fill="auto"/>
            <w:noWrap/>
            <w:vAlign w:val="center"/>
          </w:tcPr>
          <w:p w14:paraId="0311D2F1">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0</w:t>
            </w:r>
          </w:p>
        </w:tc>
        <w:tc>
          <w:tcPr>
            <w:tcW w:w="1249" w:type="dxa"/>
            <w:tcBorders>
              <w:top w:val="nil"/>
              <w:left w:val="nil"/>
              <w:bottom w:val="nil"/>
              <w:right w:val="nil"/>
            </w:tcBorders>
            <w:shd w:val="clear" w:color="auto" w:fill="auto"/>
            <w:noWrap/>
            <w:vAlign w:val="center"/>
          </w:tcPr>
          <w:p w14:paraId="4C4FEEAD">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36 ± 9</w:t>
            </w:r>
          </w:p>
        </w:tc>
        <w:tc>
          <w:tcPr>
            <w:tcW w:w="1025" w:type="dxa"/>
            <w:tcBorders>
              <w:top w:val="nil"/>
              <w:left w:val="nil"/>
              <w:bottom w:val="nil"/>
              <w:right w:val="nil"/>
            </w:tcBorders>
            <w:shd w:val="clear" w:color="auto" w:fill="auto"/>
            <w:noWrap/>
            <w:vAlign w:val="center"/>
          </w:tcPr>
          <w:p w14:paraId="382693DD">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yes</w:t>
            </w:r>
          </w:p>
        </w:tc>
        <w:tc>
          <w:tcPr>
            <w:tcW w:w="941" w:type="dxa"/>
            <w:tcBorders>
              <w:top w:val="nil"/>
              <w:left w:val="nil"/>
              <w:bottom w:val="nil"/>
              <w:right w:val="nil"/>
            </w:tcBorders>
            <w:shd w:val="clear" w:color="auto" w:fill="auto"/>
            <w:vAlign w:val="center"/>
          </w:tcPr>
          <w:p w14:paraId="47B18A10">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A</w:t>
            </w:r>
          </w:p>
        </w:tc>
      </w:tr>
      <w:tr w14:paraId="25BBEDA0">
        <w:tblPrEx>
          <w:tblCellMar>
            <w:top w:w="0" w:type="dxa"/>
            <w:left w:w="108" w:type="dxa"/>
            <w:bottom w:w="0" w:type="dxa"/>
            <w:right w:w="108" w:type="dxa"/>
          </w:tblCellMar>
        </w:tblPrEx>
        <w:trPr>
          <w:trHeight w:val="259" w:hRule="atLeast"/>
          <w:jc w:val="center"/>
        </w:trPr>
        <w:tc>
          <w:tcPr>
            <w:tcW w:w="1706" w:type="dxa"/>
            <w:tcBorders>
              <w:top w:val="nil"/>
              <w:left w:val="nil"/>
              <w:bottom w:val="nil"/>
              <w:right w:val="nil"/>
            </w:tcBorders>
            <w:shd w:val="clear" w:color="auto" w:fill="auto"/>
            <w:noWrap/>
            <w:vAlign w:val="center"/>
          </w:tcPr>
          <w:p w14:paraId="19EDD33C">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Yazıcı 2011</w:t>
            </w:r>
          </w:p>
        </w:tc>
        <w:tc>
          <w:tcPr>
            <w:tcW w:w="825" w:type="dxa"/>
            <w:tcBorders>
              <w:top w:val="nil"/>
              <w:left w:val="nil"/>
              <w:bottom w:val="nil"/>
              <w:right w:val="nil"/>
            </w:tcBorders>
            <w:shd w:val="clear" w:color="auto" w:fill="auto"/>
            <w:noWrap/>
            <w:vAlign w:val="center"/>
          </w:tcPr>
          <w:p w14:paraId="5F947C64">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CS</w:t>
            </w:r>
          </w:p>
        </w:tc>
        <w:tc>
          <w:tcPr>
            <w:tcW w:w="1001" w:type="dxa"/>
            <w:tcBorders>
              <w:top w:val="nil"/>
              <w:left w:val="nil"/>
              <w:bottom w:val="nil"/>
              <w:right w:val="nil"/>
            </w:tcBorders>
            <w:shd w:val="clear" w:color="auto" w:fill="auto"/>
            <w:noWrap/>
            <w:vAlign w:val="center"/>
          </w:tcPr>
          <w:p w14:paraId="034F66BF">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Turkey</w:t>
            </w:r>
          </w:p>
        </w:tc>
        <w:tc>
          <w:tcPr>
            <w:tcW w:w="2730" w:type="dxa"/>
            <w:tcBorders>
              <w:top w:val="nil"/>
              <w:left w:val="nil"/>
              <w:bottom w:val="nil"/>
              <w:right w:val="nil"/>
            </w:tcBorders>
            <w:shd w:val="clear" w:color="auto" w:fill="auto"/>
            <w:noWrap/>
            <w:vAlign w:val="center"/>
          </w:tcPr>
          <w:p w14:paraId="7E720817">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Patients with T1DM</w:t>
            </w:r>
          </w:p>
        </w:tc>
        <w:tc>
          <w:tcPr>
            <w:tcW w:w="2372" w:type="dxa"/>
            <w:tcBorders>
              <w:top w:val="nil"/>
              <w:left w:val="nil"/>
              <w:bottom w:val="nil"/>
              <w:right w:val="nil"/>
            </w:tcBorders>
            <w:shd w:val="clear" w:color="auto" w:fill="auto"/>
            <w:noWrap/>
            <w:vAlign w:val="center"/>
          </w:tcPr>
          <w:p w14:paraId="1ECA02C3">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NR</w:t>
            </w:r>
          </w:p>
        </w:tc>
        <w:tc>
          <w:tcPr>
            <w:tcW w:w="1703" w:type="dxa"/>
            <w:tcBorders>
              <w:top w:val="nil"/>
              <w:left w:val="nil"/>
              <w:bottom w:val="nil"/>
              <w:right w:val="nil"/>
            </w:tcBorders>
            <w:shd w:val="clear" w:color="auto" w:fill="auto"/>
            <w:noWrap/>
            <w:vAlign w:val="center"/>
          </w:tcPr>
          <w:p w14:paraId="139F86B1">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NR</w:t>
            </w:r>
          </w:p>
        </w:tc>
        <w:tc>
          <w:tcPr>
            <w:tcW w:w="1270" w:type="dxa"/>
            <w:tcBorders>
              <w:top w:val="nil"/>
              <w:left w:val="nil"/>
              <w:bottom w:val="nil"/>
              <w:right w:val="nil"/>
            </w:tcBorders>
            <w:shd w:val="clear" w:color="auto" w:fill="auto"/>
            <w:noWrap/>
            <w:vAlign w:val="center"/>
          </w:tcPr>
          <w:p w14:paraId="0FDBCF5B">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9.8 ± 7.6</w:t>
            </w:r>
          </w:p>
        </w:tc>
        <w:tc>
          <w:tcPr>
            <w:tcW w:w="889" w:type="dxa"/>
            <w:tcBorders>
              <w:top w:val="nil"/>
              <w:left w:val="nil"/>
              <w:bottom w:val="nil"/>
              <w:right w:val="nil"/>
            </w:tcBorders>
            <w:shd w:val="clear" w:color="auto" w:fill="auto"/>
            <w:noWrap/>
            <w:vAlign w:val="center"/>
          </w:tcPr>
          <w:p w14:paraId="46FB1114">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36</w:t>
            </w:r>
          </w:p>
        </w:tc>
        <w:tc>
          <w:tcPr>
            <w:tcW w:w="864" w:type="dxa"/>
            <w:tcBorders>
              <w:top w:val="nil"/>
              <w:left w:val="nil"/>
              <w:bottom w:val="nil"/>
              <w:right w:val="nil"/>
            </w:tcBorders>
            <w:shd w:val="clear" w:color="auto" w:fill="auto"/>
            <w:noWrap/>
            <w:vAlign w:val="center"/>
          </w:tcPr>
          <w:p w14:paraId="344E60DD">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38.89%</w:t>
            </w:r>
          </w:p>
        </w:tc>
        <w:tc>
          <w:tcPr>
            <w:tcW w:w="1249" w:type="dxa"/>
            <w:tcBorders>
              <w:top w:val="nil"/>
              <w:left w:val="nil"/>
              <w:bottom w:val="nil"/>
              <w:right w:val="nil"/>
            </w:tcBorders>
            <w:shd w:val="clear" w:color="auto" w:fill="auto"/>
            <w:noWrap/>
            <w:vAlign w:val="center"/>
          </w:tcPr>
          <w:p w14:paraId="7C0008AF">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31±8</w:t>
            </w:r>
          </w:p>
        </w:tc>
        <w:tc>
          <w:tcPr>
            <w:tcW w:w="1025" w:type="dxa"/>
            <w:tcBorders>
              <w:top w:val="nil"/>
              <w:left w:val="nil"/>
              <w:bottom w:val="nil"/>
              <w:right w:val="nil"/>
            </w:tcBorders>
            <w:shd w:val="clear" w:color="auto" w:fill="auto"/>
            <w:noWrap/>
            <w:vAlign w:val="center"/>
          </w:tcPr>
          <w:p w14:paraId="5C2A90E6">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yes</w:t>
            </w:r>
          </w:p>
        </w:tc>
        <w:tc>
          <w:tcPr>
            <w:tcW w:w="941" w:type="dxa"/>
            <w:tcBorders>
              <w:top w:val="nil"/>
              <w:left w:val="nil"/>
              <w:bottom w:val="nil"/>
              <w:right w:val="nil"/>
            </w:tcBorders>
            <w:shd w:val="clear" w:color="auto" w:fill="auto"/>
            <w:vAlign w:val="center"/>
          </w:tcPr>
          <w:p w14:paraId="3D7C392B">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A</w:t>
            </w:r>
          </w:p>
        </w:tc>
      </w:tr>
      <w:tr w14:paraId="13FB1A8A">
        <w:tblPrEx>
          <w:tblCellMar>
            <w:top w:w="0" w:type="dxa"/>
            <w:left w:w="108" w:type="dxa"/>
            <w:bottom w:w="0" w:type="dxa"/>
            <w:right w:w="108" w:type="dxa"/>
          </w:tblCellMar>
        </w:tblPrEx>
        <w:trPr>
          <w:trHeight w:val="775" w:hRule="atLeast"/>
          <w:jc w:val="center"/>
        </w:trPr>
        <w:tc>
          <w:tcPr>
            <w:tcW w:w="1706" w:type="dxa"/>
            <w:tcBorders>
              <w:top w:val="nil"/>
              <w:left w:val="nil"/>
              <w:bottom w:val="nil"/>
              <w:right w:val="nil"/>
            </w:tcBorders>
            <w:shd w:val="clear" w:color="auto" w:fill="auto"/>
            <w:noWrap/>
            <w:vAlign w:val="center"/>
          </w:tcPr>
          <w:p w14:paraId="6CDE1CA0">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Danielson 2010 </w:t>
            </w:r>
          </w:p>
        </w:tc>
        <w:tc>
          <w:tcPr>
            <w:tcW w:w="825" w:type="dxa"/>
            <w:tcBorders>
              <w:top w:val="nil"/>
              <w:left w:val="nil"/>
              <w:bottom w:val="nil"/>
              <w:right w:val="nil"/>
            </w:tcBorders>
            <w:shd w:val="clear" w:color="auto" w:fill="auto"/>
            <w:noWrap/>
            <w:vAlign w:val="center"/>
          </w:tcPr>
          <w:p w14:paraId="2B83BFB6">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CS</w:t>
            </w:r>
          </w:p>
        </w:tc>
        <w:tc>
          <w:tcPr>
            <w:tcW w:w="1001" w:type="dxa"/>
            <w:tcBorders>
              <w:top w:val="nil"/>
              <w:left w:val="nil"/>
              <w:bottom w:val="nil"/>
              <w:right w:val="nil"/>
            </w:tcBorders>
            <w:shd w:val="clear" w:color="auto" w:fill="auto"/>
            <w:noWrap/>
            <w:vAlign w:val="center"/>
          </w:tcPr>
          <w:p w14:paraId="72AC92E6">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USA</w:t>
            </w:r>
          </w:p>
        </w:tc>
        <w:tc>
          <w:tcPr>
            <w:tcW w:w="2730" w:type="dxa"/>
            <w:tcBorders>
              <w:top w:val="nil"/>
              <w:left w:val="nil"/>
              <w:bottom w:val="nil"/>
              <w:right w:val="nil"/>
            </w:tcBorders>
            <w:shd w:val="clear" w:color="auto" w:fill="auto"/>
            <w:noWrap/>
            <w:vAlign w:val="center"/>
          </w:tcPr>
          <w:p w14:paraId="01AA020A">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Racially/ethnically diverse individuals diagnosed with T1DM before age 18</w:t>
            </w:r>
          </w:p>
        </w:tc>
        <w:tc>
          <w:tcPr>
            <w:tcW w:w="2372" w:type="dxa"/>
            <w:tcBorders>
              <w:top w:val="nil"/>
              <w:left w:val="nil"/>
              <w:bottom w:val="nil"/>
              <w:right w:val="nil"/>
            </w:tcBorders>
            <w:shd w:val="clear" w:color="auto" w:fill="auto"/>
            <w:vAlign w:val="center"/>
          </w:tcPr>
          <w:p w14:paraId="4C6DFC7C">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University of Chicago General Clinical Research Center</w:t>
            </w:r>
          </w:p>
        </w:tc>
        <w:tc>
          <w:tcPr>
            <w:tcW w:w="1703" w:type="dxa"/>
            <w:tcBorders>
              <w:top w:val="nil"/>
              <w:left w:val="nil"/>
              <w:bottom w:val="nil"/>
              <w:right w:val="nil"/>
            </w:tcBorders>
            <w:shd w:val="clear" w:color="auto" w:fill="auto"/>
            <w:noWrap/>
            <w:vAlign w:val="center"/>
          </w:tcPr>
          <w:p w14:paraId="712C9CD4">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NR</w:t>
            </w:r>
          </w:p>
        </w:tc>
        <w:tc>
          <w:tcPr>
            <w:tcW w:w="1270" w:type="dxa"/>
            <w:tcBorders>
              <w:top w:val="nil"/>
              <w:left w:val="nil"/>
              <w:bottom w:val="nil"/>
              <w:right w:val="nil"/>
            </w:tcBorders>
            <w:shd w:val="clear" w:color="auto" w:fill="auto"/>
            <w:vAlign w:val="center"/>
          </w:tcPr>
          <w:p w14:paraId="6711F4F8">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5.7 ± 4.5</w:t>
            </w:r>
          </w:p>
        </w:tc>
        <w:tc>
          <w:tcPr>
            <w:tcW w:w="889" w:type="dxa"/>
            <w:tcBorders>
              <w:top w:val="nil"/>
              <w:left w:val="nil"/>
              <w:bottom w:val="nil"/>
              <w:right w:val="nil"/>
            </w:tcBorders>
            <w:shd w:val="clear" w:color="auto" w:fill="auto"/>
            <w:noWrap/>
            <w:vAlign w:val="center"/>
          </w:tcPr>
          <w:p w14:paraId="1954BAC1">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79</w:t>
            </w:r>
          </w:p>
        </w:tc>
        <w:tc>
          <w:tcPr>
            <w:tcW w:w="864" w:type="dxa"/>
            <w:tcBorders>
              <w:top w:val="nil"/>
              <w:left w:val="nil"/>
              <w:bottom w:val="nil"/>
              <w:right w:val="nil"/>
            </w:tcBorders>
            <w:shd w:val="clear" w:color="auto" w:fill="auto"/>
            <w:noWrap/>
            <w:vAlign w:val="center"/>
          </w:tcPr>
          <w:p w14:paraId="540A115B">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46.80%</w:t>
            </w:r>
          </w:p>
        </w:tc>
        <w:tc>
          <w:tcPr>
            <w:tcW w:w="1249" w:type="dxa"/>
            <w:tcBorders>
              <w:top w:val="nil"/>
              <w:left w:val="nil"/>
              <w:bottom w:val="nil"/>
              <w:right w:val="nil"/>
            </w:tcBorders>
            <w:shd w:val="clear" w:color="auto" w:fill="auto"/>
            <w:vAlign w:val="center"/>
          </w:tcPr>
          <w:p w14:paraId="102D77D6">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13.5± 5.7</w:t>
            </w:r>
          </w:p>
        </w:tc>
        <w:tc>
          <w:tcPr>
            <w:tcW w:w="1025" w:type="dxa"/>
            <w:tcBorders>
              <w:top w:val="nil"/>
              <w:left w:val="nil"/>
              <w:bottom w:val="nil"/>
              <w:right w:val="nil"/>
            </w:tcBorders>
            <w:shd w:val="clear" w:color="auto" w:fill="auto"/>
            <w:noWrap/>
            <w:vAlign w:val="center"/>
          </w:tcPr>
          <w:p w14:paraId="749A2087">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yes</w:t>
            </w:r>
          </w:p>
        </w:tc>
        <w:tc>
          <w:tcPr>
            <w:tcW w:w="941" w:type="dxa"/>
            <w:tcBorders>
              <w:top w:val="nil"/>
              <w:left w:val="nil"/>
              <w:bottom w:val="nil"/>
              <w:right w:val="nil"/>
            </w:tcBorders>
            <w:shd w:val="clear" w:color="auto" w:fill="auto"/>
            <w:vAlign w:val="center"/>
          </w:tcPr>
          <w:p w14:paraId="02BBDB49">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w:t>
            </w:r>
          </w:p>
        </w:tc>
      </w:tr>
      <w:tr w14:paraId="537257D5">
        <w:tblPrEx>
          <w:tblCellMar>
            <w:top w:w="0" w:type="dxa"/>
            <w:left w:w="108" w:type="dxa"/>
            <w:bottom w:w="0" w:type="dxa"/>
            <w:right w:w="108" w:type="dxa"/>
          </w:tblCellMar>
        </w:tblPrEx>
        <w:trPr>
          <w:trHeight w:val="517" w:hRule="atLeast"/>
          <w:jc w:val="center"/>
        </w:trPr>
        <w:tc>
          <w:tcPr>
            <w:tcW w:w="1706" w:type="dxa"/>
            <w:tcBorders>
              <w:top w:val="nil"/>
              <w:left w:val="nil"/>
              <w:bottom w:val="nil"/>
              <w:right w:val="nil"/>
            </w:tcBorders>
            <w:shd w:val="clear" w:color="auto" w:fill="auto"/>
            <w:noWrap/>
            <w:vAlign w:val="center"/>
          </w:tcPr>
          <w:p w14:paraId="6FE2DD85">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Uruska 2010</w:t>
            </w:r>
          </w:p>
        </w:tc>
        <w:tc>
          <w:tcPr>
            <w:tcW w:w="825" w:type="dxa"/>
            <w:tcBorders>
              <w:top w:val="nil"/>
              <w:left w:val="nil"/>
              <w:bottom w:val="nil"/>
              <w:right w:val="nil"/>
            </w:tcBorders>
            <w:shd w:val="clear" w:color="auto" w:fill="auto"/>
            <w:noWrap/>
            <w:vAlign w:val="center"/>
          </w:tcPr>
          <w:p w14:paraId="79DDE47B">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PC</w:t>
            </w:r>
          </w:p>
        </w:tc>
        <w:tc>
          <w:tcPr>
            <w:tcW w:w="1001" w:type="dxa"/>
            <w:tcBorders>
              <w:top w:val="nil"/>
              <w:left w:val="nil"/>
              <w:bottom w:val="nil"/>
              <w:right w:val="nil"/>
            </w:tcBorders>
            <w:shd w:val="clear" w:color="auto" w:fill="auto"/>
            <w:noWrap/>
            <w:vAlign w:val="center"/>
          </w:tcPr>
          <w:p w14:paraId="23AE030E">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Poland</w:t>
            </w:r>
          </w:p>
        </w:tc>
        <w:tc>
          <w:tcPr>
            <w:tcW w:w="2730" w:type="dxa"/>
            <w:tcBorders>
              <w:top w:val="nil"/>
              <w:left w:val="nil"/>
              <w:bottom w:val="nil"/>
              <w:right w:val="nil"/>
            </w:tcBorders>
            <w:shd w:val="clear" w:color="auto" w:fill="auto"/>
            <w:noWrap/>
            <w:vAlign w:val="center"/>
          </w:tcPr>
          <w:p w14:paraId="01CBA957">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Patients with T1DM</w:t>
            </w:r>
          </w:p>
        </w:tc>
        <w:tc>
          <w:tcPr>
            <w:tcW w:w="2372" w:type="dxa"/>
            <w:tcBorders>
              <w:top w:val="nil"/>
              <w:left w:val="nil"/>
              <w:bottom w:val="nil"/>
              <w:right w:val="nil"/>
            </w:tcBorders>
            <w:shd w:val="clear" w:color="auto" w:fill="auto"/>
            <w:noWrap/>
            <w:vAlign w:val="center"/>
          </w:tcPr>
          <w:p w14:paraId="3B800D5B">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Poznan University of Medical Sciences</w:t>
            </w:r>
          </w:p>
        </w:tc>
        <w:tc>
          <w:tcPr>
            <w:tcW w:w="1703" w:type="dxa"/>
            <w:tcBorders>
              <w:top w:val="nil"/>
              <w:left w:val="nil"/>
              <w:bottom w:val="nil"/>
              <w:right w:val="nil"/>
            </w:tcBorders>
            <w:shd w:val="clear" w:color="auto" w:fill="auto"/>
            <w:noWrap/>
            <w:vAlign w:val="center"/>
          </w:tcPr>
          <w:p w14:paraId="737CF95F">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NR</w:t>
            </w:r>
          </w:p>
        </w:tc>
        <w:tc>
          <w:tcPr>
            <w:tcW w:w="1270" w:type="dxa"/>
            <w:tcBorders>
              <w:top w:val="nil"/>
              <w:left w:val="nil"/>
              <w:bottom w:val="nil"/>
              <w:right w:val="nil"/>
            </w:tcBorders>
            <w:shd w:val="clear" w:color="auto" w:fill="auto"/>
            <w:noWrap/>
            <w:vAlign w:val="center"/>
          </w:tcPr>
          <w:p w14:paraId="6C7DFEA9">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10.0±1.6</w:t>
            </w:r>
          </w:p>
        </w:tc>
        <w:tc>
          <w:tcPr>
            <w:tcW w:w="889" w:type="dxa"/>
            <w:tcBorders>
              <w:top w:val="nil"/>
              <w:left w:val="nil"/>
              <w:bottom w:val="nil"/>
              <w:right w:val="nil"/>
            </w:tcBorders>
            <w:shd w:val="clear" w:color="auto" w:fill="auto"/>
            <w:noWrap/>
            <w:vAlign w:val="center"/>
          </w:tcPr>
          <w:p w14:paraId="746858A6">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81</w:t>
            </w:r>
          </w:p>
        </w:tc>
        <w:tc>
          <w:tcPr>
            <w:tcW w:w="864" w:type="dxa"/>
            <w:tcBorders>
              <w:top w:val="nil"/>
              <w:left w:val="nil"/>
              <w:bottom w:val="nil"/>
              <w:right w:val="nil"/>
            </w:tcBorders>
            <w:shd w:val="clear" w:color="auto" w:fill="auto"/>
            <w:noWrap/>
            <w:vAlign w:val="center"/>
          </w:tcPr>
          <w:p w14:paraId="6E25C095">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62.69%</w:t>
            </w:r>
          </w:p>
        </w:tc>
        <w:tc>
          <w:tcPr>
            <w:tcW w:w="1249" w:type="dxa"/>
            <w:tcBorders>
              <w:top w:val="nil"/>
              <w:left w:val="nil"/>
              <w:bottom w:val="nil"/>
              <w:right w:val="nil"/>
            </w:tcBorders>
            <w:shd w:val="clear" w:color="auto" w:fill="auto"/>
            <w:noWrap/>
            <w:vAlign w:val="center"/>
          </w:tcPr>
          <w:p w14:paraId="2F6D9C0E">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34.5±6.4</w:t>
            </w:r>
          </w:p>
        </w:tc>
        <w:tc>
          <w:tcPr>
            <w:tcW w:w="1025" w:type="dxa"/>
            <w:tcBorders>
              <w:top w:val="nil"/>
              <w:left w:val="nil"/>
              <w:bottom w:val="nil"/>
              <w:right w:val="nil"/>
            </w:tcBorders>
            <w:shd w:val="clear" w:color="auto" w:fill="auto"/>
            <w:noWrap/>
            <w:vAlign w:val="center"/>
          </w:tcPr>
          <w:p w14:paraId="08A8F153">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yes</w:t>
            </w:r>
          </w:p>
        </w:tc>
        <w:tc>
          <w:tcPr>
            <w:tcW w:w="941" w:type="dxa"/>
            <w:tcBorders>
              <w:top w:val="nil"/>
              <w:left w:val="nil"/>
              <w:bottom w:val="nil"/>
              <w:right w:val="nil"/>
            </w:tcBorders>
            <w:shd w:val="clear" w:color="auto" w:fill="auto"/>
            <w:vAlign w:val="center"/>
          </w:tcPr>
          <w:p w14:paraId="1C1D693F">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A</w:t>
            </w:r>
          </w:p>
        </w:tc>
      </w:tr>
      <w:tr w14:paraId="2AB8209D">
        <w:tblPrEx>
          <w:tblCellMar>
            <w:top w:w="0" w:type="dxa"/>
            <w:left w:w="108" w:type="dxa"/>
            <w:bottom w:w="0" w:type="dxa"/>
            <w:right w:w="108" w:type="dxa"/>
          </w:tblCellMar>
        </w:tblPrEx>
        <w:trPr>
          <w:trHeight w:val="517" w:hRule="atLeast"/>
          <w:jc w:val="center"/>
        </w:trPr>
        <w:tc>
          <w:tcPr>
            <w:tcW w:w="1706" w:type="dxa"/>
            <w:tcBorders>
              <w:top w:val="nil"/>
              <w:left w:val="nil"/>
              <w:bottom w:val="nil"/>
              <w:right w:val="nil"/>
            </w:tcBorders>
            <w:shd w:val="clear" w:color="auto" w:fill="auto"/>
            <w:noWrap/>
            <w:vAlign w:val="center"/>
          </w:tcPr>
          <w:p w14:paraId="22B44657">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Hadjadj 2007 </w:t>
            </w:r>
          </w:p>
        </w:tc>
        <w:tc>
          <w:tcPr>
            <w:tcW w:w="825" w:type="dxa"/>
            <w:tcBorders>
              <w:top w:val="nil"/>
              <w:left w:val="nil"/>
              <w:bottom w:val="nil"/>
              <w:right w:val="nil"/>
            </w:tcBorders>
            <w:shd w:val="clear" w:color="auto" w:fill="auto"/>
            <w:noWrap/>
            <w:vAlign w:val="center"/>
          </w:tcPr>
          <w:p w14:paraId="636317F6">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CS</w:t>
            </w:r>
          </w:p>
        </w:tc>
        <w:tc>
          <w:tcPr>
            <w:tcW w:w="1001" w:type="dxa"/>
            <w:tcBorders>
              <w:top w:val="nil"/>
              <w:left w:val="nil"/>
              <w:bottom w:val="nil"/>
              <w:right w:val="nil"/>
            </w:tcBorders>
            <w:shd w:val="clear" w:color="auto" w:fill="auto"/>
            <w:noWrap/>
            <w:vAlign w:val="center"/>
          </w:tcPr>
          <w:p w14:paraId="52CEABB9">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France</w:t>
            </w:r>
          </w:p>
        </w:tc>
        <w:tc>
          <w:tcPr>
            <w:tcW w:w="2730" w:type="dxa"/>
            <w:tcBorders>
              <w:top w:val="nil"/>
              <w:left w:val="nil"/>
              <w:bottom w:val="nil"/>
              <w:right w:val="nil"/>
            </w:tcBorders>
            <w:shd w:val="clear" w:color="auto" w:fill="auto"/>
            <w:noWrap/>
            <w:vAlign w:val="center"/>
          </w:tcPr>
          <w:p w14:paraId="754D5BA7">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Patients with T1DM</w:t>
            </w:r>
          </w:p>
        </w:tc>
        <w:tc>
          <w:tcPr>
            <w:tcW w:w="2372" w:type="dxa"/>
            <w:tcBorders>
              <w:top w:val="nil"/>
              <w:left w:val="nil"/>
              <w:bottom w:val="nil"/>
              <w:right w:val="nil"/>
            </w:tcBorders>
            <w:shd w:val="clear" w:color="auto" w:fill="auto"/>
            <w:noWrap/>
            <w:vAlign w:val="center"/>
          </w:tcPr>
          <w:p w14:paraId="7919D15A">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Poitiers Diabetes Centre</w:t>
            </w:r>
          </w:p>
        </w:tc>
        <w:tc>
          <w:tcPr>
            <w:tcW w:w="1703" w:type="dxa"/>
            <w:tcBorders>
              <w:top w:val="nil"/>
              <w:left w:val="nil"/>
              <w:bottom w:val="nil"/>
              <w:right w:val="nil"/>
            </w:tcBorders>
            <w:shd w:val="clear" w:color="auto" w:fill="auto"/>
            <w:noWrap/>
            <w:vAlign w:val="center"/>
          </w:tcPr>
          <w:p w14:paraId="7F10A735">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January 2002 to January 2003 </w:t>
            </w:r>
          </w:p>
        </w:tc>
        <w:tc>
          <w:tcPr>
            <w:tcW w:w="1270" w:type="dxa"/>
            <w:tcBorders>
              <w:top w:val="nil"/>
              <w:left w:val="nil"/>
              <w:bottom w:val="nil"/>
              <w:right w:val="nil"/>
            </w:tcBorders>
            <w:shd w:val="clear" w:color="auto" w:fill="auto"/>
            <w:vAlign w:val="center"/>
          </w:tcPr>
          <w:p w14:paraId="00A584F9">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22.46±12.77</w:t>
            </w:r>
          </w:p>
        </w:tc>
        <w:tc>
          <w:tcPr>
            <w:tcW w:w="889" w:type="dxa"/>
            <w:tcBorders>
              <w:top w:val="nil"/>
              <w:left w:val="nil"/>
              <w:bottom w:val="nil"/>
              <w:right w:val="nil"/>
            </w:tcBorders>
            <w:shd w:val="clear" w:color="auto" w:fill="auto"/>
            <w:noWrap/>
            <w:vAlign w:val="center"/>
          </w:tcPr>
          <w:p w14:paraId="3BEB39D8">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160</w:t>
            </w:r>
          </w:p>
        </w:tc>
        <w:tc>
          <w:tcPr>
            <w:tcW w:w="864" w:type="dxa"/>
            <w:tcBorders>
              <w:top w:val="nil"/>
              <w:left w:val="nil"/>
              <w:bottom w:val="nil"/>
              <w:right w:val="nil"/>
            </w:tcBorders>
            <w:shd w:val="clear" w:color="auto" w:fill="auto"/>
            <w:noWrap/>
            <w:vAlign w:val="center"/>
          </w:tcPr>
          <w:p w14:paraId="58C2ADB3">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49%</w:t>
            </w:r>
          </w:p>
        </w:tc>
        <w:tc>
          <w:tcPr>
            <w:tcW w:w="1249" w:type="dxa"/>
            <w:tcBorders>
              <w:top w:val="nil"/>
              <w:left w:val="nil"/>
              <w:bottom w:val="nil"/>
              <w:right w:val="nil"/>
            </w:tcBorders>
            <w:shd w:val="clear" w:color="auto" w:fill="auto"/>
            <w:noWrap/>
            <w:vAlign w:val="center"/>
          </w:tcPr>
          <w:p w14:paraId="63E40C1F">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42±13</w:t>
            </w:r>
          </w:p>
        </w:tc>
        <w:tc>
          <w:tcPr>
            <w:tcW w:w="1025" w:type="dxa"/>
            <w:tcBorders>
              <w:top w:val="nil"/>
              <w:left w:val="nil"/>
              <w:bottom w:val="nil"/>
              <w:right w:val="nil"/>
            </w:tcBorders>
            <w:shd w:val="clear" w:color="auto" w:fill="auto"/>
            <w:noWrap/>
            <w:vAlign w:val="center"/>
          </w:tcPr>
          <w:p w14:paraId="6DEF934D">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yes</w:t>
            </w:r>
          </w:p>
        </w:tc>
        <w:tc>
          <w:tcPr>
            <w:tcW w:w="941" w:type="dxa"/>
            <w:tcBorders>
              <w:top w:val="nil"/>
              <w:left w:val="nil"/>
              <w:bottom w:val="nil"/>
              <w:right w:val="nil"/>
            </w:tcBorders>
            <w:shd w:val="clear" w:color="auto" w:fill="auto"/>
            <w:vAlign w:val="center"/>
          </w:tcPr>
          <w:p w14:paraId="00DFDC59">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A</w:t>
            </w:r>
          </w:p>
        </w:tc>
      </w:tr>
      <w:tr w14:paraId="798CEDF5">
        <w:tblPrEx>
          <w:tblCellMar>
            <w:top w:w="0" w:type="dxa"/>
            <w:left w:w="108" w:type="dxa"/>
            <w:bottom w:w="0" w:type="dxa"/>
            <w:right w:w="108" w:type="dxa"/>
          </w:tblCellMar>
        </w:tblPrEx>
        <w:trPr>
          <w:trHeight w:val="90" w:hRule="atLeast"/>
          <w:jc w:val="center"/>
        </w:trPr>
        <w:tc>
          <w:tcPr>
            <w:tcW w:w="1706" w:type="dxa"/>
            <w:tcBorders>
              <w:top w:val="nil"/>
              <w:left w:val="nil"/>
              <w:bottom w:val="nil"/>
              <w:right w:val="nil"/>
            </w:tcBorders>
            <w:shd w:val="clear" w:color="auto" w:fill="auto"/>
            <w:noWrap/>
            <w:vAlign w:val="center"/>
          </w:tcPr>
          <w:p w14:paraId="747241DE">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Saraheimo 2003 </w:t>
            </w:r>
          </w:p>
        </w:tc>
        <w:tc>
          <w:tcPr>
            <w:tcW w:w="825" w:type="dxa"/>
            <w:tcBorders>
              <w:top w:val="nil"/>
              <w:left w:val="nil"/>
              <w:bottom w:val="nil"/>
              <w:right w:val="nil"/>
            </w:tcBorders>
            <w:shd w:val="clear" w:color="auto" w:fill="auto"/>
            <w:noWrap/>
            <w:vAlign w:val="center"/>
          </w:tcPr>
          <w:p w14:paraId="1964D92B">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CS</w:t>
            </w:r>
          </w:p>
        </w:tc>
        <w:tc>
          <w:tcPr>
            <w:tcW w:w="1001" w:type="dxa"/>
            <w:tcBorders>
              <w:top w:val="nil"/>
              <w:left w:val="nil"/>
              <w:bottom w:val="nil"/>
              <w:right w:val="nil"/>
            </w:tcBorders>
            <w:shd w:val="clear" w:color="auto" w:fill="auto"/>
            <w:noWrap/>
            <w:vAlign w:val="center"/>
          </w:tcPr>
          <w:p w14:paraId="6377A909">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Finland</w:t>
            </w:r>
          </w:p>
        </w:tc>
        <w:tc>
          <w:tcPr>
            <w:tcW w:w="2730" w:type="dxa"/>
            <w:tcBorders>
              <w:top w:val="nil"/>
              <w:left w:val="nil"/>
              <w:bottom w:val="nil"/>
              <w:right w:val="nil"/>
            </w:tcBorders>
            <w:shd w:val="clear" w:color="auto" w:fill="auto"/>
            <w:noWrap/>
            <w:vAlign w:val="center"/>
          </w:tcPr>
          <w:p w14:paraId="77BD75AD">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Patients with T1DM</w:t>
            </w:r>
          </w:p>
        </w:tc>
        <w:tc>
          <w:tcPr>
            <w:tcW w:w="2372" w:type="dxa"/>
            <w:tcBorders>
              <w:top w:val="nil"/>
              <w:left w:val="nil"/>
              <w:bottom w:val="nil"/>
              <w:right w:val="nil"/>
            </w:tcBorders>
            <w:shd w:val="clear" w:color="auto" w:fill="auto"/>
            <w:vAlign w:val="center"/>
          </w:tcPr>
          <w:p w14:paraId="673C767E">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FinnDiane</w:t>
            </w:r>
          </w:p>
        </w:tc>
        <w:tc>
          <w:tcPr>
            <w:tcW w:w="1703" w:type="dxa"/>
            <w:tcBorders>
              <w:top w:val="nil"/>
              <w:left w:val="nil"/>
              <w:bottom w:val="nil"/>
              <w:right w:val="nil"/>
            </w:tcBorders>
            <w:shd w:val="clear" w:color="auto" w:fill="auto"/>
            <w:noWrap/>
            <w:vAlign w:val="center"/>
          </w:tcPr>
          <w:p w14:paraId="3999B1B0">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NR</w:t>
            </w:r>
          </w:p>
        </w:tc>
        <w:tc>
          <w:tcPr>
            <w:tcW w:w="1270" w:type="dxa"/>
            <w:tcBorders>
              <w:top w:val="nil"/>
              <w:left w:val="nil"/>
              <w:bottom w:val="nil"/>
              <w:right w:val="nil"/>
            </w:tcBorders>
            <w:shd w:val="clear" w:color="auto" w:fill="auto"/>
            <w:noWrap/>
            <w:vAlign w:val="center"/>
          </w:tcPr>
          <w:p w14:paraId="6B0A3740">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Range,</w:t>
            </w:r>
          </w:p>
          <w:p w14:paraId="1F1F5E51">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10 to 30</w:t>
            </w:r>
          </w:p>
        </w:tc>
        <w:tc>
          <w:tcPr>
            <w:tcW w:w="889" w:type="dxa"/>
            <w:tcBorders>
              <w:top w:val="nil"/>
              <w:left w:val="nil"/>
              <w:bottom w:val="nil"/>
              <w:right w:val="nil"/>
            </w:tcBorders>
            <w:shd w:val="clear" w:color="auto" w:fill="auto"/>
            <w:noWrap/>
            <w:vAlign w:val="center"/>
          </w:tcPr>
          <w:p w14:paraId="157B88FC">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194</w:t>
            </w:r>
          </w:p>
        </w:tc>
        <w:tc>
          <w:tcPr>
            <w:tcW w:w="864" w:type="dxa"/>
            <w:tcBorders>
              <w:top w:val="nil"/>
              <w:left w:val="nil"/>
              <w:bottom w:val="nil"/>
              <w:right w:val="nil"/>
            </w:tcBorders>
            <w:shd w:val="clear" w:color="auto" w:fill="auto"/>
            <w:noWrap/>
            <w:vAlign w:val="center"/>
          </w:tcPr>
          <w:p w14:paraId="0C30C01F">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55.15%</w:t>
            </w:r>
          </w:p>
        </w:tc>
        <w:tc>
          <w:tcPr>
            <w:tcW w:w="1249" w:type="dxa"/>
            <w:tcBorders>
              <w:top w:val="nil"/>
              <w:left w:val="nil"/>
              <w:bottom w:val="nil"/>
              <w:right w:val="nil"/>
            </w:tcBorders>
            <w:shd w:val="clear" w:color="auto" w:fill="auto"/>
            <w:noWrap/>
            <w:vAlign w:val="center"/>
          </w:tcPr>
          <w:p w14:paraId="44A4ABC8">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36.4±7.6 </w:t>
            </w:r>
          </w:p>
        </w:tc>
        <w:tc>
          <w:tcPr>
            <w:tcW w:w="1025" w:type="dxa"/>
            <w:tcBorders>
              <w:top w:val="nil"/>
              <w:left w:val="nil"/>
              <w:bottom w:val="nil"/>
              <w:right w:val="nil"/>
            </w:tcBorders>
            <w:shd w:val="clear" w:color="auto" w:fill="auto"/>
            <w:noWrap/>
            <w:vAlign w:val="center"/>
          </w:tcPr>
          <w:p w14:paraId="2BD60BFE">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no</w:t>
            </w:r>
          </w:p>
        </w:tc>
        <w:tc>
          <w:tcPr>
            <w:tcW w:w="941" w:type="dxa"/>
            <w:tcBorders>
              <w:top w:val="nil"/>
              <w:left w:val="nil"/>
              <w:bottom w:val="nil"/>
              <w:right w:val="nil"/>
            </w:tcBorders>
            <w:shd w:val="clear" w:color="auto" w:fill="auto"/>
            <w:vAlign w:val="center"/>
          </w:tcPr>
          <w:p w14:paraId="6D46D2F7">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A</w:t>
            </w:r>
          </w:p>
        </w:tc>
      </w:tr>
      <w:tr w14:paraId="1377F333">
        <w:tblPrEx>
          <w:tblCellMar>
            <w:top w:w="0" w:type="dxa"/>
            <w:left w:w="108" w:type="dxa"/>
            <w:bottom w:w="0" w:type="dxa"/>
            <w:right w:w="108" w:type="dxa"/>
          </w:tblCellMar>
        </w:tblPrEx>
        <w:trPr>
          <w:trHeight w:val="90" w:hRule="atLeast"/>
          <w:jc w:val="center"/>
        </w:trPr>
        <w:tc>
          <w:tcPr>
            <w:tcW w:w="1706" w:type="dxa"/>
            <w:tcBorders>
              <w:top w:val="nil"/>
              <w:left w:val="nil"/>
              <w:bottom w:val="nil"/>
              <w:right w:val="nil"/>
            </w:tcBorders>
            <w:shd w:val="clear" w:color="auto" w:fill="auto"/>
            <w:noWrap/>
            <w:vAlign w:val="center"/>
          </w:tcPr>
          <w:p w14:paraId="6D25AC73">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Zhang Y 2024</w:t>
            </w:r>
          </w:p>
        </w:tc>
        <w:tc>
          <w:tcPr>
            <w:tcW w:w="825" w:type="dxa"/>
            <w:tcBorders>
              <w:top w:val="nil"/>
              <w:left w:val="nil"/>
              <w:bottom w:val="nil"/>
              <w:right w:val="nil"/>
            </w:tcBorders>
            <w:shd w:val="clear" w:color="auto" w:fill="auto"/>
            <w:noWrap/>
            <w:vAlign w:val="center"/>
          </w:tcPr>
          <w:p w14:paraId="710DE0B4">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PC</w:t>
            </w:r>
          </w:p>
        </w:tc>
        <w:tc>
          <w:tcPr>
            <w:tcW w:w="1001" w:type="dxa"/>
            <w:tcBorders>
              <w:top w:val="nil"/>
              <w:left w:val="nil"/>
              <w:bottom w:val="nil"/>
              <w:right w:val="nil"/>
            </w:tcBorders>
            <w:shd w:val="clear" w:color="auto" w:fill="auto"/>
            <w:noWrap/>
            <w:vAlign w:val="center"/>
          </w:tcPr>
          <w:p w14:paraId="69621723">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China</w:t>
            </w:r>
          </w:p>
        </w:tc>
        <w:tc>
          <w:tcPr>
            <w:tcW w:w="2730" w:type="dxa"/>
            <w:tcBorders>
              <w:top w:val="nil"/>
              <w:left w:val="nil"/>
              <w:bottom w:val="nil"/>
              <w:right w:val="nil"/>
            </w:tcBorders>
            <w:shd w:val="clear" w:color="auto" w:fill="auto"/>
            <w:noWrap/>
            <w:vAlign w:val="center"/>
          </w:tcPr>
          <w:p w14:paraId="671F4C29">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T2DM subjects without DPN</w:t>
            </w:r>
          </w:p>
        </w:tc>
        <w:tc>
          <w:tcPr>
            <w:tcW w:w="2372" w:type="dxa"/>
            <w:tcBorders>
              <w:top w:val="nil"/>
              <w:left w:val="nil"/>
              <w:bottom w:val="nil"/>
              <w:right w:val="nil"/>
            </w:tcBorders>
            <w:shd w:val="clear" w:color="auto" w:fill="auto"/>
            <w:vAlign w:val="center"/>
          </w:tcPr>
          <w:p w14:paraId="3E1457D6">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Six communities in Shanghai </w:t>
            </w:r>
          </w:p>
        </w:tc>
        <w:tc>
          <w:tcPr>
            <w:tcW w:w="1703" w:type="dxa"/>
            <w:tcBorders>
              <w:top w:val="nil"/>
              <w:left w:val="nil"/>
              <w:bottom w:val="nil"/>
              <w:right w:val="nil"/>
            </w:tcBorders>
            <w:shd w:val="clear" w:color="auto" w:fill="auto"/>
            <w:noWrap/>
            <w:vAlign w:val="center"/>
          </w:tcPr>
          <w:p w14:paraId="72D9348B">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2011 to 2014</w:t>
            </w:r>
          </w:p>
        </w:tc>
        <w:tc>
          <w:tcPr>
            <w:tcW w:w="1270" w:type="dxa"/>
            <w:tcBorders>
              <w:top w:val="nil"/>
              <w:left w:val="nil"/>
              <w:bottom w:val="nil"/>
              <w:right w:val="nil"/>
            </w:tcBorders>
            <w:shd w:val="clear" w:color="auto" w:fill="auto"/>
            <w:noWrap/>
            <w:vAlign w:val="center"/>
          </w:tcPr>
          <w:p w14:paraId="1D914B95">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NR</w:t>
            </w:r>
          </w:p>
        </w:tc>
        <w:tc>
          <w:tcPr>
            <w:tcW w:w="889" w:type="dxa"/>
            <w:tcBorders>
              <w:top w:val="nil"/>
              <w:left w:val="nil"/>
              <w:bottom w:val="nil"/>
              <w:right w:val="nil"/>
            </w:tcBorders>
            <w:shd w:val="clear" w:color="auto" w:fill="auto"/>
            <w:noWrap/>
            <w:vAlign w:val="center"/>
          </w:tcPr>
          <w:p w14:paraId="1876AB0F">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366</w:t>
            </w:r>
          </w:p>
        </w:tc>
        <w:tc>
          <w:tcPr>
            <w:tcW w:w="864" w:type="dxa"/>
            <w:tcBorders>
              <w:top w:val="nil"/>
              <w:left w:val="nil"/>
              <w:bottom w:val="nil"/>
              <w:right w:val="nil"/>
            </w:tcBorders>
            <w:shd w:val="clear" w:color="auto" w:fill="auto"/>
            <w:noWrap/>
            <w:vAlign w:val="center"/>
          </w:tcPr>
          <w:p w14:paraId="6D24252A">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45.63%</w:t>
            </w:r>
          </w:p>
        </w:tc>
        <w:tc>
          <w:tcPr>
            <w:tcW w:w="1249" w:type="dxa"/>
            <w:tcBorders>
              <w:top w:val="nil"/>
              <w:left w:val="nil"/>
              <w:bottom w:val="nil"/>
              <w:right w:val="nil"/>
            </w:tcBorders>
            <w:shd w:val="clear" w:color="auto" w:fill="auto"/>
            <w:noWrap/>
            <w:vAlign w:val="center"/>
          </w:tcPr>
          <w:p w14:paraId="5F6589C5">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62.66±8.21</w:t>
            </w:r>
          </w:p>
        </w:tc>
        <w:tc>
          <w:tcPr>
            <w:tcW w:w="1025" w:type="dxa"/>
            <w:tcBorders>
              <w:top w:val="nil"/>
              <w:left w:val="nil"/>
              <w:bottom w:val="nil"/>
              <w:right w:val="nil"/>
            </w:tcBorders>
            <w:shd w:val="clear" w:color="auto" w:fill="auto"/>
            <w:noWrap/>
            <w:vAlign w:val="center"/>
          </w:tcPr>
          <w:p w14:paraId="51A9A4C6">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no</w:t>
            </w:r>
          </w:p>
        </w:tc>
        <w:tc>
          <w:tcPr>
            <w:tcW w:w="941" w:type="dxa"/>
            <w:tcBorders>
              <w:top w:val="nil"/>
              <w:left w:val="nil"/>
              <w:bottom w:val="nil"/>
              <w:right w:val="nil"/>
            </w:tcBorders>
            <w:shd w:val="clear" w:color="auto" w:fill="auto"/>
            <w:vAlign w:val="center"/>
          </w:tcPr>
          <w:p w14:paraId="1494B76E">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A</w:t>
            </w:r>
          </w:p>
        </w:tc>
      </w:tr>
      <w:tr w14:paraId="32BAD19A">
        <w:tblPrEx>
          <w:tblCellMar>
            <w:top w:w="0" w:type="dxa"/>
            <w:left w:w="108" w:type="dxa"/>
            <w:bottom w:w="0" w:type="dxa"/>
            <w:right w:w="108" w:type="dxa"/>
          </w:tblCellMar>
        </w:tblPrEx>
        <w:trPr>
          <w:trHeight w:val="517" w:hRule="atLeast"/>
          <w:jc w:val="center"/>
        </w:trPr>
        <w:tc>
          <w:tcPr>
            <w:tcW w:w="1706" w:type="dxa"/>
            <w:tcBorders>
              <w:top w:val="nil"/>
              <w:left w:val="nil"/>
              <w:bottom w:val="nil"/>
              <w:right w:val="nil"/>
            </w:tcBorders>
            <w:shd w:val="clear" w:color="auto" w:fill="auto"/>
            <w:noWrap/>
            <w:vAlign w:val="center"/>
          </w:tcPr>
          <w:p w14:paraId="7E4E5958">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Zabala 2021</w:t>
            </w:r>
          </w:p>
        </w:tc>
        <w:tc>
          <w:tcPr>
            <w:tcW w:w="825" w:type="dxa"/>
            <w:tcBorders>
              <w:top w:val="nil"/>
              <w:left w:val="nil"/>
              <w:bottom w:val="nil"/>
              <w:right w:val="nil"/>
            </w:tcBorders>
            <w:shd w:val="clear" w:color="auto" w:fill="auto"/>
            <w:noWrap/>
            <w:vAlign w:val="center"/>
          </w:tcPr>
          <w:p w14:paraId="31F80B20">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RC</w:t>
            </w:r>
          </w:p>
        </w:tc>
        <w:tc>
          <w:tcPr>
            <w:tcW w:w="1001" w:type="dxa"/>
            <w:tcBorders>
              <w:top w:val="nil"/>
              <w:left w:val="nil"/>
              <w:bottom w:val="nil"/>
              <w:right w:val="nil"/>
            </w:tcBorders>
            <w:shd w:val="clear" w:color="auto" w:fill="auto"/>
            <w:noWrap/>
            <w:vAlign w:val="center"/>
          </w:tcPr>
          <w:p w14:paraId="36AD3552">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Sweden</w:t>
            </w:r>
          </w:p>
        </w:tc>
        <w:tc>
          <w:tcPr>
            <w:tcW w:w="2730" w:type="dxa"/>
            <w:tcBorders>
              <w:top w:val="nil"/>
              <w:left w:val="nil"/>
              <w:bottom w:val="nil"/>
              <w:right w:val="nil"/>
            </w:tcBorders>
            <w:shd w:val="clear" w:color="auto" w:fill="auto"/>
            <w:noWrap/>
            <w:vAlign w:val="center"/>
          </w:tcPr>
          <w:p w14:paraId="7026F881">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Adult individuals with T2DM</w:t>
            </w:r>
          </w:p>
        </w:tc>
        <w:tc>
          <w:tcPr>
            <w:tcW w:w="2372" w:type="dxa"/>
            <w:tcBorders>
              <w:top w:val="nil"/>
              <w:left w:val="nil"/>
              <w:bottom w:val="nil"/>
              <w:right w:val="nil"/>
            </w:tcBorders>
            <w:shd w:val="clear" w:color="auto" w:fill="auto"/>
            <w:vAlign w:val="center"/>
          </w:tcPr>
          <w:p w14:paraId="1296B439">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Swedish national diabetes register</w:t>
            </w:r>
          </w:p>
        </w:tc>
        <w:tc>
          <w:tcPr>
            <w:tcW w:w="1703" w:type="dxa"/>
            <w:tcBorders>
              <w:top w:val="nil"/>
              <w:left w:val="nil"/>
              <w:bottom w:val="nil"/>
              <w:right w:val="nil"/>
            </w:tcBorders>
            <w:shd w:val="clear" w:color="auto" w:fill="auto"/>
            <w:vAlign w:val="center"/>
          </w:tcPr>
          <w:p w14:paraId="118DE9C9">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2004 to 2016 </w:t>
            </w:r>
          </w:p>
        </w:tc>
        <w:tc>
          <w:tcPr>
            <w:tcW w:w="1270" w:type="dxa"/>
            <w:tcBorders>
              <w:top w:val="nil"/>
              <w:left w:val="nil"/>
              <w:bottom w:val="nil"/>
              <w:right w:val="nil"/>
            </w:tcBorders>
            <w:shd w:val="clear" w:color="auto" w:fill="auto"/>
            <w:noWrap/>
            <w:vAlign w:val="center"/>
          </w:tcPr>
          <w:p w14:paraId="04B8545C">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4.1±5.7</w:t>
            </w:r>
          </w:p>
        </w:tc>
        <w:tc>
          <w:tcPr>
            <w:tcW w:w="889" w:type="dxa"/>
            <w:tcBorders>
              <w:top w:val="nil"/>
              <w:left w:val="nil"/>
              <w:bottom w:val="nil"/>
              <w:right w:val="nil"/>
            </w:tcBorders>
            <w:shd w:val="clear" w:color="auto" w:fill="auto"/>
            <w:noWrap/>
            <w:vAlign w:val="center"/>
          </w:tcPr>
          <w:p w14:paraId="233619C3">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104697</w:t>
            </w:r>
          </w:p>
        </w:tc>
        <w:tc>
          <w:tcPr>
            <w:tcW w:w="864" w:type="dxa"/>
            <w:tcBorders>
              <w:top w:val="nil"/>
              <w:left w:val="nil"/>
              <w:bottom w:val="nil"/>
              <w:right w:val="nil"/>
            </w:tcBorders>
            <w:shd w:val="clear" w:color="auto" w:fill="auto"/>
            <w:noWrap/>
            <w:vAlign w:val="center"/>
          </w:tcPr>
          <w:p w14:paraId="7A42345F">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56%</w:t>
            </w:r>
          </w:p>
        </w:tc>
        <w:tc>
          <w:tcPr>
            <w:tcW w:w="1249" w:type="dxa"/>
            <w:tcBorders>
              <w:top w:val="nil"/>
              <w:left w:val="nil"/>
              <w:bottom w:val="nil"/>
              <w:right w:val="nil"/>
            </w:tcBorders>
            <w:shd w:val="clear" w:color="auto" w:fill="auto"/>
            <w:noWrap/>
            <w:vAlign w:val="center"/>
          </w:tcPr>
          <w:p w14:paraId="51CA4F2F">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62.9±11.5</w:t>
            </w:r>
          </w:p>
        </w:tc>
        <w:tc>
          <w:tcPr>
            <w:tcW w:w="1025" w:type="dxa"/>
            <w:tcBorders>
              <w:top w:val="nil"/>
              <w:left w:val="nil"/>
              <w:bottom w:val="nil"/>
              <w:right w:val="nil"/>
            </w:tcBorders>
            <w:shd w:val="clear" w:color="auto" w:fill="auto"/>
            <w:noWrap/>
            <w:vAlign w:val="center"/>
          </w:tcPr>
          <w:p w14:paraId="6472E3E2">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no</w:t>
            </w:r>
          </w:p>
        </w:tc>
        <w:tc>
          <w:tcPr>
            <w:tcW w:w="941" w:type="dxa"/>
            <w:tcBorders>
              <w:top w:val="nil"/>
              <w:left w:val="nil"/>
              <w:bottom w:val="nil"/>
              <w:right w:val="nil"/>
            </w:tcBorders>
            <w:shd w:val="clear" w:color="auto" w:fill="auto"/>
            <w:vAlign w:val="center"/>
          </w:tcPr>
          <w:p w14:paraId="2F5D5B2C">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w:t>
            </w:r>
          </w:p>
        </w:tc>
      </w:tr>
      <w:tr w14:paraId="05771C63">
        <w:tblPrEx>
          <w:tblCellMar>
            <w:top w:w="0" w:type="dxa"/>
            <w:left w:w="108" w:type="dxa"/>
            <w:bottom w:w="0" w:type="dxa"/>
            <w:right w:w="108" w:type="dxa"/>
          </w:tblCellMar>
        </w:tblPrEx>
        <w:trPr>
          <w:trHeight w:val="90" w:hRule="atLeast"/>
          <w:jc w:val="center"/>
        </w:trPr>
        <w:tc>
          <w:tcPr>
            <w:tcW w:w="1706" w:type="dxa"/>
            <w:tcBorders>
              <w:top w:val="nil"/>
              <w:left w:val="nil"/>
              <w:bottom w:val="nil"/>
              <w:right w:val="nil"/>
            </w:tcBorders>
            <w:shd w:val="clear" w:color="auto" w:fill="auto"/>
            <w:noWrap/>
            <w:vAlign w:val="center"/>
          </w:tcPr>
          <w:p w14:paraId="060D9BEE">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Komosinska-Vassev 2020 </w:t>
            </w:r>
          </w:p>
        </w:tc>
        <w:tc>
          <w:tcPr>
            <w:tcW w:w="825" w:type="dxa"/>
            <w:tcBorders>
              <w:top w:val="nil"/>
              <w:left w:val="nil"/>
              <w:bottom w:val="nil"/>
              <w:right w:val="nil"/>
            </w:tcBorders>
            <w:shd w:val="clear" w:color="auto" w:fill="auto"/>
            <w:noWrap/>
            <w:vAlign w:val="center"/>
          </w:tcPr>
          <w:p w14:paraId="266117A4">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CS</w:t>
            </w:r>
          </w:p>
        </w:tc>
        <w:tc>
          <w:tcPr>
            <w:tcW w:w="1001" w:type="dxa"/>
            <w:tcBorders>
              <w:top w:val="nil"/>
              <w:left w:val="nil"/>
              <w:bottom w:val="nil"/>
              <w:right w:val="nil"/>
            </w:tcBorders>
            <w:shd w:val="clear" w:color="auto" w:fill="auto"/>
            <w:noWrap/>
            <w:vAlign w:val="center"/>
          </w:tcPr>
          <w:p w14:paraId="549B98D7">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Poland</w:t>
            </w:r>
          </w:p>
        </w:tc>
        <w:tc>
          <w:tcPr>
            <w:tcW w:w="2730" w:type="dxa"/>
            <w:tcBorders>
              <w:top w:val="nil"/>
              <w:left w:val="nil"/>
              <w:bottom w:val="nil"/>
              <w:right w:val="nil"/>
            </w:tcBorders>
            <w:shd w:val="clear" w:color="auto" w:fill="auto"/>
            <w:noWrap/>
            <w:vAlign w:val="center"/>
          </w:tcPr>
          <w:p w14:paraId="2F09B674">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Newly diagnosed with T2DM, aged 47-72 years</w:t>
            </w:r>
          </w:p>
        </w:tc>
        <w:tc>
          <w:tcPr>
            <w:tcW w:w="2372" w:type="dxa"/>
            <w:tcBorders>
              <w:top w:val="nil"/>
              <w:left w:val="nil"/>
              <w:bottom w:val="nil"/>
              <w:right w:val="nil"/>
            </w:tcBorders>
            <w:shd w:val="clear" w:color="auto" w:fill="auto"/>
            <w:noWrap/>
            <w:vAlign w:val="center"/>
          </w:tcPr>
          <w:p w14:paraId="4AEF6642">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Faculty of Pharmaceutical Sciences in Sosnowiec</w:t>
            </w:r>
          </w:p>
        </w:tc>
        <w:tc>
          <w:tcPr>
            <w:tcW w:w="1703" w:type="dxa"/>
            <w:tcBorders>
              <w:top w:val="nil"/>
              <w:left w:val="nil"/>
              <w:bottom w:val="nil"/>
              <w:right w:val="nil"/>
            </w:tcBorders>
            <w:shd w:val="clear" w:color="auto" w:fill="auto"/>
            <w:noWrap/>
            <w:vAlign w:val="center"/>
          </w:tcPr>
          <w:p w14:paraId="09920A4F">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NR</w:t>
            </w:r>
          </w:p>
        </w:tc>
        <w:tc>
          <w:tcPr>
            <w:tcW w:w="1270" w:type="dxa"/>
            <w:tcBorders>
              <w:top w:val="nil"/>
              <w:left w:val="nil"/>
              <w:bottom w:val="nil"/>
              <w:right w:val="nil"/>
            </w:tcBorders>
            <w:shd w:val="clear" w:color="auto" w:fill="auto"/>
            <w:noWrap/>
            <w:vAlign w:val="center"/>
          </w:tcPr>
          <w:p w14:paraId="62D65F24">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Within 3 months</w:t>
            </w:r>
          </w:p>
        </w:tc>
        <w:tc>
          <w:tcPr>
            <w:tcW w:w="889" w:type="dxa"/>
            <w:tcBorders>
              <w:top w:val="nil"/>
              <w:left w:val="nil"/>
              <w:bottom w:val="nil"/>
              <w:right w:val="nil"/>
            </w:tcBorders>
            <w:shd w:val="clear" w:color="auto" w:fill="auto"/>
            <w:noWrap/>
            <w:vAlign w:val="center"/>
          </w:tcPr>
          <w:p w14:paraId="7C7A69B8">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40</w:t>
            </w:r>
          </w:p>
        </w:tc>
        <w:tc>
          <w:tcPr>
            <w:tcW w:w="864" w:type="dxa"/>
            <w:tcBorders>
              <w:top w:val="nil"/>
              <w:left w:val="nil"/>
              <w:bottom w:val="nil"/>
              <w:right w:val="nil"/>
            </w:tcBorders>
            <w:shd w:val="clear" w:color="auto" w:fill="auto"/>
            <w:noWrap/>
            <w:vAlign w:val="center"/>
          </w:tcPr>
          <w:p w14:paraId="3DE4177D">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40%</w:t>
            </w:r>
          </w:p>
        </w:tc>
        <w:tc>
          <w:tcPr>
            <w:tcW w:w="1249" w:type="dxa"/>
            <w:tcBorders>
              <w:top w:val="nil"/>
              <w:left w:val="nil"/>
              <w:bottom w:val="nil"/>
              <w:right w:val="nil"/>
            </w:tcBorders>
            <w:shd w:val="clear" w:color="auto" w:fill="auto"/>
            <w:noWrap/>
            <w:vAlign w:val="center"/>
          </w:tcPr>
          <w:p w14:paraId="083495B0">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59.28±7.29</w:t>
            </w:r>
          </w:p>
        </w:tc>
        <w:tc>
          <w:tcPr>
            <w:tcW w:w="1025" w:type="dxa"/>
            <w:tcBorders>
              <w:top w:val="nil"/>
              <w:left w:val="nil"/>
              <w:bottom w:val="nil"/>
              <w:right w:val="nil"/>
            </w:tcBorders>
            <w:shd w:val="clear" w:color="auto" w:fill="auto"/>
            <w:noWrap/>
            <w:vAlign w:val="center"/>
          </w:tcPr>
          <w:p w14:paraId="69FDC6C6">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no</w:t>
            </w:r>
          </w:p>
        </w:tc>
        <w:tc>
          <w:tcPr>
            <w:tcW w:w="941" w:type="dxa"/>
            <w:tcBorders>
              <w:top w:val="nil"/>
              <w:left w:val="nil"/>
              <w:bottom w:val="nil"/>
              <w:right w:val="nil"/>
            </w:tcBorders>
            <w:shd w:val="clear" w:color="auto" w:fill="auto"/>
            <w:vAlign w:val="center"/>
          </w:tcPr>
          <w:p w14:paraId="7126D154">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A</w:t>
            </w:r>
          </w:p>
        </w:tc>
      </w:tr>
      <w:tr w14:paraId="67FF6204">
        <w:tblPrEx>
          <w:tblCellMar>
            <w:top w:w="0" w:type="dxa"/>
            <w:left w:w="108" w:type="dxa"/>
            <w:bottom w:w="0" w:type="dxa"/>
            <w:right w:w="108" w:type="dxa"/>
          </w:tblCellMar>
        </w:tblPrEx>
        <w:trPr>
          <w:trHeight w:val="775" w:hRule="atLeast"/>
          <w:jc w:val="center"/>
        </w:trPr>
        <w:tc>
          <w:tcPr>
            <w:tcW w:w="1706" w:type="dxa"/>
            <w:tcBorders>
              <w:top w:val="nil"/>
              <w:left w:val="nil"/>
              <w:bottom w:val="single" w:color="auto" w:sz="4" w:space="0"/>
              <w:right w:val="nil"/>
            </w:tcBorders>
            <w:shd w:val="clear" w:color="auto" w:fill="auto"/>
            <w:noWrap/>
            <w:vAlign w:val="center"/>
          </w:tcPr>
          <w:p w14:paraId="037AE834">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Cardoso-Sanchez 2015 </w:t>
            </w:r>
          </w:p>
        </w:tc>
        <w:tc>
          <w:tcPr>
            <w:tcW w:w="825" w:type="dxa"/>
            <w:tcBorders>
              <w:top w:val="nil"/>
              <w:left w:val="nil"/>
              <w:bottom w:val="single" w:color="auto" w:sz="4" w:space="0"/>
              <w:right w:val="nil"/>
            </w:tcBorders>
            <w:shd w:val="clear" w:color="auto" w:fill="auto"/>
            <w:noWrap/>
            <w:vAlign w:val="center"/>
          </w:tcPr>
          <w:p w14:paraId="71C210BA">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CS</w:t>
            </w:r>
          </w:p>
        </w:tc>
        <w:tc>
          <w:tcPr>
            <w:tcW w:w="1001" w:type="dxa"/>
            <w:tcBorders>
              <w:top w:val="nil"/>
              <w:left w:val="nil"/>
              <w:bottom w:val="single" w:color="auto" w:sz="4" w:space="0"/>
              <w:right w:val="nil"/>
            </w:tcBorders>
            <w:shd w:val="clear" w:color="auto" w:fill="auto"/>
            <w:noWrap/>
            <w:vAlign w:val="center"/>
          </w:tcPr>
          <w:p w14:paraId="04703949">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Mexico</w:t>
            </w:r>
          </w:p>
        </w:tc>
        <w:tc>
          <w:tcPr>
            <w:tcW w:w="2730" w:type="dxa"/>
            <w:tcBorders>
              <w:top w:val="nil"/>
              <w:left w:val="nil"/>
              <w:bottom w:val="single" w:color="auto" w:sz="4" w:space="0"/>
              <w:right w:val="nil"/>
            </w:tcBorders>
            <w:shd w:val="clear" w:color="auto" w:fill="auto"/>
            <w:noWrap/>
            <w:vAlign w:val="center"/>
          </w:tcPr>
          <w:p w14:paraId="033F9A39">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Patients with T2DM</w:t>
            </w:r>
          </w:p>
        </w:tc>
        <w:tc>
          <w:tcPr>
            <w:tcW w:w="2372" w:type="dxa"/>
            <w:tcBorders>
              <w:top w:val="nil"/>
              <w:left w:val="nil"/>
              <w:bottom w:val="single" w:color="auto" w:sz="4" w:space="0"/>
              <w:right w:val="nil"/>
            </w:tcBorders>
            <w:shd w:val="clear" w:color="auto" w:fill="auto"/>
            <w:noWrap/>
            <w:vAlign w:val="center"/>
          </w:tcPr>
          <w:p w14:paraId="0363CDE5">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UMAE Hospital de Especialidades, CMN “Siglo XXI,” IMSS</w:t>
            </w:r>
          </w:p>
        </w:tc>
        <w:tc>
          <w:tcPr>
            <w:tcW w:w="1703" w:type="dxa"/>
            <w:tcBorders>
              <w:top w:val="nil"/>
              <w:left w:val="nil"/>
              <w:bottom w:val="single" w:color="auto" w:sz="4" w:space="0"/>
              <w:right w:val="nil"/>
            </w:tcBorders>
            <w:shd w:val="clear" w:color="auto" w:fill="auto"/>
            <w:noWrap/>
            <w:vAlign w:val="center"/>
          </w:tcPr>
          <w:p w14:paraId="1CA5B2A4">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August 2013 to July 2014</w:t>
            </w:r>
          </w:p>
        </w:tc>
        <w:tc>
          <w:tcPr>
            <w:tcW w:w="1270" w:type="dxa"/>
            <w:tcBorders>
              <w:top w:val="nil"/>
              <w:left w:val="nil"/>
              <w:bottom w:val="single" w:color="auto" w:sz="4" w:space="0"/>
              <w:right w:val="nil"/>
            </w:tcBorders>
            <w:shd w:val="clear" w:color="auto" w:fill="auto"/>
            <w:noWrap/>
            <w:vAlign w:val="center"/>
          </w:tcPr>
          <w:p w14:paraId="7594C545">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13.23± 5.9</w:t>
            </w:r>
          </w:p>
        </w:tc>
        <w:tc>
          <w:tcPr>
            <w:tcW w:w="889" w:type="dxa"/>
            <w:tcBorders>
              <w:top w:val="nil"/>
              <w:left w:val="nil"/>
              <w:bottom w:val="single" w:color="auto" w:sz="4" w:space="0"/>
              <w:right w:val="nil"/>
            </w:tcBorders>
            <w:shd w:val="clear" w:color="auto" w:fill="auto"/>
            <w:noWrap/>
            <w:vAlign w:val="center"/>
          </w:tcPr>
          <w:p w14:paraId="3B25A0A8">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107</w:t>
            </w:r>
          </w:p>
        </w:tc>
        <w:tc>
          <w:tcPr>
            <w:tcW w:w="864" w:type="dxa"/>
            <w:tcBorders>
              <w:top w:val="nil"/>
              <w:left w:val="nil"/>
              <w:bottom w:val="single" w:color="auto" w:sz="4" w:space="0"/>
              <w:right w:val="nil"/>
            </w:tcBorders>
            <w:shd w:val="clear" w:color="auto" w:fill="auto"/>
            <w:noWrap/>
            <w:vAlign w:val="center"/>
          </w:tcPr>
          <w:p w14:paraId="4D36D5EF">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29%</w:t>
            </w:r>
          </w:p>
        </w:tc>
        <w:tc>
          <w:tcPr>
            <w:tcW w:w="1249" w:type="dxa"/>
            <w:tcBorders>
              <w:top w:val="nil"/>
              <w:left w:val="nil"/>
              <w:bottom w:val="single" w:color="auto" w:sz="4" w:space="0"/>
              <w:right w:val="nil"/>
            </w:tcBorders>
            <w:shd w:val="clear" w:color="auto" w:fill="auto"/>
            <w:noWrap/>
            <w:vAlign w:val="center"/>
          </w:tcPr>
          <w:p w14:paraId="19E1D5B8">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55.38±11.8</w:t>
            </w:r>
          </w:p>
        </w:tc>
        <w:tc>
          <w:tcPr>
            <w:tcW w:w="1025" w:type="dxa"/>
            <w:tcBorders>
              <w:top w:val="nil"/>
              <w:left w:val="nil"/>
              <w:bottom w:val="single" w:color="auto" w:sz="4" w:space="0"/>
              <w:right w:val="nil"/>
            </w:tcBorders>
            <w:shd w:val="clear" w:color="auto" w:fill="auto"/>
            <w:noWrap/>
            <w:vAlign w:val="center"/>
          </w:tcPr>
          <w:p w14:paraId="3172FFE8">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no</w:t>
            </w:r>
          </w:p>
        </w:tc>
        <w:tc>
          <w:tcPr>
            <w:tcW w:w="941" w:type="dxa"/>
            <w:tcBorders>
              <w:top w:val="nil"/>
              <w:left w:val="nil"/>
              <w:bottom w:val="single" w:color="auto" w:sz="4" w:space="0"/>
              <w:right w:val="nil"/>
            </w:tcBorders>
            <w:shd w:val="clear" w:color="auto" w:fill="auto"/>
            <w:vAlign w:val="center"/>
          </w:tcPr>
          <w:p w14:paraId="4791033B">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A</w:t>
            </w:r>
          </w:p>
        </w:tc>
      </w:tr>
    </w:tbl>
    <w:p w14:paraId="7E6A3F46">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BMI, body mass index; CS, cross-sectional study; DR, diabetic retinopathy; DN, diabetic nephropathy; DM, diabetes mellitus ; DPN, diabetic peripheral neuropathy; eGDR, estimated glucose disposal rate; FinnDiane, Finnish diabetic nephropathy study; IEDE, Instituto Estadual de Diabetes e Endocrinologia Luiz Capriglione ; NR, not reported; PC, prospective cohort study; RC, retrospective cohort study; y, years. </w:t>
      </w:r>
    </w:p>
    <w:p w14:paraId="63F3386F">
      <w:pPr>
        <w:jc w:val="left"/>
        <w:rPr>
          <w:rFonts w:hint="default" w:ascii="Times New Roman" w:hAnsi="Times New Roman" w:cs="Times New Roman"/>
          <w:sz w:val="20"/>
          <w:szCs w:val="20"/>
          <w:highlight w:val="none"/>
        </w:rPr>
      </w:pPr>
      <w:r>
        <w:rPr>
          <w:rFonts w:hint="default" w:ascii="Times New Roman" w:hAnsi="Times New Roman" w:cs="Times New Roman"/>
          <w:b/>
          <w:bCs/>
          <w:sz w:val="20"/>
          <w:szCs w:val="20"/>
          <w:highlight w:val="none"/>
        </w:rPr>
        <w:t xml:space="preserve">The formula for calculating eGDR: </w:t>
      </w:r>
      <w:r>
        <w:rPr>
          <w:rFonts w:hint="default" w:ascii="Times New Roman" w:hAnsi="Times New Roman" w:cs="Times New Roman"/>
          <w:sz w:val="20"/>
          <w:szCs w:val="20"/>
          <w:highlight w:val="none"/>
        </w:rPr>
        <w:t>A. eGDR</w:t>
      </w:r>
      <w:r>
        <w:rPr>
          <w:rFonts w:hint="default" w:ascii="Times New Roman" w:hAnsi="Times New Roman" w:cs="Times New Roman"/>
          <w:sz w:val="20"/>
          <w:szCs w:val="20"/>
          <w:highlight w:val="none"/>
          <w:vertAlign w:val="subscript"/>
        </w:rPr>
        <w:t>WHR</w:t>
      </w:r>
      <w:r>
        <w:rPr>
          <w:rFonts w:hint="default" w:ascii="Times New Roman" w:hAnsi="Times New Roman" w:cs="Times New Roman"/>
          <w:sz w:val="20"/>
          <w:szCs w:val="20"/>
          <w:highlight w:val="none"/>
        </w:rPr>
        <w:t>=24.31–12.22*(WHR)–3.29*(HTN)–0.57*(HbA1c); B. eGDR</w:t>
      </w:r>
      <w:r>
        <w:rPr>
          <w:rFonts w:hint="default" w:ascii="Times New Roman" w:hAnsi="Times New Roman" w:cs="Times New Roman"/>
          <w:sz w:val="20"/>
          <w:szCs w:val="20"/>
          <w:highlight w:val="none"/>
          <w:vertAlign w:val="subscript"/>
        </w:rPr>
        <w:t>BMI</w:t>
      </w:r>
      <w:r>
        <w:rPr>
          <w:rFonts w:hint="default" w:ascii="Times New Roman" w:hAnsi="Times New Roman" w:cs="Times New Roman"/>
          <w:sz w:val="20"/>
          <w:szCs w:val="20"/>
          <w:highlight w:val="none"/>
        </w:rPr>
        <w:t>=19.02–0.22*(BMI)–3.26*(HTN)– 0.61*(HbA1c); C. eGDR</w:t>
      </w:r>
      <w:r>
        <w:rPr>
          <w:rFonts w:hint="default" w:ascii="Times New Roman" w:hAnsi="Times New Roman" w:cs="Times New Roman"/>
          <w:sz w:val="20"/>
          <w:szCs w:val="20"/>
          <w:highlight w:val="none"/>
          <w:vertAlign w:val="subscript"/>
        </w:rPr>
        <w:t>WC</w:t>
      </w:r>
      <w:r>
        <w:rPr>
          <w:rFonts w:hint="default" w:ascii="Times New Roman" w:hAnsi="Times New Roman" w:cs="Times New Roman"/>
          <w:sz w:val="20"/>
          <w:szCs w:val="20"/>
          <w:highlight w:val="none"/>
        </w:rPr>
        <w:t>=21.158−0.09*(WC)−3.407*(HTN)−0.551* (HbA1c)</w:t>
      </w:r>
    </w:p>
    <w:p w14:paraId="2C04366D">
      <w:pPr>
        <w:jc w:val="left"/>
        <w:outlineLvl w:val="0"/>
        <w:rPr>
          <w:rFonts w:hint="default" w:ascii="Times New Roman" w:hAnsi="Times New Roman" w:eastAsia="宋体" w:cs="Times New Roman"/>
          <w:b/>
          <w:kern w:val="0"/>
          <w:sz w:val="20"/>
          <w:szCs w:val="20"/>
          <w:highlight w:val="none"/>
          <w:lang w:bidi="ar"/>
        </w:rPr>
      </w:pPr>
      <w:bookmarkStart w:id="6" w:name="_Toc17648"/>
      <w:r>
        <w:rPr>
          <w:rFonts w:hint="default" w:ascii="Times New Roman" w:hAnsi="Times New Roman" w:eastAsia="宋体" w:cs="Times New Roman"/>
          <w:b/>
          <w:bCs/>
          <w:color w:val="000000"/>
          <w:kern w:val="0"/>
          <w:sz w:val="20"/>
          <w:szCs w:val="20"/>
          <w:highlight w:val="none"/>
          <w:lang w:eastAsia="zh-CN" w:bidi="ar"/>
        </w:rPr>
        <w:t>Additional</w:t>
      </w:r>
      <w:r>
        <w:rPr>
          <w:rFonts w:hint="default" w:ascii="Times New Roman" w:hAnsi="Times New Roman" w:eastAsia="宋体" w:cs="Times New Roman"/>
          <w:b/>
          <w:bCs/>
          <w:color w:val="000000"/>
          <w:kern w:val="0"/>
          <w:sz w:val="20"/>
          <w:szCs w:val="20"/>
          <w:highlight w:val="none"/>
          <w:lang w:bidi="ar"/>
        </w:rPr>
        <w:t xml:space="preserve"> Table 7. NIH Quality Assessment of Included Studies</w:t>
      </w:r>
      <w:r>
        <w:rPr>
          <w:rFonts w:hint="default" w:ascii="Times New Roman" w:hAnsi="Times New Roman" w:cs="Times New Roman"/>
          <w:b/>
          <w:bCs/>
          <w:sz w:val="20"/>
          <w:szCs w:val="20"/>
          <w:highlight w:val="none"/>
        </w:rPr>
        <w:t xml:space="preserve"> on the Risk of CVD, DMC and Mortality</w:t>
      </w:r>
      <w:bookmarkEnd w:id="6"/>
    </w:p>
    <w:tbl>
      <w:tblPr>
        <w:tblStyle w:val="9"/>
        <w:tblW w:w="4888" w:type="pct"/>
        <w:tblInd w:w="100" w:type="dxa"/>
        <w:tblLayout w:type="fixed"/>
        <w:tblCellMar>
          <w:top w:w="0" w:type="dxa"/>
          <w:left w:w="108" w:type="dxa"/>
          <w:bottom w:w="0" w:type="dxa"/>
          <w:right w:w="108" w:type="dxa"/>
        </w:tblCellMar>
      </w:tblPr>
      <w:tblGrid>
        <w:gridCol w:w="2234"/>
        <w:gridCol w:w="876"/>
        <w:gridCol w:w="642"/>
        <w:gridCol w:w="663"/>
        <w:gridCol w:w="623"/>
        <w:gridCol w:w="677"/>
        <w:gridCol w:w="656"/>
        <w:gridCol w:w="643"/>
        <w:gridCol w:w="683"/>
        <w:gridCol w:w="616"/>
        <w:gridCol w:w="616"/>
        <w:gridCol w:w="663"/>
        <w:gridCol w:w="643"/>
        <w:gridCol w:w="656"/>
        <w:gridCol w:w="670"/>
        <w:gridCol w:w="642"/>
        <w:gridCol w:w="717"/>
        <w:gridCol w:w="937"/>
      </w:tblGrid>
      <w:tr w14:paraId="7748204C">
        <w:tblPrEx>
          <w:tblCellMar>
            <w:top w:w="0" w:type="dxa"/>
            <w:left w:w="108" w:type="dxa"/>
            <w:bottom w:w="0" w:type="dxa"/>
            <w:right w:w="108" w:type="dxa"/>
          </w:tblCellMar>
        </w:tblPrEx>
        <w:trPr>
          <w:trHeight w:val="90" w:hRule="atLeast"/>
        </w:trPr>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014DC">
            <w:pPr>
              <w:widowControl/>
              <w:jc w:val="left"/>
              <w:textAlignment w:val="bottom"/>
              <w:rPr>
                <w:rFonts w:hint="default" w:ascii="Times New Roman" w:hAnsi="Times New Roman" w:eastAsia="宋体" w:cs="Times New Roman"/>
                <w:kern w:val="0"/>
                <w:sz w:val="20"/>
                <w:szCs w:val="20"/>
                <w:highlight w:val="none"/>
                <w:lang w:bidi="ar"/>
              </w:rPr>
            </w:pPr>
            <w:r>
              <w:rPr>
                <w:rFonts w:hint="default" w:ascii="Times New Roman" w:hAnsi="Times New Roman" w:eastAsia="宋体" w:cs="Times New Roman"/>
                <w:kern w:val="0"/>
                <w:sz w:val="20"/>
                <w:szCs w:val="20"/>
                <w:highlight w:val="none"/>
                <w:lang w:bidi="ar"/>
              </w:rPr>
              <w:t>Study</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F7008">
            <w:pPr>
              <w:jc w:val="left"/>
              <w:rPr>
                <w:rFonts w:hint="default" w:ascii="Times New Roman" w:hAnsi="Times New Roman" w:eastAsia="宋体" w:cs="Times New Roman"/>
                <w:kern w:val="0"/>
                <w:sz w:val="20"/>
                <w:szCs w:val="20"/>
                <w:highlight w:val="none"/>
                <w:lang w:bidi="ar"/>
              </w:rPr>
            </w:pPr>
            <w:r>
              <w:rPr>
                <w:rFonts w:hint="default" w:ascii="Times New Roman" w:hAnsi="Times New Roman" w:cs="Times New Roman"/>
                <w:sz w:val="20"/>
                <w:szCs w:val="20"/>
                <w:highlight w:val="none"/>
              </w:rPr>
              <w:t>Design</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049540">
            <w:pPr>
              <w:widowControl/>
              <w:jc w:val="left"/>
              <w:textAlignment w:val="bottom"/>
              <w:rPr>
                <w:rFonts w:hint="default" w:ascii="Times New Roman" w:hAnsi="Times New Roman" w:eastAsia="宋体" w:cs="Times New Roman"/>
                <w:kern w:val="0"/>
                <w:sz w:val="20"/>
                <w:szCs w:val="20"/>
                <w:highlight w:val="none"/>
                <w:lang w:bidi="ar"/>
              </w:rPr>
            </w:pPr>
            <w:r>
              <w:rPr>
                <w:rFonts w:hint="default" w:ascii="Times New Roman" w:hAnsi="Times New Roman" w:eastAsia="宋体" w:cs="Times New Roman"/>
                <w:kern w:val="0"/>
                <w:sz w:val="20"/>
                <w:szCs w:val="20"/>
                <w:highlight w:val="none"/>
                <w:lang w:bidi="ar"/>
              </w:rPr>
              <w:t>Item 1</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B3DDF0">
            <w:pPr>
              <w:widowControl/>
              <w:jc w:val="left"/>
              <w:textAlignment w:val="bottom"/>
              <w:rPr>
                <w:rFonts w:hint="default" w:ascii="Times New Roman" w:hAnsi="Times New Roman" w:eastAsia="宋体" w:cs="Times New Roman"/>
                <w:kern w:val="0"/>
                <w:sz w:val="20"/>
                <w:szCs w:val="20"/>
                <w:highlight w:val="none"/>
                <w:lang w:bidi="ar"/>
              </w:rPr>
            </w:pPr>
            <w:r>
              <w:rPr>
                <w:rFonts w:hint="default" w:ascii="Times New Roman" w:hAnsi="Times New Roman" w:eastAsia="宋体" w:cs="Times New Roman"/>
                <w:kern w:val="0"/>
                <w:sz w:val="20"/>
                <w:szCs w:val="20"/>
                <w:highlight w:val="none"/>
                <w:lang w:bidi="ar"/>
              </w:rPr>
              <w:t>Item 2</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96555A">
            <w:pPr>
              <w:widowControl/>
              <w:jc w:val="left"/>
              <w:textAlignment w:val="bottom"/>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Item 3</w:t>
            </w:r>
          </w:p>
        </w:tc>
        <w:tc>
          <w:tcPr>
            <w:tcW w:w="6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78153E">
            <w:pPr>
              <w:widowControl/>
              <w:jc w:val="left"/>
              <w:textAlignment w:val="bottom"/>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Item 4</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4392D0">
            <w:pPr>
              <w:widowControl/>
              <w:jc w:val="left"/>
              <w:textAlignment w:val="bottom"/>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Item 5</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336F88">
            <w:pPr>
              <w:widowControl/>
              <w:jc w:val="left"/>
              <w:textAlignment w:val="bottom"/>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Item 6</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A2D3CD">
            <w:pPr>
              <w:widowControl/>
              <w:jc w:val="left"/>
              <w:textAlignment w:val="bottom"/>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Item 7</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25FA66">
            <w:pPr>
              <w:widowControl/>
              <w:jc w:val="left"/>
              <w:textAlignment w:val="bottom"/>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Item 8</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E10371">
            <w:pPr>
              <w:widowControl/>
              <w:jc w:val="left"/>
              <w:textAlignment w:val="bottom"/>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Item 9</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701122">
            <w:pPr>
              <w:widowControl/>
              <w:jc w:val="left"/>
              <w:textAlignment w:val="bottom"/>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Item 10</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1A4162">
            <w:pPr>
              <w:widowControl/>
              <w:jc w:val="left"/>
              <w:textAlignment w:val="bottom"/>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Item 11</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E33ABB">
            <w:pPr>
              <w:widowControl/>
              <w:jc w:val="left"/>
              <w:textAlignment w:val="bottom"/>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Item 12</w:t>
            </w:r>
          </w:p>
        </w:tc>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8730D0">
            <w:pPr>
              <w:widowControl/>
              <w:jc w:val="left"/>
              <w:textAlignment w:val="bottom"/>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Item 13</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0B5241">
            <w:pPr>
              <w:widowControl/>
              <w:jc w:val="left"/>
              <w:textAlignment w:val="bottom"/>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Item 14</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CDF97">
            <w:pPr>
              <w:jc w:val="left"/>
              <w:rPr>
                <w:rFonts w:hint="default" w:ascii="Times New Roman" w:hAnsi="Times New Roman" w:eastAsia="宋体" w:cs="Times New Roman"/>
                <w:kern w:val="0"/>
                <w:sz w:val="20"/>
                <w:szCs w:val="20"/>
                <w:highlight w:val="none"/>
                <w:lang w:bidi="ar"/>
              </w:rPr>
            </w:pPr>
            <w:r>
              <w:rPr>
                <w:rFonts w:hint="default" w:ascii="Times New Roman" w:hAnsi="Times New Roman" w:cs="Times New Roman"/>
                <w:sz w:val="20"/>
                <w:szCs w:val="20"/>
                <w:highlight w:val="none"/>
              </w:rPr>
              <w:t>Score</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EEBC6">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OverallQuality</w:t>
            </w:r>
          </w:p>
        </w:tc>
      </w:tr>
      <w:tr w14:paraId="6489DC9D">
        <w:tblPrEx>
          <w:tblCellMar>
            <w:top w:w="0" w:type="dxa"/>
            <w:left w:w="108" w:type="dxa"/>
            <w:bottom w:w="0" w:type="dxa"/>
            <w:right w:w="108" w:type="dxa"/>
          </w:tblCellMar>
        </w:tblPrEx>
        <w:trPr>
          <w:trHeight w:val="90" w:hRule="atLeast"/>
        </w:trPr>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5C5E7">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Linn 2023</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F3CD8">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RC</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D0EC7">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06C9B">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6B269">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7C29F">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FEA49">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AA149">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D6C18">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C9994">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C1B06">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0DFAF">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68035">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E1F48">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6585D">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A1DE7">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E2130">
            <w:pPr>
              <w:widowControl/>
              <w:jc w:val="left"/>
              <w:textAlignment w:val="center"/>
              <w:rPr>
                <w:rFonts w:hint="default" w:ascii="Times New Roman" w:hAnsi="Times New Roman" w:eastAsia="宋体" w:cs="Times New Roman"/>
                <w:kern w:val="0"/>
                <w:sz w:val="20"/>
                <w:szCs w:val="20"/>
                <w:highlight w:val="none"/>
                <w:lang w:bidi="ar"/>
              </w:rPr>
            </w:pPr>
            <w:r>
              <w:rPr>
                <w:rFonts w:hint="default" w:ascii="Times New Roman" w:hAnsi="Times New Roman" w:eastAsia="宋体" w:cs="Times New Roman"/>
                <w:kern w:val="0"/>
                <w:sz w:val="20"/>
                <w:szCs w:val="20"/>
                <w:highlight w:val="none"/>
                <w:lang w:bidi="ar"/>
              </w:rPr>
              <w:t>12</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A07BC">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High</w:t>
            </w:r>
          </w:p>
        </w:tc>
      </w:tr>
      <w:tr w14:paraId="5D55DE41">
        <w:tblPrEx>
          <w:tblCellMar>
            <w:top w:w="0" w:type="dxa"/>
            <w:left w:w="108" w:type="dxa"/>
            <w:bottom w:w="0" w:type="dxa"/>
            <w:right w:w="108" w:type="dxa"/>
          </w:tblCellMar>
        </w:tblPrEx>
        <w:trPr>
          <w:trHeight w:val="90" w:hRule="atLeast"/>
        </w:trPr>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A83B4">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Mao 2022</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02EE4">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PC</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D70E2">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51FD2">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DD998">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3E7EF">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26F5F">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DA345">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75C89">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F5B04">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9E441">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757D9">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693ED">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CF756">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B1998">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9961D">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703B2">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13</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4DEF0">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High</w:t>
            </w:r>
          </w:p>
        </w:tc>
      </w:tr>
      <w:tr w14:paraId="7A6B4661">
        <w:tblPrEx>
          <w:tblCellMar>
            <w:top w:w="0" w:type="dxa"/>
            <w:left w:w="108" w:type="dxa"/>
            <w:bottom w:w="0" w:type="dxa"/>
            <w:right w:w="108" w:type="dxa"/>
          </w:tblCellMar>
        </w:tblPrEx>
        <w:trPr>
          <w:trHeight w:val="90" w:hRule="atLeast"/>
        </w:trPr>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720B0">
            <w:pPr>
              <w:widowControl/>
              <w:jc w:val="left"/>
              <w:textAlignment w:val="center"/>
              <w:rPr>
                <w:rFonts w:hint="default" w:ascii="Times New Roman" w:hAnsi="Times New Roman" w:eastAsia="宋体" w:cs="Times New Roman"/>
                <w:kern w:val="0"/>
                <w:sz w:val="20"/>
                <w:szCs w:val="20"/>
                <w:highlight w:val="none"/>
                <w:lang w:bidi="ar"/>
              </w:rPr>
            </w:pPr>
            <w:r>
              <w:rPr>
                <w:rFonts w:hint="default" w:ascii="Times New Roman" w:hAnsi="Times New Roman" w:eastAsia="宋体" w:cs="Times New Roman"/>
                <w:kern w:val="0"/>
                <w:sz w:val="20"/>
                <w:szCs w:val="20"/>
                <w:highlight w:val="none"/>
                <w:lang w:bidi="ar"/>
              </w:rPr>
              <w:t>Harjutsalo 2021</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5DCAB">
            <w:pPr>
              <w:widowControl/>
              <w:jc w:val="left"/>
              <w:textAlignment w:val="center"/>
              <w:rPr>
                <w:rFonts w:hint="default" w:ascii="Times New Roman" w:hAnsi="Times New Roman" w:cs="Times New Roman"/>
                <w:sz w:val="20"/>
                <w:szCs w:val="20"/>
                <w:highlight w:val="none"/>
              </w:rPr>
            </w:pPr>
            <w:r>
              <w:rPr>
                <w:rFonts w:hint="default" w:ascii="Times New Roman" w:hAnsi="Times New Roman" w:eastAsia="宋体" w:cs="Times New Roman"/>
                <w:kern w:val="0"/>
                <w:sz w:val="20"/>
                <w:szCs w:val="20"/>
                <w:highlight w:val="none"/>
                <w:lang w:bidi="ar"/>
              </w:rPr>
              <w:t>PC</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7F6F1">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67A16">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91FB0">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98D5E">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9490C">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EB0BF">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77D10">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EEAC1">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3063F">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D5365">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65246">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30FFD6">
            <w:pPr>
              <w:widowControl/>
              <w:jc w:val="left"/>
              <w:textAlignment w:val="bottom"/>
              <w:rPr>
                <w:rFonts w:hint="default" w:ascii="Times New Roman" w:hAnsi="Times New Roman" w:eastAsia="宋体" w:cs="Times New Roman"/>
                <w:kern w:val="0"/>
                <w:sz w:val="20"/>
                <w:szCs w:val="20"/>
                <w:highlight w:val="none"/>
                <w:lang w:bidi="ar"/>
              </w:rPr>
            </w:pPr>
            <w:r>
              <w:rPr>
                <w:rFonts w:hint="default" w:ascii="Times New Roman" w:hAnsi="Times New Roman" w:eastAsia="宋体" w:cs="Times New Roman"/>
                <w:kern w:val="0"/>
                <w:sz w:val="20"/>
                <w:szCs w:val="20"/>
                <w:highlight w:val="none"/>
                <w:lang w:bidi="ar"/>
              </w:rPr>
              <w:t>Y</w:t>
            </w:r>
          </w:p>
        </w:tc>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717BC4">
            <w:pPr>
              <w:widowControl/>
              <w:jc w:val="left"/>
              <w:textAlignment w:val="bottom"/>
              <w:rPr>
                <w:rFonts w:hint="default" w:ascii="Times New Roman" w:hAnsi="Times New Roman" w:eastAsia="宋体" w:cs="Times New Roman"/>
                <w:kern w:val="0"/>
                <w:sz w:val="20"/>
                <w:szCs w:val="20"/>
                <w:highlight w:val="none"/>
                <w:lang w:bidi="ar"/>
              </w:rPr>
            </w:pPr>
            <w:r>
              <w:rPr>
                <w:rFonts w:hint="default" w:ascii="Times New Roman" w:hAnsi="Times New Roman" w:eastAsia="宋体" w:cs="Times New Roman"/>
                <w:kern w:val="0"/>
                <w:sz w:val="20"/>
                <w:szCs w:val="20"/>
                <w:highlight w:val="none"/>
                <w:lang w:bidi="ar"/>
              </w:rPr>
              <w:t>NR</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5579A5">
            <w:pPr>
              <w:widowControl/>
              <w:jc w:val="left"/>
              <w:textAlignment w:val="bottom"/>
              <w:rPr>
                <w:rFonts w:hint="default" w:ascii="Times New Roman" w:hAnsi="Times New Roman" w:eastAsia="宋体" w:cs="Times New Roman"/>
                <w:kern w:val="0"/>
                <w:sz w:val="20"/>
                <w:szCs w:val="20"/>
                <w:highlight w:val="none"/>
                <w:lang w:bidi="ar"/>
              </w:rPr>
            </w:pPr>
            <w:r>
              <w:rPr>
                <w:rFonts w:hint="default" w:ascii="Times New Roman" w:hAnsi="Times New Roman" w:eastAsia="宋体" w:cs="Times New Roman"/>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82CB6">
            <w:pPr>
              <w:jc w:val="left"/>
              <w:rPr>
                <w:rFonts w:hint="default" w:ascii="Times New Roman" w:hAnsi="Times New Roman" w:eastAsia="宋体" w:cs="Times New Roman"/>
                <w:sz w:val="20"/>
                <w:szCs w:val="20"/>
                <w:highlight w:val="none"/>
              </w:rPr>
            </w:pPr>
            <w:r>
              <w:rPr>
                <w:rFonts w:hint="default" w:ascii="Times New Roman" w:hAnsi="Times New Roman" w:cs="Times New Roman"/>
                <w:sz w:val="20"/>
                <w:szCs w:val="20"/>
                <w:highlight w:val="none"/>
              </w:rPr>
              <w:t>12</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7F524">
            <w:pPr>
              <w:jc w:val="left"/>
              <w:rPr>
                <w:rFonts w:hint="default" w:ascii="Times New Roman" w:hAnsi="Times New Roman" w:cs="Times New Roman"/>
                <w:sz w:val="20"/>
                <w:szCs w:val="20"/>
                <w:highlight w:val="none"/>
              </w:rPr>
            </w:pPr>
            <w:r>
              <w:rPr>
                <w:rFonts w:hint="default" w:ascii="Times New Roman" w:hAnsi="Times New Roman" w:eastAsia="宋体" w:cs="Times New Roman"/>
                <w:kern w:val="0"/>
                <w:sz w:val="20"/>
                <w:szCs w:val="20"/>
                <w:highlight w:val="none"/>
                <w:lang w:bidi="ar"/>
              </w:rPr>
              <w:t>High</w:t>
            </w:r>
          </w:p>
        </w:tc>
      </w:tr>
      <w:tr w14:paraId="2D7B649C">
        <w:tblPrEx>
          <w:tblCellMar>
            <w:top w:w="0" w:type="dxa"/>
            <w:left w:w="108" w:type="dxa"/>
            <w:bottom w:w="0" w:type="dxa"/>
            <w:right w:w="108" w:type="dxa"/>
          </w:tblCellMar>
        </w:tblPrEx>
        <w:trPr>
          <w:trHeight w:val="90" w:hRule="atLeast"/>
        </w:trPr>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35995">
            <w:pPr>
              <w:widowControl/>
              <w:jc w:val="left"/>
              <w:textAlignment w:val="center"/>
              <w:rPr>
                <w:rFonts w:hint="default" w:ascii="Times New Roman" w:hAnsi="Times New Roman" w:eastAsia="宋体" w:cs="Times New Roman"/>
                <w:kern w:val="0"/>
                <w:sz w:val="20"/>
                <w:szCs w:val="20"/>
                <w:highlight w:val="none"/>
                <w:lang w:bidi="ar"/>
              </w:rPr>
            </w:pPr>
            <w:r>
              <w:rPr>
                <w:rFonts w:hint="default" w:ascii="Times New Roman" w:hAnsi="Times New Roman" w:eastAsia="宋体" w:cs="Times New Roman"/>
                <w:kern w:val="0"/>
                <w:sz w:val="20"/>
                <w:szCs w:val="20"/>
                <w:highlight w:val="none"/>
                <w:lang w:bidi="ar"/>
              </w:rPr>
              <w:t>Helmink 2021</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41F96">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PC</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75B6B">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C766D">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A725A">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44EDE">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90AB6">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24404">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D3390">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0B788">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C829E">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4DAC3">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21D59">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90E11">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92FEE">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9D5FC">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42F58">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12</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AD14C">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High</w:t>
            </w:r>
          </w:p>
        </w:tc>
      </w:tr>
      <w:tr w14:paraId="784761F6">
        <w:tblPrEx>
          <w:tblCellMar>
            <w:top w:w="0" w:type="dxa"/>
            <w:left w:w="108" w:type="dxa"/>
            <w:bottom w:w="0" w:type="dxa"/>
            <w:right w:w="108" w:type="dxa"/>
          </w:tblCellMar>
        </w:tblPrEx>
        <w:trPr>
          <w:trHeight w:val="90" w:hRule="atLeast"/>
        </w:trPr>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83E3C">
            <w:pPr>
              <w:widowControl/>
              <w:jc w:val="left"/>
              <w:textAlignment w:val="center"/>
              <w:rPr>
                <w:rFonts w:hint="default" w:ascii="Times New Roman" w:hAnsi="Times New Roman" w:eastAsia="宋体" w:cs="Times New Roman"/>
                <w:kern w:val="0"/>
                <w:sz w:val="20"/>
                <w:szCs w:val="20"/>
                <w:highlight w:val="none"/>
                <w:lang w:bidi="ar"/>
              </w:rPr>
            </w:pPr>
            <w:r>
              <w:rPr>
                <w:rFonts w:hint="default" w:ascii="Times New Roman" w:hAnsi="Times New Roman" w:eastAsia="宋体" w:cs="Times New Roman"/>
                <w:kern w:val="0"/>
                <w:sz w:val="20"/>
                <w:szCs w:val="20"/>
                <w:highlight w:val="none"/>
                <w:lang w:bidi="ar"/>
              </w:rPr>
              <w:t>Garofolo 2020</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07937">
            <w:pPr>
              <w:widowControl/>
              <w:jc w:val="left"/>
              <w:textAlignment w:val="center"/>
              <w:rPr>
                <w:rFonts w:hint="default" w:ascii="Times New Roman" w:hAnsi="Times New Roman" w:cs="Times New Roman"/>
                <w:sz w:val="20"/>
                <w:szCs w:val="20"/>
                <w:highlight w:val="none"/>
              </w:rPr>
            </w:pPr>
            <w:r>
              <w:rPr>
                <w:rFonts w:hint="default" w:ascii="Times New Roman" w:hAnsi="Times New Roman" w:eastAsia="宋体" w:cs="Times New Roman"/>
                <w:kern w:val="0"/>
                <w:sz w:val="20"/>
                <w:szCs w:val="20"/>
                <w:highlight w:val="none"/>
                <w:lang w:bidi="ar"/>
              </w:rPr>
              <w:t>PC</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840F2">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478FC">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8FD7F">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63199">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4A219">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8E93E">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FA584">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38F08">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38DD2">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75F47">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FF9F6">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7C37A">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NR</w:t>
            </w:r>
          </w:p>
        </w:tc>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76CC6">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NR</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CCD97">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2DCE1">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10</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CEBE7">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High</w:t>
            </w:r>
          </w:p>
        </w:tc>
      </w:tr>
      <w:tr w14:paraId="55D5CECB">
        <w:tblPrEx>
          <w:tblCellMar>
            <w:top w:w="0" w:type="dxa"/>
            <w:left w:w="108" w:type="dxa"/>
            <w:bottom w:w="0" w:type="dxa"/>
            <w:right w:w="108" w:type="dxa"/>
          </w:tblCellMar>
        </w:tblPrEx>
        <w:trPr>
          <w:trHeight w:val="90" w:hRule="atLeast"/>
        </w:trPr>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B44F1">
            <w:pPr>
              <w:widowControl/>
              <w:jc w:val="left"/>
              <w:textAlignment w:val="center"/>
              <w:rPr>
                <w:rFonts w:hint="default" w:ascii="Times New Roman" w:hAnsi="Times New Roman" w:eastAsia="宋体" w:cs="Times New Roman"/>
                <w:kern w:val="0"/>
                <w:sz w:val="20"/>
                <w:szCs w:val="20"/>
                <w:highlight w:val="none"/>
                <w:lang w:bidi="ar"/>
              </w:rPr>
            </w:pPr>
            <w:r>
              <w:rPr>
                <w:rFonts w:hint="default" w:ascii="Times New Roman" w:hAnsi="Times New Roman" w:eastAsia="宋体" w:cs="Times New Roman"/>
                <w:kern w:val="0"/>
                <w:sz w:val="20"/>
                <w:szCs w:val="20"/>
                <w:highlight w:val="none"/>
                <w:lang w:bidi="ar"/>
              </w:rPr>
              <w:t xml:space="preserve">Miller 2019 </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F6FCB">
            <w:pPr>
              <w:widowControl/>
              <w:jc w:val="left"/>
              <w:textAlignment w:val="center"/>
              <w:rPr>
                <w:rFonts w:hint="default" w:ascii="Times New Roman" w:hAnsi="Times New Roman" w:cs="Times New Roman"/>
                <w:sz w:val="20"/>
                <w:szCs w:val="20"/>
                <w:highlight w:val="none"/>
              </w:rPr>
            </w:pPr>
            <w:r>
              <w:rPr>
                <w:rFonts w:hint="default" w:ascii="Times New Roman" w:hAnsi="Times New Roman" w:eastAsia="宋体" w:cs="Times New Roman"/>
                <w:kern w:val="0"/>
                <w:sz w:val="20"/>
                <w:szCs w:val="20"/>
                <w:highlight w:val="none"/>
                <w:lang w:bidi="ar"/>
              </w:rPr>
              <w:t>PC</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FC0DA">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F3DD3">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63863">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89E1D">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377E2">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17F7A">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1F4E8">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6AD58">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C7B1D">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1DE08">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742DD">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A0F23">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80D5B">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AAC2E">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206CF">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13</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91813">
            <w:pPr>
              <w:jc w:val="left"/>
              <w:rPr>
                <w:rFonts w:hint="default" w:ascii="Times New Roman" w:hAnsi="Times New Roman" w:cs="Times New Roman"/>
                <w:sz w:val="20"/>
                <w:szCs w:val="20"/>
                <w:highlight w:val="none"/>
              </w:rPr>
            </w:pPr>
            <w:r>
              <w:rPr>
                <w:rFonts w:hint="default" w:ascii="Times New Roman" w:hAnsi="Times New Roman" w:eastAsia="宋体" w:cs="Times New Roman"/>
                <w:kern w:val="0"/>
                <w:sz w:val="20"/>
                <w:szCs w:val="20"/>
                <w:highlight w:val="none"/>
                <w:lang w:bidi="ar"/>
              </w:rPr>
              <w:t>High</w:t>
            </w:r>
          </w:p>
        </w:tc>
      </w:tr>
      <w:tr w14:paraId="3C64A2E5">
        <w:tblPrEx>
          <w:tblCellMar>
            <w:top w:w="0" w:type="dxa"/>
            <w:left w:w="108" w:type="dxa"/>
            <w:bottom w:w="0" w:type="dxa"/>
            <w:right w:w="108" w:type="dxa"/>
          </w:tblCellMar>
        </w:tblPrEx>
        <w:trPr>
          <w:trHeight w:val="90" w:hRule="atLeast"/>
        </w:trPr>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7CF94">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Nystrom 2018</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BF069">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PC</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5AF24">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35804">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3F548">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4DB3F">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4056D">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7BC6D">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608C9">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1F37A">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69B33">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EDA9D">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84A25">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C26DD">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82419">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7FCF4">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1D76B">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12</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D5E0C">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High</w:t>
            </w:r>
          </w:p>
        </w:tc>
      </w:tr>
      <w:tr w14:paraId="6FA20BAF">
        <w:tblPrEx>
          <w:tblCellMar>
            <w:top w:w="0" w:type="dxa"/>
            <w:left w:w="108" w:type="dxa"/>
            <w:bottom w:w="0" w:type="dxa"/>
            <w:right w:w="108" w:type="dxa"/>
          </w:tblCellMar>
        </w:tblPrEx>
        <w:trPr>
          <w:trHeight w:val="90" w:hRule="atLeast"/>
        </w:trPr>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30CBE">
            <w:pPr>
              <w:widowControl/>
              <w:jc w:val="left"/>
              <w:textAlignment w:val="center"/>
              <w:rPr>
                <w:rFonts w:hint="default" w:ascii="Times New Roman" w:hAnsi="Times New Roman" w:eastAsia="宋体" w:cs="Times New Roman"/>
                <w:kern w:val="0"/>
                <w:sz w:val="20"/>
                <w:szCs w:val="20"/>
                <w:highlight w:val="none"/>
                <w:lang w:bidi="ar"/>
              </w:rPr>
            </w:pPr>
            <w:r>
              <w:rPr>
                <w:rFonts w:hint="default" w:ascii="Times New Roman" w:hAnsi="Times New Roman" w:eastAsia="宋体" w:cs="Times New Roman"/>
                <w:kern w:val="0"/>
                <w:sz w:val="20"/>
                <w:szCs w:val="20"/>
                <w:highlight w:val="none"/>
                <w:lang w:bidi="ar"/>
              </w:rPr>
              <w:t>Kilpatrick 2007</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24FE8">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PC</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DC5F5">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6DADF">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FDE5C">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CA2CB">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BA9C6">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8B5D2">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F97B8">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4F3AD">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CBB4E">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F4D5E">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D5538">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B3EEF">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NR</w:t>
            </w:r>
          </w:p>
        </w:tc>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80423">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NR</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D4C6C">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1CB65">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10</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A68C4">
            <w:pPr>
              <w:jc w:val="left"/>
              <w:rPr>
                <w:rFonts w:hint="default" w:ascii="Times New Roman" w:hAnsi="Times New Roman" w:cs="Times New Roman"/>
                <w:sz w:val="20"/>
                <w:szCs w:val="20"/>
                <w:highlight w:val="none"/>
              </w:rPr>
            </w:pPr>
            <w:r>
              <w:rPr>
                <w:rFonts w:hint="default" w:ascii="Times New Roman" w:hAnsi="Times New Roman" w:eastAsia="宋体" w:cs="Times New Roman"/>
                <w:kern w:val="0"/>
                <w:sz w:val="20"/>
                <w:szCs w:val="20"/>
                <w:highlight w:val="none"/>
                <w:lang w:bidi="ar"/>
              </w:rPr>
              <w:t>High</w:t>
            </w:r>
          </w:p>
        </w:tc>
      </w:tr>
      <w:tr w14:paraId="799A7DCF">
        <w:tblPrEx>
          <w:tblCellMar>
            <w:top w:w="0" w:type="dxa"/>
            <w:left w:w="108" w:type="dxa"/>
            <w:bottom w:w="0" w:type="dxa"/>
            <w:right w:w="108" w:type="dxa"/>
          </w:tblCellMar>
        </w:tblPrEx>
        <w:trPr>
          <w:trHeight w:val="90" w:hRule="atLeast"/>
        </w:trPr>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EDA95">
            <w:pPr>
              <w:widowControl/>
              <w:jc w:val="left"/>
              <w:textAlignment w:val="center"/>
              <w:rPr>
                <w:rFonts w:hint="default" w:ascii="Times New Roman" w:hAnsi="Times New Roman" w:eastAsia="宋体" w:cs="Times New Roman"/>
                <w:kern w:val="0"/>
                <w:sz w:val="20"/>
                <w:szCs w:val="20"/>
                <w:highlight w:val="none"/>
                <w:lang w:bidi="ar"/>
              </w:rPr>
            </w:pPr>
            <w:r>
              <w:rPr>
                <w:rFonts w:hint="default" w:ascii="Times New Roman" w:hAnsi="Times New Roman" w:eastAsia="宋体" w:cs="Times New Roman"/>
                <w:kern w:val="0"/>
                <w:sz w:val="20"/>
                <w:szCs w:val="20"/>
                <w:highlight w:val="none"/>
                <w:lang w:bidi="ar"/>
              </w:rPr>
              <w:t>Olson 2002 (1)</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E560E">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PC</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C2737">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B89C8">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2AA4D">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854BE">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4D821">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02DB0">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B2CC4">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65261">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4CBEB">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9B808">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F98A2">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C0071">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06F32">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3217E">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5CEEC">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10</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97CDD">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High</w:t>
            </w:r>
          </w:p>
        </w:tc>
      </w:tr>
      <w:tr w14:paraId="2B36BCBF">
        <w:tblPrEx>
          <w:tblCellMar>
            <w:top w:w="0" w:type="dxa"/>
            <w:left w:w="108" w:type="dxa"/>
            <w:bottom w:w="0" w:type="dxa"/>
            <w:right w:w="108" w:type="dxa"/>
          </w:tblCellMar>
        </w:tblPrEx>
        <w:trPr>
          <w:trHeight w:val="90" w:hRule="atLeast"/>
        </w:trPr>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7F23F">
            <w:pPr>
              <w:widowControl/>
              <w:jc w:val="left"/>
              <w:textAlignment w:val="center"/>
              <w:rPr>
                <w:rFonts w:hint="default" w:ascii="Times New Roman" w:hAnsi="Times New Roman" w:eastAsia="宋体" w:cs="Times New Roman"/>
                <w:kern w:val="0"/>
                <w:sz w:val="20"/>
                <w:szCs w:val="20"/>
                <w:highlight w:val="none"/>
                <w:lang w:bidi="ar"/>
              </w:rPr>
            </w:pPr>
            <w:r>
              <w:rPr>
                <w:rFonts w:hint="default" w:ascii="Times New Roman" w:hAnsi="Times New Roman" w:eastAsia="宋体" w:cs="Times New Roman"/>
                <w:kern w:val="0"/>
                <w:sz w:val="20"/>
                <w:szCs w:val="20"/>
                <w:highlight w:val="none"/>
                <w:lang w:bidi="ar"/>
              </w:rPr>
              <w:t>Olson 2002 (2)</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2AD1D">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PC</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3F3E0">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CBCF9">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AB360">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92024">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ED14C">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0C505">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63F1D">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28663">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9F516">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C39BC">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EBF97">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5DC4F">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75D99">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76F27">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D2075">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10</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277C2">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High</w:t>
            </w:r>
          </w:p>
        </w:tc>
      </w:tr>
      <w:tr w14:paraId="0A1A771C">
        <w:tblPrEx>
          <w:tblCellMar>
            <w:top w:w="0" w:type="dxa"/>
            <w:left w:w="108" w:type="dxa"/>
            <w:bottom w:w="0" w:type="dxa"/>
            <w:right w:w="108" w:type="dxa"/>
          </w:tblCellMar>
        </w:tblPrEx>
        <w:trPr>
          <w:trHeight w:val="90" w:hRule="atLeast"/>
        </w:trPr>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29E5D7">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Zhang Y 2024</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2518A">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PC</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BA04F">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1B3BF">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871B9">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NR</w:t>
            </w:r>
          </w:p>
        </w:tc>
        <w:tc>
          <w:tcPr>
            <w:tcW w:w="6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1A9EE">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5758E">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70F1D">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1F230">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38A12">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2C7A6">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77E73">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F0743">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665DA">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NA</w:t>
            </w:r>
          </w:p>
        </w:tc>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7F86C">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NR</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BF8B9">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BC6CE">
            <w:pPr>
              <w:widowControl/>
              <w:jc w:val="left"/>
              <w:textAlignment w:val="center"/>
              <w:rPr>
                <w:rFonts w:hint="default" w:ascii="Times New Roman" w:hAnsi="Times New Roman" w:eastAsia="宋体" w:cs="Times New Roman"/>
                <w:kern w:val="0"/>
                <w:sz w:val="20"/>
                <w:szCs w:val="20"/>
                <w:highlight w:val="none"/>
                <w:lang w:bidi="ar"/>
              </w:rPr>
            </w:pPr>
            <w:r>
              <w:rPr>
                <w:rFonts w:hint="default" w:ascii="Times New Roman" w:hAnsi="Times New Roman" w:eastAsia="宋体" w:cs="Times New Roman"/>
                <w:kern w:val="0"/>
                <w:sz w:val="20"/>
                <w:szCs w:val="20"/>
                <w:highlight w:val="none"/>
                <w:lang w:bidi="ar"/>
              </w:rPr>
              <w:t>10</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77A93">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High</w:t>
            </w:r>
          </w:p>
        </w:tc>
      </w:tr>
      <w:tr w14:paraId="40AB4D6F">
        <w:tblPrEx>
          <w:tblCellMar>
            <w:top w:w="0" w:type="dxa"/>
            <w:left w:w="108" w:type="dxa"/>
            <w:bottom w:w="0" w:type="dxa"/>
            <w:right w:w="108" w:type="dxa"/>
          </w:tblCellMar>
        </w:tblPrEx>
        <w:trPr>
          <w:trHeight w:val="90" w:hRule="atLeast"/>
        </w:trPr>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CB451D">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Xu 2024</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EF9C1">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CS</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E1DAF">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0DDEC">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48EE3">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B7FBE">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B4883">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5BB49">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51A4E">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5728B">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01A75">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C032E">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642D6">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83D6B">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NA</w:t>
            </w:r>
          </w:p>
        </w:tc>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A1482">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NA</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B80D7">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CD7E2">
            <w:pPr>
              <w:widowControl/>
              <w:jc w:val="left"/>
              <w:textAlignment w:val="center"/>
              <w:rPr>
                <w:rFonts w:hint="default" w:ascii="Times New Roman" w:hAnsi="Times New Roman" w:eastAsia="宋体" w:cs="Times New Roman"/>
                <w:kern w:val="0"/>
                <w:sz w:val="20"/>
                <w:szCs w:val="20"/>
                <w:highlight w:val="none"/>
                <w:lang w:bidi="ar"/>
              </w:rPr>
            </w:pPr>
            <w:r>
              <w:rPr>
                <w:rFonts w:hint="default" w:ascii="Times New Roman" w:hAnsi="Times New Roman" w:eastAsia="宋体" w:cs="Times New Roman"/>
                <w:kern w:val="0"/>
                <w:sz w:val="20"/>
                <w:szCs w:val="20"/>
                <w:highlight w:val="none"/>
                <w:lang w:bidi="ar"/>
              </w:rPr>
              <w:t>10</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BA279">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High</w:t>
            </w:r>
          </w:p>
        </w:tc>
      </w:tr>
      <w:tr w14:paraId="1390E0B5">
        <w:tblPrEx>
          <w:tblCellMar>
            <w:top w:w="0" w:type="dxa"/>
            <w:left w:w="108" w:type="dxa"/>
            <w:bottom w:w="0" w:type="dxa"/>
            <w:right w:w="108" w:type="dxa"/>
          </w:tblCellMar>
        </w:tblPrEx>
        <w:trPr>
          <w:trHeight w:val="90" w:hRule="atLeast"/>
        </w:trPr>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E0297">
            <w:pPr>
              <w:widowControl/>
              <w:jc w:val="left"/>
              <w:textAlignment w:val="center"/>
              <w:rPr>
                <w:rFonts w:hint="default" w:ascii="Times New Roman" w:hAnsi="Times New Roman" w:eastAsia="宋体" w:cs="Times New Roman"/>
                <w:kern w:val="0"/>
                <w:sz w:val="20"/>
                <w:szCs w:val="20"/>
                <w:highlight w:val="none"/>
                <w:lang w:bidi="ar"/>
              </w:rPr>
            </w:pPr>
            <w:r>
              <w:rPr>
                <w:rFonts w:hint="default" w:ascii="Times New Roman" w:hAnsi="Times New Roman" w:eastAsia="宋体" w:cs="Times New Roman"/>
                <w:kern w:val="0"/>
                <w:sz w:val="20"/>
                <w:szCs w:val="20"/>
                <w:highlight w:val="none"/>
                <w:lang w:bidi="ar"/>
              </w:rPr>
              <w:t>Meng 2023</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90305">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CS</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8DE05">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438C8">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2B3A5">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w:t>
            </w:r>
          </w:p>
        </w:tc>
        <w:tc>
          <w:tcPr>
            <w:tcW w:w="6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49A45">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23C4B">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B2F9A">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59796">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56F39">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56FB2">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9C1B6">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8FD93">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FA0DD">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65D3C">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NA</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99A29">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B571D">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8</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77BD1">
            <w:pPr>
              <w:jc w:val="left"/>
              <w:rPr>
                <w:rFonts w:hint="default" w:ascii="Times New Roman" w:hAnsi="Times New Roman" w:cs="Times New Roman"/>
                <w:sz w:val="20"/>
                <w:szCs w:val="20"/>
                <w:highlight w:val="none"/>
              </w:rPr>
            </w:pPr>
            <w:r>
              <w:rPr>
                <w:rFonts w:hint="default" w:ascii="Times New Roman" w:hAnsi="Times New Roman" w:eastAsia="宋体" w:cs="Times New Roman"/>
                <w:kern w:val="0"/>
                <w:sz w:val="20"/>
                <w:szCs w:val="20"/>
                <w:highlight w:val="none"/>
                <w:lang w:bidi="ar"/>
              </w:rPr>
              <w:t>High</w:t>
            </w:r>
          </w:p>
        </w:tc>
      </w:tr>
      <w:tr w14:paraId="0543F775">
        <w:tblPrEx>
          <w:tblCellMar>
            <w:top w:w="0" w:type="dxa"/>
            <w:left w:w="108" w:type="dxa"/>
            <w:bottom w:w="0" w:type="dxa"/>
            <w:right w:w="108" w:type="dxa"/>
          </w:tblCellMar>
        </w:tblPrEx>
        <w:trPr>
          <w:trHeight w:val="90" w:hRule="atLeast"/>
        </w:trPr>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DB2682">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Ciardullo 2023</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7C821">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PC</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1C964">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14428">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E6FF5">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26E1A">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1A42F">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DF85F">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514B5">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B77CB">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16D42">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78D95">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5B557">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1B51C">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E9CB7">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033BA">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68BD9">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12</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69980">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High</w:t>
            </w:r>
          </w:p>
        </w:tc>
      </w:tr>
      <w:tr w14:paraId="5E2E9162">
        <w:tblPrEx>
          <w:tblCellMar>
            <w:top w:w="0" w:type="dxa"/>
            <w:left w:w="108" w:type="dxa"/>
            <w:bottom w:w="0" w:type="dxa"/>
            <w:right w:w="108" w:type="dxa"/>
          </w:tblCellMar>
        </w:tblPrEx>
        <w:trPr>
          <w:trHeight w:val="90" w:hRule="atLeast"/>
        </w:trPr>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47E9A3">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Zabala</w:t>
            </w:r>
            <w:r>
              <w:rPr>
                <w:rStyle w:val="16"/>
                <w:rFonts w:hint="default" w:ascii="Times New Roman" w:hAnsi="Times New Roman" w:eastAsia="宋体" w:cs="Times New Roman"/>
                <w:color w:val="auto"/>
                <w:sz w:val="20"/>
                <w:szCs w:val="20"/>
                <w:highlight w:val="none"/>
                <w:lang w:bidi="ar"/>
              </w:rPr>
              <w:t xml:space="preserve"> 2021</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9E7DD">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RC</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DFA1D">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95DD3">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809B8">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330FD">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5A845">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3FEE0">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10BC4">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C83F2">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B4994">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0231A">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54500">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B8D23">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8B181">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166D5">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C1A1F">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12</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F0D73">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High</w:t>
            </w:r>
          </w:p>
        </w:tc>
      </w:tr>
      <w:tr w14:paraId="3AF36B3C">
        <w:tblPrEx>
          <w:tblCellMar>
            <w:top w:w="0" w:type="dxa"/>
            <w:left w:w="108" w:type="dxa"/>
            <w:bottom w:w="0" w:type="dxa"/>
            <w:right w:w="108" w:type="dxa"/>
          </w:tblCellMar>
        </w:tblPrEx>
        <w:trPr>
          <w:trHeight w:val="90" w:hRule="atLeast"/>
        </w:trPr>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98A7E4">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 xml:space="preserve">Nystrom 2017 </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DF19A">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PC</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F9793">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EEE1A">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81B1C">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6C815">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4C9EA">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72C6D">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DD890">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EB755">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F4354">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1472A">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406E9">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4CFF2">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8708C">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NR</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5E46F">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02884">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11</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7EDB8">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High</w:t>
            </w:r>
          </w:p>
        </w:tc>
      </w:tr>
      <w:tr w14:paraId="54C2650B">
        <w:tblPrEx>
          <w:tblCellMar>
            <w:top w:w="0" w:type="dxa"/>
            <w:left w:w="108" w:type="dxa"/>
            <w:bottom w:w="0" w:type="dxa"/>
            <w:right w:w="108" w:type="dxa"/>
          </w:tblCellMar>
        </w:tblPrEx>
        <w:trPr>
          <w:trHeight w:val="90" w:hRule="atLeast"/>
        </w:trPr>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3782EE">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Zhang Z 2024</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49E2C">
            <w:pPr>
              <w:widowControl/>
              <w:jc w:val="left"/>
              <w:textAlignment w:val="center"/>
              <w:rPr>
                <w:rFonts w:hint="default" w:ascii="Times New Roman" w:hAnsi="Times New Roman" w:cs="Times New Roman"/>
                <w:sz w:val="20"/>
                <w:szCs w:val="20"/>
                <w:highlight w:val="none"/>
              </w:rPr>
            </w:pPr>
            <w:r>
              <w:rPr>
                <w:rFonts w:hint="default" w:ascii="Times New Roman" w:hAnsi="Times New Roman" w:eastAsia="宋体" w:cs="Times New Roman"/>
                <w:kern w:val="0"/>
                <w:sz w:val="20"/>
                <w:szCs w:val="20"/>
                <w:highlight w:val="none"/>
                <w:lang w:bidi="ar"/>
              </w:rPr>
              <w:t>PC</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1672C">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57BD9">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31882">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49D50">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19EFD">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7BBD1">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EB938">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55A30">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597B4">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4FB3A">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DC3CB">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77B86">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w:t>
            </w:r>
          </w:p>
        </w:tc>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C95EF">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NR</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F3422">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D2285">
            <w:pPr>
              <w:widowControl/>
              <w:jc w:val="left"/>
              <w:textAlignment w:val="center"/>
              <w:rPr>
                <w:rFonts w:hint="default" w:ascii="Times New Roman" w:hAnsi="Times New Roman" w:eastAsia="宋体" w:cs="Times New Roman"/>
                <w:kern w:val="0"/>
                <w:sz w:val="20"/>
                <w:szCs w:val="20"/>
                <w:highlight w:val="none"/>
                <w:lang w:bidi="ar"/>
              </w:rPr>
            </w:pPr>
            <w:r>
              <w:rPr>
                <w:rFonts w:hint="default" w:ascii="Times New Roman" w:hAnsi="Times New Roman" w:eastAsia="宋体" w:cs="Times New Roman"/>
                <w:kern w:val="0"/>
                <w:sz w:val="20"/>
                <w:szCs w:val="20"/>
                <w:highlight w:val="none"/>
                <w:lang w:bidi="ar"/>
              </w:rPr>
              <w:t>10</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6BD43">
            <w:pPr>
              <w:jc w:val="left"/>
              <w:rPr>
                <w:rFonts w:hint="default" w:ascii="Times New Roman" w:hAnsi="Times New Roman" w:cs="Times New Roman"/>
                <w:sz w:val="20"/>
                <w:szCs w:val="20"/>
                <w:highlight w:val="none"/>
              </w:rPr>
            </w:pPr>
            <w:r>
              <w:rPr>
                <w:rFonts w:hint="default" w:ascii="Times New Roman" w:hAnsi="Times New Roman" w:eastAsia="宋体" w:cs="Times New Roman"/>
                <w:kern w:val="0"/>
                <w:sz w:val="20"/>
                <w:szCs w:val="20"/>
                <w:highlight w:val="none"/>
                <w:lang w:bidi="ar"/>
              </w:rPr>
              <w:t>High</w:t>
            </w:r>
          </w:p>
        </w:tc>
      </w:tr>
      <w:tr w14:paraId="01C86546">
        <w:tblPrEx>
          <w:tblCellMar>
            <w:top w:w="0" w:type="dxa"/>
            <w:left w:w="108" w:type="dxa"/>
            <w:bottom w:w="0" w:type="dxa"/>
            <w:right w:w="108" w:type="dxa"/>
          </w:tblCellMar>
        </w:tblPrEx>
        <w:trPr>
          <w:trHeight w:val="90" w:hRule="atLeast"/>
        </w:trPr>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AABF64">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He 2024</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AA3F2">
            <w:pPr>
              <w:widowControl/>
              <w:jc w:val="left"/>
              <w:textAlignment w:val="center"/>
              <w:rPr>
                <w:rFonts w:hint="default" w:ascii="Times New Roman" w:hAnsi="Times New Roman" w:cs="Times New Roman"/>
                <w:sz w:val="20"/>
                <w:szCs w:val="20"/>
                <w:highlight w:val="none"/>
              </w:rPr>
            </w:pPr>
            <w:r>
              <w:rPr>
                <w:rFonts w:hint="default" w:ascii="Times New Roman" w:hAnsi="Times New Roman" w:eastAsia="宋体" w:cs="Times New Roman"/>
                <w:kern w:val="0"/>
                <w:sz w:val="20"/>
                <w:szCs w:val="20"/>
                <w:highlight w:val="none"/>
                <w:lang w:bidi="ar"/>
              </w:rPr>
              <w:t>PC</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444ED">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7D204">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0EF5B">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62FD7">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2974B">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0BA98">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C6A33">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CE71F">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BFEFD">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F82A9">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C86C1">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03F3F">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32ACF">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5F001">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475AC">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13</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823F2">
            <w:pPr>
              <w:jc w:val="left"/>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High</w:t>
            </w:r>
          </w:p>
        </w:tc>
      </w:tr>
      <w:tr w14:paraId="69BDF251">
        <w:tblPrEx>
          <w:tblCellMar>
            <w:top w:w="0" w:type="dxa"/>
            <w:left w:w="108" w:type="dxa"/>
            <w:bottom w:w="0" w:type="dxa"/>
            <w:right w:w="108" w:type="dxa"/>
          </w:tblCellMar>
        </w:tblPrEx>
        <w:trPr>
          <w:trHeight w:val="90" w:hRule="atLeast"/>
        </w:trPr>
        <w:tc>
          <w:tcPr>
            <w:tcW w:w="22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1AEC35">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Sun 2023</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8C517">
            <w:pPr>
              <w:widowControl/>
              <w:jc w:val="left"/>
              <w:textAlignment w:val="center"/>
              <w:rPr>
                <w:rFonts w:hint="default" w:ascii="Times New Roman" w:hAnsi="Times New Roman" w:cs="Times New Roman"/>
                <w:sz w:val="20"/>
                <w:szCs w:val="20"/>
                <w:highlight w:val="none"/>
              </w:rPr>
            </w:pPr>
            <w:r>
              <w:rPr>
                <w:rFonts w:hint="default" w:ascii="Times New Roman" w:hAnsi="Times New Roman" w:eastAsia="宋体" w:cs="Times New Roman"/>
                <w:kern w:val="0"/>
                <w:sz w:val="20"/>
                <w:szCs w:val="20"/>
                <w:highlight w:val="none"/>
                <w:lang w:bidi="ar"/>
              </w:rPr>
              <w:t>PC</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67563">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04DD7">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AAA72">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C8640">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8D477">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591EF">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76094">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6FD0E">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A5A99">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AE20E">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2F497">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8634E">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2D976">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84EE2">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B8AF0">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12</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65C33">
            <w:pPr>
              <w:widowControl/>
              <w:jc w:val="left"/>
              <w:textAlignment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High</w:t>
            </w:r>
          </w:p>
        </w:tc>
      </w:tr>
    </w:tbl>
    <w:p w14:paraId="571346D4">
      <w:pPr>
        <w:rPr>
          <w:rFonts w:hint="default" w:ascii="Times New Roman" w:hAnsi="Times New Roman" w:eastAsia="宋体" w:cs="Times New Roman"/>
          <w:color w:val="000000"/>
          <w:kern w:val="0"/>
          <w:sz w:val="20"/>
          <w:szCs w:val="20"/>
          <w:highlight w:val="none"/>
          <w:lang w:bidi="ar"/>
        </w:rPr>
      </w:pPr>
      <w:r>
        <w:rPr>
          <w:rFonts w:hint="default" w:ascii="Times New Roman" w:hAnsi="Times New Roman" w:eastAsia="宋体" w:cs="Times New Roman"/>
          <w:kern w:val="0"/>
          <w:sz w:val="20"/>
          <w:szCs w:val="20"/>
          <w:highlight w:val="none"/>
          <w:lang w:bidi="ar"/>
        </w:rPr>
        <w:t xml:space="preserve">PC, prospective cohort study; RC, retrospective cohort study; NIH = National Institutes of Health; Y = yes; N = no; NR = not reported; NA = not applicable; </w:t>
      </w:r>
      <w:r>
        <w:rPr>
          <w:rFonts w:hint="default" w:ascii="Times New Roman" w:hAnsi="Times New Roman" w:eastAsia="微软雅黑" w:cs="Times New Roman"/>
          <w:kern w:val="0"/>
          <w:sz w:val="20"/>
          <w:szCs w:val="20"/>
          <w:highlight w:val="none"/>
          <w:lang w:bidi="ar"/>
        </w:rPr>
        <w:t>Longitudinal studies: high quality (&gt;9 points), medium quality (4–9 points), low quality (&lt;4 points); Cross-sectional studies: high quality (&gt;7 points), medium quality (3–7 points), low quality (&lt;3 points)</w:t>
      </w:r>
      <w:r>
        <w:rPr>
          <w:rFonts w:hint="default" w:ascii="Times New Roman" w:hAnsi="Times New Roman" w:eastAsia="宋体" w:cs="Times New Roman"/>
          <w:color w:val="000000"/>
          <w:kern w:val="0"/>
          <w:sz w:val="20"/>
          <w:szCs w:val="20"/>
          <w:highlight w:val="none"/>
          <w:lang w:bidi="ar"/>
        </w:rPr>
        <w:br w:type="textWrapping"/>
      </w:r>
      <w:r>
        <w:rPr>
          <w:rFonts w:hint="default" w:ascii="Times New Roman" w:hAnsi="Times New Roman" w:eastAsia="宋体" w:cs="Times New Roman"/>
          <w:color w:val="000000"/>
          <w:kern w:val="0"/>
          <w:sz w:val="20"/>
          <w:szCs w:val="20"/>
          <w:highlight w:val="none"/>
          <w:lang w:bidi="ar"/>
        </w:rPr>
        <w:t xml:space="preserve">1. Was the research question or objective in this paper clearly stated?      </w:t>
      </w:r>
      <w:r>
        <w:rPr>
          <w:rFonts w:hint="default" w:ascii="Times New Roman" w:hAnsi="Times New Roman" w:eastAsia="宋体" w:cs="Times New Roman"/>
          <w:color w:val="000000"/>
          <w:kern w:val="0"/>
          <w:sz w:val="20"/>
          <w:szCs w:val="20"/>
          <w:highlight w:val="none"/>
          <w:lang w:bidi="ar"/>
        </w:rPr>
        <w:br w:type="textWrapping"/>
      </w:r>
      <w:r>
        <w:rPr>
          <w:rFonts w:hint="default" w:ascii="Times New Roman" w:hAnsi="Times New Roman" w:eastAsia="宋体" w:cs="Times New Roman"/>
          <w:color w:val="000000"/>
          <w:kern w:val="0"/>
          <w:sz w:val="20"/>
          <w:szCs w:val="20"/>
          <w:highlight w:val="none"/>
          <w:lang w:bidi="ar"/>
        </w:rPr>
        <w:t xml:space="preserve">2. Was the study population clearly specified and defined?      </w:t>
      </w:r>
      <w:r>
        <w:rPr>
          <w:rFonts w:hint="default" w:ascii="Times New Roman" w:hAnsi="Times New Roman" w:eastAsia="宋体" w:cs="Times New Roman"/>
          <w:color w:val="000000"/>
          <w:kern w:val="0"/>
          <w:sz w:val="20"/>
          <w:szCs w:val="20"/>
          <w:highlight w:val="none"/>
          <w:lang w:bidi="ar"/>
        </w:rPr>
        <w:br w:type="textWrapping"/>
      </w:r>
      <w:r>
        <w:rPr>
          <w:rFonts w:hint="default" w:ascii="Times New Roman" w:hAnsi="Times New Roman" w:eastAsia="宋体" w:cs="Times New Roman"/>
          <w:color w:val="000000"/>
          <w:kern w:val="0"/>
          <w:sz w:val="20"/>
          <w:szCs w:val="20"/>
          <w:highlight w:val="none"/>
          <w:lang w:bidi="ar"/>
        </w:rPr>
        <w:t xml:space="preserve">3. Was the participation rate of eligible persons at least 50%?      </w:t>
      </w:r>
      <w:r>
        <w:rPr>
          <w:rFonts w:hint="default" w:ascii="Times New Roman" w:hAnsi="Times New Roman" w:eastAsia="宋体" w:cs="Times New Roman"/>
          <w:color w:val="000000"/>
          <w:kern w:val="0"/>
          <w:sz w:val="20"/>
          <w:szCs w:val="20"/>
          <w:highlight w:val="none"/>
          <w:lang w:bidi="ar"/>
        </w:rPr>
        <w:br w:type="textWrapping"/>
      </w:r>
      <w:r>
        <w:rPr>
          <w:rFonts w:hint="default" w:ascii="Times New Roman" w:hAnsi="Times New Roman" w:eastAsia="宋体" w:cs="Times New Roman"/>
          <w:color w:val="000000"/>
          <w:kern w:val="0"/>
          <w:sz w:val="20"/>
          <w:szCs w:val="20"/>
          <w:highlight w:val="none"/>
          <w:lang w:bidi="ar"/>
        </w:rPr>
        <w:t xml:space="preserve">4. Were all the subjects selected or recruited from the same or similar populations (including the same time period)? Were inclusion and exclusion criteria for being in the study prespecified and applied uniformly to all participants?      </w:t>
      </w:r>
      <w:r>
        <w:rPr>
          <w:rFonts w:hint="default" w:ascii="Times New Roman" w:hAnsi="Times New Roman" w:eastAsia="宋体" w:cs="Times New Roman"/>
          <w:color w:val="000000"/>
          <w:kern w:val="0"/>
          <w:sz w:val="20"/>
          <w:szCs w:val="20"/>
          <w:highlight w:val="none"/>
          <w:lang w:bidi="ar"/>
        </w:rPr>
        <w:br w:type="textWrapping"/>
      </w:r>
      <w:r>
        <w:rPr>
          <w:rFonts w:hint="default" w:ascii="Times New Roman" w:hAnsi="Times New Roman" w:eastAsia="宋体" w:cs="Times New Roman"/>
          <w:color w:val="000000"/>
          <w:kern w:val="0"/>
          <w:sz w:val="20"/>
          <w:szCs w:val="20"/>
          <w:highlight w:val="none"/>
          <w:lang w:bidi="ar"/>
        </w:rPr>
        <w:t xml:space="preserve">5. Was a sample size justification, power description, or variance and effect estimates provided?      </w:t>
      </w:r>
      <w:r>
        <w:rPr>
          <w:rFonts w:hint="default" w:ascii="Times New Roman" w:hAnsi="Times New Roman" w:eastAsia="宋体" w:cs="Times New Roman"/>
          <w:color w:val="000000"/>
          <w:kern w:val="0"/>
          <w:sz w:val="20"/>
          <w:szCs w:val="20"/>
          <w:highlight w:val="none"/>
          <w:lang w:bidi="ar"/>
        </w:rPr>
        <w:br w:type="textWrapping"/>
      </w:r>
      <w:r>
        <w:rPr>
          <w:rFonts w:hint="default" w:ascii="Times New Roman" w:hAnsi="Times New Roman" w:eastAsia="宋体" w:cs="Times New Roman"/>
          <w:color w:val="000000"/>
          <w:kern w:val="0"/>
          <w:sz w:val="20"/>
          <w:szCs w:val="20"/>
          <w:highlight w:val="none"/>
          <w:lang w:bidi="ar"/>
        </w:rPr>
        <w:t xml:space="preserve">6. For the analyses in this paper, were the exposure(s) of interest measured prior to the outcome(s) being measured?      </w:t>
      </w:r>
      <w:r>
        <w:rPr>
          <w:rFonts w:hint="default" w:ascii="Times New Roman" w:hAnsi="Times New Roman" w:eastAsia="宋体" w:cs="Times New Roman"/>
          <w:color w:val="000000"/>
          <w:kern w:val="0"/>
          <w:sz w:val="20"/>
          <w:szCs w:val="20"/>
          <w:highlight w:val="none"/>
          <w:lang w:bidi="ar"/>
        </w:rPr>
        <w:br w:type="textWrapping"/>
      </w:r>
      <w:r>
        <w:rPr>
          <w:rFonts w:hint="default" w:ascii="Times New Roman" w:hAnsi="Times New Roman" w:eastAsia="宋体" w:cs="Times New Roman"/>
          <w:color w:val="000000"/>
          <w:kern w:val="0"/>
          <w:sz w:val="20"/>
          <w:szCs w:val="20"/>
          <w:highlight w:val="none"/>
          <w:lang w:bidi="ar"/>
        </w:rPr>
        <w:t xml:space="preserve">7. Was the timeframe sufficient so that one could reasonably expect to see an association between exposure and outcome if it existed?      </w:t>
      </w:r>
      <w:r>
        <w:rPr>
          <w:rFonts w:hint="default" w:ascii="Times New Roman" w:hAnsi="Times New Roman" w:eastAsia="宋体" w:cs="Times New Roman"/>
          <w:color w:val="000000"/>
          <w:kern w:val="0"/>
          <w:sz w:val="20"/>
          <w:szCs w:val="20"/>
          <w:highlight w:val="none"/>
          <w:lang w:bidi="ar"/>
        </w:rPr>
        <w:br w:type="textWrapping"/>
      </w:r>
      <w:r>
        <w:rPr>
          <w:rFonts w:hint="default" w:ascii="Times New Roman" w:hAnsi="Times New Roman" w:eastAsia="宋体" w:cs="Times New Roman"/>
          <w:color w:val="000000"/>
          <w:kern w:val="0"/>
          <w:sz w:val="20"/>
          <w:szCs w:val="20"/>
          <w:highlight w:val="none"/>
          <w:lang w:bidi="ar"/>
        </w:rPr>
        <w:t xml:space="preserve">8. For exposures that can vary in amount or level, did the study examine different levels of the exposure as related to the outcome (e.g., categories of exposure, or exposure measured as continuous variable)?      </w:t>
      </w:r>
      <w:r>
        <w:rPr>
          <w:rFonts w:hint="default" w:ascii="Times New Roman" w:hAnsi="Times New Roman" w:eastAsia="宋体" w:cs="Times New Roman"/>
          <w:color w:val="000000"/>
          <w:kern w:val="0"/>
          <w:sz w:val="20"/>
          <w:szCs w:val="20"/>
          <w:highlight w:val="none"/>
          <w:lang w:bidi="ar"/>
        </w:rPr>
        <w:br w:type="textWrapping"/>
      </w:r>
      <w:r>
        <w:rPr>
          <w:rFonts w:hint="default" w:ascii="Times New Roman" w:hAnsi="Times New Roman" w:eastAsia="宋体" w:cs="Times New Roman"/>
          <w:color w:val="000000"/>
          <w:kern w:val="0"/>
          <w:sz w:val="20"/>
          <w:szCs w:val="20"/>
          <w:highlight w:val="none"/>
          <w:lang w:bidi="ar"/>
        </w:rPr>
        <w:t xml:space="preserve">9. Were the exposure measures (independent variables) clearly defined, valid, reliable, and implemented consistently across all study participants?      </w:t>
      </w:r>
      <w:r>
        <w:rPr>
          <w:rFonts w:hint="default" w:ascii="Times New Roman" w:hAnsi="Times New Roman" w:eastAsia="宋体" w:cs="Times New Roman"/>
          <w:color w:val="000000"/>
          <w:kern w:val="0"/>
          <w:sz w:val="20"/>
          <w:szCs w:val="20"/>
          <w:highlight w:val="none"/>
          <w:lang w:bidi="ar"/>
        </w:rPr>
        <w:br w:type="textWrapping"/>
      </w:r>
      <w:r>
        <w:rPr>
          <w:rFonts w:hint="default" w:ascii="Times New Roman" w:hAnsi="Times New Roman" w:eastAsia="宋体" w:cs="Times New Roman"/>
          <w:color w:val="000000"/>
          <w:kern w:val="0"/>
          <w:sz w:val="20"/>
          <w:szCs w:val="20"/>
          <w:highlight w:val="none"/>
          <w:lang w:bidi="ar"/>
        </w:rPr>
        <w:t xml:space="preserve">10. Was the exposure(s) assessed more than once over time?      </w:t>
      </w:r>
      <w:r>
        <w:rPr>
          <w:rFonts w:hint="default" w:ascii="Times New Roman" w:hAnsi="Times New Roman" w:eastAsia="宋体" w:cs="Times New Roman"/>
          <w:color w:val="000000"/>
          <w:kern w:val="0"/>
          <w:sz w:val="20"/>
          <w:szCs w:val="20"/>
          <w:highlight w:val="none"/>
          <w:lang w:bidi="ar"/>
        </w:rPr>
        <w:br w:type="textWrapping"/>
      </w:r>
      <w:r>
        <w:rPr>
          <w:rFonts w:hint="default" w:ascii="Times New Roman" w:hAnsi="Times New Roman" w:eastAsia="宋体" w:cs="Times New Roman"/>
          <w:color w:val="000000"/>
          <w:kern w:val="0"/>
          <w:sz w:val="20"/>
          <w:szCs w:val="20"/>
          <w:highlight w:val="none"/>
          <w:lang w:bidi="ar"/>
        </w:rPr>
        <w:t xml:space="preserve">11. Were the outcome measures (dependent variables) clearly defined, valid, reliable, and implemented consistently across all study participants?      </w:t>
      </w:r>
      <w:r>
        <w:rPr>
          <w:rFonts w:hint="default" w:ascii="Times New Roman" w:hAnsi="Times New Roman" w:eastAsia="宋体" w:cs="Times New Roman"/>
          <w:color w:val="000000"/>
          <w:kern w:val="0"/>
          <w:sz w:val="20"/>
          <w:szCs w:val="20"/>
          <w:highlight w:val="none"/>
          <w:lang w:bidi="ar"/>
        </w:rPr>
        <w:br w:type="textWrapping"/>
      </w:r>
      <w:r>
        <w:rPr>
          <w:rFonts w:hint="default" w:ascii="Times New Roman" w:hAnsi="Times New Roman" w:eastAsia="宋体" w:cs="Times New Roman"/>
          <w:color w:val="000000"/>
          <w:kern w:val="0"/>
          <w:sz w:val="20"/>
          <w:szCs w:val="20"/>
          <w:highlight w:val="none"/>
          <w:lang w:bidi="ar"/>
        </w:rPr>
        <w:t xml:space="preserve">12. Were the outcome assessors blinded to the exposure status of participants?      </w:t>
      </w:r>
      <w:r>
        <w:rPr>
          <w:rFonts w:hint="default" w:ascii="Times New Roman" w:hAnsi="Times New Roman" w:eastAsia="宋体" w:cs="Times New Roman"/>
          <w:color w:val="000000"/>
          <w:kern w:val="0"/>
          <w:sz w:val="20"/>
          <w:szCs w:val="20"/>
          <w:highlight w:val="none"/>
          <w:lang w:bidi="ar"/>
        </w:rPr>
        <w:br w:type="textWrapping"/>
      </w:r>
      <w:r>
        <w:rPr>
          <w:rFonts w:hint="default" w:ascii="Times New Roman" w:hAnsi="Times New Roman" w:eastAsia="宋体" w:cs="Times New Roman"/>
          <w:color w:val="000000"/>
          <w:kern w:val="0"/>
          <w:sz w:val="20"/>
          <w:szCs w:val="20"/>
          <w:highlight w:val="none"/>
          <w:lang w:bidi="ar"/>
        </w:rPr>
        <w:t xml:space="preserve">13. Was loss to follow-up after baseline 20% or less?      </w:t>
      </w:r>
      <w:r>
        <w:rPr>
          <w:rFonts w:hint="default" w:ascii="Times New Roman" w:hAnsi="Times New Roman" w:eastAsia="宋体" w:cs="Times New Roman"/>
          <w:color w:val="000000"/>
          <w:kern w:val="0"/>
          <w:sz w:val="20"/>
          <w:szCs w:val="20"/>
          <w:highlight w:val="none"/>
          <w:lang w:bidi="ar"/>
        </w:rPr>
        <w:br w:type="textWrapping"/>
      </w:r>
      <w:r>
        <w:rPr>
          <w:rFonts w:hint="default" w:ascii="Times New Roman" w:hAnsi="Times New Roman" w:eastAsia="宋体" w:cs="Times New Roman"/>
          <w:color w:val="000000"/>
          <w:kern w:val="0"/>
          <w:sz w:val="20"/>
          <w:szCs w:val="20"/>
          <w:highlight w:val="none"/>
          <w:lang w:bidi="ar"/>
        </w:rPr>
        <w:t>14. Were key potential confounding variables measured and adjusted statistically for their impact on the relationship between exposure(s) and outcome(s)?</w:t>
      </w:r>
    </w:p>
    <w:p w14:paraId="34E5A81B">
      <w:pPr>
        <w:spacing w:line="360" w:lineRule="auto"/>
        <w:rPr>
          <w:rFonts w:hint="default" w:ascii="Times New Roman" w:hAnsi="Times New Roman" w:eastAsia="宋体" w:cs="Times New Roman"/>
          <w:b/>
          <w:bCs/>
          <w:color w:val="000000"/>
          <w:kern w:val="0"/>
          <w:sz w:val="20"/>
          <w:szCs w:val="20"/>
          <w:highlight w:val="none"/>
          <w:lang w:bidi="ar"/>
        </w:rPr>
      </w:pPr>
    </w:p>
    <w:p w14:paraId="50A80D6A">
      <w:pPr>
        <w:spacing w:line="360" w:lineRule="auto"/>
        <w:rPr>
          <w:rFonts w:hint="default" w:ascii="Times New Roman" w:hAnsi="Times New Roman" w:eastAsia="宋体" w:cs="Times New Roman"/>
          <w:b/>
          <w:bCs/>
          <w:color w:val="000000"/>
          <w:kern w:val="0"/>
          <w:sz w:val="20"/>
          <w:szCs w:val="20"/>
          <w:highlight w:val="none"/>
          <w:lang w:bidi="ar"/>
        </w:rPr>
      </w:pPr>
    </w:p>
    <w:p w14:paraId="146324D2">
      <w:pPr>
        <w:spacing w:line="360" w:lineRule="auto"/>
        <w:rPr>
          <w:rFonts w:hint="default" w:ascii="Times New Roman" w:hAnsi="Times New Roman" w:eastAsia="宋体" w:cs="Times New Roman"/>
          <w:b/>
          <w:bCs/>
          <w:color w:val="000000"/>
          <w:kern w:val="0"/>
          <w:sz w:val="20"/>
          <w:szCs w:val="20"/>
          <w:highlight w:val="none"/>
          <w:lang w:bidi="ar"/>
        </w:rPr>
      </w:pPr>
    </w:p>
    <w:p w14:paraId="7EA83BC0">
      <w:pPr>
        <w:spacing w:line="360" w:lineRule="auto"/>
        <w:rPr>
          <w:rFonts w:hint="default" w:ascii="Times New Roman" w:hAnsi="Times New Roman" w:eastAsia="宋体" w:cs="Times New Roman"/>
          <w:b/>
          <w:bCs/>
          <w:color w:val="000000"/>
          <w:kern w:val="0"/>
          <w:sz w:val="20"/>
          <w:szCs w:val="20"/>
          <w:highlight w:val="none"/>
          <w:lang w:bidi="ar"/>
        </w:rPr>
      </w:pPr>
    </w:p>
    <w:p w14:paraId="663EFB26">
      <w:pPr>
        <w:spacing w:line="360" w:lineRule="auto"/>
        <w:rPr>
          <w:rFonts w:hint="default" w:ascii="Times New Roman" w:hAnsi="Times New Roman" w:eastAsia="宋体" w:cs="Times New Roman"/>
          <w:b/>
          <w:bCs/>
          <w:color w:val="000000"/>
          <w:kern w:val="0"/>
          <w:sz w:val="20"/>
          <w:szCs w:val="20"/>
          <w:highlight w:val="none"/>
          <w:lang w:bidi="ar"/>
        </w:rPr>
      </w:pPr>
    </w:p>
    <w:p w14:paraId="4E65E45D">
      <w:pPr>
        <w:spacing w:line="360" w:lineRule="auto"/>
        <w:rPr>
          <w:rFonts w:hint="default" w:ascii="Times New Roman" w:hAnsi="Times New Roman" w:eastAsia="宋体" w:cs="Times New Roman"/>
          <w:b/>
          <w:bCs/>
          <w:color w:val="000000"/>
          <w:kern w:val="0"/>
          <w:sz w:val="20"/>
          <w:szCs w:val="20"/>
          <w:highlight w:val="none"/>
          <w:lang w:bidi="ar"/>
        </w:rPr>
      </w:pPr>
    </w:p>
    <w:p w14:paraId="7E6E4DD5">
      <w:pPr>
        <w:spacing w:line="360" w:lineRule="auto"/>
        <w:rPr>
          <w:rFonts w:hint="default" w:ascii="Times New Roman" w:hAnsi="Times New Roman" w:eastAsia="宋体" w:cs="Times New Roman"/>
          <w:b/>
          <w:bCs/>
          <w:color w:val="000000"/>
          <w:kern w:val="0"/>
          <w:sz w:val="20"/>
          <w:szCs w:val="20"/>
          <w:highlight w:val="none"/>
          <w:lang w:bidi="ar"/>
        </w:rPr>
      </w:pPr>
    </w:p>
    <w:p w14:paraId="3F4BE271">
      <w:pPr>
        <w:spacing w:line="360" w:lineRule="auto"/>
        <w:rPr>
          <w:rFonts w:hint="default" w:ascii="Times New Roman" w:hAnsi="Times New Roman" w:eastAsia="宋体" w:cs="Times New Roman"/>
          <w:b/>
          <w:bCs/>
          <w:color w:val="000000"/>
          <w:kern w:val="0"/>
          <w:sz w:val="20"/>
          <w:szCs w:val="20"/>
          <w:highlight w:val="none"/>
          <w:lang w:bidi="ar"/>
        </w:rPr>
      </w:pPr>
    </w:p>
    <w:p w14:paraId="3B3CF803">
      <w:pPr>
        <w:widowControl/>
        <w:spacing w:line="360" w:lineRule="auto"/>
        <w:jc w:val="left"/>
        <w:outlineLvl w:val="0"/>
        <w:rPr>
          <w:rFonts w:hint="default" w:ascii="Times New Roman" w:hAnsi="Times New Roman" w:eastAsia="等线" w:cs="Times New Roman"/>
          <w:b/>
          <w:kern w:val="0"/>
          <w:sz w:val="20"/>
          <w:szCs w:val="20"/>
          <w:highlight w:val="none"/>
          <w:lang w:bidi="ar"/>
        </w:rPr>
      </w:pPr>
      <w:bookmarkStart w:id="7" w:name="_Toc22636"/>
      <w:r>
        <w:rPr>
          <w:rFonts w:hint="default" w:ascii="Times New Roman" w:hAnsi="Times New Roman" w:eastAsia="宋体" w:cs="Times New Roman"/>
          <w:b/>
          <w:bCs/>
          <w:color w:val="000000" w:themeColor="text1"/>
          <w:kern w:val="0"/>
          <w:sz w:val="20"/>
          <w:szCs w:val="20"/>
          <w:highlight w:val="none"/>
          <w:lang w:eastAsia="zh-CN" w:bidi="ar"/>
          <w14:textFill>
            <w14:solidFill>
              <w14:schemeClr w14:val="tx1"/>
            </w14:solidFill>
          </w14:textFill>
        </w:rPr>
        <w:t>Additional</w:t>
      </w:r>
      <w:r>
        <w:rPr>
          <w:rFonts w:hint="default" w:ascii="Times New Roman" w:hAnsi="Times New Roman" w:eastAsia="宋体" w:cs="Times New Roman"/>
          <w:b/>
          <w:bCs/>
          <w:color w:val="000000" w:themeColor="text1"/>
          <w:kern w:val="0"/>
          <w:sz w:val="20"/>
          <w:szCs w:val="20"/>
          <w:highlight w:val="none"/>
          <w:lang w:bidi="ar"/>
          <w14:textFill>
            <w14:solidFill>
              <w14:schemeClr w14:val="tx1"/>
            </w14:solidFill>
          </w14:textFill>
        </w:rPr>
        <w:t xml:space="preserve"> Table 8. NIH Quality Assessment of S</w:t>
      </w:r>
      <w:r>
        <w:rPr>
          <w:rFonts w:hint="default" w:ascii="Times New Roman" w:hAnsi="Times New Roman" w:cs="Times New Roman"/>
          <w:b/>
          <w:bCs/>
          <w:sz w:val="20"/>
          <w:szCs w:val="20"/>
          <w:highlight w:val="none"/>
        </w:rPr>
        <w:t>tudies Included in the Analysis of Overall eGDR Levels</w:t>
      </w:r>
      <w:bookmarkEnd w:id="7"/>
    </w:p>
    <w:tbl>
      <w:tblPr>
        <w:tblStyle w:val="9"/>
        <w:tblW w:w="4888" w:type="pct"/>
        <w:tblInd w:w="100" w:type="dxa"/>
        <w:tblLayout w:type="fixed"/>
        <w:tblCellMar>
          <w:top w:w="0" w:type="dxa"/>
          <w:left w:w="108" w:type="dxa"/>
          <w:bottom w:w="0" w:type="dxa"/>
          <w:right w:w="108" w:type="dxa"/>
        </w:tblCellMar>
      </w:tblPr>
      <w:tblGrid>
        <w:gridCol w:w="2497"/>
        <w:gridCol w:w="624"/>
        <w:gridCol w:w="611"/>
        <w:gridCol w:w="18"/>
        <w:gridCol w:w="20"/>
        <w:gridCol w:w="622"/>
        <w:gridCol w:w="19"/>
        <w:gridCol w:w="623"/>
        <w:gridCol w:w="35"/>
        <w:gridCol w:w="649"/>
        <w:gridCol w:w="7"/>
        <w:gridCol w:w="649"/>
        <w:gridCol w:w="21"/>
        <w:gridCol w:w="616"/>
        <w:gridCol w:w="6"/>
        <w:gridCol w:w="40"/>
        <w:gridCol w:w="570"/>
        <w:gridCol w:w="46"/>
        <w:gridCol w:w="27"/>
        <w:gridCol w:w="590"/>
        <w:gridCol w:w="26"/>
        <w:gridCol w:w="617"/>
        <w:gridCol w:w="20"/>
        <w:gridCol w:w="636"/>
        <w:gridCol w:w="7"/>
        <w:gridCol w:w="643"/>
        <w:gridCol w:w="13"/>
        <w:gridCol w:w="7"/>
        <w:gridCol w:w="636"/>
        <w:gridCol w:w="6"/>
        <w:gridCol w:w="21"/>
        <w:gridCol w:w="643"/>
        <w:gridCol w:w="642"/>
        <w:gridCol w:w="717"/>
        <w:gridCol w:w="937"/>
      </w:tblGrid>
      <w:tr w14:paraId="556F8C34">
        <w:tblPrEx>
          <w:tblCellMar>
            <w:top w:w="0" w:type="dxa"/>
            <w:left w:w="108" w:type="dxa"/>
            <w:bottom w:w="0" w:type="dxa"/>
            <w:right w:w="108" w:type="dxa"/>
          </w:tblCellMar>
        </w:tblPrEx>
        <w:trPr>
          <w:trHeight w:val="90" w:hRule="atLeast"/>
        </w:trPr>
        <w:tc>
          <w:tcPr>
            <w:tcW w:w="2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9E199">
            <w:pPr>
              <w:widowControl/>
              <w:jc w:val="left"/>
              <w:textAlignment w:val="bottom"/>
              <w:rPr>
                <w:rFonts w:hint="default" w:ascii="Times New Roman" w:hAnsi="Times New Roman" w:eastAsia="宋体" w:cs="Times New Roman"/>
                <w:b/>
                <w:bCs/>
                <w:color w:val="000000"/>
                <w:kern w:val="0"/>
                <w:sz w:val="20"/>
                <w:szCs w:val="20"/>
                <w:highlight w:val="none"/>
                <w:lang w:bidi="ar"/>
              </w:rPr>
            </w:pPr>
            <w:r>
              <w:rPr>
                <w:rFonts w:hint="default" w:ascii="Times New Roman" w:hAnsi="Times New Roman" w:eastAsia="宋体" w:cs="Times New Roman"/>
                <w:b/>
                <w:bCs/>
                <w:color w:val="000000"/>
                <w:kern w:val="0"/>
                <w:sz w:val="20"/>
                <w:szCs w:val="20"/>
                <w:highlight w:val="none"/>
                <w:lang w:bidi="ar"/>
              </w:rPr>
              <w:t>Study</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42817">
            <w:pPr>
              <w:jc w:val="left"/>
              <w:rPr>
                <w:rFonts w:hint="default" w:ascii="Times New Roman" w:hAnsi="Times New Roman" w:eastAsia="宋体" w:cs="Times New Roman"/>
                <w:b/>
                <w:bCs/>
                <w:color w:val="000000"/>
                <w:kern w:val="0"/>
                <w:sz w:val="20"/>
                <w:szCs w:val="20"/>
                <w:highlight w:val="none"/>
                <w:lang w:bidi="ar"/>
              </w:rPr>
            </w:pPr>
            <w:r>
              <w:rPr>
                <w:rFonts w:hint="default" w:ascii="Times New Roman" w:hAnsi="Times New Roman" w:cs="Times New Roman"/>
                <w:b/>
                <w:bCs/>
                <w:color w:val="000000" w:themeColor="text1"/>
                <w:sz w:val="20"/>
                <w:szCs w:val="20"/>
                <w:highlight w:val="none"/>
                <w14:textFill>
                  <w14:solidFill>
                    <w14:schemeClr w14:val="tx1"/>
                  </w14:solidFill>
                </w14:textFill>
              </w:rPr>
              <w:t>Design</w:t>
            </w:r>
          </w:p>
        </w:tc>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6551EA">
            <w:pPr>
              <w:widowControl/>
              <w:jc w:val="left"/>
              <w:textAlignment w:val="bottom"/>
              <w:rPr>
                <w:rFonts w:hint="default" w:ascii="Times New Roman" w:hAnsi="Times New Roman" w:eastAsia="宋体" w:cs="Times New Roman"/>
                <w:b/>
                <w:bCs/>
                <w:color w:val="000000"/>
                <w:kern w:val="0"/>
                <w:sz w:val="20"/>
                <w:szCs w:val="20"/>
                <w:highlight w:val="none"/>
                <w:lang w:bidi="ar"/>
              </w:rPr>
            </w:pPr>
            <w:r>
              <w:rPr>
                <w:rFonts w:hint="default" w:ascii="Times New Roman" w:hAnsi="Times New Roman" w:eastAsia="宋体" w:cs="Times New Roman"/>
                <w:b/>
                <w:bCs/>
                <w:color w:val="000000"/>
                <w:kern w:val="0"/>
                <w:sz w:val="20"/>
                <w:szCs w:val="20"/>
                <w:highlight w:val="none"/>
                <w:lang w:bidi="ar"/>
              </w:rPr>
              <w:t>Item 1</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EE59F0">
            <w:pPr>
              <w:widowControl/>
              <w:jc w:val="left"/>
              <w:textAlignment w:val="bottom"/>
              <w:rPr>
                <w:rFonts w:hint="default" w:ascii="Times New Roman" w:hAnsi="Times New Roman" w:eastAsia="宋体" w:cs="Times New Roman"/>
                <w:b/>
                <w:bCs/>
                <w:color w:val="000000"/>
                <w:kern w:val="0"/>
                <w:sz w:val="20"/>
                <w:szCs w:val="20"/>
                <w:highlight w:val="none"/>
                <w:lang w:bidi="ar"/>
              </w:rPr>
            </w:pPr>
            <w:r>
              <w:rPr>
                <w:rFonts w:hint="default" w:ascii="Times New Roman" w:hAnsi="Times New Roman" w:eastAsia="宋体" w:cs="Times New Roman"/>
                <w:b/>
                <w:bCs/>
                <w:color w:val="000000"/>
                <w:kern w:val="0"/>
                <w:sz w:val="20"/>
                <w:szCs w:val="20"/>
                <w:highlight w:val="none"/>
                <w:lang w:bidi="ar"/>
              </w:rPr>
              <w:t>Item 2</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FDDDE0">
            <w:pPr>
              <w:widowControl/>
              <w:jc w:val="left"/>
              <w:textAlignment w:val="bottom"/>
              <w:rPr>
                <w:rFonts w:hint="default" w:ascii="Times New Roman" w:hAnsi="Times New Roman" w:eastAsia="宋体" w:cs="Times New Roman"/>
                <w:b/>
                <w:bCs/>
                <w:color w:val="000000"/>
                <w:sz w:val="20"/>
                <w:szCs w:val="20"/>
                <w:highlight w:val="none"/>
              </w:rPr>
            </w:pPr>
            <w:r>
              <w:rPr>
                <w:rFonts w:hint="default" w:ascii="Times New Roman" w:hAnsi="Times New Roman" w:eastAsia="宋体" w:cs="Times New Roman"/>
                <w:b/>
                <w:bCs/>
                <w:color w:val="000000"/>
                <w:kern w:val="0"/>
                <w:sz w:val="20"/>
                <w:szCs w:val="20"/>
                <w:highlight w:val="none"/>
                <w:lang w:bidi="ar"/>
              </w:rPr>
              <w:t>Item 3</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8FB205">
            <w:pPr>
              <w:widowControl/>
              <w:jc w:val="left"/>
              <w:textAlignment w:val="bottom"/>
              <w:rPr>
                <w:rFonts w:hint="default" w:ascii="Times New Roman" w:hAnsi="Times New Roman" w:eastAsia="宋体" w:cs="Times New Roman"/>
                <w:b/>
                <w:bCs/>
                <w:color w:val="000000"/>
                <w:sz w:val="20"/>
                <w:szCs w:val="20"/>
                <w:highlight w:val="none"/>
              </w:rPr>
            </w:pPr>
            <w:r>
              <w:rPr>
                <w:rFonts w:hint="default" w:ascii="Times New Roman" w:hAnsi="Times New Roman" w:eastAsia="宋体" w:cs="Times New Roman"/>
                <w:b/>
                <w:bCs/>
                <w:color w:val="000000"/>
                <w:kern w:val="0"/>
                <w:sz w:val="20"/>
                <w:szCs w:val="20"/>
                <w:highlight w:val="none"/>
                <w:lang w:bidi="ar"/>
              </w:rPr>
              <w:t>Item 4</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43B689">
            <w:pPr>
              <w:widowControl/>
              <w:jc w:val="left"/>
              <w:textAlignment w:val="bottom"/>
              <w:rPr>
                <w:rFonts w:hint="default" w:ascii="Times New Roman" w:hAnsi="Times New Roman" w:eastAsia="宋体" w:cs="Times New Roman"/>
                <w:b/>
                <w:bCs/>
                <w:color w:val="000000"/>
                <w:sz w:val="20"/>
                <w:szCs w:val="20"/>
                <w:highlight w:val="none"/>
              </w:rPr>
            </w:pPr>
            <w:r>
              <w:rPr>
                <w:rFonts w:hint="default" w:ascii="Times New Roman" w:hAnsi="Times New Roman" w:eastAsia="宋体" w:cs="Times New Roman"/>
                <w:b/>
                <w:bCs/>
                <w:color w:val="000000"/>
                <w:kern w:val="0"/>
                <w:sz w:val="20"/>
                <w:szCs w:val="20"/>
                <w:highlight w:val="none"/>
                <w:lang w:bidi="ar"/>
              </w:rPr>
              <w:t>Item 5</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738125">
            <w:pPr>
              <w:widowControl/>
              <w:jc w:val="left"/>
              <w:textAlignment w:val="bottom"/>
              <w:rPr>
                <w:rFonts w:hint="default" w:ascii="Times New Roman" w:hAnsi="Times New Roman" w:eastAsia="宋体" w:cs="Times New Roman"/>
                <w:b/>
                <w:bCs/>
                <w:color w:val="000000"/>
                <w:sz w:val="20"/>
                <w:szCs w:val="20"/>
                <w:highlight w:val="none"/>
              </w:rPr>
            </w:pPr>
            <w:r>
              <w:rPr>
                <w:rFonts w:hint="default" w:ascii="Times New Roman" w:hAnsi="Times New Roman" w:eastAsia="宋体" w:cs="Times New Roman"/>
                <w:b/>
                <w:bCs/>
                <w:color w:val="000000"/>
                <w:kern w:val="0"/>
                <w:sz w:val="20"/>
                <w:szCs w:val="20"/>
                <w:highlight w:val="none"/>
                <w:lang w:bidi="ar"/>
              </w:rPr>
              <w:t>Item 6</w:t>
            </w:r>
          </w:p>
        </w:tc>
        <w:tc>
          <w:tcPr>
            <w:tcW w:w="683"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8533DA">
            <w:pPr>
              <w:widowControl/>
              <w:jc w:val="left"/>
              <w:textAlignment w:val="bottom"/>
              <w:rPr>
                <w:rFonts w:hint="default" w:ascii="Times New Roman" w:hAnsi="Times New Roman" w:eastAsia="宋体" w:cs="Times New Roman"/>
                <w:b/>
                <w:bCs/>
                <w:color w:val="000000"/>
                <w:sz w:val="20"/>
                <w:szCs w:val="20"/>
                <w:highlight w:val="none"/>
              </w:rPr>
            </w:pPr>
            <w:r>
              <w:rPr>
                <w:rFonts w:hint="default" w:ascii="Times New Roman" w:hAnsi="Times New Roman" w:eastAsia="宋体" w:cs="Times New Roman"/>
                <w:b/>
                <w:bCs/>
                <w:color w:val="000000"/>
                <w:kern w:val="0"/>
                <w:sz w:val="20"/>
                <w:szCs w:val="20"/>
                <w:highlight w:val="none"/>
                <w:lang w:bidi="ar"/>
              </w:rPr>
              <w:t>Item 7</w:t>
            </w:r>
          </w:p>
        </w:tc>
        <w:tc>
          <w:tcPr>
            <w:tcW w:w="6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BCFD92">
            <w:pPr>
              <w:widowControl/>
              <w:jc w:val="left"/>
              <w:textAlignment w:val="bottom"/>
              <w:rPr>
                <w:rFonts w:hint="default" w:ascii="Times New Roman" w:hAnsi="Times New Roman" w:eastAsia="宋体" w:cs="Times New Roman"/>
                <w:b/>
                <w:bCs/>
                <w:color w:val="000000"/>
                <w:sz w:val="20"/>
                <w:szCs w:val="20"/>
                <w:highlight w:val="none"/>
              </w:rPr>
            </w:pPr>
            <w:r>
              <w:rPr>
                <w:rFonts w:hint="default" w:ascii="Times New Roman" w:hAnsi="Times New Roman" w:eastAsia="宋体" w:cs="Times New Roman"/>
                <w:b/>
                <w:bCs/>
                <w:color w:val="000000"/>
                <w:kern w:val="0"/>
                <w:sz w:val="20"/>
                <w:szCs w:val="20"/>
                <w:highlight w:val="none"/>
                <w:lang w:bidi="ar"/>
              </w:rPr>
              <w:t>Item 8</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E2C7F5">
            <w:pPr>
              <w:widowControl/>
              <w:jc w:val="left"/>
              <w:textAlignment w:val="bottom"/>
              <w:rPr>
                <w:rFonts w:hint="default" w:ascii="Times New Roman" w:hAnsi="Times New Roman" w:eastAsia="宋体" w:cs="Times New Roman"/>
                <w:b/>
                <w:bCs/>
                <w:color w:val="000000"/>
                <w:sz w:val="20"/>
                <w:szCs w:val="20"/>
                <w:highlight w:val="none"/>
              </w:rPr>
            </w:pPr>
            <w:r>
              <w:rPr>
                <w:rFonts w:hint="default" w:ascii="Times New Roman" w:hAnsi="Times New Roman" w:eastAsia="宋体" w:cs="Times New Roman"/>
                <w:b/>
                <w:bCs/>
                <w:color w:val="000000"/>
                <w:kern w:val="0"/>
                <w:sz w:val="20"/>
                <w:szCs w:val="20"/>
                <w:highlight w:val="none"/>
                <w:lang w:bidi="ar"/>
              </w:rPr>
              <w:t>Item 9</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D84FF6">
            <w:pPr>
              <w:widowControl/>
              <w:jc w:val="left"/>
              <w:textAlignment w:val="bottom"/>
              <w:rPr>
                <w:rFonts w:hint="default" w:ascii="Times New Roman" w:hAnsi="Times New Roman" w:eastAsia="宋体" w:cs="Times New Roman"/>
                <w:b/>
                <w:bCs/>
                <w:color w:val="000000"/>
                <w:sz w:val="20"/>
                <w:szCs w:val="20"/>
                <w:highlight w:val="none"/>
              </w:rPr>
            </w:pPr>
            <w:r>
              <w:rPr>
                <w:rFonts w:hint="default" w:ascii="Times New Roman" w:hAnsi="Times New Roman" w:eastAsia="宋体" w:cs="Times New Roman"/>
                <w:b/>
                <w:bCs/>
                <w:color w:val="000000"/>
                <w:kern w:val="0"/>
                <w:sz w:val="20"/>
                <w:szCs w:val="20"/>
                <w:highlight w:val="none"/>
                <w:lang w:bidi="ar"/>
              </w:rPr>
              <w:t>Item 10</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A435A2">
            <w:pPr>
              <w:widowControl/>
              <w:jc w:val="left"/>
              <w:textAlignment w:val="bottom"/>
              <w:rPr>
                <w:rFonts w:hint="default" w:ascii="Times New Roman" w:hAnsi="Times New Roman" w:eastAsia="宋体" w:cs="Times New Roman"/>
                <w:b/>
                <w:bCs/>
                <w:color w:val="000000"/>
                <w:sz w:val="20"/>
                <w:szCs w:val="20"/>
                <w:highlight w:val="none"/>
              </w:rPr>
            </w:pPr>
            <w:r>
              <w:rPr>
                <w:rFonts w:hint="default" w:ascii="Times New Roman" w:hAnsi="Times New Roman" w:eastAsia="宋体" w:cs="Times New Roman"/>
                <w:b/>
                <w:bCs/>
                <w:color w:val="000000"/>
                <w:kern w:val="0"/>
                <w:sz w:val="20"/>
                <w:szCs w:val="20"/>
                <w:highlight w:val="none"/>
                <w:lang w:bidi="ar"/>
              </w:rPr>
              <w:t>Item 11</w:t>
            </w:r>
          </w:p>
        </w:tc>
        <w:tc>
          <w:tcPr>
            <w:tcW w:w="65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4FC387">
            <w:pPr>
              <w:widowControl/>
              <w:jc w:val="left"/>
              <w:textAlignment w:val="bottom"/>
              <w:rPr>
                <w:rFonts w:hint="default" w:ascii="Times New Roman" w:hAnsi="Times New Roman" w:eastAsia="宋体" w:cs="Times New Roman"/>
                <w:b/>
                <w:bCs/>
                <w:color w:val="000000"/>
                <w:sz w:val="20"/>
                <w:szCs w:val="20"/>
                <w:highlight w:val="none"/>
              </w:rPr>
            </w:pPr>
            <w:r>
              <w:rPr>
                <w:rFonts w:hint="default" w:ascii="Times New Roman" w:hAnsi="Times New Roman" w:eastAsia="宋体" w:cs="Times New Roman"/>
                <w:b/>
                <w:bCs/>
                <w:color w:val="000000"/>
                <w:kern w:val="0"/>
                <w:sz w:val="20"/>
                <w:szCs w:val="20"/>
                <w:highlight w:val="none"/>
                <w:lang w:bidi="ar"/>
              </w:rPr>
              <w:t>Item 12</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5BC016">
            <w:pPr>
              <w:widowControl/>
              <w:jc w:val="left"/>
              <w:textAlignment w:val="bottom"/>
              <w:rPr>
                <w:rFonts w:hint="default" w:ascii="Times New Roman" w:hAnsi="Times New Roman" w:eastAsia="宋体" w:cs="Times New Roman"/>
                <w:b/>
                <w:bCs/>
                <w:color w:val="000000"/>
                <w:sz w:val="20"/>
                <w:szCs w:val="20"/>
                <w:highlight w:val="none"/>
              </w:rPr>
            </w:pPr>
            <w:r>
              <w:rPr>
                <w:rFonts w:hint="default" w:ascii="Times New Roman" w:hAnsi="Times New Roman" w:eastAsia="宋体" w:cs="Times New Roman"/>
                <w:b/>
                <w:bCs/>
                <w:color w:val="000000"/>
                <w:kern w:val="0"/>
                <w:sz w:val="20"/>
                <w:szCs w:val="20"/>
                <w:highlight w:val="none"/>
                <w:lang w:bidi="ar"/>
              </w:rPr>
              <w:t>Item 13</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3C2093">
            <w:pPr>
              <w:widowControl/>
              <w:jc w:val="left"/>
              <w:textAlignment w:val="bottom"/>
              <w:rPr>
                <w:rFonts w:hint="default" w:ascii="Times New Roman" w:hAnsi="Times New Roman" w:eastAsia="宋体" w:cs="Times New Roman"/>
                <w:b/>
                <w:bCs/>
                <w:color w:val="000000"/>
                <w:sz w:val="20"/>
                <w:szCs w:val="20"/>
                <w:highlight w:val="none"/>
              </w:rPr>
            </w:pPr>
            <w:r>
              <w:rPr>
                <w:rFonts w:hint="default" w:ascii="Times New Roman" w:hAnsi="Times New Roman" w:eastAsia="宋体" w:cs="Times New Roman"/>
                <w:b/>
                <w:bCs/>
                <w:color w:val="000000"/>
                <w:kern w:val="0"/>
                <w:sz w:val="20"/>
                <w:szCs w:val="20"/>
                <w:highlight w:val="none"/>
                <w:lang w:bidi="ar"/>
              </w:rPr>
              <w:t>Item 14</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A8BA0">
            <w:pPr>
              <w:jc w:val="left"/>
              <w:rPr>
                <w:rFonts w:hint="default" w:ascii="Times New Roman" w:hAnsi="Times New Roman" w:eastAsia="宋体" w:cs="Times New Roman"/>
                <w:color w:val="000000"/>
                <w:kern w:val="0"/>
                <w:sz w:val="20"/>
                <w:szCs w:val="20"/>
                <w:highlight w:val="none"/>
                <w:lang w:bidi="ar"/>
              </w:rPr>
            </w:pPr>
            <w:r>
              <w:rPr>
                <w:rFonts w:hint="default" w:ascii="Times New Roman" w:hAnsi="Times New Roman" w:cs="Times New Roman"/>
                <w:b/>
                <w:bCs/>
                <w:color w:val="000000" w:themeColor="text1"/>
                <w:sz w:val="20"/>
                <w:szCs w:val="20"/>
                <w:highlight w:val="none"/>
                <w14:textFill>
                  <w14:solidFill>
                    <w14:schemeClr w14:val="tx1"/>
                  </w14:solidFill>
                </w14:textFill>
              </w:rPr>
              <w:t>Score</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B0BBA">
            <w:pPr>
              <w:jc w:val="left"/>
              <w:rPr>
                <w:rFonts w:hint="default" w:ascii="Times New Roman" w:hAnsi="Times New Roman" w:cs="Times New Roman"/>
                <w:b/>
                <w:bCs/>
                <w:color w:val="000000" w:themeColor="text1"/>
                <w:sz w:val="20"/>
                <w:szCs w:val="20"/>
                <w:highlight w:val="none"/>
                <w14:textFill>
                  <w14:solidFill>
                    <w14:schemeClr w14:val="tx1"/>
                  </w14:solidFill>
                </w14:textFill>
              </w:rPr>
            </w:pPr>
            <w:r>
              <w:rPr>
                <w:rFonts w:hint="default" w:ascii="Times New Roman" w:hAnsi="Times New Roman" w:cs="Times New Roman"/>
                <w:b/>
                <w:bCs/>
                <w:color w:val="000000" w:themeColor="text1"/>
                <w:sz w:val="20"/>
                <w:szCs w:val="20"/>
                <w:highlight w:val="none"/>
                <w14:textFill>
                  <w14:solidFill>
                    <w14:schemeClr w14:val="tx1"/>
                  </w14:solidFill>
                </w14:textFill>
              </w:rPr>
              <w:t>OverallQuality</w:t>
            </w:r>
          </w:p>
        </w:tc>
      </w:tr>
      <w:tr w14:paraId="4BF7AEBE">
        <w:tblPrEx>
          <w:tblCellMar>
            <w:top w:w="0" w:type="dxa"/>
            <w:left w:w="108" w:type="dxa"/>
            <w:bottom w:w="0" w:type="dxa"/>
            <w:right w:w="108" w:type="dxa"/>
          </w:tblCellMar>
        </w:tblPrEx>
        <w:trPr>
          <w:trHeight w:val="119" w:hRule="atLeast"/>
        </w:trPr>
        <w:tc>
          <w:tcPr>
            <w:tcW w:w="2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88C7A">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Zeng 2024 </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C54A2">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CS</w:t>
            </w:r>
          </w:p>
        </w:tc>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487B9">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056E6">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02884">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8CEB7">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C03F6">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EFC4C">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8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C8D9B">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BF9B6">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B96A4">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D651C">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C5F15">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2DBF0">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3C10C">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NA</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3B751">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5C9C3">
            <w:pPr>
              <w:widowControl/>
              <w:jc w:val="left"/>
              <w:textAlignment w:val="center"/>
              <w:rPr>
                <w:rFonts w:hint="default" w:ascii="Times New Roman" w:hAnsi="Times New Roman" w:eastAsia="宋体" w:cs="Times New Roman"/>
                <w:color w:val="000000"/>
                <w:kern w:val="0"/>
                <w:sz w:val="20"/>
                <w:szCs w:val="20"/>
                <w:highlight w:val="none"/>
                <w:lang w:bidi="ar"/>
              </w:rPr>
            </w:pPr>
            <w:r>
              <w:rPr>
                <w:rFonts w:hint="default" w:ascii="Times New Roman" w:hAnsi="Times New Roman" w:eastAsia="宋体" w:cs="Times New Roman"/>
                <w:color w:val="000000"/>
                <w:kern w:val="0"/>
                <w:sz w:val="20"/>
                <w:szCs w:val="20"/>
                <w:highlight w:val="none"/>
                <w:lang w:bidi="ar"/>
              </w:rPr>
              <w:t>9</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A4B32">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High</w:t>
            </w:r>
          </w:p>
        </w:tc>
      </w:tr>
      <w:tr w14:paraId="7FAB1338">
        <w:tblPrEx>
          <w:tblCellMar>
            <w:top w:w="0" w:type="dxa"/>
            <w:left w:w="108" w:type="dxa"/>
            <w:bottom w:w="0" w:type="dxa"/>
            <w:right w:w="108" w:type="dxa"/>
          </w:tblCellMar>
        </w:tblPrEx>
        <w:trPr>
          <w:trHeight w:val="90" w:hRule="atLeast"/>
        </w:trPr>
        <w:tc>
          <w:tcPr>
            <w:tcW w:w="2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1482F">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Promsod 2024 </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694D4">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CS</w:t>
            </w:r>
          </w:p>
        </w:tc>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797DA">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90D6A">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EFCF3">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B8465">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D64E4">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6EC3C">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8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806F4">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E7EB6">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2C8AB">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0525C">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46BB9">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07BCC">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371A5">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NA</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13A97">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5ACB4">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8</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5686B">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High</w:t>
            </w:r>
          </w:p>
        </w:tc>
      </w:tr>
      <w:tr w14:paraId="170EA6C8">
        <w:tblPrEx>
          <w:tblCellMar>
            <w:top w:w="0" w:type="dxa"/>
            <w:left w:w="108" w:type="dxa"/>
            <w:bottom w:w="0" w:type="dxa"/>
            <w:right w:w="108" w:type="dxa"/>
          </w:tblCellMar>
        </w:tblPrEx>
        <w:trPr>
          <w:trHeight w:val="90" w:hRule="atLeast"/>
        </w:trPr>
        <w:tc>
          <w:tcPr>
            <w:tcW w:w="2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42015">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Mondkar 2024</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C2FE3">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PC</w:t>
            </w:r>
          </w:p>
        </w:tc>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01C3B">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743B1">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953EF">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E4A7E">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E3E03">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852F5">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8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26C61">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A0F51">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EA963">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E9C4E">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6FAD2">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1F229">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9A620">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4A17F">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84BAB">
            <w:pPr>
              <w:widowControl/>
              <w:jc w:val="left"/>
              <w:textAlignment w:val="center"/>
              <w:rPr>
                <w:rFonts w:hint="default" w:ascii="Times New Roman" w:hAnsi="Times New Roman" w:eastAsia="宋体" w:cs="Times New Roman"/>
                <w:color w:val="000000"/>
                <w:kern w:val="0"/>
                <w:sz w:val="20"/>
                <w:szCs w:val="20"/>
                <w:highlight w:val="none"/>
                <w:lang w:bidi="ar"/>
              </w:rPr>
            </w:pPr>
            <w:r>
              <w:rPr>
                <w:rFonts w:hint="default" w:ascii="Times New Roman" w:hAnsi="Times New Roman" w:eastAsia="宋体" w:cs="Times New Roman"/>
                <w:color w:val="000000"/>
                <w:kern w:val="0"/>
                <w:sz w:val="20"/>
                <w:szCs w:val="20"/>
                <w:highlight w:val="none"/>
                <w:lang w:bidi="ar"/>
              </w:rPr>
              <w:t>12</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543C3">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High</w:t>
            </w:r>
          </w:p>
        </w:tc>
      </w:tr>
      <w:tr w14:paraId="29B8F71C">
        <w:tblPrEx>
          <w:tblCellMar>
            <w:top w:w="0" w:type="dxa"/>
            <w:left w:w="108" w:type="dxa"/>
            <w:bottom w:w="0" w:type="dxa"/>
            <w:right w:w="108" w:type="dxa"/>
          </w:tblCellMar>
        </w:tblPrEx>
        <w:trPr>
          <w:trHeight w:val="90" w:hRule="atLeast"/>
        </w:trPr>
        <w:tc>
          <w:tcPr>
            <w:tcW w:w="2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FCE53">
            <w:pPr>
              <w:jc w:val="lef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Özkaya 2024</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EFCEC">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222222"/>
                <w:kern w:val="0"/>
                <w:sz w:val="20"/>
                <w:szCs w:val="20"/>
                <w:highlight w:val="none"/>
                <w:lang w:bidi="ar"/>
              </w:rPr>
              <w:t>CS</w:t>
            </w:r>
          </w:p>
        </w:tc>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171E7">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C942F">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38463">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AFC1A">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31726">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10D74">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8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83549">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AA0D7">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C15E7">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38D9E">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B0FC1">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2F672">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3CACD">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NA</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318AD">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9E73F">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8</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C8C5D">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High</w:t>
            </w:r>
          </w:p>
        </w:tc>
      </w:tr>
      <w:tr w14:paraId="32A7E551">
        <w:tblPrEx>
          <w:tblCellMar>
            <w:top w:w="0" w:type="dxa"/>
            <w:left w:w="108" w:type="dxa"/>
            <w:bottom w:w="0" w:type="dxa"/>
            <w:right w:w="108" w:type="dxa"/>
          </w:tblCellMar>
        </w:tblPrEx>
        <w:trPr>
          <w:trHeight w:val="90" w:hRule="atLeast"/>
        </w:trPr>
        <w:tc>
          <w:tcPr>
            <w:tcW w:w="2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EC906">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Cielonko 2023  </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CEF7B">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222222"/>
                <w:kern w:val="0"/>
                <w:sz w:val="20"/>
                <w:szCs w:val="20"/>
                <w:highlight w:val="none"/>
                <w:lang w:bidi="ar"/>
              </w:rPr>
              <w:t>CS</w:t>
            </w:r>
          </w:p>
        </w:tc>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3A1AE8">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DA5645">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DC3CA">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F7E731">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E3C4A">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863215">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A896CF">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E0CC08">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92287">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9868F8">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B3916">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24A33">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DED2A">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NA</w:t>
            </w:r>
          </w:p>
        </w:tc>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DA628">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64099">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8</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D91B6">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High</w:t>
            </w:r>
          </w:p>
        </w:tc>
      </w:tr>
      <w:tr w14:paraId="6C78F670">
        <w:tblPrEx>
          <w:tblCellMar>
            <w:top w:w="0" w:type="dxa"/>
            <w:left w:w="108" w:type="dxa"/>
            <w:bottom w:w="0" w:type="dxa"/>
            <w:right w:w="108" w:type="dxa"/>
          </w:tblCellMar>
        </w:tblPrEx>
        <w:trPr>
          <w:trHeight w:val="90" w:hRule="atLeast"/>
        </w:trPr>
        <w:tc>
          <w:tcPr>
            <w:tcW w:w="2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CF616">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Canat 2023 </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45964">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CS</w:t>
            </w:r>
          </w:p>
        </w:tc>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897629">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A7CF0A">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AF138">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B43B3D">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69269">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69BAAC">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B1F43F">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790A1A">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C5159">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32F14">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03070">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13B53">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AB5D9">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NA</w:t>
            </w:r>
          </w:p>
        </w:tc>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A6B28">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8DAAE">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8</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37FAD">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High</w:t>
            </w:r>
          </w:p>
        </w:tc>
      </w:tr>
      <w:tr w14:paraId="1AF095BE">
        <w:tblPrEx>
          <w:tblCellMar>
            <w:top w:w="0" w:type="dxa"/>
            <w:left w:w="108" w:type="dxa"/>
            <w:bottom w:w="0" w:type="dxa"/>
            <w:right w:w="108" w:type="dxa"/>
          </w:tblCellMar>
        </w:tblPrEx>
        <w:trPr>
          <w:trHeight w:val="90" w:hRule="atLeast"/>
        </w:trPr>
        <w:tc>
          <w:tcPr>
            <w:tcW w:w="2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80C1C">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Malinowska-Polubiec 2023 </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CCA6E">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RC</w:t>
            </w:r>
          </w:p>
        </w:tc>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B8688D">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DF71C0">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1CDBA">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10B55B">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047C8">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E64178">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A0B4FC3">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62AC3E">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BFB0E">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40227">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D93F9">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9FACFA">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5646DE">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7010A">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83F47">
            <w:pPr>
              <w:widowControl/>
              <w:jc w:val="left"/>
              <w:textAlignment w:val="center"/>
              <w:rPr>
                <w:rFonts w:hint="default" w:ascii="Times New Roman" w:hAnsi="Times New Roman" w:eastAsia="宋体" w:cs="Times New Roman"/>
                <w:color w:val="000000"/>
                <w:kern w:val="0"/>
                <w:sz w:val="20"/>
                <w:szCs w:val="20"/>
                <w:highlight w:val="none"/>
                <w:lang w:bidi="ar"/>
              </w:rPr>
            </w:pPr>
            <w:r>
              <w:rPr>
                <w:rFonts w:hint="default" w:ascii="Times New Roman" w:hAnsi="Times New Roman" w:eastAsia="宋体" w:cs="Times New Roman"/>
                <w:color w:val="000000"/>
                <w:kern w:val="0"/>
                <w:sz w:val="20"/>
                <w:szCs w:val="20"/>
                <w:highlight w:val="none"/>
                <w:lang w:bidi="ar"/>
              </w:rPr>
              <w:t>12</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34B09">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High</w:t>
            </w:r>
          </w:p>
        </w:tc>
      </w:tr>
      <w:tr w14:paraId="12124C2D">
        <w:tblPrEx>
          <w:tblCellMar>
            <w:top w:w="0" w:type="dxa"/>
            <w:left w:w="108" w:type="dxa"/>
            <w:bottom w:w="0" w:type="dxa"/>
            <w:right w:w="108" w:type="dxa"/>
          </w:tblCellMar>
        </w:tblPrEx>
        <w:trPr>
          <w:trHeight w:val="90" w:hRule="atLeast"/>
        </w:trPr>
        <w:tc>
          <w:tcPr>
            <w:tcW w:w="2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87E92">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Jirawatwarakul 2023</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DF1BE">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RC</w:t>
            </w:r>
          </w:p>
        </w:tc>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3BB5E2">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C52B48">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B237B">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4BEE1C">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49DB4">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7534D">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8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A4636">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C49734">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4A6BC">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7DDFC">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D9424">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9907F0">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D29DD">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NR</w:t>
            </w:r>
          </w:p>
        </w:tc>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FC6B7">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8015C">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11</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0A7CA">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High</w:t>
            </w:r>
          </w:p>
        </w:tc>
      </w:tr>
      <w:tr w14:paraId="218164B8">
        <w:tblPrEx>
          <w:tblCellMar>
            <w:top w:w="0" w:type="dxa"/>
            <w:left w:w="108" w:type="dxa"/>
            <w:bottom w:w="0" w:type="dxa"/>
            <w:right w:w="108" w:type="dxa"/>
          </w:tblCellMar>
        </w:tblPrEx>
        <w:trPr>
          <w:trHeight w:val="90" w:hRule="atLeast"/>
        </w:trPr>
        <w:tc>
          <w:tcPr>
            <w:tcW w:w="2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64AE6">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Oza 2023 </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71682">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PC</w:t>
            </w:r>
          </w:p>
        </w:tc>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7D162C">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EB57C1">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F895D">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F4FC7B">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1D59F">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27FA2A">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0FD2A8">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7500B5">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D8744">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F87D2">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0D519">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C247DD">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09F1A4">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50A83">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55C82">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12</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FCB12">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High</w:t>
            </w:r>
          </w:p>
        </w:tc>
      </w:tr>
      <w:tr w14:paraId="311DD868">
        <w:tblPrEx>
          <w:tblCellMar>
            <w:top w:w="0" w:type="dxa"/>
            <w:left w:w="108" w:type="dxa"/>
            <w:bottom w:w="0" w:type="dxa"/>
            <w:right w:w="108" w:type="dxa"/>
          </w:tblCellMar>
        </w:tblPrEx>
        <w:trPr>
          <w:trHeight w:val="90" w:hRule="atLeast"/>
        </w:trPr>
        <w:tc>
          <w:tcPr>
            <w:tcW w:w="2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2A1B8">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Popa 2023 </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E9C19">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CS</w:t>
            </w:r>
          </w:p>
        </w:tc>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46032E">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8461D3">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C43A8">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NR</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F506EA">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49046">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885D2F">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54759F">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8993D0">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63A8C">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D909E">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A17DF">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886A7D">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433926">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NA</w:t>
            </w:r>
          </w:p>
        </w:tc>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3A2F4">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03B57">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7</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84956">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微软雅黑" w:cs="Times New Roman"/>
                <w:color w:val="000000" w:themeColor="text1"/>
                <w:kern w:val="0"/>
                <w:sz w:val="20"/>
                <w:szCs w:val="20"/>
                <w:highlight w:val="none"/>
                <w:lang w:bidi="ar"/>
                <w14:textFill>
                  <w14:solidFill>
                    <w14:schemeClr w14:val="tx1"/>
                  </w14:solidFill>
                </w14:textFill>
              </w:rPr>
              <w:t>Medium</w:t>
            </w:r>
          </w:p>
        </w:tc>
      </w:tr>
      <w:tr w14:paraId="72EDF676">
        <w:tblPrEx>
          <w:tblCellMar>
            <w:top w:w="0" w:type="dxa"/>
            <w:left w:w="108" w:type="dxa"/>
            <w:bottom w:w="0" w:type="dxa"/>
            <w:right w:w="108" w:type="dxa"/>
          </w:tblCellMar>
        </w:tblPrEx>
        <w:trPr>
          <w:trHeight w:val="90" w:hRule="atLeast"/>
        </w:trPr>
        <w:tc>
          <w:tcPr>
            <w:tcW w:w="2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842DB">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Karguppikar 2022</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C6B33">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CS</w:t>
            </w:r>
          </w:p>
        </w:tc>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7F2FD3">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415157">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D8F2E">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9827BD">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69DBA">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71E04">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8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58BA8">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4B04A7">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2E1BB">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6D521">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E37C8">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D6352B">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C90A4">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NA</w:t>
            </w:r>
          </w:p>
        </w:tc>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B37D2">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DD4B3">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8</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A8B73">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High</w:t>
            </w:r>
          </w:p>
        </w:tc>
      </w:tr>
      <w:tr w14:paraId="4676AB58">
        <w:tblPrEx>
          <w:tblCellMar>
            <w:top w:w="0" w:type="dxa"/>
            <w:left w:w="108" w:type="dxa"/>
            <w:bottom w:w="0" w:type="dxa"/>
            <w:right w:w="108" w:type="dxa"/>
          </w:tblCellMar>
        </w:tblPrEx>
        <w:trPr>
          <w:trHeight w:val="90" w:hRule="atLeast"/>
        </w:trPr>
        <w:tc>
          <w:tcPr>
            <w:tcW w:w="2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57909">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Kietsiriroje 2022 </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B26FA">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CS</w:t>
            </w:r>
          </w:p>
        </w:tc>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C99BD2">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ED0CE8">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D78D8">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NR</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2684B9">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8FCA2">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AA5F4">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8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3D177">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10D53">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4C144">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A24AE">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F4A77">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CA4627">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812A1">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NA</w:t>
            </w:r>
          </w:p>
        </w:tc>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56819">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E32B3">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7</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00368">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微软雅黑" w:cs="Times New Roman"/>
                <w:color w:val="000000" w:themeColor="text1"/>
                <w:kern w:val="0"/>
                <w:sz w:val="20"/>
                <w:szCs w:val="20"/>
                <w:highlight w:val="none"/>
                <w:lang w:bidi="ar"/>
                <w14:textFill>
                  <w14:solidFill>
                    <w14:schemeClr w14:val="tx1"/>
                  </w14:solidFill>
                </w14:textFill>
              </w:rPr>
              <w:t>Medium</w:t>
            </w:r>
          </w:p>
        </w:tc>
      </w:tr>
      <w:tr w14:paraId="249A686E">
        <w:tblPrEx>
          <w:tblCellMar>
            <w:top w:w="0" w:type="dxa"/>
            <w:left w:w="108" w:type="dxa"/>
            <w:bottom w:w="0" w:type="dxa"/>
            <w:right w:w="108" w:type="dxa"/>
          </w:tblCellMar>
        </w:tblPrEx>
        <w:trPr>
          <w:trHeight w:val="90" w:hRule="atLeast"/>
        </w:trPr>
        <w:tc>
          <w:tcPr>
            <w:tcW w:w="2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E4435">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Lecumberr 2022 </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16B22">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CS</w:t>
            </w:r>
          </w:p>
        </w:tc>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882E63">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91CC6A">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594AF">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5A73AC">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000E4">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2B4600">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1D454A4">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E98B28">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B7B7C">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2214B8">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52287">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8F59D2">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35D977">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NA</w:t>
            </w:r>
          </w:p>
        </w:tc>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30091">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2B160">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9</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801B7">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High</w:t>
            </w:r>
          </w:p>
        </w:tc>
      </w:tr>
      <w:tr w14:paraId="73FEE20D">
        <w:tblPrEx>
          <w:tblCellMar>
            <w:top w:w="0" w:type="dxa"/>
            <w:left w:w="108" w:type="dxa"/>
            <w:bottom w:w="0" w:type="dxa"/>
            <w:right w:w="108" w:type="dxa"/>
          </w:tblCellMar>
        </w:tblPrEx>
        <w:trPr>
          <w:trHeight w:val="90" w:hRule="atLeast"/>
        </w:trPr>
        <w:tc>
          <w:tcPr>
            <w:tcW w:w="2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4C586">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Valente 2022</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7F646">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CS</w:t>
            </w:r>
          </w:p>
        </w:tc>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AB7654">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F31F52">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90004">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NR</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821D62">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D30DA">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52505F">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088183">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F27E6D">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D307A">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C2E093">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45543">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AB5D7B">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6E0719">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NA</w:t>
            </w:r>
          </w:p>
        </w:tc>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33406">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66C67">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7</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38B16">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微软雅黑" w:cs="Times New Roman"/>
                <w:color w:val="000000" w:themeColor="text1"/>
                <w:kern w:val="0"/>
                <w:sz w:val="20"/>
                <w:szCs w:val="20"/>
                <w:highlight w:val="none"/>
                <w:lang w:bidi="ar"/>
                <w14:textFill>
                  <w14:solidFill>
                    <w14:schemeClr w14:val="tx1"/>
                  </w14:solidFill>
                </w14:textFill>
              </w:rPr>
              <w:t>Medium</w:t>
            </w:r>
          </w:p>
        </w:tc>
      </w:tr>
      <w:tr w14:paraId="501AC80A">
        <w:tblPrEx>
          <w:tblCellMar>
            <w:top w:w="0" w:type="dxa"/>
            <w:left w:w="108" w:type="dxa"/>
            <w:bottom w:w="0" w:type="dxa"/>
            <w:right w:w="108" w:type="dxa"/>
          </w:tblCellMar>
        </w:tblPrEx>
        <w:trPr>
          <w:trHeight w:val="90" w:hRule="atLeast"/>
        </w:trPr>
        <w:tc>
          <w:tcPr>
            <w:tcW w:w="2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EC5A5">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Calcaterra 2021 </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295A5">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CS</w:t>
            </w:r>
          </w:p>
        </w:tc>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C0576E">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575EAC">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24E55">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A463C1">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72743">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A7CF7">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8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DBE3E">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AA3C0F">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4ED1E">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769E8">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030BD">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C60922">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240BF">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NA</w:t>
            </w:r>
          </w:p>
        </w:tc>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55265">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47972">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9</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155E0">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High</w:t>
            </w:r>
          </w:p>
        </w:tc>
      </w:tr>
      <w:tr w14:paraId="4EAD6A22">
        <w:tblPrEx>
          <w:tblCellMar>
            <w:top w:w="0" w:type="dxa"/>
            <w:left w:w="108" w:type="dxa"/>
            <w:bottom w:w="0" w:type="dxa"/>
            <w:right w:w="108" w:type="dxa"/>
          </w:tblCellMar>
        </w:tblPrEx>
        <w:trPr>
          <w:trHeight w:val="90" w:hRule="atLeast"/>
        </w:trPr>
        <w:tc>
          <w:tcPr>
            <w:tcW w:w="2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94D54">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Helliwell 2021</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A22E0">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CS</w:t>
            </w:r>
          </w:p>
        </w:tc>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0F4CD5">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4B0374">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5B111">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NR</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573789">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EE81C">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9D53F">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8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B670D">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A26378">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3E689">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568A1">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F2EBC">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DCA50A">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3376E">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NA</w:t>
            </w:r>
          </w:p>
        </w:tc>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E0C7E">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A1E75">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6</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09B22">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微软雅黑" w:cs="Times New Roman"/>
                <w:color w:val="000000" w:themeColor="text1"/>
                <w:kern w:val="0"/>
                <w:sz w:val="20"/>
                <w:szCs w:val="20"/>
                <w:highlight w:val="none"/>
                <w:lang w:bidi="ar"/>
                <w14:textFill>
                  <w14:solidFill>
                    <w14:schemeClr w14:val="tx1"/>
                  </w14:solidFill>
                </w14:textFill>
              </w:rPr>
              <w:t>Medium</w:t>
            </w:r>
          </w:p>
        </w:tc>
      </w:tr>
      <w:tr w14:paraId="56EFB007">
        <w:tblPrEx>
          <w:tblCellMar>
            <w:top w:w="0" w:type="dxa"/>
            <w:left w:w="108" w:type="dxa"/>
            <w:bottom w:w="0" w:type="dxa"/>
            <w:right w:w="108" w:type="dxa"/>
          </w:tblCellMar>
        </w:tblPrEx>
        <w:trPr>
          <w:trHeight w:val="90" w:hRule="atLeast"/>
        </w:trPr>
        <w:tc>
          <w:tcPr>
            <w:tcW w:w="2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96A1B">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Miller 2019</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433F6">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PC</w:t>
            </w:r>
          </w:p>
        </w:tc>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433C0F">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F104CA">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FFED2">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8E540B">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75280">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AACF86">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5CB1BB1">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E018B1">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04602">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789A0">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1B966">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4ACCCC">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24DF8A">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93B72">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BB26F">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12</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AF4F5">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High</w:t>
            </w:r>
          </w:p>
        </w:tc>
      </w:tr>
      <w:tr w14:paraId="70AACF3A">
        <w:tblPrEx>
          <w:tblCellMar>
            <w:top w:w="0" w:type="dxa"/>
            <w:left w:w="108" w:type="dxa"/>
            <w:bottom w:w="0" w:type="dxa"/>
            <w:right w:w="108" w:type="dxa"/>
          </w:tblCellMar>
        </w:tblPrEx>
        <w:trPr>
          <w:trHeight w:val="90" w:hRule="atLeast"/>
        </w:trPr>
        <w:tc>
          <w:tcPr>
            <w:tcW w:w="2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18F2B">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Ibrahim 2020 </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0667D">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CS</w:t>
            </w:r>
          </w:p>
        </w:tc>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DA0B26">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872645">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4F926">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NR</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475C33">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0C2CD">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D10E04">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D09F7F5">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5FC71C">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646C5">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00947">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83A0F">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DE1D77">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14A419">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NA</w:t>
            </w:r>
          </w:p>
        </w:tc>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A3D55">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0BE1E">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7</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64ACA">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微软雅黑" w:cs="Times New Roman"/>
                <w:color w:val="000000" w:themeColor="text1"/>
                <w:kern w:val="0"/>
                <w:sz w:val="20"/>
                <w:szCs w:val="20"/>
                <w:highlight w:val="none"/>
                <w:lang w:bidi="ar"/>
                <w14:textFill>
                  <w14:solidFill>
                    <w14:schemeClr w14:val="tx1"/>
                  </w14:solidFill>
                </w14:textFill>
              </w:rPr>
              <w:t>Medium</w:t>
            </w:r>
          </w:p>
        </w:tc>
      </w:tr>
      <w:tr w14:paraId="560A3E3E">
        <w:tblPrEx>
          <w:tblCellMar>
            <w:top w:w="0" w:type="dxa"/>
            <w:left w:w="108" w:type="dxa"/>
            <w:bottom w:w="0" w:type="dxa"/>
            <w:right w:w="108" w:type="dxa"/>
          </w:tblCellMar>
        </w:tblPrEx>
        <w:trPr>
          <w:trHeight w:val="90" w:hRule="atLeast"/>
        </w:trPr>
        <w:tc>
          <w:tcPr>
            <w:tcW w:w="2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AD8F9">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Simoniene 2020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AF3C2">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CS</w:t>
            </w:r>
          </w:p>
        </w:tc>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87ED0D">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66C8ED">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1638E">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C7C41F">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F3B41">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DCD0C2">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B1EE484">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7977D8">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096CC">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B7744">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49F4B">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855EB1">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46D9D">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NA</w:t>
            </w:r>
          </w:p>
        </w:tc>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B79B1">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022C4">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9</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FB9A6">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High</w:t>
            </w:r>
          </w:p>
        </w:tc>
      </w:tr>
      <w:tr w14:paraId="0B868FBF">
        <w:tblPrEx>
          <w:tblCellMar>
            <w:top w:w="0" w:type="dxa"/>
            <w:left w:w="108" w:type="dxa"/>
            <w:bottom w:w="0" w:type="dxa"/>
            <w:right w:w="108" w:type="dxa"/>
          </w:tblCellMar>
        </w:tblPrEx>
        <w:trPr>
          <w:trHeight w:val="90" w:hRule="atLeast"/>
        </w:trPr>
        <w:tc>
          <w:tcPr>
            <w:tcW w:w="2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B06A4">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Nishtala 2020 </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16034">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CS</w:t>
            </w:r>
          </w:p>
        </w:tc>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8515FD">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F51152">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9EB18">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NR</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661B18">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41F4D">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812343">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102F260">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E748A1">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2893C">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D3410">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34D1F">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B1F4F4">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ADFA1">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NA</w:t>
            </w:r>
          </w:p>
        </w:tc>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085DD">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DEA0A">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6</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F36B4">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微软雅黑" w:cs="Times New Roman"/>
                <w:color w:val="000000" w:themeColor="text1"/>
                <w:kern w:val="0"/>
                <w:sz w:val="20"/>
                <w:szCs w:val="20"/>
                <w:highlight w:val="none"/>
                <w:lang w:bidi="ar"/>
                <w14:textFill>
                  <w14:solidFill>
                    <w14:schemeClr w14:val="tx1"/>
                  </w14:solidFill>
                </w14:textFill>
              </w:rPr>
              <w:t>Medium</w:t>
            </w:r>
          </w:p>
        </w:tc>
      </w:tr>
      <w:tr w14:paraId="0064186D">
        <w:tblPrEx>
          <w:tblCellMar>
            <w:top w:w="0" w:type="dxa"/>
            <w:left w:w="108" w:type="dxa"/>
            <w:bottom w:w="0" w:type="dxa"/>
            <w:right w:w="108" w:type="dxa"/>
          </w:tblCellMar>
        </w:tblPrEx>
        <w:trPr>
          <w:trHeight w:val="90" w:hRule="atLeast"/>
        </w:trPr>
        <w:tc>
          <w:tcPr>
            <w:tcW w:w="2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C2FD8">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Garofolo 2020</w:t>
            </w:r>
          </w:p>
        </w:tc>
        <w:tc>
          <w:tcPr>
            <w:tcW w:w="6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ED9C4A">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PC</w:t>
            </w:r>
          </w:p>
        </w:tc>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F94028">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E53551">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379E0">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B7F4B">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5A703">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5DB82">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8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8C62C">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2D5673">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7B5B6">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64D77">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81BFD">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46795A">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2E5B2">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0D879">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B48C6">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13</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8D05F">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High</w:t>
            </w:r>
          </w:p>
        </w:tc>
      </w:tr>
      <w:tr w14:paraId="468982D2">
        <w:tblPrEx>
          <w:tblCellMar>
            <w:top w:w="0" w:type="dxa"/>
            <w:left w:w="108" w:type="dxa"/>
            <w:bottom w:w="0" w:type="dxa"/>
            <w:right w:w="108" w:type="dxa"/>
          </w:tblCellMar>
        </w:tblPrEx>
        <w:trPr>
          <w:trHeight w:val="90" w:hRule="atLeast"/>
        </w:trPr>
        <w:tc>
          <w:tcPr>
            <w:tcW w:w="2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78099">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Köken 2020 </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72E78">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CS</w:t>
            </w:r>
          </w:p>
        </w:tc>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6542A5">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7CAFBF">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21951">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NR</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FB00BA">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CE472">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E3594D">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EA2C0E1">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B858D7">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A6743">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6D086">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CBAD1">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45A1CF">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2CC205">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NA</w:t>
            </w:r>
          </w:p>
        </w:tc>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2FFD8">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B10B1">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7</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2267A">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微软雅黑" w:cs="Times New Roman"/>
                <w:color w:val="000000" w:themeColor="text1"/>
                <w:kern w:val="0"/>
                <w:sz w:val="20"/>
                <w:szCs w:val="20"/>
                <w:highlight w:val="none"/>
                <w:lang w:bidi="ar"/>
                <w14:textFill>
                  <w14:solidFill>
                    <w14:schemeClr w14:val="tx1"/>
                  </w14:solidFill>
                </w14:textFill>
              </w:rPr>
              <w:t>Medium</w:t>
            </w:r>
          </w:p>
        </w:tc>
      </w:tr>
      <w:tr w14:paraId="4B8E0D99">
        <w:tblPrEx>
          <w:tblCellMar>
            <w:top w:w="0" w:type="dxa"/>
            <w:left w:w="108" w:type="dxa"/>
            <w:bottom w:w="0" w:type="dxa"/>
            <w:right w:w="108" w:type="dxa"/>
          </w:tblCellMar>
        </w:tblPrEx>
        <w:trPr>
          <w:trHeight w:val="90" w:hRule="atLeast"/>
        </w:trPr>
        <w:tc>
          <w:tcPr>
            <w:tcW w:w="2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D201A">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Rusu A, 2019 </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19B87">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CS</w:t>
            </w:r>
          </w:p>
        </w:tc>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E26FBC">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F197F9">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A66ED">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2AE825">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D1F62">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04BAE">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8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8AFB9">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6DB612">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46C10">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FC878">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96E7D">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4ACFE2">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31E3D">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NA</w:t>
            </w:r>
          </w:p>
        </w:tc>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0E582">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A2FD5">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9</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259F4">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High</w:t>
            </w:r>
          </w:p>
        </w:tc>
      </w:tr>
      <w:tr w14:paraId="3C4C8033">
        <w:tblPrEx>
          <w:tblCellMar>
            <w:top w:w="0" w:type="dxa"/>
            <w:left w:w="108" w:type="dxa"/>
            <w:bottom w:w="0" w:type="dxa"/>
            <w:right w:w="108" w:type="dxa"/>
          </w:tblCellMar>
        </w:tblPrEx>
        <w:trPr>
          <w:trHeight w:val="90" w:hRule="atLeast"/>
        </w:trPr>
        <w:tc>
          <w:tcPr>
            <w:tcW w:w="2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4908F">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Rogowicz-Frontczak 2018 </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0F50B">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CS</w:t>
            </w:r>
          </w:p>
        </w:tc>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777423">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F0654A">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CBA17">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NR</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068833">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E5C67">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8DAD6">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8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F81A1">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D238E">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BBCC7">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C5AFE">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C1EC7">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39C6DF">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34ED6">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NA</w:t>
            </w:r>
          </w:p>
        </w:tc>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1A6D6">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B1D30">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6</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D2530">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微软雅黑" w:cs="Times New Roman"/>
                <w:color w:val="000000" w:themeColor="text1"/>
                <w:kern w:val="0"/>
                <w:sz w:val="20"/>
                <w:szCs w:val="20"/>
                <w:highlight w:val="none"/>
                <w:lang w:bidi="ar"/>
                <w14:textFill>
                  <w14:solidFill>
                    <w14:schemeClr w14:val="tx1"/>
                  </w14:solidFill>
                </w14:textFill>
              </w:rPr>
              <w:t>Medium</w:t>
            </w:r>
          </w:p>
        </w:tc>
      </w:tr>
      <w:tr w14:paraId="1935287B">
        <w:tblPrEx>
          <w:tblCellMar>
            <w:top w:w="0" w:type="dxa"/>
            <w:left w:w="108" w:type="dxa"/>
            <w:bottom w:w="0" w:type="dxa"/>
            <w:right w:w="108" w:type="dxa"/>
          </w:tblCellMar>
        </w:tblPrEx>
        <w:trPr>
          <w:trHeight w:val="90" w:hRule="atLeast"/>
        </w:trPr>
        <w:tc>
          <w:tcPr>
            <w:tcW w:w="2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94CB9">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Sheriba 2018 </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964A2">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PC</w:t>
            </w:r>
          </w:p>
        </w:tc>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C6F8EF">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0A8060">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930E6">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248AB4">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14F13">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EB9E1A">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32484D8">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6891BD">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B3953">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E31E4">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BFE9A">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ECE371">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1ABFF">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D296D">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F10E7">
            <w:pPr>
              <w:widowControl/>
              <w:jc w:val="left"/>
              <w:textAlignment w:val="center"/>
              <w:rPr>
                <w:rFonts w:hint="default" w:ascii="Times New Roman" w:hAnsi="Times New Roman" w:eastAsia="宋体" w:cs="Times New Roman"/>
                <w:color w:val="000000"/>
                <w:kern w:val="0"/>
                <w:sz w:val="20"/>
                <w:szCs w:val="20"/>
                <w:highlight w:val="none"/>
                <w:lang w:bidi="ar"/>
              </w:rPr>
            </w:pPr>
            <w:r>
              <w:rPr>
                <w:rFonts w:hint="default" w:ascii="Times New Roman" w:hAnsi="Times New Roman" w:eastAsia="宋体" w:cs="Times New Roman"/>
                <w:color w:val="000000"/>
                <w:kern w:val="0"/>
                <w:sz w:val="20"/>
                <w:szCs w:val="20"/>
                <w:highlight w:val="none"/>
                <w:lang w:bidi="ar"/>
              </w:rPr>
              <w:t>12</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906AB">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High</w:t>
            </w:r>
          </w:p>
        </w:tc>
      </w:tr>
      <w:tr w14:paraId="0B8A787A">
        <w:tblPrEx>
          <w:tblCellMar>
            <w:top w:w="0" w:type="dxa"/>
            <w:left w:w="108" w:type="dxa"/>
            <w:bottom w:w="0" w:type="dxa"/>
            <w:right w:w="108" w:type="dxa"/>
          </w:tblCellMar>
        </w:tblPrEx>
        <w:trPr>
          <w:trHeight w:val="90" w:hRule="atLeast"/>
        </w:trPr>
        <w:tc>
          <w:tcPr>
            <w:tcW w:w="2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FE0E8">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Fernandez-Miro 2017 </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CA6EB">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CS</w:t>
            </w:r>
          </w:p>
        </w:tc>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C65B3C">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1A6CAB">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45ED7">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7716DF">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701CB">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52588">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8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CB522">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7DB5D">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B38BF">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4BA67">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30697">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DD22BC">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BCDEF">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NA</w:t>
            </w:r>
          </w:p>
        </w:tc>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5B0DF">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FE6F5">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8</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40F61">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High</w:t>
            </w:r>
          </w:p>
        </w:tc>
      </w:tr>
      <w:tr w14:paraId="4B821221">
        <w:tblPrEx>
          <w:tblCellMar>
            <w:top w:w="0" w:type="dxa"/>
            <w:left w:w="108" w:type="dxa"/>
            <w:bottom w:w="0" w:type="dxa"/>
            <w:right w:w="108" w:type="dxa"/>
          </w:tblCellMar>
        </w:tblPrEx>
        <w:trPr>
          <w:trHeight w:val="90" w:hRule="atLeast"/>
        </w:trPr>
        <w:tc>
          <w:tcPr>
            <w:tcW w:w="2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6F80F">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Calcaterra 2018 </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E7865">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CS</w:t>
            </w:r>
          </w:p>
        </w:tc>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41D345">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A4552C">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8A4C4">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NR</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61DE7">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33063">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FC9A0">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8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7A25A">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0DDC1">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FF2F7">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39B27">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CECCB">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19A7A2">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46A86">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NA</w:t>
            </w:r>
          </w:p>
        </w:tc>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58E4D">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52CFF">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6</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12CA2">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微软雅黑" w:cs="Times New Roman"/>
                <w:color w:val="000000" w:themeColor="text1"/>
                <w:kern w:val="0"/>
                <w:sz w:val="20"/>
                <w:szCs w:val="20"/>
                <w:highlight w:val="none"/>
                <w:lang w:bidi="ar"/>
                <w14:textFill>
                  <w14:solidFill>
                    <w14:schemeClr w14:val="tx1"/>
                  </w14:solidFill>
                </w14:textFill>
              </w:rPr>
              <w:t>Medium</w:t>
            </w:r>
          </w:p>
        </w:tc>
      </w:tr>
      <w:tr w14:paraId="150CF5EA">
        <w:tblPrEx>
          <w:tblCellMar>
            <w:top w:w="0" w:type="dxa"/>
            <w:left w:w="108" w:type="dxa"/>
            <w:bottom w:w="0" w:type="dxa"/>
            <w:right w:w="108" w:type="dxa"/>
          </w:tblCellMar>
        </w:tblPrEx>
        <w:trPr>
          <w:trHeight w:val="90" w:hRule="atLeast"/>
        </w:trPr>
        <w:tc>
          <w:tcPr>
            <w:tcW w:w="2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758A9">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Gon 2017</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73120">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CS</w:t>
            </w:r>
          </w:p>
        </w:tc>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9A9CF4">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833D41">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9895E">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NR</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BF1DA">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0B972">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DCE1B">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8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9CA45">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6A298">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3BE9F">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F5865">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62B12">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28E5BB">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C35D6">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NA</w:t>
            </w:r>
          </w:p>
        </w:tc>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FB813">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200BB">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6</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CC6CB">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微软雅黑" w:cs="Times New Roman"/>
                <w:color w:val="000000" w:themeColor="text1"/>
                <w:kern w:val="0"/>
                <w:sz w:val="20"/>
                <w:szCs w:val="20"/>
                <w:highlight w:val="none"/>
                <w:lang w:bidi="ar"/>
                <w14:textFill>
                  <w14:solidFill>
                    <w14:schemeClr w14:val="tx1"/>
                  </w14:solidFill>
                </w14:textFill>
              </w:rPr>
              <w:t>Medium</w:t>
            </w:r>
          </w:p>
        </w:tc>
      </w:tr>
      <w:tr w14:paraId="5D267FAD">
        <w:tblPrEx>
          <w:tblCellMar>
            <w:top w:w="0" w:type="dxa"/>
            <w:left w:w="108" w:type="dxa"/>
            <w:bottom w:w="0" w:type="dxa"/>
            <w:right w:w="108" w:type="dxa"/>
          </w:tblCellMar>
        </w:tblPrEx>
        <w:trPr>
          <w:trHeight w:val="90" w:hRule="atLeast"/>
        </w:trPr>
        <w:tc>
          <w:tcPr>
            <w:tcW w:w="2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647EF">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Kupfer 2017</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2DE5B">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CS</w:t>
            </w:r>
          </w:p>
        </w:tc>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4402E5">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DC174A">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9C8EB">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NR</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A3D141">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0C5FB">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2B08A">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8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5CFBA">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1DCD3">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D6120">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213E9">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CF1DD">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59E888">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E4401">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NA</w:t>
            </w:r>
          </w:p>
        </w:tc>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D35D7">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D85E3">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7</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181C2">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微软雅黑" w:cs="Times New Roman"/>
                <w:color w:val="000000" w:themeColor="text1"/>
                <w:kern w:val="0"/>
                <w:sz w:val="20"/>
                <w:szCs w:val="20"/>
                <w:highlight w:val="none"/>
                <w:lang w:bidi="ar"/>
                <w14:textFill>
                  <w14:solidFill>
                    <w14:schemeClr w14:val="tx1"/>
                  </w14:solidFill>
                </w14:textFill>
              </w:rPr>
              <w:t>Medium</w:t>
            </w:r>
          </w:p>
        </w:tc>
      </w:tr>
      <w:tr w14:paraId="3959BA20">
        <w:tblPrEx>
          <w:tblCellMar>
            <w:top w:w="0" w:type="dxa"/>
            <w:left w:w="108" w:type="dxa"/>
            <w:bottom w:w="0" w:type="dxa"/>
            <w:right w:w="108" w:type="dxa"/>
          </w:tblCellMar>
        </w:tblPrEx>
        <w:trPr>
          <w:trHeight w:val="295" w:hRule="atLeast"/>
        </w:trPr>
        <w:tc>
          <w:tcPr>
            <w:tcW w:w="2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6281F">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Uday 2017 </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4ABFA">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CS</w:t>
            </w:r>
          </w:p>
        </w:tc>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4F0E4D">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B9C2E8">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F8668">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A92198">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4BCB1">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0BF53">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8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5CE99">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20090">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28C99">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9B186">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76A17">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8D1C24">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90310">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NA</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D3A05">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5B273">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9</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A6368">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High</w:t>
            </w:r>
          </w:p>
        </w:tc>
      </w:tr>
      <w:tr w14:paraId="25D369C4">
        <w:tblPrEx>
          <w:tblCellMar>
            <w:top w:w="0" w:type="dxa"/>
            <w:left w:w="108" w:type="dxa"/>
            <w:bottom w:w="0" w:type="dxa"/>
            <w:right w:w="108" w:type="dxa"/>
          </w:tblCellMar>
        </w:tblPrEx>
        <w:trPr>
          <w:trHeight w:val="90" w:hRule="atLeast"/>
        </w:trPr>
        <w:tc>
          <w:tcPr>
            <w:tcW w:w="2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FCA71">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Vladu 2017</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CF5E4">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CS</w:t>
            </w:r>
          </w:p>
        </w:tc>
        <w:tc>
          <w:tcPr>
            <w:tcW w:w="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1D029">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40EAC">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2A398">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NR</w:t>
            </w:r>
          </w:p>
        </w:tc>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DD76E">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7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9354E">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B445E">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237B92">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5263C">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7A2AD6">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AEA341">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7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B1264">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9B764E">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BE588">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NA</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02B3E">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75ABF">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6</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8E264">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微软雅黑" w:cs="Times New Roman"/>
                <w:color w:val="000000" w:themeColor="text1"/>
                <w:kern w:val="0"/>
                <w:sz w:val="20"/>
                <w:szCs w:val="20"/>
                <w:highlight w:val="none"/>
                <w:lang w:bidi="ar"/>
                <w14:textFill>
                  <w14:solidFill>
                    <w14:schemeClr w14:val="tx1"/>
                  </w14:solidFill>
                </w14:textFill>
              </w:rPr>
              <w:t>Medium</w:t>
            </w:r>
          </w:p>
        </w:tc>
      </w:tr>
      <w:tr w14:paraId="3B258479">
        <w:tblPrEx>
          <w:tblCellMar>
            <w:top w:w="0" w:type="dxa"/>
            <w:left w:w="108" w:type="dxa"/>
            <w:bottom w:w="0" w:type="dxa"/>
            <w:right w:w="108" w:type="dxa"/>
          </w:tblCellMar>
        </w:tblPrEx>
        <w:trPr>
          <w:trHeight w:val="90" w:hRule="atLeast"/>
        </w:trPr>
        <w:tc>
          <w:tcPr>
            <w:tcW w:w="2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7A92F">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Duvnjak 2016 </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BC2AC">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PC</w:t>
            </w:r>
          </w:p>
        </w:tc>
        <w:tc>
          <w:tcPr>
            <w:tcW w:w="6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CB14EC">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CC5B8">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A9A1B">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8E176">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514FC">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1DA8F0">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4795C">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78E7D1">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8DD0A">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1B4537">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6E2B8A">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A103E">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E1780">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C1E0B">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879CF">
            <w:pPr>
              <w:widowControl/>
              <w:jc w:val="left"/>
              <w:textAlignment w:val="center"/>
              <w:rPr>
                <w:rFonts w:hint="default" w:ascii="Times New Roman" w:hAnsi="Times New Roman" w:eastAsia="宋体" w:cs="Times New Roman"/>
                <w:color w:val="000000"/>
                <w:kern w:val="0"/>
                <w:sz w:val="20"/>
                <w:szCs w:val="20"/>
                <w:highlight w:val="none"/>
                <w:lang w:bidi="ar"/>
              </w:rPr>
            </w:pPr>
            <w:r>
              <w:rPr>
                <w:rFonts w:hint="default" w:ascii="Times New Roman" w:hAnsi="Times New Roman" w:eastAsia="宋体" w:cs="Times New Roman"/>
                <w:color w:val="000000"/>
                <w:kern w:val="0"/>
                <w:sz w:val="20"/>
                <w:szCs w:val="20"/>
                <w:highlight w:val="none"/>
                <w:lang w:bidi="ar"/>
              </w:rPr>
              <w:t>12</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22189">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High</w:t>
            </w:r>
          </w:p>
        </w:tc>
      </w:tr>
      <w:tr w14:paraId="7560F976">
        <w:tblPrEx>
          <w:tblCellMar>
            <w:top w:w="0" w:type="dxa"/>
            <w:left w:w="108" w:type="dxa"/>
            <w:bottom w:w="0" w:type="dxa"/>
            <w:right w:w="108" w:type="dxa"/>
          </w:tblCellMar>
        </w:tblPrEx>
        <w:trPr>
          <w:trHeight w:val="198" w:hRule="atLeast"/>
        </w:trPr>
        <w:tc>
          <w:tcPr>
            <w:tcW w:w="2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51806">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Pop 2016</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1586E">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CS</w:t>
            </w:r>
          </w:p>
        </w:tc>
        <w:tc>
          <w:tcPr>
            <w:tcW w:w="6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FDD984">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11FC2">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16092E">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NR</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3F655">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026A3">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34D7A09">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F129F">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481354">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F72E2">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FF6C5C">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3CF038">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5635A9B">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5EA15">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NA</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39255">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7DF68">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6</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4BF8A">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微软雅黑" w:cs="Times New Roman"/>
                <w:color w:val="000000" w:themeColor="text1"/>
                <w:kern w:val="0"/>
                <w:sz w:val="20"/>
                <w:szCs w:val="20"/>
                <w:highlight w:val="none"/>
                <w:lang w:bidi="ar"/>
                <w14:textFill>
                  <w14:solidFill>
                    <w14:schemeClr w14:val="tx1"/>
                  </w14:solidFill>
                </w14:textFill>
              </w:rPr>
              <w:t>Medium</w:t>
            </w:r>
          </w:p>
        </w:tc>
      </w:tr>
      <w:tr w14:paraId="56C72802">
        <w:tblPrEx>
          <w:tblCellMar>
            <w:top w:w="0" w:type="dxa"/>
            <w:left w:w="108" w:type="dxa"/>
            <w:bottom w:w="0" w:type="dxa"/>
            <w:right w:w="108" w:type="dxa"/>
          </w:tblCellMar>
        </w:tblPrEx>
        <w:trPr>
          <w:trHeight w:val="90" w:hRule="atLeast"/>
        </w:trPr>
        <w:tc>
          <w:tcPr>
            <w:tcW w:w="2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D11AD">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Duta 2015 </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6F78B">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CS</w:t>
            </w:r>
          </w:p>
        </w:tc>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BE3C76">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BFA5E0">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FC98F">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NR</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EA123B">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9D5DC">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42F748">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BC5372E">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9BADC">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3F765">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34688">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009D4">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E22C09">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DF7311">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NA</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4A7F7">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427C6">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7</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91530">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微软雅黑" w:cs="Times New Roman"/>
                <w:color w:val="000000" w:themeColor="text1"/>
                <w:kern w:val="0"/>
                <w:sz w:val="20"/>
                <w:szCs w:val="20"/>
                <w:highlight w:val="none"/>
                <w:lang w:bidi="ar"/>
                <w14:textFill>
                  <w14:solidFill>
                    <w14:schemeClr w14:val="tx1"/>
                  </w14:solidFill>
                </w14:textFill>
              </w:rPr>
              <w:t>Medium</w:t>
            </w:r>
          </w:p>
        </w:tc>
      </w:tr>
      <w:tr w14:paraId="1A114457">
        <w:tblPrEx>
          <w:tblCellMar>
            <w:top w:w="0" w:type="dxa"/>
            <w:left w:w="108" w:type="dxa"/>
            <w:bottom w:w="0" w:type="dxa"/>
            <w:right w:w="108" w:type="dxa"/>
          </w:tblCellMar>
        </w:tblPrEx>
        <w:trPr>
          <w:trHeight w:val="90" w:hRule="atLeast"/>
        </w:trPr>
        <w:tc>
          <w:tcPr>
            <w:tcW w:w="2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EEDFD">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Leroux 2015</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14B2F">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CS</w:t>
            </w:r>
          </w:p>
        </w:tc>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7FBA0E">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F37DE2">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20E4E">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NR</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2F079B">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29C3B">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D72F57">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9C4798">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816AE">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24B8F">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A4044">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EC862">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C9A062">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0354CE">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NA</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64595">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142A0">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6</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3A1AE">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微软雅黑" w:cs="Times New Roman"/>
                <w:color w:val="000000" w:themeColor="text1"/>
                <w:kern w:val="0"/>
                <w:sz w:val="20"/>
                <w:szCs w:val="20"/>
                <w:highlight w:val="none"/>
                <w:lang w:bidi="ar"/>
                <w14:textFill>
                  <w14:solidFill>
                    <w14:schemeClr w14:val="tx1"/>
                  </w14:solidFill>
                </w14:textFill>
              </w:rPr>
              <w:t>Medium</w:t>
            </w:r>
          </w:p>
        </w:tc>
      </w:tr>
      <w:tr w14:paraId="50896C52">
        <w:tblPrEx>
          <w:tblCellMar>
            <w:top w:w="0" w:type="dxa"/>
            <w:left w:w="108" w:type="dxa"/>
            <w:bottom w:w="0" w:type="dxa"/>
            <w:right w:w="108" w:type="dxa"/>
          </w:tblCellMar>
        </w:tblPrEx>
        <w:trPr>
          <w:trHeight w:val="90" w:hRule="atLeast"/>
        </w:trPr>
        <w:tc>
          <w:tcPr>
            <w:tcW w:w="2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D077C">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Epstein 2013 </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5053B">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CS</w:t>
            </w:r>
          </w:p>
        </w:tc>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09A82F">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3535F5">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BABEA">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NR</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D0584D">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334D4">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84ED0C">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873A019">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741BC">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3AA21">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35061">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D9C1E">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23C397">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FBF075">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NA</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4F335">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82C52">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7</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8B066">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微软雅黑" w:cs="Times New Roman"/>
                <w:color w:val="000000" w:themeColor="text1"/>
                <w:kern w:val="0"/>
                <w:sz w:val="20"/>
                <w:szCs w:val="20"/>
                <w:highlight w:val="none"/>
                <w:lang w:bidi="ar"/>
                <w14:textFill>
                  <w14:solidFill>
                    <w14:schemeClr w14:val="tx1"/>
                  </w14:solidFill>
                </w14:textFill>
              </w:rPr>
              <w:t>Medium</w:t>
            </w:r>
          </w:p>
        </w:tc>
      </w:tr>
      <w:tr w14:paraId="13B31A32">
        <w:tblPrEx>
          <w:tblCellMar>
            <w:top w:w="0" w:type="dxa"/>
            <w:left w:w="108" w:type="dxa"/>
            <w:bottom w:w="0" w:type="dxa"/>
            <w:right w:w="108" w:type="dxa"/>
          </w:tblCellMar>
        </w:tblPrEx>
        <w:trPr>
          <w:trHeight w:val="90" w:hRule="atLeast"/>
        </w:trPr>
        <w:tc>
          <w:tcPr>
            <w:tcW w:w="2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A2D4E">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Bulum 2012 </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87BAF">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CS</w:t>
            </w:r>
          </w:p>
        </w:tc>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1C012F">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C49CBD">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69F95">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ADA37B">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A26E1">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554AA9">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BEF262">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BABF3">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3D465">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DA878">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D5AC2">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BBF63C">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2AA68D">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NA</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7D56B">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D9DEB">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9</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E0AAF">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High</w:t>
            </w:r>
          </w:p>
        </w:tc>
      </w:tr>
      <w:tr w14:paraId="4B932FC5">
        <w:tblPrEx>
          <w:tblCellMar>
            <w:top w:w="0" w:type="dxa"/>
            <w:left w:w="108" w:type="dxa"/>
            <w:bottom w:w="0" w:type="dxa"/>
            <w:right w:w="108" w:type="dxa"/>
          </w:tblCellMar>
        </w:tblPrEx>
        <w:trPr>
          <w:trHeight w:val="90" w:hRule="atLeast"/>
        </w:trPr>
        <w:tc>
          <w:tcPr>
            <w:tcW w:w="2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CB138">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Girgis 2012</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D1A5A">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CS</w:t>
            </w:r>
          </w:p>
        </w:tc>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01600E">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31FE46">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6C8DD">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NR</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CAE694">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580F9">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F00CAB">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58F9BAE">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5C201">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0600F">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90282">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FB211">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2CC72F">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79597C">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NA</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2C243">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A4E57">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6</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FBF0B">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微软雅黑" w:cs="Times New Roman"/>
                <w:color w:val="000000" w:themeColor="text1"/>
                <w:kern w:val="0"/>
                <w:sz w:val="20"/>
                <w:szCs w:val="20"/>
                <w:highlight w:val="none"/>
                <w:lang w:bidi="ar"/>
                <w14:textFill>
                  <w14:solidFill>
                    <w14:schemeClr w14:val="tx1"/>
                  </w14:solidFill>
                </w14:textFill>
              </w:rPr>
              <w:t>Medium</w:t>
            </w:r>
          </w:p>
        </w:tc>
      </w:tr>
      <w:tr w14:paraId="2CF34488">
        <w:tblPrEx>
          <w:tblCellMar>
            <w:top w:w="0" w:type="dxa"/>
            <w:left w:w="108" w:type="dxa"/>
            <w:bottom w:w="0" w:type="dxa"/>
            <w:right w:w="108" w:type="dxa"/>
          </w:tblCellMar>
        </w:tblPrEx>
        <w:trPr>
          <w:trHeight w:val="90" w:hRule="atLeast"/>
        </w:trPr>
        <w:tc>
          <w:tcPr>
            <w:tcW w:w="2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D596A">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Duvnjak  2012</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82943">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CS</w:t>
            </w:r>
          </w:p>
        </w:tc>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91A51A">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986137">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FB24E">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NR</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E26CF6">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73D63">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4ABFF0">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FBABC4E">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63344">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40CF9">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6193D">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D795A">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3602BE">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AD3D20">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NA</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0585E">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F5769">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7</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C63A8">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微软雅黑" w:cs="Times New Roman"/>
                <w:color w:val="000000" w:themeColor="text1"/>
                <w:kern w:val="0"/>
                <w:sz w:val="20"/>
                <w:szCs w:val="20"/>
                <w:highlight w:val="none"/>
                <w:lang w:bidi="ar"/>
                <w14:textFill>
                  <w14:solidFill>
                    <w14:schemeClr w14:val="tx1"/>
                  </w14:solidFill>
                </w14:textFill>
              </w:rPr>
              <w:t>Medium</w:t>
            </w:r>
          </w:p>
        </w:tc>
      </w:tr>
      <w:tr w14:paraId="671BF63B">
        <w:tblPrEx>
          <w:tblCellMar>
            <w:top w:w="0" w:type="dxa"/>
            <w:left w:w="108" w:type="dxa"/>
            <w:bottom w:w="0" w:type="dxa"/>
            <w:right w:w="108" w:type="dxa"/>
          </w:tblCellMar>
        </w:tblPrEx>
        <w:trPr>
          <w:trHeight w:val="90" w:hRule="atLeast"/>
        </w:trPr>
        <w:tc>
          <w:tcPr>
            <w:tcW w:w="2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C6022">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Chillaron 2011</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ECB64">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CS</w:t>
            </w:r>
          </w:p>
        </w:tc>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63C35A">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92ECE1">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FF590">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ABEDB0">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ECCAA">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E75832">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98931E3">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F7818">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E1E05">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59CFF">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E2E81">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65A0A6">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2CC968">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NA</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15791">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0F152">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9</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5AF27">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High</w:t>
            </w:r>
          </w:p>
        </w:tc>
      </w:tr>
      <w:tr w14:paraId="0F1968BF">
        <w:tblPrEx>
          <w:tblCellMar>
            <w:top w:w="0" w:type="dxa"/>
            <w:left w:w="108" w:type="dxa"/>
            <w:bottom w:w="0" w:type="dxa"/>
            <w:right w:w="108" w:type="dxa"/>
          </w:tblCellMar>
        </w:tblPrEx>
        <w:trPr>
          <w:trHeight w:val="90" w:hRule="atLeast"/>
        </w:trPr>
        <w:tc>
          <w:tcPr>
            <w:tcW w:w="2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58E9F">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Januszewski 2011 </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359CC">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CS</w:t>
            </w:r>
          </w:p>
        </w:tc>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F028C3">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218C5C">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90B2F">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NR</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D27D75">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33D74">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A4A15A">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5D10190">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4026C">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DEBF6">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BAFA0">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F46D8">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41CDC4">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55E803">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NA</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A2A20">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0F6F1">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7</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5B386">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微软雅黑" w:cs="Times New Roman"/>
                <w:color w:val="000000" w:themeColor="text1"/>
                <w:kern w:val="0"/>
                <w:sz w:val="20"/>
                <w:szCs w:val="20"/>
                <w:highlight w:val="none"/>
                <w:lang w:bidi="ar"/>
                <w14:textFill>
                  <w14:solidFill>
                    <w14:schemeClr w14:val="tx1"/>
                  </w14:solidFill>
                </w14:textFill>
              </w:rPr>
              <w:t>Medium</w:t>
            </w:r>
          </w:p>
        </w:tc>
      </w:tr>
      <w:tr w14:paraId="23C220C4">
        <w:tblPrEx>
          <w:tblCellMar>
            <w:top w:w="0" w:type="dxa"/>
            <w:left w:w="108" w:type="dxa"/>
            <w:bottom w:w="0" w:type="dxa"/>
            <w:right w:w="108" w:type="dxa"/>
          </w:tblCellMar>
        </w:tblPrEx>
        <w:trPr>
          <w:trHeight w:val="90" w:hRule="atLeast"/>
        </w:trPr>
        <w:tc>
          <w:tcPr>
            <w:tcW w:w="2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1820E">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Momesso 2011 </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EE8A4">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CS</w:t>
            </w:r>
          </w:p>
        </w:tc>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A51A17">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2A278C">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D3E3C">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NR</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0CBB56">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B7FF3">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414A1F">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1DA2E6B">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1EA8A">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FBE20">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8E573">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1C39A">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86EA84">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6A5D19">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NA</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30DD7">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18C2E">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7</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372AA">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微软雅黑" w:cs="Times New Roman"/>
                <w:color w:val="000000" w:themeColor="text1"/>
                <w:kern w:val="0"/>
                <w:sz w:val="20"/>
                <w:szCs w:val="20"/>
                <w:highlight w:val="none"/>
                <w:lang w:bidi="ar"/>
                <w14:textFill>
                  <w14:solidFill>
                    <w14:schemeClr w14:val="tx1"/>
                  </w14:solidFill>
                </w14:textFill>
              </w:rPr>
              <w:t>Medium</w:t>
            </w:r>
          </w:p>
        </w:tc>
      </w:tr>
      <w:tr w14:paraId="2DEDF272">
        <w:tblPrEx>
          <w:tblCellMar>
            <w:top w:w="0" w:type="dxa"/>
            <w:left w:w="108" w:type="dxa"/>
            <w:bottom w:w="0" w:type="dxa"/>
            <w:right w:w="108" w:type="dxa"/>
          </w:tblCellMar>
        </w:tblPrEx>
        <w:trPr>
          <w:trHeight w:val="90" w:hRule="atLeast"/>
        </w:trPr>
        <w:tc>
          <w:tcPr>
            <w:tcW w:w="2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AEF70">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Yazıcı 2011</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1305E">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CS</w:t>
            </w:r>
          </w:p>
        </w:tc>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70BA1D">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724B40">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8FFB2">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89ED78">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B89AB">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57F770">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7AF59A6">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74333">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AB81E">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D6239">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F9065">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47D114">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D13E08">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NA</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9A94E">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5C1B8">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9</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FD4E9">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High</w:t>
            </w:r>
          </w:p>
        </w:tc>
      </w:tr>
      <w:tr w14:paraId="5039525F">
        <w:tblPrEx>
          <w:tblCellMar>
            <w:top w:w="0" w:type="dxa"/>
            <w:left w:w="108" w:type="dxa"/>
            <w:bottom w:w="0" w:type="dxa"/>
            <w:right w:w="108" w:type="dxa"/>
          </w:tblCellMar>
        </w:tblPrEx>
        <w:trPr>
          <w:trHeight w:val="90" w:hRule="atLeast"/>
        </w:trPr>
        <w:tc>
          <w:tcPr>
            <w:tcW w:w="2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B990A">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Danielson 2010 </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3C595">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CS</w:t>
            </w:r>
          </w:p>
        </w:tc>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BD0DAE">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3B9ED7">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4E9FD">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A06BEB">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D1831">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507E95">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962A354">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DF6C3">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BF2DD">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D84B7">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DCC26">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CD5A46">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EFCC8C">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NA</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2BF8A">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31C6E">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9</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79962">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High</w:t>
            </w:r>
          </w:p>
        </w:tc>
      </w:tr>
      <w:tr w14:paraId="432D654D">
        <w:tblPrEx>
          <w:tblCellMar>
            <w:top w:w="0" w:type="dxa"/>
            <w:left w:w="108" w:type="dxa"/>
            <w:bottom w:w="0" w:type="dxa"/>
            <w:right w:w="108" w:type="dxa"/>
          </w:tblCellMar>
        </w:tblPrEx>
        <w:trPr>
          <w:trHeight w:val="90" w:hRule="atLeast"/>
        </w:trPr>
        <w:tc>
          <w:tcPr>
            <w:tcW w:w="2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46D69">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Uruska 2010</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AC199">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PC</w:t>
            </w:r>
          </w:p>
        </w:tc>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891095">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55E56C">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2EB68">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NR</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6B1A55">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8AC85">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91B46F">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C3D644B">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4C7E9">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A55D2">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09940">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E1184">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319C7D">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11B1EA">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NR</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CE133">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AC1A6">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8</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BCC7E">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微软雅黑" w:cs="Times New Roman"/>
                <w:color w:val="000000" w:themeColor="text1"/>
                <w:kern w:val="0"/>
                <w:sz w:val="20"/>
                <w:szCs w:val="20"/>
                <w:highlight w:val="none"/>
                <w:lang w:bidi="ar"/>
                <w14:textFill>
                  <w14:solidFill>
                    <w14:schemeClr w14:val="tx1"/>
                  </w14:solidFill>
                </w14:textFill>
              </w:rPr>
              <w:t>Medium</w:t>
            </w:r>
          </w:p>
        </w:tc>
      </w:tr>
      <w:tr w14:paraId="2449094E">
        <w:tblPrEx>
          <w:tblCellMar>
            <w:top w:w="0" w:type="dxa"/>
            <w:left w:w="108" w:type="dxa"/>
            <w:bottom w:w="0" w:type="dxa"/>
            <w:right w:w="108" w:type="dxa"/>
          </w:tblCellMar>
        </w:tblPrEx>
        <w:trPr>
          <w:trHeight w:val="90" w:hRule="atLeast"/>
        </w:trPr>
        <w:tc>
          <w:tcPr>
            <w:tcW w:w="2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BE06B">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Hadjadj 2007 </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19CFE">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CS</w:t>
            </w:r>
          </w:p>
        </w:tc>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7AC4CC">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C7FD81">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698F0">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D817AC">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18C25">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EC6DE6">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654E10">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6D243">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AA906">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04B31">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E31EC">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29ACF5">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4C6F88">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NA</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405B8">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5ADD0">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9</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0C152">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High</w:t>
            </w:r>
          </w:p>
        </w:tc>
      </w:tr>
      <w:tr w14:paraId="026C20DE">
        <w:tblPrEx>
          <w:tblCellMar>
            <w:top w:w="0" w:type="dxa"/>
            <w:left w:w="108" w:type="dxa"/>
            <w:bottom w:w="0" w:type="dxa"/>
            <w:right w:w="108" w:type="dxa"/>
          </w:tblCellMar>
        </w:tblPrEx>
        <w:trPr>
          <w:trHeight w:val="90" w:hRule="atLeast"/>
        </w:trPr>
        <w:tc>
          <w:tcPr>
            <w:tcW w:w="2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2E4BD">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Saraheimo 2003 </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35DE8">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CS</w:t>
            </w:r>
          </w:p>
        </w:tc>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070C84">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04ADFF">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62290">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NR</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3E4899">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8789F">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5FEC94">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4FDE5EA">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09268">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6EFCD">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67FC0">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C5C3A">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DAE297">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8781F4">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NA</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350F5">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E6FD5">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7</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3EEF5">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微软雅黑" w:cs="Times New Roman"/>
                <w:color w:val="000000" w:themeColor="text1"/>
                <w:kern w:val="0"/>
                <w:sz w:val="20"/>
                <w:szCs w:val="20"/>
                <w:highlight w:val="none"/>
                <w:lang w:bidi="ar"/>
                <w14:textFill>
                  <w14:solidFill>
                    <w14:schemeClr w14:val="tx1"/>
                  </w14:solidFill>
                </w14:textFill>
              </w:rPr>
              <w:t>Medium</w:t>
            </w:r>
          </w:p>
        </w:tc>
      </w:tr>
      <w:tr w14:paraId="675B4A13">
        <w:tblPrEx>
          <w:tblCellMar>
            <w:top w:w="0" w:type="dxa"/>
            <w:left w:w="108" w:type="dxa"/>
            <w:bottom w:w="0" w:type="dxa"/>
            <w:right w:w="108" w:type="dxa"/>
          </w:tblCellMar>
        </w:tblPrEx>
        <w:trPr>
          <w:trHeight w:val="90" w:hRule="atLeast"/>
        </w:trPr>
        <w:tc>
          <w:tcPr>
            <w:tcW w:w="2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65972">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Zhang Y 2024</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308B3">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PC</w:t>
            </w:r>
          </w:p>
        </w:tc>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5C10A5">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0C45DB">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71ACD">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NR</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25662A">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0D840">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8E22CF">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749E88A">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AE025">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8514B">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801BF">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D6274">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2B95D4">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NA</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645390">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NR</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027B0">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3037D">
            <w:pPr>
              <w:widowControl/>
              <w:jc w:val="left"/>
              <w:textAlignment w:val="center"/>
              <w:rPr>
                <w:rFonts w:hint="default" w:ascii="Times New Roman" w:hAnsi="Times New Roman" w:eastAsia="宋体" w:cs="Times New Roman"/>
                <w:color w:val="000000"/>
                <w:kern w:val="0"/>
                <w:sz w:val="20"/>
                <w:szCs w:val="20"/>
                <w:highlight w:val="none"/>
                <w:lang w:bidi="ar"/>
              </w:rPr>
            </w:pPr>
            <w:r>
              <w:rPr>
                <w:rFonts w:hint="default" w:ascii="Times New Roman" w:hAnsi="Times New Roman" w:eastAsia="宋体" w:cs="Times New Roman"/>
                <w:color w:val="000000"/>
                <w:kern w:val="0"/>
                <w:sz w:val="20"/>
                <w:szCs w:val="20"/>
                <w:highlight w:val="none"/>
                <w:lang w:bidi="ar"/>
              </w:rPr>
              <w:t>10</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58665">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High</w:t>
            </w:r>
          </w:p>
        </w:tc>
      </w:tr>
      <w:tr w14:paraId="62170C31">
        <w:tblPrEx>
          <w:tblCellMar>
            <w:top w:w="0" w:type="dxa"/>
            <w:left w:w="108" w:type="dxa"/>
            <w:bottom w:w="0" w:type="dxa"/>
            <w:right w:w="108" w:type="dxa"/>
          </w:tblCellMar>
        </w:tblPrEx>
        <w:trPr>
          <w:trHeight w:val="90" w:hRule="atLeast"/>
        </w:trPr>
        <w:tc>
          <w:tcPr>
            <w:tcW w:w="2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FA183">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Zabala 2021</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0D33B">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RC</w:t>
            </w:r>
          </w:p>
        </w:tc>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418807">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11FCBA">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DB35E">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591114">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12548">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04F342">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80BDD2">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E206D">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A900A">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4935A">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888BB">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F29AE6">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NA</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3E0827">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NA</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7679F">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7392B">
            <w:pPr>
              <w:widowControl/>
              <w:jc w:val="left"/>
              <w:textAlignment w:val="center"/>
              <w:rPr>
                <w:rFonts w:hint="default" w:ascii="Times New Roman" w:hAnsi="Times New Roman" w:eastAsia="宋体" w:cs="Times New Roman"/>
                <w:color w:val="000000"/>
                <w:kern w:val="0"/>
                <w:sz w:val="20"/>
                <w:szCs w:val="20"/>
                <w:highlight w:val="none"/>
                <w:lang w:bidi="ar"/>
              </w:rPr>
            </w:pPr>
            <w:r>
              <w:rPr>
                <w:rFonts w:hint="default" w:ascii="Times New Roman" w:hAnsi="Times New Roman" w:eastAsia="宋体" w:cs="Times New Roman"/>
                <w:color w:val="000000"/>
                <w:kern w:val="0"/>
                <w:sz w:val="20"/>
                <w:szCs w:val="20"/>
                <w:highlight w:val="none"/>
                <w:lang w:bidi="ar"/>
              </w:rPr>
              <w:t>10</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6BB27">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High</w:t>
            </w:r>
          </w:p>
        </w:tc>
      </w:tr>
      <w:tr w14:paraId="50B1EE18">
        <w:tblPrEx>
          <w:tblCellMar>
            <w:top w:w="0" w:type="dxa"/>
            <w:left w:w="108" w:type="dxa"/>
            <w:bottom w:w="0" w:type="dxa"/>
            <w:right w:w="108" w:type="dxa"/>
          </w:tblCellMar>
        </w:tblPrEx>
        <w:trPr>
          <w:trHeight w:val="90" w:hRule="atLeast"/>
        </w:trPr>
        <w:tc>
          <w:tcPr>
            <w:tcW w:w="2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EAD73">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Komosinska-Vassev 2020 </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05E6D">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222222"/>
                <w:kern w:val="0"/>
                <w:sz w:val="20"/>
                <w:szCs w:val="20"/>
                <w:highlight w:val="none"/>
                <w:lang w:bidi="ar"/>
              </w:rPr>
              <w:t>CS</w:t>
            </w:r>
          </w:p>
        </w:tc>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510F79">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91D53B">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EDFDC">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6DE908">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4437F">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67C440">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EF5831E">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263AD">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73CE7">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535A7">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5E7E0">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FF42E7">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343F9D">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NA</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EA280">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023A3">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8</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EC24E">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High</w:t>
            </w:r>
          </w:p>
        </w:tc>
      </w:tr>
      <w:tr w14:paraId="4A985142">
        <w:tblPrEx>
          <w:tblCellMar>
            <w:top w:w="0" w:type="dxa"/>
            <w:left w:w="108" w:type="dxa"/>
            <w:bottom w:w="0" w:type="dxa"/>
            <w:right w:w="108" w:type="dxa"/>
          </w:tblCellMar>
        </w:tblPrEx>
        <w:trPr>
          <w:trHeight w:val="90" w:hRule="atLeast"/>
        </w:trPr>
        <w:tc>
          <w:tcPr>
            <w:tcW w:w="2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FD5A6">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Cardoso-Sanchez 2015 </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DDE9E">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CS</w:t>
            </w:r>
          </w:p>
        </w:tc>
        <w:tc>
          <w:tcPr>
            <w:tcW w:w="6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CB0554">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31E7F5">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62C94">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3D2843">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C6133">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41B960">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ECACB70">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934B4">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F67AF">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26677">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A9DEF">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6896B9">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6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A2C8D0">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NA</w:t>
            </w:r>
          </w:p>
        </w:tc>
        <w:tc>
          <w:tcPr>
            <w:tcW w:w="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D4613">
            <w:pPr>
              <w:widowControl/>
              <w:jc w:val="left"/>
              <w:textAlignment w:val="center"/>
              <w:rPr>
                <w:rFonts w:hint="default" w:ascii="Times New Roman" w:hAnsi="Times New Roman" w:eastAsia="宋体" w:cs="Times New Roman"/>
                <w:color w:val="222222"/>
                <w:sz w:val="20"/>
                <w:szCs w:val="20"/>
                <w:highlight w:val="none"/>
              </w:rPr>
            </w:pPr>
            <w:r>
              <w:rPr>
                <w:rFonts w:hint="default" w:ascii="Times New Roman" w:hAnsi="Times New Roman" w:eastAsia="宋体" w:cs="Times New Roman"/>
                <w:color w:val="222222"/>
                <w:kern w:val="0"/>
                <w:sz w:val="20"/>
                <w:szCs w:val="20"/>
                <w:highlight w:val="none"/>
                <w:lang w:bidi="ar"/>
              </w:rPr>
              <w:t>Y</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A65B9">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8</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1EBC1">
            <w:pPr>
              <w:widowControl/>
              <w:jc w:val="left"/>
              <w:textAlignment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kern w:val="0"/>
                <w:sz w:val="20"/>
                <w:szCs w:val="20"/>
                <w:highlight w:val="none"/>
                <w:lang w:bidi="ar"/>
              </w:rPr>
              <w:t>High</w:t>
            </w:r>
          </w:p>
        </w:tc>
      </w:tr>
    </w:tbl>
    <w:p w14:paraId="1DCD4019">
      <w:pPr>
        <w:rPr>
          <w:rFonts w:hint="default" w:ascii="Times New Roman" w:hAnsi="Times New Roman" w:eastAsia="宋体" w:cs="Times New Roman"/>
          <w:color w:val="000000"/>
          <w:kern w:val="0"/>
          <w:sz w:val="20"/>
          <w:szCs w:val="20"/>
          <w:highlight w:val="none"/>
          <w:lang w:bidi="ar"/>
        </w:rPr>
      </w:pPr>
      <w:r>
        <w:rPr>
          <w:rFonts w:hint="default" w:ascii="Times New Roman" w:hAnsi="Times New Roman" w:eastAsia="宋体" w:cs="Times New Roman"/>
          <w:color w:val="000000"/>
          <w:kern w:val="0"/>
          <w:sz w:val="20"/>
          <w:szCs w:val="20"/>
          <w:highlight w:val="none"/>
          <w:lang w:bidi="ar"/>
        </w:rPr>
        <w:t xml:space="preserve">CS, cross-sectional study; PC, prospective cohort study; RC, retrospective cohort study; NIH = National Institutes of Health; Y = yes; N = no; NR = not reported; NA = not applicable; </w:t>
      </w:r>
      <w:r>
        <w:rPr>
          <w:rFonts w:hint="default" w:ascii="Times New Roman" w:hAnsi="Times New Roman" w:eastAsia="微软雅黑" w:cs="Times New Roman"/>
          <w:color w:val="000000" w:themeColor="text1"/>
          <w:kern w:val="0"/>
          <w:sz w:val="20"/>
          <w:szCs w:val="20"/>
          <w:highlight w:val="none"/>
          <w:lang w:bidi="ar"/>
          <w14:textFill>
            <w14:solidFill>
              <w14:schemeClr w14:val="tx1"/>
            </w14:solidFill>
          </w14:textFill>
        </w:rPr>
        <w:t>Longitudinal studies: high quality (&gt;9 points), medium quality (4–9 points), low quality (&lt;4 points); Cross-sectional studies: high quality (&gt;7 points), medium quality (3–7 points), low quality (&lt;3 points)</w:t>
      </w:r>
      <w:r>
        <w:rPr>
          <w:rFonts w:hint="default" w:ascii="Times New Roman" w:hAnsi="Times New Roman" w:eastAsia="宋体" w:cs="Times New Roman"/>
          <w:color w:val="000000"/>
          <w:kern w:val="0"/>
          <w:sz w:val="20"/>
          <w:szCs w:val="20"/>
          <w:highlight w:val="none"/>
          <w:lang w:bidi="ar"/>
        </w:rPr>
        <w:br w:type="textWrapping"/>
      </w:r>
      <w:r>
        <w:rPr>
          <w:rFonts w:hint="default" w:ascii="Times New Roman" w:hAnsi="Times New Roman" w:eastAsia="宋体" w:cs="Times New Roman"/>
          <w:color w:val="000000"/>
          <w:kern w:val="0"/>
          <w:sz w:val="20"/>
          <w:szCs w:val="20"/>
          <w:highlight w:val="none"/>
          <w:lang w:bidi="ar"/>
        </w:rPr>
        <w:t xml:space="preserve">1. Was the research question or objective in this paper clearly stated?      </w:t>
      </w:r>
      <w:r>
        <w:rPr>
          <w:rFonts w:hint="default" w:ascii="Times New Roman" w:hAnsi="Times New Roman" w:eastAsia="宋体" w:cs="Times New Roman"/>
          <w:color w:val="000000"/>
          <w:kern w:val="0"/>
          <w:sz w:val="20"/>
          <w:szCs w:val="20"/>
          <w:highlight w:val="none"/>
          <w:lang w:bidi="ar"/>
        </w:rPr>
        <w:br w:type="textWrapping"/>
      </w:r>
      <w:r>
        <w:rPr>
          <w:rFonts w:hint="default" w:ascii="Times New Roman" w:hAnsi="Times New Roman" w:eastAsia="宋体" w:cs="Times New Roman"/>
          <w:color w:val="000000"/>
          <w:kern w:val="0"/>
          <w:sz w:val="20"/>
          <w:szCs w:val="20"/>
          <w:highlight w:val="none"/>
          <w:lang w:bidi="ar"/>
        </w:rPr>
        <w:t xml:space="preserve">2. Was the study population clearly specified and defined?      </w:t>
      </w:r>
      <w:r>
        <w:rPr>
          <w:rFonts w:hint="default" w:ascii="Times New Roman" w:hAnsi="Times New Roman" w:eastAsia="宋体" w:cs="Times New Roman"/>
          <w:color w:val="000000"/>
          <w:kern w:val="0"/>
          <w:sz w:val="20"/>
          <w:szCs w:val="20"/>
          <w:highlight w:val="none"/>
          <w:lang w:bidi="ar"/>
        </w:rPr>
        <w:br w:type="textWrapping"/>
      </w:r>
      <w:r>
        <w:rPr>
          <w:rFonts w:hint="default" w:ascii="Times New Roman" w:hAnsi="Times New Roman" w:eastAsia="宋体" w:cs="Times New Roman"/>
          <w:color w:val="000000"/>
          <w:kern w:val="0"/>
          <w:sz w:val="20"/>
          <w:szCs w:val="20"/>
          <w:highlight w:val="none"/>
          <w:lang w:bidi="ar"/>
        </w:rPr>
        <w:t xml:space="preserve">3. Was the participation rate of eligible persons at least 50%?      </w:t>
      </w:r>
      <w:r>
        <w:rPr>
          <w:rFonts w:hint="default" w:ascii="Times New Roman" w:hAnsi="Times New Roman" w:eastAsia="宋体" w:cs="Times New Roman"/>
          <w:color w:val="000000"/>
          <w:kern w:val="0"/>
          <w:sz w:val="20"/>
          <w:szCs w:val="20"/>
          <w:highlight w:val="none"/>
          <w:lang w:bidi="ar"/>
        </w:rPr>
        <w:br w:type="textWrapping"/>
      </w:r>
      <w:r>
        <w:rPr>
          <w:rFonts w:hint="default" w:ascii="Times New Roman" w:hAnsi="Times New Roman" w:eastAsia="宋体" w:cs="Times New Roman"/>
          <w:color w:val="000000"/>
          <w:kern w:val="0"/>
          <w:sz w:val="20"/>
          <w:szCs w:val="20"/>
          <w:highlight w:val="none"/>
          <w:lang w:bidi="ar"/>
        </w:rPr>
        <w:t xml:space="preserve">4. Were all the subjects selected or recruited from the same or similar populations (including the same time period)? Were inclusion and exclusion criteria for being in the study prespecified and applied uniformly to all participants?      </w:t>
      </w:r>
      <w:r>
        <w:rPr>
          <w:rFonts w:hint="default" w:ascii="Times New Roman" w:hAnsi="Times New Roman" w:eastAsia="宋体" w:cs="Times New Roman"/>
          <w:color w:val="000000"/>
          <w:kern w:val="0"/>
          <w:sz w:val="20"/>
          <w:szCs w:val="20"/>
          <w:highlight w:val="none"/>
          <w:lang w:bidi="ar"/>
        </w:rPr>
        <w:br w:type="textWrapping"/>
      </w:r>
      <w:r>
        <w:rPr>
          <w:rFonts w:hint="default" w:ascii="Times New Roman" w:hAnsi="Times New Roman" w:eastAsia="宋体" w:cs="Times New Roman"/>
          <w:color w:val="000000"/>
          <w:kern w:val="0"/>
          <w:sz w:val="20"/>
          <w:szCs w:val="20"/>
          <w:highlight w:val="none"/>
          <w:lang w:bidi="ar"/>
        </w:rPr>
        <w:t xml:space="preserve">5. Was a sample size justification, power description, or variance and effect estimates provided?      </w:t>
      </w:r>
      <w:r>
        <w:rPr>
          <w:rFonts w:hint="default" w:ascii="Times New Roman" w:hAnsi="Times New Roman" w:eastAsia="宋体" w:cs="Times New Roman"/>
          <w:color w:val="000000"/>
          <w:kern w:val="0"/>
          <w:sz w:val="20"/>
          <w:szCs w:val="20"/>
          <w:highlight w:val="none"/>
          <w:lang w:bidi="ar"/>
        </w:rPr>
        <w:br w:type="textWrapping"/>
      </w:r>
      <w:r>
        <w:rPr>
          <w:rFonts w:hint="default" w:ascii="Times New Roman" w:hAnsi="Times New Roman" w:eastAsia="宋体" w:cs="Times New Roman"/>
          <w:color w:val="000000"/>
          <w:kern w:val="0"/>
          <w:sz w:val="20"/>
          <w:szCs w:val="20"/>
          <w:highlight w:val="none"/>
          <w:lang w:bidi="ar"/>
        </w:rPr>
        <w:t xml:space="preserve">6. For the analyses in this paper, were the exposure(s) of interest measured prior to the outcome(s) being measured?      </w:t>
      </w:r>
      <w:r>
        <w:rPr>
          <w:rFonts w:hint="default" w:ascii="Times New Roman" w:hAnsi="Times New Roman" w:eastAsia="宋体" w:cs="Times New Roman"/>
          <w:color w:val="000000"/>
          <w:kern w:val="0"/>
          <w:sz w:val="20"/>
          <w:szCs w:val="20"/>
          <w:highlight w:val="none"/>
          <w:lang w:bidi="ar"/>
        </w:rPr>
        <w:br w:type="textWrapping"/>
      </w:r>
      <w:r>
        <w:rPr>
          <w:rFonts w:hint="default" w:ascii="Times New Roman" w:hAnsi="Times New Roman" w:eastAsia="宋体" w:cs="Times New Roman"/>
          <w:color w:val="000000"/>
          <w:kern w:val="0"/>
          <w:sz w:val="20"/>
          <w:szCs w:val="20"/>
          <w:highlight w:val="none"/>
          <w:lang w:bidi="ar"/>
        </w:rPr>
        <w:t xml:space="preserve">7. Was the timeframe sufficient so that one could reasonably expect to see an association between exposure and outcome if it existed?      </w:t>
      </w:r>
      <w:r>
        <w:rPr>
          <w:rFonts w:hint="default" w:ascii="Times New Roman" w:hAnsi="Times New Roman" w:eastAsia="宋体" w:cs="Times New Roman"/>
          <w:color w:val="000000"/>
          <w:kern w:val="0"/>
          <w:sz w:val="20"/>
          <w:szCs w:val="20"/>
          <w:highlight w:val="none"/>
          <w:lang w:bidi="ar"/>
        </w:rPr>
        <w:br w:type="textWrapping"/>
      </w:r>
      <w:r>
        <w:rPr>
          <w:rFonts w:hint="default" w:ascii="Times New Roman" w:hAnsi="Times New Roman" w:eastAsia="宋体" w:cs="Times New Roman"/>
          <w:color w:val="000000"/>
          <w:kern w:val="0"/>
          <w:sz w:val="20"/>
          <w:szCs w:val="20"/>
          <w:highlight w:val="none"/>
          <w:lang w:bidi="ar"/>
        </w:rPr>
        <w:t xml:space="preserve">8. For exposures that can vary in amount or level, did the study examine different levels of the exposure as related to the outcome (e.g., categories of exposure, or exposure measured as continuous variable)?      </w:t>
      </w:r>
      <w:r>
        <w:rPr>
          <w:rFonts w:hint="default" w:ascii="Times New Roman" w:hAnsi="Times New Roman" w:eastAsia="宋体" w:cs="Times New Roman"/>
          <w:color w:val="000000"/>
          <w:kern w:val="0"/>
          <w:sz w:val="20"/>
          <w:szCs w:val="20"/>
          <w:highlight w:val="none"/>
          <w:lang w:bidi="ar"/>
        </w:rPr>
        <w:br w:type="textWrapping"/>
      </w:r>
      <w:r>
        <w:rPr>
          <w:rFonts w:hint="default" w:ascii="Times New Roman" w:hAnsi="Times New Roman" w:eastAsia="宋体" w:cs="Times New Roman"/>
          <w:color w:val="000000"/>
          <w:kern w:val="0"/>
          <w:sz w:val="20"/>
          <w:szCs w:val="20"/>
          <w:highlight w:val="none"/>
          <w:lang w:bidi="ar"/>
        </w:rPr>
        <w:t xml:space="preserve">9. Were the exposure measures (independent variables) clearly defined, valid, reliable, and implemented consistently across all study participants?      </w:t>
      </w:r>
      <w:r>
        <w:rPr>
          <w:rFonts w:hint="default" w:ascii="Times New Roman" w:hAnsi="Times New Roman" w:eastAsia="宋体" w:cs="Times New Roman"/>
          <w:color w:val="000000"/>
          <w:kern w:val="0"/>
          <w:sz w:val="20"/>
          <w:szCs w:val="20"/>
          <w:highlight w:val="none"/>
          <w:lang w:bidi="ar"/>
        </w:rPr>
        <w:br w:type="textWrapping"/>
      </w:r>
      <w:r>
        <w:rPr>
          <w:rFonts w:hint="default" w:ascii="Times New Roman" w:hAnsi="Times New Roman" w:eastAsia="宋体" w:cs="Times New Roman"/>
          <w:color w:val="000000"/>
          <w:kern w:val="0"/>
          <w:sz w:val="20"/>
          <w:szCs w:val="20"/>
          <w:highlight w:val="none"/>
          <w:lang w:bidi="ar"/>
        </w:rPr>
        <w:t xml:space="preserve">10. Was the exposure(s) assessed more than once over time?      </w:t>
      </w:r>
      <w:r>
        <w:rPr>
          <w:rFonts w:hint="default" w:ascii="Times New Roman" w:hAnsi="Times New Roman" w:eastAsia="宋体" w:cs="Times New Roman"/>
          <w:color w:val="000000"/>
          <w:kern w:val="0"/>
          <w:sz w:val="20"/>
          <w:szCs w:val="20"/>
          <w:highlight w:val="none"/>
          <w:lang w:bidi="ar"/>
        </w:rPr>
        <w:br w:type="textWrapping"/>
      </w:r>
      <w:r>
        <w:rPr>
          <w:rFonts w:hint="default" w:ascii="Times New Roman" w:hAnsi="Times New Roman" w:eastAsia="宋体" w:cs="Times New Roman"/>
          <w:color w:val="000000"/>
          <w:kern w:val="0"/>
          <w:sz w:val="20"/>
          <w:szCs w:val="20"/>
          <w:highlight w:val="none"/>
          <w:lang w:bidi="ar"/>
        </w:rPr>
        <w:t xml:space="preserve">11. Were the outcome measures (dependent variables) clearly defined, valid, reliable, and implemented consistently across all study participants?      </w:t>
      </w:r>
      <w:r>
        <w:rPr>
          <w:rFonts w:hint="default" w:ascii="Times New Roman" w:hAnsi="Times New Roman" w:eastAsia="宋体" w:cs="Times New Roman"/>
          <w:color w:val="000000"/>
          <w:kern w:val="0"/>
          <w:sz w:val="20"/>
          <w:szCs w:val="20"/>
          <w:highlight w:val="none"/>
          <w:lang w:bidi="ar"/>
        </w:rPr>
        <w:br w:type="textWrapping"/>
      </w:r>
      <w:r>
        <w:rPr>
          <w:rFonts w:hint="default" w:ascii="Times New Roman" w:hAnsi="Times New Roman" w:eastAsia="宋体" w:cs="Times New Roman"/>
          <w:color w:val="000000"/>
          <w:kern w:val="0"/>
          <w:sz w:val="20"/>
          <w:szCs w:val="20"/>
          <w:highlight w:val="none"/>
          <w:lang w:bidi="ar"/>
        </w:rPr>
        <w:t xml:space="preserve">12. Were the outcome assessors blinded to the exposure status of participants?      </w:t>
      </w:r>
      <w:r>
        <w:rPr>
          <w:rFonts w:hint="default" w:ascii="Times New Roman" w:hAnsi="Times New Roman" w:eastAsia="宋体" w:cs="Times New Roman"/>
          <w:color w:val="000000"/>
          <w:kern w:val="0"/>
          <w:sz w:val="20"/>
          <w:szCs w:val="20"/>
          <w:highlight w:val="none"/>
          <w:lang w:bidi="ar"/>
        </w:rPr>
        <w:br w:type="textWrapping"/>
      </w:r>
      <w:r>
        <w:rPr>
          <w:rFonts w:hint="default" w:ascii="Times New Roman" w:hAnsi="Times New Roman" w:eastAsia="宋体" w:cs="Times New Roman"/>
          <w:color w:val="000000"/>
          <w:kern w:val="0"/>
          <w:sz w:val="20"/>
          <w:szCs w:val="20"/>
          <w:highlight w:val="none"/>
          <w:lang w:bidi="ar"/>
        </w:rPr>
        <w:t xml:space="preserve">13. Was loss to follow-up after baseline 20% or less?      </w:t>
      </w:r>
      <w:r>
        <w:rPr>
          <w:rFonts w:hint="default" w:ascii="Times New Roman" w:hAnsi="Times New Roman" w:eastAsia="宋体" w:cs="Times New Roman"/>
          <w:color w:val="000000"/>
          <w:kern w:val="0"/>
          <w:sz w:val="20"/>
          <w:szCs w:val="20"/>
          <w:highlight w:val="none"/>
          <w:lang w:bidi="ar"/>
        </w:rPr>
        <w:br w:type="textWrapping"/>
      </w:r>
      <w:r>
        <w:rPr>
          <w:rFonts w:hint="default" w:ascii="Times New Roman" w:hAnsi="Times New Roman" w:eastAsia="宋体" w:cs="Times New Roman"/>
          <w:color w:val="000000"/>
          <w:kern w:val="0"/>
          <w:sz w:val="20"/>
          <w:szCs w:val="20"/>
          <w:highlight w:val="none"/>
          <w:lang w:bidi="ar"/>
        </w:rPr>
        <w:t>14. Were key potential confounding variables measured and adjusted statistically for their impact on the relationship between exposure(s) and outcome(s)?</w:t>
      </w:r>
    </w:p>
    <w:p w14:paraId="160FC9EA">
      <w:pPr>
        <w:spacing w:line="360" w:lineRule="auto"/>
        <w:rPr>
          <w:rFonts w:hint="default" w:ascii="Times New Roman" w:hAnsi="Times New Roman" w:eastAsia="宋体" w:cs="Times New Roman"/>
          <w:b/>
          <w:bCs/>
          <w:color w:val="000000"/>
          <w:kern w:val="0"/>
          <w:sz w:val="20"/>
          <w:szCs w:val="20"/>
          <w:highlight w:val="none"/>
          <w:lang w:bidi="ar"/>
        </w:rPr>
      </w:pPr>
    </w:p>
    <w:p w14:paraId="78F4B13A">
      <w:pPr>
        <w:spacing w:line="360" w:lineRule="auto"/>
        <w:rPr>
          <w:rFonts w:hint="default" w:ascii="Times New Roman" w:hAnsi="Times New Roman" w:eastAsia="宋体" w:cs="Times New Roman"/>
          <w:b/>
          <w:bCs/>
          <w:color w:val="000000"/>
          <w:kern w:val="0"/>
          <w:sz w:val="20"/>
          <w:szCs w:val="20"/>
          <w:highlight w:val="none"/>
          <w:lang w:bidi="ar"/>
        </w:rPr>
      </w:pPr>
    </w:p>
    <w:p w14:paraId="28B17267">
      <w:pPr>
        <w:widowControl/>
        <w:jc w:val="left"/>
        <w:textAlignment w:val="top"/>
        <w:outlineLvl w:val="0"/>
        <w:rPr>
          <w:rFonts w:hint="default" w:ascii="Times New Roman" w:hAnsi="Times New Roman" w:eastAsia="CIDFont" w:cs="Times New Roman"/>
          <w:b/>
          <w:bCs/>
          <w:color w:val="000000" w:themeColor="text1"/>
          <w:kern w:val="0"/>
          <w:sz w:val="20"/>
          <w:szCs w:val="20"/>
          <w:highlight w:val="none"/>
          <w:lang w:bidi="ar"/>
          <w14:textFill>
            <w14:solidFill>
              <w14:schemeClr w14:val="tx1"/>
            </w14:solidFill>
          </w14:textFill>
        </w:rPr>
        <w:sectPr>
          <w:pgSz w:w="16838" w:h="11906" w:orient="landscape"/>
          <w:pgMar w:top="1800" w:right="1440" w:bottom="1800" w:left="1440" w:header="851" w:footer="992" w:gutter="0"/>
          <w:cols w:space="425" w:num="1"/>
          <w:docGrid w:type="lines" w:linePitch="312" w:charSpace="0"/>
        </w:sectPr>
      </w:pPr>
    </w:p>
    <w:p w14:paraId="29839F3A">
      <w:pPr>
        <w:widowControl/>
        <w:spacing w:line="360" w:lineRule="auto"/>
        <w:jc w:val="left"/>
        <w:outlineLvl w:val="0"/>
        <w:rPr>
          <w:rFonts w:hint="default" w:ascii="Times New Roman" w:hAnsi="Times New Roman" w:eastAsia="宋体" w:cs="Times New Roman"/>
          <w:b/>
          <w:bCs/>
          <w:color w:val="000000" w:themeColor="text1"/>
          <w:kern w:val="0"/>
          <w:sz w:val="20"/>
          <w:szCs w:val="20"/>
          <w:highlight w:val="none"/>
          <w:lang w:bidi="ar"/>
          <w14:textFill>
            <w14:solidFill>
              <w14:schemeClr w14:val="tx1"/>
            </w14:solidFill>
          </w14:textFill>
        </w:rPr>
      </w:pPr>
      <w:bookmarkStart w:id="8" w:name="_Toc23407"/>
      <w:r>
        <w:rPr>
          <w:rFonts w:hint="default" w:ascii="Times New Roman" w:hAnsi="Times New Roman" w:eastAsia="宋体" w:cs="Times New Roman"/>
          <w:b/>
          <w:bCs/>
          <w:color w:val="000000" w:themeColor="text1"/>
          <w:kern w:val="0"/>
          <w:sz w:val="20"/>
          <w:szCs w:val="20"/>
          <w:highlight w:val="none"/>
          <w:lang w:eastAsia="zh-CN" w:bidi="ar"/>
          <w14:textFill>
            <w14:solidFill>
              <w14:schemeClr w14:val="tx1"/>
            </w14:solidFill>
          </w14:textFill>
        </w:rPr>
        <w:t>Additional</w:t>
      </w:r>
      <w:r>
        <w:rPr>
          <w:rFonts w:hint="default" w:ascii="Times New Roman" w:hAnsi="Times New Roman" w:eastAsia="宋体" w:cs="Times New Roman"/>
          <w:b/>
          <w:bCs/>
          <w:color w:val="000000" w:themeColor="text1"/>
          <w:kern w:val="0"/>
          <w:sz w:val="20"/>
          <w:szCs w:val="20"/>
          <w:highlight w:val="none"/>
          <w:lang w:bidi="ar"/>
          <w14:textFill>
            <w14:solidFill>
              <w14:schemeClr w14:val="tx1"/>
            </w14:solidFill>
          </w14:textFill>
        </w:rPr>
        <w:t xml:space="preserve"> Table 9. Subgroup Analysis of </w:t>
      </w:r>
      <w:r>
        <w:rPr>
          <w:rFonts w:hint="default" w:ascii="Times New Roman" w:hAnsi="Times New Roman" w:cs="Times New Roman"/>
          <w:b/>
          <w:bCs/>
          <w:color w:val="000000" w:themeColor="text1"/>
          <w:sz w:val="20"/>
          <w:szCs w:val="20"/>
          <w:highlight w:val="none"/>
          <w14:textFill>
            <w14:solidFill>
              <w14:schemeClr w14:val="tx1"/>
            </w14:solidFill>
          </w14:textFill>
        </w:rPr>
        <w:t>Overall eGDR Levels</w:t>
      </w:r>
      <w:r>
        <w:rPr>
          <w:rFonts w:hint="default" w:ascii="Times New Roman" w:hAnsi="Times New Roman" w:eastAsia="宋体" w:cs="Times New Roman"/>
          <w:b/>
          <w:bCs/>
          <w:color w:val="000000" w:themeColor="text1"/>
          <w:kern w:val="0"/>
          <w:sz w:val="20"/>
          <w:szCs w:val="20"/>
          <w:highlight w:val="none"/>
          <w:lang w:bidi="ar"/>
          <w14:textFill>
            <w14:solidFill>
              <w14:schemeClr w14:val="tx1"/>
            </w14:solidFill>
          </w14:textFill>
        </w:rPr>
        <w:t xml:space="preserve"> in patients with DM</w:t>
      </w:r>
      <w:bookmarkEnd w:id="8"/>
    </w:p>
    <w:tbl>
      <w:tblPr>
        <w:tblStyle w:val="9"/>
        <w:tblW w:w="13678" w:type="dxa"/>
        <w:tblInd w:w="100" w:type="dxa"/>
        <w:tblLayout w:type="fixed"/>
        <w:tblCellMar>
          <w:top w:w="0" w:type="dxa"/>
          <w:left w:w="108" w:type="dxa"/>
          <w:bottom w:w="0" w:type="dxa"/>
          <w:right w:w="108" w:type="dxa"/>
        </w:tblCellMar>
      </w:tblPr>
      <w:tblGrid>
        <w:gridCol w:w="2540"/>
        <w:gridCol w:w="1581"/>
        <w:gridCol w:w="2094"/>
        <w:gridCol w:w="1636"/>
        <w:gridCol w:w="1650"/>
        <w:gridCol w:w="1773"/>
        <w:gridCol w:w="2404"/>
      </w:tblGrid>
      <w:tr w14:paraId="0F18FE34">
        <w:tblPrEx>
          <w:tblCellMar>
            <w:top w:w="0" w:type="dxa"/>
            <w:left w:w="108" w:type="dxa"/>
            <w:bottom w:w="0" w:type="dxa"/>
            <w:right w:w="108" w:type="dxa"/>
          </w:tblCellMar>
        </w:tblPrEx>
        <w:trPr>
          <w:trHeight w:val="314" w:hRule="atLeast"/>
        </w:trPr>
        <w:tc>
          <w:tcPr>
            <w:tcW w:w="2540" w:type="dxa"/>
            <w:vMerge w:val="restart"/>
            <w:tcBorders>
              <w:top w:val="single" w:color="000000" w:sz="4" w:space="0"/>
              <w:left w:val="nil"/>
              <w:bottom w:val="single" w:color="000000" w:sz="4" w:space="0"/>
              <w:right w:val="nil"/>
            </w:tcBorders>
            <w:shd w:val="clear" w:color="auto" w:fill="F2F2F2"/>
            <w:noWrap/>
            <w:vAlign w:val="center"/>
          </w:tcPr>
          <w:p w14:paraId="4A6E01A8">
            <w:pPr>
              <w:widowControl/>
              <w:jc w:val="left"/>
              <w:textAlignment w:val="center"/>
              <w:rPr>
                <w:rFonts w:hint="default" w:ascii="Times New Roman" w:hAnsi="Times New Roman" w:eastAsia="宋体" w:cs="Times New Roman"/>
                <w:b/>
                <w:bCs/>
                <w:color w:val="000000" w:themeColor="text1"/>
                <w:sz w:val="20"/>
                <w:szCs w:val="20"/>
                <w:highlight w:val="none"/>
                <w14:textFill>
                  <w14:solidFill>
                    <w14:schemeClr w14:val="tx1"/>
                  </w14:solidFill>
                </w14:textFill>
              </w:rPr>
            </w:pPr>
            <w:r>
              <w:rPr>
                <w:rFonts w:hint="default" w:ascii="Times New Roman" w:hAnsi="Times New Roman" w:eastAsia="宋体" w:cs="Times New Roman"/>
                <w:b/>
                <w:bCs/>
                <w:color w:val="000000" w:themeColor="text1"/>
                <w:kern w:val="0"/>
                <w:sz w:val="20"/>
                <w:szCs w:val="20"/>
                <w:highlight w:val="none"/>
                <w:lang w:bidi="ar"/>
                <w14:textFill>
                  <w14:solidFill>
                    <w14:schemeClr w14:val="tx1"/>
                  </w14:solidFill>
                </w14:textFill>
              </w:rPr>
              <w:t>Subgroup</w:t>
            </w:r>
          </w:p>
        </w:tc>
        <w:tc>
          <w:tcPr>
            <w:tcW w:w="1581" w:type="dxa"/>
            <w:vMerge w:val="restart"/>
            <w:tcBorders>
              <w:top w:val="single" w:color="000000" w:sz="4" w:space="0"/>
              <w:left w:val="nil"/>
              <w:bottom w:val="single" w:color="000000" w:sz="4" w:space="0"/>
              <w:right w:val="nil"/>
            </w:tcBorders>
            <w:shd w:val="clear" w:color="auto" w:fill="F2F2F2"/>
            <w:noWrap/>
            <w:vAlign w:val="center"/>
          </w:tcPr>
          <w:p w14:paraId="208AC1D8">
            <w:pPr>
              <w:widowControl/>
              <w:jc w:val="left"/>
              <w:textAlignment w:val="center"/>
              <w:rPr>
                <w:rFonts w:hint="default" w:ascii="Times New Roman" w:hAnsi="Times New Roman" w:eastAsia="宋体" w:cs="Times New Roman"/>
                <w:b/>
                <w:bCs/>
                <w:color w:val="000000" w:themeColor="text1"/>
                <w:sz w:val="20"/>
                <w:szCs w:val="20"/>
                <w:highlight w:val="none"/>
                <w14:textFill>
                  <w14:solidFill>
                    <w14:schemeClr w14:val="tx1"/>
                  </w14:solidFill>
                </w14:textFill>
              </w:rPr>
            </w:pPr>
            <w:r>
              <w:rPr>
                <w:rFonts w:hint="default" w:ascii="Times New Roman" w:hAnsi="Times New Roman" w:eastAsia="宋体" w:cs="Times New Roman"/>
                <w:b/>
                <w:bCs/>
                <w:color w:val="000000" w:themeColor="text1"/>
                <w:kern w:val="0"/>
                <w:sz w:val="20"/>
                <w:szCs w:val="20"/>
                <w:highlight w:val="none"/>
                <w:lang w:bidi="ar"/>
                <w14:textFill>
                  <w14:solidFill>
                    <w14:schemeClr w14:val="tx1"/>
                  </w14:solidFill>
                </w14:textFill>
              </w:rPr>
              <w:t>No. of studies</w:t>
            </w:r>
          </w:p>
        </w:tc>
        <w:tc>
          <w:tcPr>
            <w:tcW w:w="2094" w:type="dxa"/>
            <w:vMerge w:val="restart"/>
            <w:tcBorders>
              <w:top w:val="single" w:color="000000" w:sz="4" w:space="0"/>
              <w:left w:val="nil"/>
              <w:bottom w:val="single" w:color="000000" w:sz="4" w:space="0"/>
              <w:right w:val="nil"/>
            </w:tcBorders>
            <w:shd w:val="clear" w:color="auto" w:fill="F2F2F2"/>
            <w:noWrap/>
            <w:vAlign w:val="center"/>
          </w:tcPr>
          <w:p w14:paraId="3DFB924B">
            <w:pPr>
              <w:widowControl/>
              <w:jc w:val="left"/>
              <w:textAlignment w:val="center"/>
              <w:rPr>
                <w:rFonts w:hint="default" w:ascii="Times New Roman" w:hAnsi="Times New Roman" w:eastAsia="宋体" w:cs="Times New Roman"/>
                <w:b/>
                <w:bCs/>
                <w:color w:val="000000" w:themeColor="text1"/>
                <w:sz w:val="20"/>
                <w:szCs w:val="20"/>
                <w:highlight w:val="none"/>
                <w14:textFill>
                  <w14:solidFill>
                    <w14:schemeClr w14:val="tx1"/>
                  </w14:solidFill>
                </w14:textFill>
              </w:rPr>
            </w:pPr>
            <w:r>
              <w:rPr>
                <w:rFonts w:hint="default" w:ascii="Times New Roman" w:hAnsi="Times New Roman" w:eastAsia="宋体" w:cs="Times New Roman"/>
                <w:b/>
                <w:bCs/>
                <w:color w:val="000000" w:themeColor="text1"/>
                <w:kern w:val="0"/>
                <w:sz w:val="20"/>
                <w:szCs w:val="20"/>
                <w:highlight w:val="none"/>
                <w:lang w:bidi="ar"/>
                <w14:textFill>
                  <w14:solidFill>
                    <w14:schemeClr w14:val="tx1"/>
                  </w14:solidFill>
                </w14:textFill>
              </w:rPr>
              <w:t>HR (95% CI)</w:t>
            </w:r>
          </w:p>
        </w:tc>
        <w:tc>
          <w:tcPr>
            <w:tcW w:w="5059" w:type="dxa"/>
            <w:gridSpan w:val="3"/>
            <w:tcBorders>
              <w:top w:val="single" w:color="000000" w:sz="4" w:space="0"/>
              <w:left w:val="nil"/>
              <w:bottom w:val="nil"/>
              <w:right w:val="nil"/>
            </w:tcBorders>
            <w:shd w:val="clear" w:color="auto" w:fill="F2F2F2"/>
            <w:noWrap/>
            <w:vAlign w:val="center"/>
          </w:tcPr>
          <w:p w14:paraId="69F0A8EC">
            <w:pPr>
              <w:widowControl/>
              <w:jc w:val="center"/>
              <w:textAlignment w:val="center"/>
              <w:rPr>
                <w:rFonts w:hint="default" w:ascii="Times New Roman" w:hAnsi="Times New Roman" w:eastAsia="宋体" w:cs="Times New Roman"/>
                <w:b/>
                <w:bCs/>
                <w:color w:val="000000" w:themeColor="text1"/>
                <w:sz w:val="20"/>
                <w:szCs w:val="20"/>
                <w:highlight w:val="none"/>
                <w14:textFill>
                  <w14:solidFill>
                    <w14:schemeClr w14:val="tx1"/>
                  </w14:solidFill>
                </w14:textFill>
              </w:rPr>
            </w:pPr>
            <w:r>
              <w:rPr>
                <w:rFonts w:hint="default" w:ascii="Times New Roman" w:hAnsi="Times New Roman" w:eastAsia="宋体" w:cs="Times New Roman"/>
                <w:b/>
                <w:bCs/>
                <w:color w:val="000000" w:themeColor="text1"/>
                <w:kern w:val="0"/>
                <w:sz w:val="20"/>
                <w:szCs w:val="20"/>
                <w:highlight w:val="none"/>
                <w:lang w:bidi="ar"/>
                <w14:textFill>
                  <w14:solidFill>
                    <w14:schemeClr w14:val="tx1"/>
                  </w14:solidFill>
                </w14:textFill>
              </w:rPr>
              <w:t>Tests for heterogeneity</w:t>
            </w:r>
          </w:p>
        </w:tc>
        <w:tc>
          <w:tcPr>
            <w:tcW w:w="2404" w:type="dxa"/>
            <w:tcBorders>
              <w:top w:val="single" w:color="000000" w:sz="4" w:space="0"/>
              <w:left w:val="nil"/>
              <w:bottom w:val="nil"/>
              <w:right w:val="nil"/>
            </w:tcBorders>
            <w:shd w:val="clear" w:color="auto" w:fill="F2F2F2"/>
            <w:noWrap/>
            <w:vAlign w:val="center"/>
          </w:tcPr>
          <w:p w14:paraId="5461E593">
            <w:pPr>
              <w:widowControl/>
              <w:jc w:val="left"/>
              <w:textAlignment w:val="center"/>
              <w:rPr>
                <w:rFonts w:hint="default" w:ascii="Times New Roman" w:hAnsi="Times New Roman" w:eastAsia="宋体" w:cs="Times New Roman"/>
                <w:b/>
                <w:bCs/>
                <w:color w:val="000000" w:themeColor="text1"/>
                <w:sz w:val="20"/>
                <w:szCs w:val="20"/>
                <w:highlight w:val="none"/>
                <w14:textFill>
                  <w14:solidFill>
                    <w14:schemeClr w14:val="tx1"/>
                  </w14:solidFill>
                </w14:textFill>
              </w:rPr>
            </w:pPr>
            <w:r>
              <w:rPr>
                <w:rFonts w:hint="default" w:ascii="Times New Roman" w:hAnsi="Times New Roman" w:eastAsia="宋体" w:cs="Times New Roman"/>
                <w:b/>
                <w:bCs/>
                <w:color w:val="000000" w:themeColor="text1"/>
                <w:kern w:val="0"/>
                <w:sz w:val="20"/>
                <w:szCs w:val="20"/>
                <w:highlight w:val="none"/>
                <w:lang w:bidi="ar"/>
                <w14:textFill>
                  <w14:solidFill>
                    <w14:schemeClr w14:val="tx1"/>
                  </w14:solidFill>
                </w14:textFill>
              </w:rPr>
              <w:t xml:space="preserve">Subgroup differences  </w:t>
            </w:r>
          </w:p>
        </w:tc>
      </w:tr>
      <w:tr w14:paraId="5FA1968E">
        <w:tblPrEx>
          <w:tblCellMar>
            <w:top w:w="0" w:type="dxa"/>
            <w:left w:w="108" w:type="dxa"/>
            <w:bottom w:w="0" w:type="dxa"/>
            <w:right w:w="108" w:type="dxa"/>
          </w:tblCellMar>
        </w:tblPrEx>
        <w:trPr>
          <w:trHeight w:val="314" w:hRule="atLeast"/>
        </w:trPr>
        <w:tc>
          <w:tcPr>
            <w:tcW w:w="2540" w:type="dxa"/>
            <w:vMerge w:val="continue"/>
            <w:tcBorders>
              <w:top w:val="single" w:color="000000" w:sz="4" w:space="0"/>
              <w:left w:val="nil"/>
              <w:bottom w:val="single" w:color="000000" w:sz="4" w:space="0"/>
              <w:right w:val="nil"/>
            </w:tcBorders>
            <w:shd w:val="clear" w:color="auto" w:fill="F2F2F2"/>
            <w:noWrap/>
            <w:vAlign w:val="center"/>
          </w:tcPr>
          <w:p w14:paraId="1271FA41">
            <w:pPr>
              <w:jc w:val="left"/>
              <w:rPr>
                <w:rFonts w:hint="default" w:ascii="Times New Roman" w:hAnsi="Times New Roman" w:eastAsia="宋体" w:cs="Times New Roman"/>
                <w:b/>
                <w:bCs/>
                <w:color w:val="000000" w:themeColor="text1"/>
                <w:sz w:val="20"/>
                <w:szCs w:val="20"/>
                <w:highlight w:val="none"/>
                <w14:textFill>
                  <w14:solidFill>
                    <w14:schemeClr w14:val="tx1"/>
                  </w14:solidFill>
                </w14:textFill>
              </w:rPr>
            </w:pPr>
          </w:p>
        </w:tc>
        <w:tc>
          <w:tcPr>
            <w:tcW w:w="1581" w:type="dxa"/>
            <w:vMerge w:val="continue"/>
            <w:tcBorders>
              <w:top w:val="single" w:color="000000" w:sz="4" w:space="0"/>
              <w:left w:val="nil"/>
              <w:bottom w:val="single" w:color="000000" w:sz="4" w:space="0"/>
              <w:right w:val="nil"/>
            </w:tcBorders>
            <w:shd w:val="clear" w:color="auto" w:fill="F2F2F2"/>
            <w:noWrap/>
            <w:vAlign w:val="center"/>
          </w:tcPr>
          <w:p w14:paraId="5D5667CE">
            <w:pPr>
              <w:jc w:val="left"/>
              <w:rPr>
                <w:rFonts w:hint="default" w:ascii="Times New Roman" w:hAnsi="Times New Roman" w:eastAsia="宋体" w:cs="Times New Roman"/>
                <w:b/>
                <w:bCs/>
                <w:color w:val="000000" w:themeColor="text1"/>
                <w:sz w:val="20"/>
                <w:szCs w:val="20"/>
                <w:highlight w:val="none"/>
                <w14:textFill>
                  <w14:solidFill>
                    <w14:schemeClr w14:val="tx1"/>
                  </w14:solidFill>
                </w14:textFill>
              </w:rPr>
            </w:pPr>
          </w:p>
        </w:tc>
        <w:tc>
          <w:tcPr>
            <w:tcW w:w="2094" w:type="dxa"/>
            <w:vMerge w:val="continue"/>
            <w:tcBorders>
              <w:top w:val="single" w:color="000000" w:sz="4" w:space="0"/>
              <w:left w:val="nil"/>
              <w:bottom w:val="single" w:color="000000" w:sz="4" w:space="0"/>
              <w:right w:val="nil"/>
            </w:tcBorders>
            <w:shd w:val="clear" w:color="auto" w:fill="F2F2F2"/>
            <w:noWrap/>
            <w:vAlign w:val="center"/>
          </w:tcPr>
          <w:p w14:paraId="359DB16B">
            <w:pPr>
              <w:jc w:val="left"/>
              <w:rPr>
                <w:rFonts w:hint="default" w:ascii="Times New Roman" w:hAnsi="Times New Roman" w:eastAsia="宋体" w:cs="Times New Roman"/>
                <w:b/>
                <w:bCs/>
                <w:color w:val="000000" w:themeColor="text1"/>
                <w:sz w:val="20"/>
                <w:szCs w:val="20"/>
                <w:highlight w:val="none"/>
                <w14:textFill>
                  <w14:solidFill>
                    <w14:schemeClr w14:val="tx1"/>
                  </w14:solidFill>
                </w14:textFill>
              </w:rPr>
            </w:pPr>
          </w:p>
        </w:tc>
        <w:tc>
          <w:tcPr>
            <w:tcW w:w="1636" w:type="dxa"/>
            <w:tcBorders>
              <w:top w:val="single" w:color="000000" w:sz="4" w:space="0"/>
              <w:left w:val="nil"/>
              <w:bottom w:val="single" w:color="000000" w:sz="4" w:space="0"/>
              <w:right w:val="nil"/>
            </w:tcBorders>
            <w:shd w:val="clear" w:color="auto" w:fill="F2F2F2"/>
            <w:noWrap/>
            <w:vAlign w:val="center"/>
          </w:tcPr>
          <w:p w14:paraId="0EF08A9E">
            <w:pPr>
              <w:widowControl/>
              <w:jc w:val="left"/>
              <w:textAlignment w:val="center"/>
              <w:rPr>
                <w:rFonts w:hint="default" w:ascii="Times New Roman" w:hAnsi="Times New Roman" w:eastAsia="宋体" w:cs="Times New Roman"/>
                <w:b/>
                <w:bCs/>
                <w:color w:val="000000" w:themeColor="text1"/>
                <w:sz w:val="20"/>
                <w:szCs w:val="20"/>
                <w:highlight w:val="none"/>
                <w14:textFill>
                  <w14:solidFill>
                    <w14:schemeClr w14:val="tx1"/>
                  </w14:solidFill>
                </w14:textFill>
              </w:rPr>
            </w:pPr>
            <w:r>
              <w:rPr>
                <w:rFonts w:hint="default" w:ascii="Times New Roman" w:hAnsi="Times New Roman" w:eastAsia="宋体" w:cs="Times New Roman"/>
                <w:b/>
                <w:bCs/>
                <w:color w:val="000000" w:themeColor="text1"/>
                <w:kern w:val="0"/>
                <w:sz w:val="20"/>
                <w:szCs w:val="20"/>
                <w:highlight w:val="none"/>
                <w:lang w:bidi="ar"/>
                <w14:textFill>
                  <w14:solidFill>
                    <w14:schemeClr w14:val="tx1"/>
                  </w14:solidFill>
                </w14:textFill>
              </w:rPr>
              <w:t>I</w:t>
            </w:r>
            <w:r>
              <w:rPr>
                <w:rFonts w:hint="default" w:ascii="Times New Roman" w:hAnsi="Times New Roman" w:eastAsia="宋体" w:cs="Times New Roman"/>
                <w:b/>
                <w:bCs/>
                <w:color w:val="000000" w:themeColor="text1"/>
                <w:kern w:val="0"/>
                <w:sz w:val="20"/>
                <w:szCs w:val="20"/>
                <w:highlight w:val="none"/>
                <w:vertAlign w:val="superscript"/>
                <w:lang w:bidi="ar"/>
                <w14:textFill>
                  <w14:solidFill>
                    <w14:schemeClr w14:val="tx1"/>
                  </w14:solidFill>
                </w14:textFill>
              </w:rPr>
              <w:t>2</w:t>
            </w:r>
          </w:p>
        </w:tc>
        <w:tc>
          <w:tcPr>
            <w:tcW w:w="1650" w:type="dxa"/>
            <w:tcBorders>
              <w:top w:val="single" w:color="000000" w:sz="4" w:space="0"/>
              <w:left w:val="nil"/>
              <w:bottom w:val="single" w:color="000000" w:sz="4" w:space="0"/>
              <w:right w:val="nil"/>
            </w:tcBorders>
            <w:shd w:val="clear" w:color="auto" w:fill="F2F2F2"/>
            <w:noWrap/>
            <w:vAlign w:val="center"/>
          </w:tcPr>
          <w:p w14:paraId="14448407">
            <w:pPr>
              <w:widowControl/>
              <w:jc w:val="left"/>
              <w:textAlignment w:val="center"/>
              <w:rPr>
                <w:rFonts w:hint="default" w:ascii="Times New Roman" w:hAnsi="Times New Roman" w:eastAsia="宋体" w:cs="Times New Roman"/>
                <w:b/>
                <w:bCs/>
                <w:color w:val="000000" w:themeColor="text1"/>
                <w:sz w:val="20"/>
                <w:szCs w:val="20"/>
                <w:highlight w:val="none"/>
                <w14:textFill>
                  <w14:solidFill>
                    <w14:schemeClr w14:val="tx1"/>
                  </w14:solidFill>
                </w14:textFill>
              </w:rPr>
            </w:pPr>
            <w:r>
              <w:rPr>
                <w:rFonts w:hint="default" w:ascii="Times New Roman" w:hAnsi="Times New Roman" w:eastAsia="宋体" w:cs="Times New Roman"/>
                <w:b/>
                <w:bCs/>
                <w:color w:val="000000" w:themeColor="text1"/>
                <w:kern w:val="0"/>
                <w:sz w:val="20"/>
                <w:szCs w:val="20"/>
                <w:highlight w:val="none"/>
                <w:lang w:bidi="ar"/>
                <w14:textFill>
                  <w14:solidFill>
                    <w14:schemeClr w14:val="tx1"/>
                  </w14:solidFill>
                </w14:textFill>
              </w:rPr>
              <w:t>τ</w:t>
            </w:r>
            <w:r>
              <w:rPr>
                <w:rFonts w:hint="default" w:ascii="Times New Roman" w:hAnsi="Times New Roman" w:eastAsia="宋体" w:cs="Times New Roman"/>
                <w:b/>
                <w:bCs/>
                <w:color w:val="000000" w:themeColor="text1"/>
                <w:kern w:val="0"/>
                <w:sz w:val="20"/>
                <w:szCs w:val="20"/>
                <w:highlight w:val="none"/>
                <w:vertAlign w:val="superscript"/>
                <w:lang w:bidi="ar"/>
                <w14:textFill>
                  <w14:solidFill>
                    <w14:schemeClr w14:val="tx1"/>
                  </w14:solidFill>
                </w14:textFill>
              </w:rPr>
              <w:t>2</w:t>
            </w:r>
            <w:r>
              <w:rPr>
                <w:rFonts w:hint="default" w:ascii="Times New Roman" w:hAnsi="Times New Roman" w:eastAsia="宋体" w:cs="Times New Roman"/>
                <w:b/>
                <w:bCs/>
                <w:color w:val="000000" w:themeColor="text1"/>
                <w:kern w:val="0"/>
                <w:sz w:val="20"/>
                <w:szCs w:val="20"/>
                <w:highlight w:val="none"/>
                <w:lang w:bidi="ar"/>
                <w14:textFill>
                  <w14:solidFill>
                    <w14:schemeClr w14:val="tx1"/>
                  </w14:solidFill>
                </w14:textFill>
              </w:rPr>
              <w:t xml:space="preserve"> </w:t>
            </w:r>
          </w:p>
        </w:tc>
        <w:tc>
          <w:tcPr>
            <w:tcW w:w="1773" w:type="dxa"/>
            <w:tcBorders>
              <w:top w:val="single" w:color="000000" w:sz="4" w:space="0"/>
              <w:left w:val="nil"/>
              <w:bottom w:val="single" w:color="000000" w:sz="4" w:space="0"/>
              <w:right w:val="nil"/>
            </w:tcBorders>
            <w:shd w:val="clear" w:color="auto" w:fill="F2F2F2"/>
            <w:noWrap/>
            <w:vAlign w:val="center"/>
          </w:tcPr>
          <w:p w14:paraId="1E68C82A">
            <w:pPr>
              <w:widowControl/>
              <w:jc w:val="left"/>
              <w:textAlignment w:val="center"/>
              <w:rPr>
                <w:rFonts w:hint="default" w:ascii="Times New Roman" w:hAnsi="Times New Roman" w:eastAsia="宋体" w:cs="Times New Roman"/>
                <w:b/>
                <w:bCs/>
                <w:color w:val="000000" w:themeColor="text1"/>
                <w:sz w:val="20"/>
                <w:szCs w:val="20"/>
                <w:highlight w:val="none"/>
                <w14:textFill>
                  <w14:solidFill>
                    <w14:schemeClr w14:val="tx1"/>
                  </w14:solidFill>
                </w14:textFill>
              </w:rPr>
            </w:pPr>
            <w:r>
              <w:rPr>
                <w:rFonts w:hint="default" w:ascii="Times New Roman" w:hAnsi="Times New Roman" w:eastAsia="宋体" w:cs="Times New Roman"/>
                <w:b/>
                <w:bCs/>
                <w:color w:val="000000" w:themeColor="text1"/>
                <w:kern w:val="0"/>
                <w:sz w:val="20"/>
                <w:szCs w:val="20"/>
                <w:highlight w:val="none"/>
                <w:lang w:bidi="ar"/>
                <w14:textFill>
                  <w14:solidFill>
                    <w14:schemeClr w14:val="tx1"/>
                  </w14:solidFill>
                </w14:textFill>
              </w:rPr>
              <w:t>P</w:t>
            </w:r>
          </w:p>
        </w:tc>
        <w:tc>
          <w:tcPr>
            <w:tcW w:w="2404" w:type="dxa"/>
            <w:tcBorders>
              <w:top w:val="single" w:color="000000" w:sz="4" w:space="0"/>
              <w:left w:val="nil"/>
              <w:bottom w:val="single" w:color="000000" w:sz="4" w:space="0"/>
              <w:right w:val="nil"/>
            </w:tcBorders>
            <w:shd w:val="clear" w:color="auto" w:fill="F2F2F2"/>
            <w:noWrap/>
            <w:vAlign w:val="center"/>
          </w:tcPr>
          <w:p w14:paraId="3526CEBA">
            <w:pPr>
              <w:widowControl/>
              <w:jc w:val="left"/>
              <w:textAlignment w:val="center"/>
              <w:rPr>
                <w:rFonts w:hint="default" w:ascii="Times New Roman" w:hAnsi="Times New Roman" w:eastAsia="宋体" w:cs="Times New Roman"/>
                <w:b/>
                <w:bCs/>
                <w:color w:val="000000" w:themeColor="text1"/>
                <w:sz w:val="20"/>
                <w:szCs w:val="20"/>
                <w:highlight w:val="none"/>
                <w14:textFill>
                  <w14:solidFill>
                    <w14:schemeClr w14:val="tx1"/>
                  </w14:solidFill>
                </w14:textFill>
              </w:rPr>
            </w:pPr>
            <w:r>
              <w:rPr>
                <w:rFonts w:hint="default" w:ascii="Times New Roman" w:hAnsi="Times New Roman" w:eastAsia="宋体" w:cs="Times New Roman"/>
                <w:b/>
                <w:bCs/>
                <w:color w:val="000000" w:themeColor="text1"/>
                <w:kern w:val="0"/>
                <w:sz w:val="20"/>
                <w:szCs w:val="20"/>
                <w:highlight w:val="none"/>
                <w:lang w:bidi="ar"/>
                <w14:textFill>
                  <w14:solidFill>
                    <w14:schemeClr w14:val="tx1"/>
                  </w14:solidFill>
                </w14:textFill>
              </w:rPr>
              <w:t>P</w:t>
            </w:r>
          </w:p>
        </w:tc>
      </w:tr>
      <w:tr w14:paraId="6B8A891A">
        <w:tblPrEx>
          <w:tblCellMar>
            <w:top w:w="0" w:type="dxa"/>
            <w:left w:w="108" w:type="dxa"/>
            <w:bottom w:w="0" w:type="dxa"/>
            <w:right w:w="108" w:type="dxa"/>
          </w:tblCellMar>
        </w:tblPrEx>
        <w:trPr>
          <w:trHeight w:val="90" w:hRule="atLeast"/>
        </w:trPr>
        <w:tc>
          <w:tcPr>
            <w:tcW w:w="2540" w:type="dxa"/>
            <w:tcBorders>
              <w:top w:val="nil"/>
              <w:left w:val="nil"/>
              <w:bottom w:val="nil"/>
              <w:right w:val="nil"/>
            </w:tcBorders>
            <w:shd w:val="clear" w:color="auto" w:fill="D9D9D9"/>
            <w:noWrap/>
            <w:vAlign w:val="center"/>
          </w:tcPr>
          <w:p w14:paraId="40975FD1">
            <w:pPr>
              <w:widowControl/>
              <w:jc w:val="left"/>
              <w:textAlignment w:val="center"/>
              <w:rPr>
                <w:rFonts w:hint="default" w:ascii="Times New Roman" w:hAnsi="Times New Roman" w:eastAsia="宋体" w:cs="Times New Roman"/>
                <w:b/>
                <w:bCs/>
                <w:color w:val="000000" w:themeColor="text1"/>
                <w:kern w:val="0"/>
                <w:sz w:val="20"/>
                <w:szCs w:val="20"/>
                <w:highlight w:val="none"/>
                <w:lang w:bidi="ar"/>
                <w14:textFill>
                  <w14:solidFill>
                    <w14:schemeClr w14:val="tx1"/>
                  </w14:solidFill>
                </w14:textFill>
              </w:rPr>
            </w:pPr>
            <w:r>
              <w:rPr>
                <w:rFonts w:hint="default" w:ascii="Times New Roman" w:hAnsi="Times New Roman" w:eastAsia="宋体" w:cs="Times New Roman"/>
                <w:b/>
                <w:bCs/>
                <w:color w:val="000000" w:themeColor="text1"/>
                <w:kern w:val="0"/>
                <w:sz w:val="20"/>
                <w:szCs w:val="20"/>
                <w:highlight w:val="none"/>
                <w:lang w:bidi="ar"/>
                <w14:textFill>
                  <w14:solidFill>
                    <w14:schemeClr w14:val="tx1"/>
                  </w14:solidFill>
                </w14:textFill>
              </w:rPr>
              <w:t>Patients with TIDM</w:t>
            </w:r>
          </w:p>
        </w:tc>
        <w:tc>
          <w:tcPr>
            <w:tcW w:w="1581" w:type="dxa"/>
            <w:tcBorders>
              <w:top w:val="nil"/>
              <w:left w:val="nil"/>
              <w:bottom w:val="nil"/>
              <w:right w:val="nil"/>
            </w:tcBorders>
            <w:shd w:val="clear" w:color="auto" w:fill="D9D9D9"/>
            <w:noWrap/>
            <w:vAlign w:val="center"/>
          </w:tcPr>
          <w:p w14:paraId="36713794">
            <w:pPr>
              <w:widowControl/>
              <w:jc w:val="left"/>
              <w:textAlignment w:val="center"/>
              <w:rPr>
                <w:rFonts w:hint="default" w:ascii="Times New Roman" w:hAnsi="Times New Roman" w:eastAsia="宋体" w:cs="Times New Roman"/>
                <w:b/>
                <w:bCs/>
                <w:color w:val="000000" w:themeColor="text1"/>
                <w:kern w:val="0"/>
                <w:sz w:val="20"/>
                <w:szCs w:val="20"/>
                <w:highlight w:val="none"/>
                <w:lang w:bidi="ar"/>
                <w14:textFill>
                  <w14:solidFill>
                    <w14:schemeClr w14:val="tx1"/>
                  </w14:solidFill>
                </w14:textFill>
              </w:rPr>
            </w:pPr>
            <w:r>
              <w:rPr>
                <w:rFonts w:hint="default" w:ascii="Times New Roman" w:hAnsi="Times New Roman" w:eastAsia="宋体" w:cs="Times New Roman"/>
                <w:b/>
                <w:bCs/>
                <w:color w:val="000000" w:themeColor="text1"/>
                <w:kern w:val="0"/>
                <w:sz w:val="20"/>
                <w:szCs w:val="20"/>
                <w:highlight w:val="none"/>
                <w:lang w:bidi="ar"/>
                <w14:textFill>
                  <w14:solidFill>
                    <w14:schemeClr w14:val="tx1"/>
                  </w14:solidFill>
                </w14:textFill>
              </w:rPr>
              <w:t>46</w:t>
            </w:r>
          </w:p>
        </w:tc>
        <w:tc>
          <w:tcPr>
            <w:tcW w:w="2094" w:type="dxa"/>
            <w:tcBorders>
              <w:top w:val="nil"/>
              <w:left w:val="nil"/>
              <w:bottom w:val="nil"/>
              <w:right w:val="nil"/>
            </w:tcBorders>
            <w:shd w:val="clear" w:color="auto" w:fill="D9D9D9"/>
            <w:noWrap/>
            <w:vAlign w:val="center"/>
          </w:tcPr>
          <w:p w14:paraId="379AB7F5">
            <w:pPr>
              <w:widowControl/>
              <w:jc w:val="left"/>
              <w:textAlignment w:val="center"/>
              <w:rPr>
                <w:rFonts w:hint="default" w:ascii="Times New Roman" w:hAnsi="Times New Roman" w:eastAsia="宋体" w:cs="Times New Roman"/>
                <w:b/>
                <w:bCs/>
                <w:color w:val="000000" w:themeColor="text1"/>
                <w:kern w:val="0"/>
                <w:sz w:val="20"/>
                <w:szCs w:val="20"/>
                <w:highlight w:val="none"/>
                <w:lang w:bidi="ar"/>
                <w14:textFill>
                  <w14:solidFill>
                    <w14:schemeClr w14:val="tx1"/>
                  </w14:solidFill>
                </w14:textFill>
              </w:rPr>
            </w:pPr>
            <w:r>
              <w:rPr>
                <w:rFonts w:hint="default" w:ascii="Times New Roman" w:hAnsi="Times New Roman" w:eastAsia="宋体" w:cs="Times New Roman"/>
                <w:b/>
                <w:bCs/>
                <w:color w:val="000000" w:themeColor="text1"/>
                <w:kern w:val="0"/>
                <w:sz w:val="20"/>
                <w:szCs w:val="20"/>
                <w:highlight w:val="none"/>
                <w:lang w:bidi="ar"/>
                <w14:textFill>
                  <w14:solidFill>
                    <w14:schemeClr w14:val="tx1"/>
                  </w14:solidFill>
                </w14:textFill>
              </w:rPr>
              <w:t>8.19 (7.80</w:t>
            </w:r>
            <w:r>
              <w:rPr>
                <w:rFonts w:hint="default" w:ascii="Times New Roman" w:hAnsi="Times New Roman" w:eastAsia="宋体" w:cs="Times New Roman"/>
                <w:b/>
                <w:bCs/>
                <w:i w:val="0"/>
                <w:iCs w:val="0"/>
                <w:color w:val="auto"/>
                <w:kern w:val="0"/>
                <w:sz w:val="20"/>
                <w:szCs w:val="20"/>
                <w:highlight w:val="none"/>
                <w:u w:val="none"/>
                <w:lang w:val="en-US" w:eastAsia="zh-CN" w:bidi="ar"/>
              </w:rPr>
              <w:t>–</w:t>
            </w:r>
            <w:r>
              <w:rPr>
                <w:rFonts w:hint="default" w:ascii="Times New Roman" w:hAnsi="Times New Roman" w:eastAsia="宋体" w:cs="Times New Roman"/>
                <w:b/>
                <w:bCs/>
                <w:color w:val="000000" w:themeColor="text1"/>
                <w:kern w:val="0"/>
                <w:sz w:val="20"/>
                <w:szCs w:val="20"/>
                <w:highlight w:val="none"/>
                <w:lang w:bidi="ar"/>
                <w14:textFill>
                  <w14:solidFill>
                    <w14:schemeClr w14:val="tx1"/>
                  </w14:solidFill>
                </w14:textFill>
              </w:rPr>
              <w:t>8.59)</w:t>
            </w:r>
          </w:p>
        </w:tc>
        <w:tc>
          <w:tcPr>
            <w:tcW w:w="1636" w:type="dxa"/>
            <w:tcBorders>
              <w:top w:val="nil"/>
              <w:left w:val="nil"/>
              <w:bottom w:val="nil"/>
              <w:right w:val="nil"/>
            </w:tcBorders>
            <w:shd w:val="clear" w:color="auto" w:fill="D9D9D9"/>
            <w:noWrap/>
            <w:vAlign w:val="center"/>
          </w:tcPr>
          <w:p w14:paraId="6E0E4892">
            <w:pPr>
              <w:widowControl/>
              <w:jc w:val="left"/>
              <w:textAlignment w:val="center"/>
              <w:rPr>
                <w:rFonts w:hint="default" w:ascii="Times New Roman" w:hAnsi="Times New Roman" w:eastAsia="宋体" w:cs="Times New Roman"/>
                <w:b/>
                <w:bCs/>
                <w:color w:val="000000" w:themeColor="text1"/>
                <w:kern w:val="0"/>
                <w:sz w:val="20"/>
                <w:szCs w:val="20"/>
                <w:highlight w:val="none"/>
                <w:lang w:bidi="ar"/>
                <w14:textFill>
                  <w14:solidFill>
                    <w14:schemeClr w14:val="tx1"/>
                  </w14:solidFill>
                </w14:textFill>
              </w:rPr>
            </w:pPr>
            <w:r>
              <w:rPr>
                <w:rFonts w:hint="default" w:ascii="Times New Roman" w:hAnsi="Times New Roman" w:eastAsia="宋体" w:cs="Times New Roman"/>
                <w:b/>
                <w:bCs/>
                <w:color w:val="000000" w:themeColor="text1"/>
                <w:kern w:val="0"/>
                <w:sz w:val="20"/>
                <w:szCs w:val="20"/>
                <w:highlight w:val="none"/>
                <w:lang w:bidi="ar"/>
                <w14:textFill>
                  <w14:solidFill>
                    <w14:schemeClr w14:val="tx1"/>
                  </w14:solidFill>
                </w14:textFill>
              </w:rPr>
              <w:t>99%</w:t>
            </w:r>
          </w:p>
        </w:tc>
        <w:tc>
          <w:tcPr>
            <w:tcW w:w="1650" w:type="dxa"/>
            <w:tcBorders>
              <w:top w:val="nil"/>
              <w:left w:val="nil"/>
              <w:bottom w:val="nil"/>
              <w:right w:val="nil"/>
            </w:tcBorders>
            <w:shd w:val="clear" w:color="auto" w:fill="D9D9D9"/>
            <w:noWrap/>
            <w:vAlign w:val="center"/>
          </w:tcPr>
          <w:p w14:paraId="7BE7A84B">
            <w:pPr>
              <w:widowControl/>
              <w:jc w:val="left"/>
              <w:textAlignment w:val="center"/>
              <w:rPr>
                <w:rFonts w:hint="default" w:ascii="Times New Roman" w:hAnsi="Times New Roman" w:eastAsia="宋体" w:cs="Times New Roman"/>
                <w:b/>
                <w:bCs/>
                <w:color w:val="000000" w:themeColor="text1"/>
                <w:kern w:val="0"/>
                <w:sz w:val="20"/>
                <w:szCs w:val="20"/>
                <w:highlight w:val="none"/>
                <w:lang w:bidi="ar"/>
                <w14:textFill>
                  <w14:solidFill>
                    <w14:schemeClr w14:val="tx1"/>
                  </w14:solidFill>
                </w14:textFill>
              </w:rPr>
            </w:pPr>
            <w:r>
              <w:rPr>
                <w:rFonts w:hint="default" w:ascii="Times New Roman" w:hAnsi="Times New Roman" w:eastAsia="宋体" w:cs="Times New Roman"/>
                <w:b/>
                <w:bCs/>
                <w:color w:val="000000" w:themeColor="text1"/>
                <w:kern w:val="0"/>
                <w:sz w:val="20"/>
                <w:szCs w:val="20"/>
                <w:highlight w:val="none"/>
                <w:lang w:bidi="ar"/>
                <w14:textFill>
                  <w14:solidFill>
                    <w14:schemeClr w14:val="tx1"/>
                  </w14:solidFill>
                </w14:textFill>
              </w:rPr>
              <w:t>1.813</w:t>
            </w:r>
          </w:p>
        </w:tc>
        <w:tc>
          <w:tcPr>
            <w:tcW w:w="1773" w:type="dxa"/>
            <w:tcBorders>
              <w:top w:val="nil"/>
              <w:left w:val="nil"/>
              <w:bottom w:val="nil"/>
              <w:right w:val="nil"/>
            </w:tcBorders>
            <w:shd w:val="clear" w:color="auto" w:fill="D9D9D9"/>
            <w:noWrap/>
            <w:vAlign w:val="center"/>
          </w:tcPr>
          <w:p w14:paraId="31265990">
            <w:pPr>
              <w:widowControl/>
              <w:jc w:val="left"/>
              <w:textAlignment w:val="center"/>
              <w:rPr>
                <w:rFonts w:hint="default" w:ascii="Times New Roman" w:hAnsi="Times New Roman" w:eastAsia="宋体" w:cs="Times New Roman"/>
                <w:b/>
                <w:bCs/>
                <w:color w:val="000000" w:themeColor="text1"/>
                <w:kern w:val="0"/>
                <w:sz w:val="20"/>
                <w:szCs w:val="20"/>
                <w:highlight w:val="none"/>
                <w:lang w:bidi="ar"/>
                <w14:textFill>
                  <w14:solidFill>
                    <w14:schemeClr w14:val="tx1"/>
                  </w14:solidFill>
                </w14:textFill>
              </w:rPr>
            </w:pPr>
            <w:r>
              <w:rPr>
                <w:rFonts w:hint="default" w:ascii="Times New Roman" w:hAnsi="Times New Roman" w:eastAsia="宋体" w:cs="Times New Roman"/>
                <w:b/>
                <w:bCs/>
                <w:color w:val="000000" w:themeColor="text1"/>
                <w:kern w:val="0"/>
                <w:sz w:val="20"/>
                <w:szCs w:val="20"/>
                <w:highlight w:val="none"/>
                <w:lang w:bidi="ar"/>
                <w14:textFill>
                  <w14:solidFill>
                    <w14:schemeClr w14:val="tx1"/>
                  </w14:solidFill>
                </w14:textFill>
              </w:rPr>
              <w:t>&lt; 0.01</w:t>
            </w:r>
          </w:p>
        </w:tc>
        <w:tc>
          <w:tcPr>
            <w:tcW w:w="2404" w:type="dxa"/>
            <w:tcBorders>
              <w:top w:val="nil"/>
              <w:left w:val="nil"/>
              <w:bottom w:val="nil"/>
              <w:right w:val="nil"/>
            </w:tcBorders>
            <w:shd w:val="clear" w:color="auto" w:fill="D9D9D9"/>
            <w:noWrap/>
            <w:vAlign w:val="center"/>
          </w:tcPr>
          <w:p w14:paraId="2F39D761">
            <w:pPr>
              <w:widowControl/>
              <w:jc w:val="left"/>
              <w:textAlignment w:val="center"/>
              <w:rPr>
                <w:rFonts w:hint="default" w:ascii="Times New Roman" w:hAnsi="Times New Roman" w:eastAsia="宋体" w:cs="Times New Roman"/>
                <w:b/>
                <w:bCs/>
                <w:color w:val="000000" w:themeColor="text1"/>
                <w:kern w:val="0"/>
                <w:sz w:val="20"/>
                <w:szCs w:val="20"/>
                <w:highlight w:val="none"/>
                <w:lang w:bidi="ar"/>
                <w14:textFill>
                  <w14:solidFill>
                    <w14:schemeClr w14:val="tx1"/>
                  </w14:solidFill>
                </w14:textFill>
              </w:rPr>
            </w:pPr>
          </w:p>
        </w:tc>
      </w:tr>
      <w:tr w14:paraId="75BD025E">
        <w:tblPrEx>
          <w:tblCellMar>
            <w:top w:w="0" w:type="dxa"/>
            <w:left w:w="108" w:type="dxa"/>
            <w:bottom w:w="0" w:type="dxa"/>
            <w:right w:w="108" w:type="dxa"/>
          </w:tblCellMar>
        </w:tblPrEx>
        <w:trPr>
          <w:trHeight w:val="304" w:hRule="atLeast"/>
        </w:trPr>
        <w:tc>
          <w:tcPr>
            <w:tcW w:w="2540" w:type="dxa"/>
            <w:tcBorders>
              <w:top w:val="nil"/>
              <w:left w:val="nil"/>
              <w:bottom w:val="nil"/>
              <w:right w:val="nil"/>
            </w:tcBorders>
            <w:shd w:val="clear" w:color="auto" w:fill="F2F2F2"/>
            <w:noWrap/>
            <w:vAlign w:val="center"/>
          </w:tcPr>
          <w:p w14:paraId="43147CFF">
            <w:pPr>
              <w:widowControl/>
              <w:jc w:val="left"/>
              <w:textAlignment w:val="center"/>
              <w:rPr>
                <w:rFonts w:hint="default" w:ascii="Times New Roman" w:hAnsi="Times New Roman" w:eastAsia="宋体" w:cs="Times New Roman"/>
                <w:i/>
                <w:iCs/>
                <w:color w:val="000000" w:themeColor="text1"/>
                <w:sz w:val="20"/>
                <w:szCs w:val="20"/>
                <w:highlight w:val="none"/>
                <w14:textFill>
                  <w14:solidFill>
                    <w14:schemeClr w14:val="tx1"/>
                  </w14:solidFill>
                </w14:textFill>
              </w:rPr>
            </w:pPr>
            <w:r>
              <w:rPr>
                <w:rFonts w:hint="default" w:ascii="Times New Roman" w:hAnsi="Times New Roman" w:eastAsia="宋体" w:cs="Times New Roman"/>
                <w:i/>
                <w:iCs/>
                <w:color w:val="000000" w:themeColor="text1"/>
                <w:kern w:val="0"/>
                <w:sz w:val="20"/>
                <w:szCs w:val="20"/>
                <w:highlight w:val="none"/>
                <w:lang w:bidi="ar"/>
                <w14:textFill>
                  <w14:solidFill>
                    <w14:schemeClr w14:val="tx1"/>
                  </w14:solidFill>
                </w14:textFill>
              </w:rPr>
              <w:t xml:space="preserve">  eGDR formula</w:t>
            </w:r>
          </w:p>
        </w:tc>
        <w:tc>
          <w:tcPr>
            <w:tcW w:w="1581" w:type="dxa"/>
            <w:tcBorders>
              <w:top w:val="nil"/>
              <w:left w:val="nil"/>
              <w:bottom w:val="nil"/>
              <w:right w:val="nil"/>
            </w:tcBorders>
            <w:shd w:val="clear" w:color="auto" w:fill="F2F2F2"/>
            <w:noWrap/>
            <w:vAlign w:val="center"/>
          </w:tcPr>
          <w:p w14:paraId="0FA5677E">
            <w:pPr>
              <w:jc w:val="left"/>
              <w:rPr>
                <w:rFonts w:hint="default" w:ascii="Times New Roman" w:hAnsi="Times New Roman" w:eastAsia="宋体" w:cs="Times New Roman"/>
                <w:color w:val="000000" w:themeColor="text1"/>
                <w:sz w:val="20"/>
                <w:szCs w:val="20"/>
                <w:highlight w:val="none"/>
                <w14:textFill>
                  <w14:solidFill>
                    <w14:schemeClr w14:val="tx1"/>
                  </w14:solidFill>
                </w14:textFill>
              </w:rPr>
            </w:pPr>
          </w:p>
        </w:tc>
        <w:tc>
          <w:tcPr>
            <w:tcW w:w="2094" w:type="dxa"/>
            <w:tcBorders>
              <w:top w:val="nil"/>
              <w:left w:val="nil"/>
              <w:bottom w:val="nil"/>
              <w:right w:val="nil"/>
            </w:tcBorders>
            <w:shd w:val="clear" w:color="auto" w:fill="F2F2F2"/>
            <w:noWrap/>
            <w:vAlign w:val="center"/>
          </w:tcPr>
          <w:p w14:paraId="67ED9279">
            <w:pPr>
              <w:jc w:val="left"/>
              <w:rPr>
                <w:rFonts w:hint="default" w:ascii="Times New Roman" w:hAnsi="Times New Roman" w:eastAsia="宋体" w:cs="Times New Roman"/>
                <w:color w:val="000000" w:themeColor="text1"/>
                <w:sz w:val="20"/>
                <w:szCs w:val="20"/>
                <w:highlight w:val="none"/>
                <w14:textFill>
                  <w14:solidFill>
                    <w14:schemeClr w14:val="tx1"/>
                  </w14:solidFill>
                </w14:textFill>
              </w:rPr>
            </w:pPr>
          </w:p>
        </w:tc>
        <w:tc>
          <w:tcPr>
            <w:tcW w:w="1636" w:type="dxa"/>
            <w:tcBorders>
              <w:top w:val="nil"/>
              <w:left w:val="nil"/>
              <w:bottom w:val="nil"/>
              <w:right w:val="nil"/>
            </w:tcBorders>
            <w:shd w:val="clear" w:color="auto" w:fill="F2F2F2"/>
            <w:noWrap/>
            <w:vAlign w:val="center"/>
          </w:tcPr>
          <w:p w14:paraId="3302A1E1">
            <w:pPr>
              <w:jc w:val="left"/>
              <w:rPr>
                <w:rFonts w:hint="default" w:ascii="Times New Roman" w:hAnsi="Times New Roman" w:eastAsia="宋体" w:cs="Times New Roman"/>
                <w:color w:val="000000" w:themeColor="text1"/>
                <w:sz w:val="20"/>
                <w:szCs w:val="20"/>
                <w:highlight w:val="none"/>
                <w14:textFill>
                  <w14:solidFill>
                    <w14:schemeClr w14:val="tx1"/>
                  </w14:solidFill>
                </w14:textFill>
              </w:rPr>
            </w:pPr>
          </w:p>
        </w:tc>
        <w:tc>
          <w:tcPr>
            <w:tcW w:w="1650" w:type="dxa"/>
            <w:tcBorders>
              <w:top w:val="nil"/>
              <w:left w:val="nil"/>
              <w:bottom w:val="nil"/>
              <w:right w:val="nil"/>
            </w:tcBorders>
            <w:shd w:val="clear" w:color="auto" w:fill="F2F2F2"/>
            <w:noWrap/>
            <w:vAlign w:val="center"/>
          </w:tcPr>
          <w:p w14:paraId="45DDE0B5">
            <w:pPr>
              <w:jc w:val="left"/>
              <w:rPr>
                <w:rFonts w:hint="default" w:ascii="Times New Roman" w:hAnsi="Times New Roman" w:eastAsia="宋体" w:cs="Times New Roman"/>
                <w:color w:val="000000" w:themeColor="text1"/>
                <w:sz w:val="20"/>
                <w:szCs w:val="20"/>
                <w:highlight w:val="none"/>
                <w14:textFill>
                  <w14:solidFill>
                    <w14:schemeClr w14:val="tx1"/>
                  </w14:solidFill>
                </w14:textFill>
              </w:rPr>
            </w:pPr>
          </w:p>
        </w:tc>
        <w:tc>
          <w:tcPr>
            <w:tcW w:w="1773" w:type="dxa"/>
            <w:tcBorders>
              <w:top w:val="nil"/>
              <w:left w:val="nil"/>
              <w:bottom w:val="nil"/>
              <w:right w:val="nil"/>
            </w:tcBorders>
            <w:shd w:val="clear" w:color="auto" w:fill="F2F2F2"/>
            <w:noWrap/>
            <w:vAlign w:val="center"/>
          </w:tcPr>
          <w:p w14:paraId="05318851">
            <w:pPr>
              <w:jc w:val="left"/>
              <w:rPr>
                <w:rFonts w:hint="default" w:ascii="Times New Roman" w:hAnsi="Times New Roman" w:eastAsia="宋体" w:cs="Times New Roman"/>
                <w:color w:val="000000" w:themeColor="text1"/>
                <w:sz w:val="20"/>
                <w:szCs w:val="20"/>
                <w:highlight w:val="none"/>
                <w14:textFill>
                  <w14:solidFill>
                    <w14:schemeClr w14:val="tx1"/>
                  </w14:solidFill>
                </w14:textFill>
              </w:rPr>
            </w:pPr>
          </w:p>
        </w:tc>
        <w:tc>
          <w:tcPr>
            <w:tcW w:w="2404" w:type="dxa"/>
            <w:tcBorders>
              <w:top w:val="nil"/>
              <w:left w:val="nil"/>
              <w:bottom w:val="nil"/>
              <w:right w:val="nil"/>
            </w:tcBorders>
            <w:shd w:val="clear" w:color="auto" w:fill="F2F2F2"/>
            <w:noWrap/>
            <w:vAlign w:val="center"/>
          </w:tcPr>
          <w:p w14:paraId="24DA749D">
            <w:pPr>
              <w:jc w:val="left"/>
              <w:rPr>
                <w:rFonts w:hint="default" w:ascii="Times New Roman" w:hAnsi="Times New Roman" w:eastAsia="宋体" w:cs="Times New Roman"/>
                <w:color w:val="000000" w:themeColor="text1"/>
                <w:sz w:val="20"/>
                <w:szCs w:val="20"/>
                <w:highlight w:val="none"/>
                <w14:textFill>
                  <w14:solidFill>
                    <w14:schemeClr w14:val="tx1"/>
                  </w14:solidFill>
                </w14:textFill>
              </w:rPr>
            </w:pPr>
            <w:r>
              <w:rPr>
                <w:rFonts w:hint="default" w:ascii="Times New Roman" w:hAnsi="Times New Roman" w:eastAsia="宋体" w:cs="Times New Roman"/>
                <w:b/>
                <w:bCs/>
                <w:color w:val="000000" w:themeColor="text1"/>
                <w:kern w:val="0"/>
                <w:sz w:val="20"/>
                <w:szCs w:val="20"/>
                <w:highlight w:val="none"/>
                <w:lang w:bidi="ar"/>
                <w14:textFill>
                  <w14:solidFill>
                    <w14:schemeClr w14:val="tx1"/>
                  </w14:solidFill>
                </w14:textFill>
              </w:rPr>
              <w:t xml:space="preserve"> </w:t>
            </w:r>
          </w:p>
        </w:tc>
      </w:tr>
      <w:tr w14:paraId="47A04F08">
        <w:tblPrEx>
          <w:tblCellMar>
            <w:top w:w="0" w:type="dxa"/>
            <w:left w:w="108" w:type="dxa"/>
            <w:bottom w:w="0" w:type="dxa"/>
            <w:right w:w="108" w:type="dxa"/>
          </w:tblCellMar>
        </w:tblPrEx>
        <w:trPr>
          <w:trHeight w:val="304" w:hRule="atLeast"/>
        </w:trPr>
        <w:tc>
          <w:tcPr>
            <w:tcW w:w="2540" w:type="dxa"/>
            <w:tcBorders>
              <w:top w:val="nil"/>
              <w:left w:val="nil"/>
              <w:bottom w:val="nil"/>
              <w:right w:val="nil"/>
            </w:tcBorders>
            <w:shd w:val="clear" w:color="auto" w:fill="F2F2F2"/>
            <w:noWrap/>
            <w:vAlign w:val="center"/>
          </w:tcPr>
          <w:p w14:paraId="1EA8DF6A">
            <w:pPr>
              <w:widowControl/>
              <w:jc w:val="left"/>
              <w:textAlignment w:val="center"/>
              <w:rPr>
                <w:rFonts w:hint="default" w:ascii="Times New Roman" w:hAnsi="Times New Roman" w:eastAsia="宋体" w:cs="Times New Roman"/>
                <w:color w:val="000000" w:themeColor="text1"/>
                <w:sz w:val="20"/>
                <w:szCs w:val="20"/>
                <w:highlight w:val="none"/>
                <w14:textFill>
                  <w14:solidFill>
                    <w14:schemeClr w14:val="tx1"/>
                  </w14:solidFill>
                </w14:textFill>
              </w:rPr>
            </w:pPr>
            <w:r>
              <w:rPr>
                <w:rFonts w:hint="default" w:ascii="Times New Roman" w:hAnsi="Times New Roman" w:eastAsia="宋体" w:cs="Times New Roman"/>
                <w:color w:val="000000" w:themeColor="text1"/>
                <w:kern w:val="0"/>
                <w:sz w:val="20"/>
                <w:szCs w:val="20"/>
                <w:highlight w:val="none"/>
                <w:lang w:bidi="ar"/>
                <w14:textFill>
                  <w14:solidFill>
                    <w14:schemeClr w14:val="tx1"/>
                  </w14:solidFill>
                </w14:textFill>
              </w:rPr>
              <w:t xml:space="preserve">    A</w:t>
            </w:r>
          </w:p>
        </w:tc>
        <w:tc>
          <w:tcPr>
            <w:tcW w:w="1581" w:type="dxa"/>
            <w:tcBorders>
              <w:top w:val="nil"/>
              <w:left w:val="nil"/>
              <w:bottom w:val="nil"/>
              <w:right w:val="nil"/>
            </w:tcBorders>
            <w:shd w:val="clear" w:color="auto" w:fill="F2F2F2"/>
            <w:noWrap/>
            <w:vAlign w:val="center"/>
          </w:tcPr>
          <w:p w14:paraId="166FAF57">
            <w:pPr>
              <w:widowControl/>
              <w:jc w:val="left"/>
              <w:textAlignment w:val="center"/>
              <w:rPr>
                <w:rFonts w:hint="default" w:ascii="Times New Roman" w:hAnsi="Times New Roman" w:eastAsia="宋体" w:cs="Times New Roman"/>
                <w:color w:val="000000" w:themeColor="text1"/>
                <w:sz w:val="20"/>
                <w:szCs w:val="20"/>
                <w:highlight w:val="none"/>
                <w14:textFill>
                  <w14:solidFill>
                    <w14:schemeClr w14:val="tx1"/>
                  </w14:solidFill>
                </w14:textFill>
              </w:rPr>
            </w:pPr>
            <w:r>
              <w:rPr>
                <w:rFonts w:hint="default" w:ascii="Times New Roman" w:hAnsi="Times New Roman" w:eastAsia="宋体" w:cs="Times New Roman"/>
                <w:color w:val="000000" w:themeColor="text1"/>
                <w:sz w:val="20"/>
                <w:szCs w:val="20"/>
                <w:highlight w:val="none"/>
                <w14:textFill>
                  <w14:solidFill>
                    <w14:schemeClr w14:val="tx1"/>
                  </w14:solidFill>
                </w14:textFill>
              </w:rPr>
              <w:t>29</w:t>
            </w:r>
          </w:p>
        </w:tc>
        <w:tc>
          <w:tcPr>
            <w:tcW w:w="2094" w:type="dxa"/>
            <w:tcBorders>
              <w:top w:val="nil"/>
              <w:left w:val="nil"/>
              <w:bottom w:val="nil"/>
              <w:right w:val="nil"/>
            </w:tcBorders>
            <w:shd w:val="clear" w:color="auto" w:fill="F2F2F2"/>
            <w:noWrap/>
            <w:vAlign w:val="center"/>
          </w:tcPr>
          <w:p w14:paraId="0C8AFAD7">
            <w:pPr>
              <w:widowControl/>
              <w:jc w:val="left"/>
              <w:textAlignment w:val="center"/>
              <w:rPr>
                <w:rFonts w:hint="default" w:ascii="Times New Roman" w:hAnsi="Times New Roman" w:eastAsia="宋体" w:cs="Times New Roman"/>
                <w:color w:val="000000" w:themeColor="text1"/>
                <w:sz w:val="20"/>
                <w:szCs w:val="20"/>
                <w:highlight w:val="none"/>
                <w14:textFill>
                  <w14:solidFill>
                    <w14:schemeClr w14:val="tx1"/>
                  </w14:solidFill>
                </w14:textFill>
              </w:rPr>
            </w:pPr>
            <w:r>
              <w:rPr>
                <w:rFonts w:hint="default" w:ascii="Times New Roman" w:hAnsi="Times New Roman" w:cs="Times New Roman"/>
                <w:color w:val="000000" w:themeColor="text1"/>
                <w:sz w:val="20"/>
                <w:szCs w:val="20"/>
                <w:highlight w:val="none"/>
                <w14:textFill>
                  <w14:solidFill>
                    <w14:schemeClr w14:val="tx1"/>
                  </w14:solidFill>
                </w14:textFill>
              </w:rPr>
              <w:t>7.97 (7.40</w:t>
            </w:r>
            <w:r>
              <w:rPr>
                <w:rFonts w:hint="default" w:ascii="Times New Roman" w:hAnsi="Times New Roman" w:eastAsia="宋体" w:cs="Times New Roman"/>
                <w:i w:val="0"/>
                <w:iCs w:val="0"/>
                <w:color w:val="auto"/>
                <w:kern w:val="0"/>
                <w:sz w:val="20"/>
                <w:szCs w:val="20"/>
                <w:highlight w:val="none"/>
                <w:u w:val="none"/>
                <w:lang w:val="en-US" w:eastAsia="zh-CN" w:bidi="ar"/>
              </w:rPr>
              <w:t>–</w:t>
            </w:r>
            <w:r>
              <w:rPr>
                <w:rFonts w:hint="default" w:ascii="Times New Roman" w:hAnsi="Times New Roman" w:eastAsia="宋体" w:cs="Times New Roman"/>
                <w:color w:val="000000" w:themeColor="text1"/>
                <w:kern w:val="0"/>
                <w:sz w:val="20"/>
                <w:szCs w:val="20"/>
                <w:highlight w:val="none"/>
                <w:lang w:bidi="ar"/>
                <w14:textFill>
                  <w14:solidFill>
                    <w14:schemeClr w14:val="tx1"/>
                  </w14:solidFill>
                </w14:textFill>
              </w:rPr>
              <w:t xml:space="preserve"> </w:t>
            </w:r>
            <w:r>
              <w:rPr>
                <w:rFonts w:hint="default" w:ascii="Times New Roman" w:hAnsi="Times New Roman" w:cs="Times New Roman"/>
                <w:color w:val="000000" w:themeColor="text1"/>
                <w:sz w:val="20"/>
                <w:szCs w:val="20"/>
                <w:highlight w:val="none"/>
                <w14:textFill>
                  <w14:solidFill>
                    <w14:schemeClr w14:val="tx1"/>
                  </w14:solidFill>
                </w14:textFill>
              </w:rPr>
              <w:t>8.55)</w:t>
            </w:r>
          </w:p>
        </w:tc>
        <w:tc>
          <w:tcPr>
            <w:tcW w:w="1636" w:type="dxa"/>
            <w:tcBorders>
              <w:top w:val="nil"/>
              <w:left w:val="nil"/>
              <w:bottom w:val="nil"/>
              <w:right w:val="nil"/>
            </w:tcBorders>
            <w:shd w:val="clear" w:color="auto" w:fill="F2F2F2"/>
            <w:noWrap/>
            <w:vAlign w:val="center"/>
          </w:tcPr>
          <w:p w14:paraId="7D49741D">
            <w:pPr>
              <w:widowControl/>
              <w:jc w:val="left"/>
              <w:textAlignment w:val="center"/>
              <w:rPr>
                <w:rFonts w:hint="default" w:ascii="Times New Roman" w:hAnsi="Times New Roman" w:eastAsia="宋体" w:cs="Times New Roman"/>
                <w:color w:val="000000" w:themeColor="text1"/>
                <w:sz w:val="20"/>
                <w:szCs w:val="20"/>
                <w:highlight w:val="none"/>
                <w14:textFill>
                  <w14:solidFill>
                    <w14:schemeClr w14:val="tx1"/>
                  </w14:solidFill>
                </w14:textFill>
              </w:rPr>
            </w:pPr>
            <w:r>
              <w:rPr>
                <w:rFonts w:hint="default" w:ascii="Times New Roman" w:hAnsi="Times New Roman" w:eastAsia="宋体" w:cs="Times New Roman"/>
                <w:color w:val="000000" w:themeColor="text1"/>
                <w:kern w:val="0"/>
                <w:sz w:val="20"/>
                <w:szCs w:val="20"/>
                <w:highlight w:val="none"/>
                <w:lang w:bidi="ar"/>
                <w14:textFill>
                  <w14:solidFill>
                    <w14:schemeClr w14:val="tx1"/>
                  </w14:solidFill>
                </w14:textFill>
              </w:rPr>
              <w:t>99%</w:t>
            </w:r>
          </w:p>
        </w:tc>
        <w:tc>
          <w:tcPr>
            <w:tcW w:w="1650" w:type="dxa"/>
            <w:tcBorders>
              <w:top w:val="nil"/>
              <w:left w:val="nil"/>
              <w:bottom w:val="nil"/>
              <w:right w:val="nil"/>
            </w:tcBorders>
            <w:shd w:val="clear" w:color="auto" w:fill="F2F2F2"/>
            <w:noWrap/>
            <w:vAlign w:val="center"/>
          </w:tcPr>
          <w:p w14:paraId="7D1616D2">
            <w:pPr>
              <w:widowControl/>
              <w:jc w:val="left"/>
              <w:textAlignment w:val="center"/>
              <w:rPr>
                <w:rFonts w:hint="default" w:ascii="Times New Roman" w:hAnsi="Times New Roman" w:eastAsia="宋体" w:cs="Times New Roman"/>
                <w:color w:val="000000" w:themeColor="text1"/>
                <w:sz w:val="20"/>
                <w:szCs w:val="20"/>
                <w:highlight w:val="none"/>
                <w14:textFill>
                  <w14:solidFill>
                    <w14:schemeClr w14:val="tx1"/>
                  </w14:solidFill>
                </w14:textFill>
              </w:rPr>
            </w:pPr>
            <w:r>
              <w:rPr>
                <w:rFonts w:hint="default" w:ascii="Times New Roman" w:hAnsi="Times New Roman" w:cs="Times New Roman"/>
                <w:color w:val="000000" w:themeColor="text1"/>
                <w:sz w:val="20"/>
                <w:szCs w:val="20"/>
                <w:highlight w:val="none"/>
                <w14:textFill>
                  <w14:solidFill>
                    <w14:schemeClr w14:val="tx1"/>
                  </w14:solidFill>
                </w14:textFill>
              </w:rPr>
              <w:t>2.493</w:t>
            </w:r>
          </w:p>
        </w:tc>
        <w:tc>
          <w:tcPr>
            <w:tcW w:w="1773" w:type="dxa"/>
            <w:tcBorders>
              <w:top w:val="nil"/>
              <w:left w:val="nil"/>
              <w:bottom w:val="nil"/>
              <w:right w:val="nil"/>
            </w:tcBorders>
            <w:shd w:val="clear" w:color="auto" w:fill="F2F2F2"/>
            <w:noWrap/>
            <w:vAlign w:val="center"/>
          </w:tcPr>
          <w:p w14:paraId="3DF5A12F">
            <w:pPr>
              <w:widowControl/>
              <w:jc w:val="left"/>
              <w:textAlignment w:val="center"/>
              <w:rPr>
                <w:rFonts w:hint="default" w:ascii="Times New Roman" w:hAnsi="Times New Roman" w:eastAsia="宋体" w:cs="Times New Roman"/>
                <w:color w:val="000000" w:themeColor="text1"/>
                <w:sz w:val="20"/>
                <w:szCs w:val="20"/>
                <w:highlight w:val="none"/>
                <w14:textFill>
                  <w14:solidFill>
                    <w14:schemeClr w14:val="tx1"/>
                  </w14:solidFill>
                </w14:textFill>
              </w:rPr>
            </w:pPr>
            <w:r>
              <w:rPr>
                <w:rFonts w:hint="default" w:ascii="Times New Roman" w:hAnsi="Times New Roman" w:eastAsia="宋体" w:cs="Times New Roman"/>
                <w:color w:val="000000" w:themeColor="text1"/>
                <w:kern w:val="0"/>
                <w:sz w:val="20"/>
                <w:szCs w:val="20"/>
                <w:highlight w:val="none"/>
                <w:lang w:bidi="ar"/>
                <w14:textFill>
                  <w14:solidFill>
                    <w14:schemeClr w14:val="tx1"/>
                  </w14:solidFill>
                </w14:textFill>
              </w:rPr>
              <w:t>&lt; 0.01</w:t>
            </w:r>
          </w:p>
        </w:tc>
        <w:tc>
          <w:tcPr>
            <w:tcW w:w="2404" w:type="dxa"/>
            <w:vMerge w:val="restart"/>
            <w:tcBorders>
              <w:top w:val="nil"/>
              <w:left w:val="nil"/>
              <w:right w:val="nil"/>
            </w:tcBorders>
            <w:shd w:val="clear" w:color="auto" w:fill="F2F2F2"/>
            <w:noWrap/>
            <w:vAlign w:val="center"/>
          </w:tcPr>
          <w:p w14:paraId="7CE5D604">
            <w:pPr>
              <w:widowControl/>
              <w:jc w:val="left"/>
              <w:textAlignment w:val="center"/>
              <w:rPr>
                <w:rFonts w:hint="default" w:ascii="Times New Roman" w:hAnsi="Times New Roman" w:eastAsia="宋体" w:cs="Times New Roman"/>
                <w:color w:val="000000" w:themeColor="text1"/>
                <w:sz w:val="20"/>
                <w:szCs w:val="20"/>
                <w:highlight w:val="none"/>
                <w14:textFill>
                  <w14:solidFill>
                    <w14:schemeClr w14:val="tx1"/>
                  </w14:solidFill>
                </w14:textFill>
              </w:rPr>
            </w:pPr>
            <w:r>
              <w:rPr>
                <w:rFonts w:hint="default" w:ascii="Times New Roman" w:hAnsi="Times New Roman" w:eastAsia="宋体" w:cs="Times New Roman"/>
                <w:color w:val="000000" w:themeColor="text1"/>
                <w:kern w:val="0"/>
                <w:sz w:val="20"/>
                <w:szCs w:val="20"/>
                <w:highlight w:val="none"/>
                <w:lang w:bidi="ar"/>
                <w14:textFill>
                  <w14:solidFill>
                    <w14:schemeClr w14:val="tx1"/>
                  </w14:solidFill>
                </w14:textFill>
              </w:rPr>
              <w:t>0.37</w:t>
            </w:r>
          </w:p>
        </w:tc>
      </w:tr>
      <w:tr w14:paraId="25CB6153">
        <w:tblPrEx>
          <w:tblCellMar>
            <w:top w:w="0" w:type="dxa"/>
            <w:left w:w="108" w:type="dxa"/>
            <w:bottom w:w="0" w:type="dxa"/>
            <w:right w:w="108" w:type="dxa"/>
          </w:tblCellMar>
        </w:tblPrEx>
        <w:trPr>
          <w:trHeight w:val="304" w:hRule="atLeast"/>
        </w:trPr>
        <w:tc>
          <w:tcPr>
            <w:tcW w:w="2540" w:type="dxa"/>
            <w:tcBorders>
              <w:top w:val="nil"/>
              <w:left w:val="nil"/>
              <w:bottom w:val="nil"/>
              <w:right w:val="nil"/>
            </w:tcBorders>
            <w:shd w:val="clear" w:color="auto" w:fill="F2F2F2"/>
            <w:noWrap/>
            <w:vAlign w:val="center"/>
          </w:tcPr>
          <w:p w14:paraId="490F0945">
            <w:pPr>
              <w:widowControl/>
              <w:jc w:val="left"/>
              <w:textAlignment w:val="center"/>
              <w:rPr>
                <w:rFonts w:hint="default" w:ascii="Times New Roman" w:hAnsi="Times New Roman" w:eastAsia="宋体" w:cs="Times New Roman"/>
                <w:color w:val="000000" w:themeColor="text1"/>
                <w:kern w:val="0"/>
                <w:sz w:val="20"/>
                <w:szCs w:val="20"/>
                <w:highlight w:val="none"/>
                <w:lang w:bidi="ar"/>
                <w14:textFill>
                  <w14:solidFill>
                    <w14:schemeClr w14:val="tx1"/>
                  </w14:solidFill>
                </w14:textFill>
              </w:rPr>
            </w:pPr>
            <w:r>
              <w:rPr>
                <w:rFonts w:hint="default" w:ascii="Times New Roman" w:hAnsi="Times New Roman" w:eastAsia="宋体" w:cs="Times New Roman"/>
                <w:color w:val="000000" w:themeColor="text1"/>
                <w:kern w:val="0"/>
                <w:sz w:val="20"/>
                <w:szCs w:val="20"/>
                <w:highlight w:val="none"/>
                <w:lang w:bidi="ar"/>
                <w14:textFill>
                  <w14:solidFill>
                    <w14:schemeClr w14:val="tx1"/>
                  </w14:solidFill>
                </w14:textFill>
              </w:rPr>
              <w:t xml:space="preserve">    B</w:t>
            </w:r>
          </w:p>
        </w:tc>
        <w:tc>
          <w:tcPr>
            <w:tcW w:w="1581" w:type="dxa"/>
            <w:tcBorders>
              <w:top w:val="nil"/>
              <w:left w:val="nil"/>
              <w:bottom w:val="nil"/>
              <w:right w:val="nil"/>
            </w:tcBorders>
            <w:shd w:val="clear" w:color="auto" w:fill="F2F2F2"/>
            <w:noWrap/>
            <w:vAlign w:val="center"/>
          </w:tcPr>
          <w:p w14:paraId="16BA5271">
            <w:pPr>
              <w:widowControl/>
              <w:jc w:val="left"/>
              <w:textAlignment w:val="center"/>
              <w:rPr>
                <w:rFonts w:hint="default" w:ascii="Times New Roman" w:hAnsi="Times New Roman" w:eastAsia="宋体" w:cs="Times New Roman"/>
                <w:color w:val="000000" w:themeColor="text1"/>
                <w:kern w:val="0"/>
                <w:sz w:val="20"/>
                <w:szCs w:val="20"/>
                <w:highlight w:val="none"/>
                <w:lang w:bidi="ar"/>
                <w14:textFill>
                  <w14:solidFill>
                    <w14:schemeClr w14:val="tx1"/>
                  </w14:solidFill>
                </w14:textFill>
              </w:rPr>
            </w:pPr>
            <w:r>
              <w:rPr>
                <w:rFonts w:hint="default" w:ascii="Times New Roman" w:hAnsi="Times New Roman" w:eastAsia="宋体" w:cs="Times New Roman"/>
                <w:color w:val="000000" w:themeColor="text1"/>
                <w:kern w:val="0"/>
                <w:sz w:val="20"/>
                <w:szCs w:val="20"/>
                <w:highlight w:val="none"/>
                <w:lang w:bidi="ar"/>
                <w14:textFill>
                  <w14:solidFill>
                    <w14:schemeClr w14:val="tx1"/>
                  </w14:solidFill>
                </w14:textFill>
              </w:rPr>
              <w:t>6</w:t>
            </w:r>
          </w:p>
        </w:tc>
        <w:tc>
          <w:tcPr>
            <w:tcW w:w="2094" w:type="dxa"/>
            <w:tcBorders>
              <w:top w:val="nil"/>
              <w:left w:val="nil"/>
              <w:bottom w:val="nil"/>
              <w:right w:val="nil"/>
            </w:tcBorders>
            <w:shd w:val="clear" w:color="auto" w:fill="F2F2F2"/>
            <w:noWrap/>
            <w:vAlign w:val="center"/>
          </w:tcPr>
          <w:p w14:paraId="188B66A1">
            <w:pPr>
              <w:widowControl/>
              <w:jc w:val="left"/>
              <w:textAlignment w:val="center"/>
              <w:rPr>
                <w:rFonts w:hint="default" w:ascii="Times New Roman" w:hAnsi="Times New Roman" w:eastAsia="宋体" w:cs="Times New Roman"/>
                <w:color w:val="000000" w:themeColor="text1"/>
                <w:kern w:val="0"/>
                <w:sz w:val="20"/>
                <w:szCs w:val="20"/>
                <w:highlight w:val="none"/>
                <w:lang w:bidi="ar"/>
                <w14:textFill>
                  <w14:solidFill>
                    <w14:schemeClr w14:val="tx1"/>
                  </w14:solidFill>
                </w14:textFill>
              </w:rPr>
            </w:pPr>
            <w:r>
              <w:rPr>
                <w:rFonts w:hint="default" w:ascii="Times New Roman" w:hAnsi="Times New Roman" w:cs="Times New Roman"/>
                <w:color w:val="000000" w:themeColor="text1"/>
                <w:sz w:val="20"/>
                <w:szCs w:val="20"/>
                <w:highlight w:val="none"/>
                <w14:textFill>
                  <w14:solidFill>
                    <w14:schemeClr w14:val="tx1"/>
                  </w14:solidFill>
                </w14:textFill>
              </w:rPr>
              <w:t>8.28 (7.44</w:t>
            </w:r>
            <w:r>
              <w:rPr>
                <w:rFonts w:hint="default" w:ascii="Times New Roman" w:hAnsi="Times New Roman" w:eastAsia="宋体" w:cs="Times New Roman"/>
                <w:i w:val="0"/>
                <w:iCs w:val="0"/>
                <w:color w:val="auto"/>
                <w:kern w:val="0"/>
                <w:sz w:val="20"/>
                <w:szCs w:val="20"/>
                <w:highlight w:val="none"/>
                <w:u w:val="none"/>
                <w:lang w:val="en-US" w:eastAsia="zh-CN" w:bidi="ar"/>
              </w:rPr>
              <w:t>–</w:t>
            </w:r>
            <w:r>
              <w:rPr>
                <w:rFonts w:hint="default" w:ascii="Times New Roman" w:hAnsi="Times New Roman" w:cs="Times New Roman"/>
                <w:color w:val="000000" w:themeColor="text1"/>
                <w:sz w:val="20"/>
                <w:szCs w:val="20"/>
                <w:highlight w:val="none"/>
                <w14:textFill>
                  <w14:solidFill>
                    <w14:schemeClr w14:val="tx1"/>
                  </w14:solidFill>
                </w14:textFill>
              </w:rPr>
              <w:t>9.12)</w:t>
            </w:r>
          </w:p>
        </w:tc>
        <w:tc>
          <w:tcPr>
            <w:tcW w:w="1636" w:type="dxa"/>
            <w:tcBorders>
              <w:top w:val="nil"/>
              <w:left w:val="nil"/>
              <w:bottom w:val="nil"/>
              <w:right w:val="nil"/>
            </w:tcBorders>
            <w:shd w:val="clear" w:color="auto" w:fill="F2F2F2"/>
            <w:noWrap/>
            <w:vAlign w:val="center"/>
          </w:tcPr>
          <w:p w14:paraId="79641DC1">
            <w:pPr>
              <w:widowControl/>
              <w:jc w:val="left"/>
              <w:textAlignment w:val="center"/>
              <w:rPr>
                <w:rFonts w:hint="default" w:ascii="Times New Roman" w:hAnsi="Times New Roman" w:eastAsia="宋体" w:cs="Times New Roman"/>
                <w:color w:val="000000" w:themeColor="text1"/>
                <w:kern w:val="0"/>
                <w:sz w:val="20"/>
                <w:szCs w:val="20"/>
                <w:highlight w:val="none"/>
                <w:lang w:bidi="ar"/>
                <w14:textFill>
                  <w14:solidFill>
                    <w14:schemeClr w14:val="tx1"/>
                  </w14:solidFill>
                </w14:textFill>
              </w:rPr>
            </w:pPr>
            <w:r>
              <w:rPr>
                <w:rFonts w:hint="default" w:ascii="Times New Roman" w:hAnsi="Times New Roman" w:eastAsia="宋体" w:cs="Times New Roman"/>
                <w:color w:val="000000" w:themeColor="text1"/>
                <w:kern w:val="0"/>
                <w:sz w:val="20"/>
                <w:szCs w:val="20"/>
                <w:highlight w:val="none"/>
                <w:lang w:bidi="ar"/>
                <w14:textFill>
                  <w14:solidFill>
                    <w14:schemeClr w14:val="tx1"/>
                  </w14:solidFill>
                </w14:textFill>
              </w:rPr>
              <w:t>99%</w:t>
            </w:r>
          </w:p>
        </w:tc>
        <w:tc>
          <w:tcPr>
            <w:tcW w:w="1650" w:type="dxa"/>
            <w:tcBorders>
              <w:top w:val="nil"/>
              <w:left w:val="nil"/>
              <w:bottom w:val="nil"/>
              <w:right w:val="nil"/>
            </w:tcBorders>
            <w:shd w:val="clear" w:color="auto" w:fill="F2F2F2"/>
            <w:noWrap/>
            <w:vAlign w:val="center"/>
          </w:tcPr>
          <w:p w14:paraId="5E40C2F5">
            <w:pPr>
              <w:widowControl/>
              <w:jc w:val="left"/>
              <w:textAlignment w:val="center"/>
              <w:rPr>
                <w:rFonts w:hint="default" w:ascii="Times New Roman" w:hAnsi="Times New Roman" w:eastAsia="宋体" w:cs="Times New Roman"/>
                <w:color w:val="000000" w:themeColor="text1"/>
                <w:kern w:val="0"/>
                <w:sz w:val="20"/>
                <w:szCs w:val="20"/>
                <w:highlight w:val="none"/>
                <w:lang w:bidi="ar"/>
                <w14:textFill>
                  <w14:solidFill>
                    <w14:schemeClr w14:val="tx1"/>
                  </w14:solidFill>
                </w14:textFill>
              </w:rPr>
            </w:pPr>
            <w:r>
              <w:rPr>
                <w:rFonts w:hint="default" w:ascii="Times New Roman" w:hAnsi="Times New Roman" w:cs="Times New Roman"/>
                <w:color w:val="000000" w:themeColor="text1"/>
                <w:sz w:val="20"/>
                <w:szCs w:val="20"/>
                <w:highlight w:val="none"/>
                <w14:textFill>
                  <w14:solidFill>
                    <w14:schemeClr w14:val="tx1"/>
                  </w14:solidFill>
                </w14:textFill>
              </w:rPr>
              <w:t>1.070</w:t>
            </w:r>
          </w:p>
        </w:tc>
        <w:tc>
          <w:tcPr>
            <w:tcW w:w="1773" w:type="dxa"/>
            <w:tcBorders>
              <w:top w:val="nil"/>
              <w:left w:val="nil"/>
              <w:bottom w:val="nil"/>
              <w:right w:val="nil"/>
            </w:tcBorders>
            <w:shd w:val="clear" w:color="auto" w:fill="F2F2F2"/>
            <w:noWrap/>
            <w:vAlign w:val="center"/>
          </w:tcPr>
          <w:p w14:paraId="29F8F213">
            <w:pPr>
              <w:widowControl/>
              <w:jc w:val="left"/>
              <w:textAlignment w:val="center"/>
              <w:rPr>
                <w:rFonts w:hint="default" w:ascii="Times New Roman" w:hAnsi="Times New Roman" w:eastAsia="宋体" w:cs="Times New Roman"/>
                <w:color w:val="000000" w:themeColor="text1"/>
                <w:kern w:val="0"/>
                <w:sz w:val="20"/>
                <w:szCs w:val="20"/>
                <w:highlight w:val="none"/>
                <w:lang w:bidi="ar"/>
                <w14:textFill>
                  <w14:solidFill>
                    <w14:schemeClr w14:val="tx1"/>
                  </w14:solidFill>
                </w14:textFill>
              </w:rPr>
            </w:pPr>
            <w:r>
              <w:rPr>
                <w:rFonts w:hint="default" w:ascii="Times New Roman" w:hAnsi="Times New Roman" w:eastAsia="宋体" w:cs="Times New Roman"/>
                <w:color w:val="000000" w:themeColor="text1"/>
                <w:kern w:val="0"/>
                <w:sz w:val="20"/>
                <w:szCs w:val="20"/>
                <w:highlight w:val="none"/>
                <w:lang w:bidi="ar"/>
                <w14:textFill>
                  <w14:solidFill>
                    <w14:schemeClr w14:val="tx1"/>
                  </w14:solidFill>
                </w14:textFill>
              </w:rPr>
              <w:t>&lt; 0.01</w:t>
            </w:r>
          </w:p>
        </w:tc>
        <w:tc>
          <w:tcPr>
            <w:tcW w:w="2404" w:type="dxa"/>
            <w:vMerge w:val="continue"/>
            <w:tcBorders>
              <w:left w:val="nil"/>
              <w:right w:val="nil"/>
            </w:tcBorders>
            <w:shd w:val="clear" w:color="auto" w:fill="F2F2F2"/>
            <w:noWrap/>
            <w:vAlign w:val="center"/>
          </w:tcPr>
          <w:p w14:paraId="0697F493">
            <w:pPr>
              <w:widowControl/>
              <w:jc w:val="left"/>
              <w:textAlignment w:val="center"/>
              <w:rPr>
                <w:rFonts w:hint="default" w:ascii="Times New Roman" w:hAnsi="Times New Roman" w:eastAsia="宋体" w:cs="Times New Roman"/>
                <w:color w:val="000000" w:themeColor="text1"/>
                <w:kern w:val="0"/>
                <w:sz w:val="20"/>
                <w:szCs w:val="20"/>
                <w:highlight w:val="none"/>
                <w:lang w:bidi="ar"/>
                <w14:textFill>
                  <w14:solidFill>
                    <w14:schemeClr w14:val="tx1"/>
                  </w14:solidFill>
                </w14:textFill>
              </w:rPr>
            </w:pPr>
          </w:p>
        </w:tc>
      </w:tr>
      <w:tr w14:paraId="6DD00094">
        <w:tblPrEx>
          <w:tblCellMar>
            <w:top w:w="0" w:type="dxa"/>
            <w:left w:w="108" w:type="dxa"/>
            <w:bottom w:w="0" w:type="dxa"/>
            <w:right w:w="108" w:type="dxa"/>
          </w:tblCellMar>
        </w:tblPrEx>
        <w:trPr>
          <w:trHeight w:val="304" w:hRule="atLeast"/>
        </w:trPr>
        <w:tc>
          <w:tcPr>
            <w:tcW w:w="2540" w:type="dxa"/>
            <w:tcBorders>
              <w:top w:val="nil"/>
              <w:left w:val="nil"/>
              <w:bottom w:val="nil"/>
              <w:right w:val="nil"/>
            </w:tcBorders>
            <w:shd w:val="clear" w:color="auto" w:fill="F2F2F2"/>
            <w:noWrap/>
            <w:vAlign w:val="center"/>
          </w:tcPr>
          <w:p w14:paraId="33AD6515">
            <w:pPr>
              <w:widowControl/>
              <w:jc w:val="left"/>
              <w:textAlignment w:val="center"/>
              <w:rPr>
                <w:rFonts w:hint="default" w:ascii="Times New Roman" w:hAnsi="Times New Roman" w:eastAsia="宋体" w:cs="Times New Roman"/>
                <w:color w:val="000000" w:themeColor="text1"/>
                <w:sz w:val="20"/>
                <w:szCs w:val="20"/>
                <w:highlight w:val="none"/>
                <w14:textFill>
                  <w14:solidFill>
                    <w14:schemeClr w14:val="tx1"/>
                  </w14:solidFill>
                </w14:textFill>
              </w:rPr>
            </w:pPr>
            <w:r>
              <w:rPr>
                <w:rFonts w:hint="default" w:ascii="Times New Roman" w:hAnsi="Times New Roman" w:eastAsia="宋体" w:cs="Times New Roman"/>
                <w:color w:val="000000" w:themeColor="text1"/>
                <w:kern w:val="0"/>
                <w:sz w:val="20"/>
                <w:szCs w:val="20"/>
                <w:highlight w:val="none"/>
                <w:lang w:bidi="ar"/>
                <w14:textFill>
                  <w14:solidFill>
                    <w14:schemeClr w14:val="tx1"/>
                  </w14:solidFill>
                </w14:textFill>
              </w:rPr>
              <w:t xml:space="preserve">    C</w:t>
            </w:r>
          </w:p>
        </w:tc>
        <w:tc>
          <w:tcPr>
            <w:tcW w:w="1581" w:type="dxa"/>
            <w:tcBorders>
              <w:top w:val="nil"/>
              <w:left w:val="nil"/>
              <w:bottom w:val="nil"/>
              <w:right w:val="nil"/>
            </w:tcBorders>
            <w:shd w:val="clear" w:color="auto" w:fill="F2F2F2"/>
            <w:noWrap/>
            <w:vAlign w:val="center"/>
          </w:tcPr>
          <w:p w14:paraId="3C4260D8">
            <w:pPr>
              <w:widowControl/>
              <w:jc w:val="left"/>
              <w:textAlignment w:val="center"/>
              <w:rPr>
                <w:rFonts w:hint="default" w:ascii="Times New Roman" w:hAnsi="Times New Roman" w:eastAsia="宋体" w:cs="Times New Roman"/>
                <w:color w:val="000000" w:themeColor="text1"/>
                <w:sz w:val="20"/>
                <w:szCs w:val="20"/>
                <w:highlight w:val="none"/>
                <w14:textFill>
                  <w14:solidFill>
                    <w14:schemeClr w14:val="tx1"/>
                  </w14:solidFill>
                </w14:textFill>
              </w:rPr>
            </w:pPr>
            <w:r>
              <w:rPr>
                <w:rFonts w:hint="default" w:ascii="Times New Roman" w:hAnsi="Times New Roman" w:eastAsia="宋体" w:cs="Times New Roman"/>
                <w:color w:val="000000" w:themeColor="text1"/>
                <w:sz w:val="20"/>
                <w:szCs w:val="20"/>
                <w:highlight w:val="none"/>
                <w14:textFill>
                  <w14:solidFill>
                    <w14:schemeClr w14:val="tx1"/>
                  </w14:solidFill>
                </w14:textFill>
              </w:rPr>
              <w:t>11</w:t>
            </w:r>
          </w:p>
        </w:tc>
        <w:tc>
          <w:tcPr>
            <w:tcW w:w="2094" w:type="dxa"/>
            <w:tcBorders>
              <w:top w:val="nil"/>
              <w:left w:val="nil"/>
              <w:bottom w:val="nil"/>
              <w:right w:val="nil"/>
            </w:tcBorders>
            <w:shd w:val="clear" w:color="auto" w:fill="F2F2F2"/>
            <w:noWrap/>
            <w:vAlign w:val="center"/>
          </w:tcPr>
          <w:p w14:paraId="05EB1044">
            <w:pPr>
              <w:widowControl/>
              <w:jc w:val="left"/>
              <w:textAlignment w:val="center"/>
              <w:rPr>
                <w:rFonts w:hint="default" w:ascii="Times New Roman" w:hAnsi="Times New Roman" w:eastAsia="宋体" w:cs="Times New Roman"/>
                <w:color w:val="000000" w:themeColor="text1"/>
                <w:sz w:val="20"/>
                <w:szCs w:val="20"/>
                <w:highlight w:val="none"/>
                <w14:textFill>
                  <w14:solidFill>
                    <w14:schemeClr w14:val="tx1"/>
                  </w14:solidFill>
                </w14:textFill>
              </w:rPr>
            </w:pPr>
            <w:r>
              <w:rPr>
                <w:rFonts w:hint="default" w:ascii="Times New Roman" w:hAnsi="Times New Roman" w:cs="Times New Roman"/>
                <w:color w:val="000000" w:themeColor="text1"/>
                <w:sz w:val="20"/>
                <w:szCs w:val="20"/>
                <w:highlight w:val="none"/>
                <w14:textFill>
                  <w14:solidFill>
                    <w14:schemeClr w14:val="tx1"/>
                  </w14:solidFill>
                </w14:textFill>
              </w:rPr>
              <w:t>8.73 (7.84</w:t>
            </w:r>
            <w:r>
              <w:rPr>
                <w:rFonts w:hint="default" w:ascii="Times New Roman" w:hAnsi="Times New Roman" w:eastAsia="宋体" w:cs="Times New Roman"/>
                <w:i w:val="0"/>
                <w:iCs w:val="0"/>
                <w:color w:val="auto"/>
                <w:kern w:val="0"/>
                <w:sz w:val="20"/>
                <w:szCs w:val="20"/>
                <w:highlight w:val="none"/>
                <w:u w:val="none"/>
                <w:lang w:val="en-US" w:eastAsia="zh-CN" w:bidi="ar"/>
              </w:rPr>
              <w:t>–</w:t>
            </w:r>
            <w:r>
              <w:rPr>
                <w:rFonts w:hint="default" w:ascii="Times New Roman" w:hAnsi="Times New Roman" w:cs="Times New Roman"/>
                <w:color w:val="000000" w:themeColor="text1"/>
                <w:sz w:val="20"/>
                <w:szCs w:val="20"/>
                <w:highlight w:val="none"/>
                <w14:textFill>
                  <w14:solidFill>
                    <w14:schemeClr w14:val="tx1"/>
                  </w14:solidFill>
                </w14:textFill>
              </w:rPr>
              <w:t xml:space="preserve">9.61) </w:t>
            </w:r>
          </w:p>
        </w:tc>
        <w:tc>
          <w:tcPr>
            <w:tcW w:w="1636" w:type="dxa"/>
            <w:tcBorders>
              <w:top w:val="nil"/>
              <w:left w:val="nil"/>
              <w:bottom w:val="nil"/>
              <w:right w:val="nil"/>
            </w:tcBorders>
            <w:shd w:val="clear" w:color="auto" w:fill="F2F2F2"/>
            <w:noWrap/>
            <w:vAlign w:val="center"/>
          </w:tcPr>
          <w:p w14:paraId="089AB3B3">
            <w:pPr>
              <w:widowControl/>
              <w:jc w:val="left"/>
              <w:textAlignment w:val="center"/>
              <w:rPr>
                <w:rFonts w:hint="default" w:ascii="Times New Roman" w:hAnsi="Times New Roman" w:eastAsia="宋体" w:cs="Times New Roman"/>
                <w:color w:val="000000" w:themeColor="text1"/>
                <w:sz w:val="20"/>
                <w:szCs w:val="20"/>
                <w:highlight w:val="none"/>
                <w14:textFill>
                  <w14:solidFill>
                    <w14:schemeClr w14:val="tx1"/>
                  </w14:solidFill>
                </w14:textFill>
              </w:rPr>
            </w:pPr>
            <w:r>
              <w:rPr>
                <w:rFonts w:hint="default" w:ascii="Times New Roman" w:hAnsi="Times New Roman" w:eastAsia="宋体" w:cs="Times New Roman"/>
                <w:color w:val="000000" w:themeColor="text1"/>
                <w:kern w:val="0"/>
                <w:sz w:val="20"/>
                <w:szCs w:val="20"/>
                <w:highlight w:val="none"/>
                <w:lang w:bidi="ar"/>
                <w14:textFill>
                  <w14:solidFill>
                    <w14:schemeClr w14:val="tx1"/>
                  </w14:solidFill>
                </w14:textFill>
              </w:rPr>
              <w:t>99%</w:t>
            </w:r>
          </w:p>
        </w:tc>
        <w:tc>
          <w:tcPr>
            <w:tcW w:w="1650" w:type="dxa"/>
            <w:tcBorders>
              <w:top w:val="nil"/>
              <w:left w:val="nil"/>
              <w:bottom w:val="nil"/>
              <w:right w:val="nil"/>
            </w:tcBorders>
            <w:shd w:val="clear" w:color="auto" w:fill="F2F2F2"/>
            <w:noWrap/>
            <w:vAlign w:val="center"/>
          </w:tcPr>
          <w:p w14:paraId="369C9BC2">
            <w:pPr>
              <w:widowControl/>
              <w:jc w:val="left"/>
              <w:textAlignment w:val="center"/>
              <w:rPr>
                <w:rFonts w:hint="default" w:ascii="Times New Roman" w:hAnsi="Times New Roman" w:eastAsia="宋体" w:cs="Times New Roman"/>
                <w:color w:val="000000" w:themeColor="text1"/>
                <w:sz w:val="20"/>
                <w:szCs w:val="20"/>
                <w:highlight w:val="none"/>
                <w14:textFill>
                  <w14:solidFill>
                    <w14:schemeClr w14:val="tx1"/>
                  </w14:solidFill>
                </w14:textFill>
              </w:rPr>
            </w:pPr>
            <w:r>
              <w:rPr>
                <w:rFonts w:hint="default" w:ascii="Times New Roman" w:hAnsi="Times New Roman" w:cs="Times New Roman"/>
                <w:color w:val="000000" w:themeColor="text1"/>
                <w:sz w:val="20"/>
                <w:szCs w:val="20"/>
                <w:highlight w:val="none"/>
                <w14:textFill>
                  <w14:solidFill>
                    <w14:schemeClr w14:val="tx1"/>
                  </w14:solidFill>
                </w14:textFill>
              </w:rPr>
              <w:t>2.183</w:t>
            </w:r>
          </w:p>
        </w:tc>
        <w:tc>
          <w:tcPr>
            <w:tcW w:w="1773" w:type="dxa"/>
            <w:tcBorders>
              <w:top w:val="nil"/>
              <w:left w:val="nil"/>
              <w:bottom w:val="nil"/>
              <w:right w:val="nil"/>
            </w:tcBorders>
            <w:shd w:val="clear" w:color="auto" w:fill="F2F2F2"/>
            <w:noWrap/>
            <w:vAlign w:val="center"/>
          </w:tcPr>
          <w:p w14:paraId="2D1C470E">
            <w:pPr>
              <w:widowControl/>
              <w:jc w:val="left"/>
              <w:textAlignment w:val="center"/>
              <w:rPr>
                <w:rFonts w:hint="default" w:ascii="Times New Roman" w:hAnsi="Times New Roman" w:eastAsia="宋体" w:cs="Times New Roman"/>
                <w:color w:val="000000" w:themeColor="text1"/>
                <w:sz w:val="20"/>
                <w:szCs w:val="20"/>
                <w:highlight w:val="none"/>
                <w14:textFill>
                  <w14:solidFill>
                    <w14:schemeClr w14:val="tx1"/>
                  </w14:solidFill>
                </w14:textFill>
              </w:rPr>
            </w:pPr>
            <w:r>
              <w:rPr>
                <w:rFonts w:hint="default" w:ascii="Times New Roman" w:hAnsi="Times New Roman" w:eastAsia="宋体" w:cs="Times New Roman"/>
                <w:color w:val="000000" w:themeColor="text1"/>
                <w:kern w:val="0"/>
                <w:sz w:val="20"/>
                <w:szCs w:val="20"/>
                <w:highlight w:val="none"/>
                <w:lang w:bidi="ar"/>
                <w14:textFill>
                  <w14:solidFill>
                    <w14:schemeClr w14:val="tx1"/>
                  </w14:solidFill>
                </w14:textFill>
              </w:rPr>
              <w:t>&lt; 0.01</w:t>
            </w:r>
          </w:p>
        </w:tc>
        <w:tc>
          <w:tcPr>
            <w:tcW w:w="2404" w:type="dxa"/>
            <w:vMerge w:val="continue"/>
            <w:tcBorders>
              <w:left w:val="nil"/>
              <w:bottom w:val="nil"/>
              <w:right w:val="nil"/>
            </w:tcBorders>
            <w:shd w:val="clear" w:color="auto" w:fill="F2F2F2"/>
            <w:noWrap/>
            <w:vAlign w:val="center"/>
          </w:tcPr>
          <w:p w14:paraId="49DFDBFE">
            <w:pPr>
              <w:jc w:val="left"/>
              <w:rPr>
                <w:rFonts w:hint="default" w:ascii="Times New Roman" w:hAnsi="Times New Roman" w:eastAsia="宋体" w:cs="Times New Roman"/>
                <w:color w:val="000000" w:themeColor="text1"/>
                <w:sz w:val="20"/>
                <w:szCs w:val="20"/>
                <w:highlight w:val="none"/>
                <w14:textFill>
                  <w14:solidFill>
                    <w14:schemeClr w14:val="tx1"/>
                  </w14:solidFill>
                </w14:textFill>
              </w:rPr>
            </w:pPr>
          </w:p>
        </w:tc>
      </w:tr>
      <w:tr w14:paraId="15F9BD4E">
        <w:tblPrEx>
          <w:tblCellMar>
            <w:top w:w="0" w:type="dxa"/>
            <w:left w:w="108" w:type="dxa"/>
            <w:bottom w:w="0" w:type="dxa"/>
            <w:right w:w="108" w:type="dxa"/>
          </w:tblCellMar>
        </w:tblPrEx>
        <w:trPr>
          <w:trHeight w:val="304" w:hRule="atLeast"/>
        </w:trPr>
        <w:tc>
          <w:tcPr>
            <w:tcW w:w="2540" w:type="dxa"/>
            <w:tcBorders>
              <w:top w:val="nil"/>
              <w:left w:val="nil"/>
              <w:bottom w:val="nil"/>
              <w:right w:val="nil"/>
            </w:tcBorders>
            <w:shd w:val="clear" w:color="auto" w:fill="D9D9D9"/>
            <w:noWrap/>
            <w:vAlign w:val="center"/>
          </w:tcPr>
          <w:p w14:paraId="622E1158">
            <w:pPr>
              <w:widowControl/>
              <w:jc w:val="left"/>
              <w:textAlignment w:val="center"/>
              <w:rPr>
                <w:rFonts w:hint="default" w:ascii="Times New Roman" w:hAnsi="Times New Roman" w:eastAsia="宋体" w:cs="Times New Roman"/>
                <w:b/>
                <w:bCs/>
                <w:color w:val="000000" w:themeColor="text1"/>
                <w:sz w:val="20"/>
                <w:szCs w:val="20"/>
                <w:highlight w:val="none"/>
                <w14:textFill>
                  <w14:solidFill>
                    <w14:schemeClr w14:val="tx1"/>
                  </w14:solidFill>
                </w14:textFill>
              </w:rPr>
            </w:pPr>
            <w:r>
              <w:rPr>
                <w:rFonts w:hint="default" w:ascii="Times New Roman" w:hAnsi="Times New Roman" w:eastAsia="宋体" w:cs="Times New Roman"/>
                <w:b/>
                <w:bCs/>
                <w:color w:val="000000" w:themeColor="text1"/>
                <w:kern w:val="0"/>
                <w:sz w:val="20"/>
                <w:szCs w:val="20"/>
                <w:highlight w:val="none"/>
                <w:lang w:bidi="ar"/>
                <w14:textFill>
                  <w14:solidFill>
                    <w14:schemeClr w14:val="tx1"/>
                  </w14:solidFill>
                </w14:textFill>
              </w:rPr>
              <w:t>Patients with T2DM</w:t>
            </w:r>
          </w:p>
        </w:tc>
        <w:tc>
          <w:tcPr>
            <w:tcW w:w="1581" w:type="dxa"/>
            <w:tcBorders>
              <w:top w:val="nil"/>
              <w:left w:val="nil"/>
              <w:bottom w:val="nil"/>
              <w:right w:val="nil"/>
            </w:tcBorders>
            <w:shd w:val="clear" w:color="auto" w:fill="D9D9D9"/>
            <w:noWrap/>
            <w:vAlign w:val="center"/>
          </w:tcPr>
          <w:p w14:paraId="0D377FA0">
            <w:pPr>
              <w:widowControl/>
              <w:jc w:val="left"/>
              <w:textAlignment w:val="center"/>
              <w:rPr>
                <w:rFonts w:hint="default" w:ascii="Times New Roman" w:hAnsi="Times New Roman" w:cs="Times New Roman"/>
                <w:b/>
                <w:bCs/>
                <w:color w:val="000000" w:themeColor="text1"/>
                <w:sz w:val="20"/>
                <w:szCs w:val="20"/>
                <w:highlight w:val="none"/>
                <w14:textFill>
                  <w14:solidFill>
                    <w14:schemeClr w14:val="tx1"/>
                  </w14:solidFill>
                </w14:textFill>
              </w:rPr>
            </w:pPr>
            <w:r>
              <w:rPr>
                <w:rFonts w:hint="default" w:ascii="Times New Roman" w:hAnsi="Times New Roman" w:cs="Times New Roman"/>
                <w:b/>
                <w:bCs/>
                <w:color w:val="000000" w:themeColor="text1"/>
                <w:sz w:val="20"/>
                <w:szCs w:val="20"/>
                <w:highlight w:val="none"/>
                <w14:textFill>
                  <w14:solidFill>
                    <w14:schemeClr w14:val="tx1"/>
                  </w14:solidFill>
                </w14:textFill>
              </w:rPr>
              <w:t>4</w:t>
            </w:r>
          </w:p>
        </w:tc>
        <w:tc>
          <w:tcPr>
            <w:tcW w:w="2094" w:type="dxa"/>
            <w:tcBorders>
              <w:top w:val="nil"/>
              <w:left w:val="nil"/>
              <w:bottom w:val="nil"/>
              <w:right w:val="nil"/>
            </w:tcBorders>
            <w:shd w:val="clear" w:color="auto" w:fill="D9D9D9"/>
            <w:noWrap/>
            <w:vAlign w:val="center"/>
          </w:tcPr>
          <w:p w14:paraId="6081D907">
            <w:pPr>
              <w:widowControl/>
              <w:jc w:val="left"/>
              <w:textAlignment w:val="center"/>
              <w:rPr>
                <w:rFonts w:hint="default" w:ascii="Times New Roman" w:hAnsi="Times New Roman" w:cs="Times New Roman"/>
                <w:b/>
                <w:bCs/>
                <w:color w:val="000000" w:themeColor="text1"/>
                <w:sz w:val="20"/>
                <w:szCs w:val="20"/>
                <w:highlight w:val="none"/>
                <w14:textFill>
                  <w14:solidFill>
                    <w14:schemeClr w14:val="tx1"/>
                  </w14:solidFill>
                </w14:textFill>
              </w:rPr>
            </w:pPr>
            <w:r>
              <w:rPr>
                <w:rFonts w:hint="default" w:ascii="Times New Roman" w:hAnsi="Times New Roman" w:cs="Times New Roman"/>
                <w:b/>
                <w:bCs/>
                <w:color w:val="000000" w:themeColor="text1"/>
                <w:sz w:val="20"/>
                <w:szCs w:val="20"/>
                <w:highlight w:val="none"/>
                <w14:textFill>
                  <w14:solidFill>
                    <w14:schemeClr w14:val="tx1"/>
                  </w14:solidFill>
                </w14:textFill>
              </w:rPr>
              <w:t>7.03 (4.89</w:t>
            </w:r>
            <w:r>
              <w:rPr>
                <w:rFonts w:hint="default" w:ascii="Times New Roman" w:hAnsi="Times New Roman" w:eastAsia="宋体" w:cs="Times New Roman"/>
                <w:b/>
                <w:bCs/>
                <w:i w:val="0"/>
                <w:iCs w:val="0"/>
                <w:color w:val="auto"/>
                <w:kern w:val="0"/>
                <w:sz w:val="20"/>
                <w:szCs w:val="20"/>
                <w:highlight w:val="none"/>
                <w:u w:val="none"/>
                <w:lang w:val="en-US" w:eastAsia="zh-CN" w:bidi="ar"/>
              </w:rPr>
              <w:t>–</w:t>
            </w:r>
            <w:r>
              <w:rPr>
                <w:rFonts w:hint="default" w:ascii="Times New Roman" w:hAnsi="Times New Roman" w:cs="Times New Roman"/>
                <w:b/>
                <w:bCs/>
                <w:color w:val="000000" w:themeColor="text1"/>
                <w:sz w:val="20"/>
                <w:szCs w:val="20"/>
                <w:highlight w:val="none"/>
                <w14:textFill>
                  <w14:solidFill>
                    <w14:schemeClr w14:val="tx1"/>
                  </w14:solidFill>
                </w14:textFill>
              </w:rPr>
              <w:t>9.17)</w:t>
            </w:r>
          </w:p>
        </w:tc>
        <w:tc>
          <w:tcPr>
            <w:tcW w:w="1636" w:type="dxa"/>
            <w:tcBorders>
              <w:top w:val="nil"/>
              <w:left w:val="nil"/>
              <w:bottom w:val="nil"/>
              <w:right w:val="nil"/>
            </w:tcBorders>
            <w:shd w:val="clear" w:color="auto" w:fill="D9D9D9"/>
            <w:noWrap/>
            <w:vAlign w:val="center"/>
          </w:tcPr>
          <w:p w14:paraId="08504CB9">
            <w:pPr>
              <w:widowControl/>
              <w:jc w:val="left"/>
              <w:textAlignment w:val="center"/>
              <w:rPr>
                <w:rFonts w:hint="default" w:ascii="Times New Roman" w:hAnsi="Times New Roman" w:cs="Times New Roman"/>
                <w:b/>
                <w:bCs/>
                <w:color w:val="000000" w:themeColor="text1"/>
                <w:sz w:val="20"/>
                <w:szCs w:val="20"/>
                <w:highlight w:val="none"/>
                <w14:textFill>
                  <w14:solidFill>
                    <w14:schemeClr w14:val="tx1"/>
                  </w14:solidFill>
                </w14:textFill>
              </w:rPr>
            </w:pPr>
            <w:r>
              <w:rPr>
                <w:rFonts w:hint="default" w:ascii="Times New Roman" w:hAnsi="Times New Roman" w:cs="Times New Roman"/>
                <w:b/>
                <w:bCs/>
                <w:color w:val="000000" w:themeColor="text1"/>
                <w:sz w:val="20"/>
                <w:szCs w:val="20"/>
                <w:highlight w:val="none"/>
                <w14:textFill>
                  <w14:solidFill>
                    <w14:schemeClr w14:val="tx1"/>
                  </w14:solidFill>
                </w14:textFill>
              </w:rPr>
              <w:t>100%</w:t>
            </w:r>
          </w:p>
        </w:tc>
        <w:tc>
          <w:tcPr>
            <w:tcW w:w="1650" w:type="dxa"/>
            <w:tcBorders>
              <w:top w:val="nil"/>
              <w:left w:val="nil"/>
              <w:bottom w:val="nil"/>
              <w:right w:val="nil"/>
            </w:tcBorders>
            <w:shd w:val="clear" w:color="auto" w:fill="D9D9D9"/>
            <w:noWrap/>
            <w:vAlign w:val="center"/>
          </w:tcPr>
          <w:p w14:paraId="2A748BB7">
            <w:pPr>
              <w:widowControl/>
              <w:jc w:val="left"/>
              <w:textAlignment w:val="center"/>
              <w:rPr>
                <w:rFonts w:hint="default" w:ascii="Times New Roman" w:hAnsi="Times New Roman" w:cs="Times New Roman"/>
                <w:b/>
                <w:bCs/>
                <w:color w:val="000000" w:themeColor="text1"/>
                <w:sz w:val="20"/>
                <w:szCs w:val="20"/>
                <w:highlight w:val="none"/>
                <w14:textFill>
                  <w14:solidFill>
                    <w14:schemeClr w14:val="tx1"/>
                  </w14:solidFill>
                </w14:textFill>
              </w:rPr>
            </w:pPr>
            <w:r>
              <w:rPr>
                <w:rFonts w:hint="default" w:ascii="Times New Roman" w:hAnsi="Times New Roman" w:cs="Times New Roman"/>
                <w:b/>
                <w:bCs/>
                <w:color w:val="000000" w:themeColor="text1"/>
                <w:sz w:val="20"/>
                <w:szCs w:val="20"/>
                <w:highlight w:val="none"/>
                <w14:textFill>
                  <w14:solidFill>
                    <w14:schemeClr w14:val="tx1"/>
                  </w14:solidFill>
                </w14:textFill>
              </w:rPr>
              <w:t>4.735</w:t>
            </w:r>
          </w:p>
        </w:tc>
        <w:tc>
          <w:tcPr>
            <w:tcW w:w="1773" w:type="dxa"/>
            <w:tcBorders>
              <w:top w:val="nil"/>
              <w:left w:val="nil"/>
              <w:bottom w:val="nil"/>
              <w:right w:val="nil"/>
            </w:tcBorders>
            <w:shd w:val="clear" w:color="auto" w:fill="D9D9D9"/>
            <w:noWrap/>
            <w:vAlign w:val="center"/>
          </w:tcPr>
          <w:p w14:paraId="5B12B7ED">
            <w:pPr>
              <w:widowControl/>
              <w:jc w:val="left"/>
              <w:textAlignment w:val="center"/>
              <w:rPr>
                <w:rFonts w:hint="default" w:ascii="Times New Roman" w:hAnsi="Times New Roman" w:cs="Times New Roman"/>
                <w:b/>
                <w:bCs/>
                <w:color w:val="000000" w:themeColor="text1"/>
                <w:sz w:val="20"/>
                <w:szCs w:val="20"/>
                <w:highlight w:val="none"/>
                <w14:textFill>
                  <w14:solidFill>
                    <w14:schemeClr w14:val="tx1"/>
                  </w14:solidFill>
                </w14:textFill>
              </w:rPr>
            </w:pPr>
            <w:r>
              <w:rPr>
                <w:rFonts w:hint="default" w:ascii="Times New Roman" w:hAnsi="Times New Roman" w:cs="Times New Roman"/>
                <w:b/>
                <w:bCs/>
                <w:color w:val="000000" w:themeColor="text1"/>
                <w:sz w:val="20"/>
                <w:szCs w:val="20"/>
                <w:highlight w:val="none"/>
                <w14:textFill>
                  <w14:solidFill>
                    <w14:schemeClr w14:val="tx1"/>
                  </w14:solidFill>
                </w14:textFill>
              </w:rPr>
              <w:t>&lt; 0.01</w:t>
            </w:r>
          </w:p>
        </w:tc>
        <w:tc>
          <w:tcPr>
            <w:tcW w:w="2404" w:type="dxa"/>
            <w:tcBorders>
              <w:top w:val="nil"/>
              <w:left w:val="nil"/>
              <w:bottom w:val="nil"/>
              <w:right w:val="nil"/>
            </w:tcBorders>
            <w:shd w:val="clear" w:color="auto" w:fill="D9D9D9"/>
            <w:noWrap/>
            <w:vAlign w:val="center"/>
          </w:tcPr>
          <w:p w14:paraId="7B360966">
            <w:pPr>
              <w:widowControl/>
              <w:jc w:val="left"/>
              <w:textAlignment w:val="center"/>
              <w:rPr>
                <w:rFonts w:hint="default" w:ascii="Times New Roman" w:hAnsi="Times New Roman" w:cs="Times New Roman"/>
                <w:b/>
                <w:bCs/>
                <w:color w:val="000000" w:themeColor="text1"/>
                <w:sz w:val="20"/>
                <w:szCs w:val="20"/>
                <w:highlight w:val="none"/>
                <w14:textFill>
                  <w14:solidFill>
                    <w14:schemeClr w14:val="tx1"/>
                  </w14:solidFill>
                </w14:textFill>
              </w:rPr>
            </w:pPr>
          </w:p>
        </w:tc>
      </w:tr>
      <w:tr w14:paraId="57BC9D9C">
        <w:tblPrEx>
          <w:tblCellMar>
            <w:top w:w="0" w:type="dxa"/>
            <w:left w:w="108" w:type="dxa"/>
            <w:bottom w:w="0" w:type="dxa"/>
            <w:right w:w="108" w:type="dxa"/>
          </w:tblCellMar>
        </w:tblPrEx>
        <w:trPr>
          <w:trHeight w:val="304" w:hRule="atLeast"/>
        </w:trPr>
        <w:tc>
          <w:tcPr>
            <w:tcW w:w="2540" w:type="dxa"/>
            <w:tcBorders>
              <w:top w:val="nil"/>
              <w:left w:val="nil"/>
              <w:bottom w:val="nil"/>
              <w:right w:val="nil"/>
            </w:tcBorders>
            <w:shd w:val="clear" w:color="auto" w:fill="F2F2F2"/>
            <w:noWrap/>
            <w:vAlign w:val="center"/>
          </w:tcPr>
          <w:p w14:paraId="458A3DE2">
            <w:pPr>
              <w:widowControl/>
              <w:jc w:val="left"/>
              <w:textAlignment w:val="center"/>
              <w:rPr>
                <w:rFonts w:hint="default" w:ascii="Times New Roman" w:hAnsi="Times New Roman" w:eastAsia="宋体" w:cs="Times New Roman"/>
                <w:b/>
                <w:bCs/>
                <w:i/>
                <w:iCs/>
                <w:color w:val="000000" w:themeColor="text1"/>
                <w:sz w:val="20"/>
                <w:szCs w:val="20"/>
                <w:highlight w:val="none"/>
                <w14:textFill>
                  <w14:solidFill>
                    <w14:schemeClr w14:val="tx1"/>
                  </w14:solidFill>
                </w14:textFill>
              </w:rPr>
            </w:pPr>
            <w:r>
              <w:rPr>
                <w:rFonts w:hint="default" w:ascii="Times New Roman" w:hAnsi="Times New Roman" w:eastAsia="宋体" w:cs="Times New Roman"/>
                <w:b/>
                <w:bCs/>
                <w:i/>
                <w:iCs/>
                <w:color w:val="000000" w:themeColor="text1"/>
                <w:kern w:val="0"/>
                <w:sz w:val="20"/>
                <w:szCs w:val="20"/>
                <w:highlight w:val="none"/>
                <w:lang w:bidi="ar"/>
                <w14:textFill>
                  <w14:solidFill>
                    <w14:schemeClr w14:val="tx1"/>
                  </w14:solidFill>
                </w14:textFill>
              </w:rPr>
              <w:t xml:space="preserve"> </w:t>
            </w:r>
            <w:r>
              <w:rPr>
                <w:rFonts w:hint="default" w:ascii="Times New Roman" w:hAnsi="Times New Roman" w:eastAsia="宋体" w:cs="Times New Roman"/>
                <w:i/>
                <w:iCs/>
                <w:color w:val="000000" w:themeColor="text1"/>
                <w:kern w:val="0"/>
                <w:sz w:val="20"/>
                <w:szCs w:val="20"/>
                <w:highlight w:val="none"/>
                <w:lang w:bidi="ar"/>
                <w14:textFill>
                  <w14:solidFill>
                    <w14:schemeClr w14:val="tx1"/>
                  </w14:solidFill>
                </w14:textFill>
              </w:rPr>
              <w:t xml:space="preserve"> eGDR formula</w:t>
            </w:r>
          </w:p>
        </w:tc>
        <w:tc>
          <w:tcPr>
            <w:tcW w:w="1581" w:type="dxa"/>
            <w:tcBorders>
              <w:top w:val="nil"/>
              <w:left w:val="nil"/>
              <w:bottom w:val="nil"/>
              <w:right w:val="nil"/>
            </w:tcBorders>
            <w:shd w:val="clear" w:color="auto" w:fill="F2F2F2"/>
            <w:noWrap/>
            <w:vAlign w:val="center"/>
          </w:tcPr>
          <w:p w14:paraId="3C17EC15">
            <w:pPr>
              <w:rPr>
                <w:rFonts w:hint="default" w:ascii="Times New Roman" w:hAnsi="Times New Roman" w:eastAsia="宋体" w:cs="Times New Roman"/>
                <w:color w:val="000000" w:themeColor="text1"/>
                <w:sz w:val="20"/>
                <w:szCs w:val="20"/>
                <w:highlight w:val="none"/>
                <w14:textFill>
                  <w14:solidFill>
                    <w14:schemeClr w14:val="tx1"/>
                  </w14:solidFill>
                </w14:textFill>
              </w:rPr>
            </w:pPr>
          </w:p>
        </w:tc>
        <w:tc>
          <w:tcPr>
            <w:tcW w:w="2094" w:type="dxa"/>
            <w:tcBorders>
              <w:top w:val="nil"/>
              <w:left w:val="nil"/>
              <w:bottom w:val="nil"/>
              <w:right w:val="nil"/>
            </w:tcBorders>
            <w:shd w:val="clear" w:color="auto" w:fill="F2F2F2"/>
            <w:noWrap/>
            <w:vAlign w:val="center"/>
          </w:tcPr>
          <w:p w14:paraId="253286F2">
            <w:pPr>
              <w:jc w:val="left"/>
              <w:rPr>
                <w:rFonts w:hint="default" w:ascii="Times New Roman" w:hAnsi="Times New Roman" w:eastAsia="宋体" w:cs="Times New Roman"/>
                <w:color w:val="000000" w:themeColor="text1"/>
                <w:sz w:val="20"/>
                <w:szCs w:val="20"/>
                <w:highlight w:val="none"/>
                <w14:textFill>
                  <w14:solidFill>
                    <w14:schemeClr w14:val="tx1"/>
                  </w14:solidFill>
                </w14:textFill>
              </w:rPr>
            </w:pPr>
          </w:p>
        </w:tc>
        <w:tc>
          <w:tcPr>
            <w:tcW w:w="1636" w:type="dxa"/>
            <w:tcBorders>
              <w:top w:val="nil"/>
              <w:left w:val="nil"/>
              <w:bottom w:val="nil"/>
              <w:right w:val="nil"/>
            </w:tcBorders>
            <w:shd w:val="clear" w:color="auto" w:fill="F2F2F2"/>
            <w:noWrap/>
            <w:vAlign w:val="center"/>
          </w:tcPr>
          <w:p w14:paraId="79897767">
            <w:pPr>
              <w:jc w:val="left"/>
              <w:rPr>
                <w:rFonts w:hint="default" w:ascii="Times New Roman" w:hAnsi="Times New Roman" w:eastAsia="宋体" w:cs="Times New Roman"/>
                <w:color w:val="000000" w:themeColor="text1"/>
                <w:sz w:val="20"/>
                <w:szCs w:val="20"/>
                <w:highlight w:val="none"/>
                <w14:textFill>
                  <w14:solidFill>
                    <w14:schemeClr w14:val="tx1"/>
                  </w14:solidFill>
                </w14:textFill>
              </w:rPr>
            </w:pPr>
          </w:p>
        </w:tc>
        <w:tc>
          <w:tcPr>
            <w:tcW w:w="1650" w:type="dxa"/>
            <w:tcBorders>
              <w:top w:val="nil"/>
              <w:left w:val="nil"/>
              <w:bottom w:val="nil"/>
              <w:right w:val="nil"/>
            </w:tcBorders>
            <w:shd w:val="clear" w:color="auto" w:fill="F2F2F2"/>
            <w:noWrap/>
            <w:vAlign w:val="center"/>
          </w:tcPr>
          <w:p w14:paraId="6AD5C325">
            <w:pPr>
              <w:jc w:val="left"/>
              <w:rPr>
                <w:rFonts w:hint="default" w:ascii="Times New Roman" w:hAnsi="Times New Roman" w:eastAsia="宋体" w:cs="Times New Roman"/>
                <w:color w:val="000000" w:themeColor="text1"/>
                <w:sz w:val="20"/>
                <w:szCs w:val="20"/>
                <w:highlight w:val="none"/>
                <w14:textFill>
                  <w14:solidFill>
                    <w14:schemeClr w14:val="tx1"/>
                  </w14:solidFill>
                </w14:textFill>
              </w:rPr>
            </w:pPr>
          </w:p>
        </w:tc>
        <w:tc>
          <w:tcPr>
            <w:tcW w:w="1773" w:type="dxa"/>
            <w:tcBorders>
              <w:top w:val="nil"/>
              <w:left w:val="nil"/>
              <w:bottom w:val="nil"/>
              <w:right w:val="nil"/>
            </w:tcBorders>
            <w:shd w:val="clear" w:color="auto" w:fill="F2F2F2"/>
            <w:noWrap/>
            <w:vAlign w:val="center"/>
          </w:tcPr>
          <w:p w14:paraId="784CBAF0">
            <w:pPr>
              <w:jc w:val="left"/>
              <w:rPr>
                <w:rFonts w:hint="default" w:ascii="Times New Roman" w:hAnsi="Times New Roman" w:eastAsia="宋体" w:cs="Times New Roman"/>
                <w:color w:val="000000" w:themeColor="text1"/>
                <w:sz w:val="20"/>
                <w:szCs w:val="20"/>
                <w:highlight w:val="none"/>
                <w14:textFill>
                  <w14:solidFill>
                    <w14:schemeClr w14:val="tx1"/>
                  </w14:solidFill>
                </w14:textFill>
              </w:rPr>
            </w:pPr>
          </w:p>
        </w:tc>
        <w:tc>
          <w:tcPr>
            <w:tcW w:w="2404" w:type="dxa"/>
            <w:tcBorders>
              <w:top w:val="nil"/>
              <w:left w:val="nil"/>
              <w:bottom w:val="nil"/>
              <w:right w:val="nil"/>
            </w:tcBorders>
            <w:shd w:val="clear" w:color="auto" w:fill="F2F2F2"/>
            <w:noWrap/>
            <w:vAlign w:val="center"/>
          </w:tcPr>
          <w:p w14:paraId="624916E6">
            <w:pPr>
              <w:jc w:val="left"/>
              <w:rPr>
                <w:rFonts w:hint="default" w:ascii="Times New Roman" w:hAnsi="Times New Roman" w:eastAsia="宋体" w:cs="Times New Roman"/>
                <w:color w:val="000000" w:themeColor="text1"/>
                <w:sz w:val="20"/>
                <w:szCs w:val="20"/>
                <w:highlight w:val="none"/>
                <w14:textFill>
                  <w14:solidFill>
                    <w14:schemeClr w14:val="tx1"/>
                  </w14:solidFill>
                </w14:textFill>
              </w:rPr>
            </w:pPr>
          </w:p>
        </w:tc>
      </w:tr>
      <w:tr w14:paraId="48E317C7">
        <w:tblPrEx>
          <w:tblCellMar>
            <w:top w:w="0" w:type="dxa"/>
            <w:left w:w="108" w:type="dxa"/>
            <w:bottom w:w="0" w:type="dxa"/>
            <w:right w:w="108" w:type="dxa"/>
          </w:tblCellMar>
        </w:tblPrEx>
        <w:trPr>
          <w:trHeight w:val="90" w:hRule="atLeast"/>
        </w:trPr>
        <w:tc>
          <w:tcPr>
            <w:tcW w:w="2540" w:type="dxa"/>
            <w:tcBorders>
              <w:top w:val="nil"/>
              <w:left w:val="nil"/>
              <w:bottom w:val="nil"/>
              <w:right w:val="nil"/>
            </w:tcBorders>
            <w:shd w:val="clear" w:color="auto" w:fill="F2F2F2"/>
            <w:noWrap/>
            <w:vAlign w:val="center"/>
          </w:tcPr>
          <w:p w14:paraId="7419132E">
            <w:pPr>
              <w:widowControl/>
              <w:jc w:val="left"/>
              <w:textAlignment w:val="center"/>
              <w:rPr>
                <w:rFonts w:hint="default" w:ascii="Times New Roman" w:hAnsi="Times New Roman" w:eastAsia="宋体" w:cs="Times New Roman"/>
                <w:color w:val="000000" w:themeColor="text1"/>
                <w:kern w:val="0"/>
                <w:sz w:val="20"/>
                <w:szCs w:val="20"/>
                <w:highlight w:val="none"/>
                <w:lang w:bidi="ar"/>
                <w14:textFill>
                  <w14:solidFill>
                    <w14:schemeClr w14:val="tx1"/>
                  </w14:solidFill>
                </w14:textFill>
              </w:rPr>
            </w:pPr>
            <w:r>
              <w:rPr>
                <w:rFonts w:hint="default" w:ascii="Times New Roman" w:hAnsi="Times New Roman" w:eastAsia="宋体" w:cs="Times New Roman"/>
                <w:color w:val="000000" w:themeColor="text1"/>
                <w:kern w:val="0"/>
                <w:sz w:val="20"/>
                <w:szCs w:val="20"/>
                <w:highlight w:val="none"/>
                <w:lang w:bidi="ar"/>
                <w14:textFill>
                  <w14:solidFill>
                    <w14:schemeClr w14:val="tx1"/>
                  </w14:solidFill>
                </w14:textFill>
              </w:rPr>
              <w:t xml:space="preserve">    A</w:t>
            </w:r>
          </w:p>
        </w:tc>
        <w:tc>
          <w:tcPr>
            <w:tcW w:w="1581" w:type="dxa"/>
            <w:tcBorders>
              <w:top w:val="nil"/>
              <w:left w:val="nil"/>
              <w:bottom w:val="nil"/>
              <w:right w:val="nil"/>
            </w:tcBorders>
            <w:shd w:val="clear" w:color="auto" w:fill="F2F2F2"/>
            <w:noWrap/>
            <w:vAlign w:val="center"/>
          </w:tcPr>
          <w:p w14:paraId="04BEC2F9">
            <w:pPr>
              <w:widowControl/>
              <w:jc w:val="left"/>
              <w:textAlignment w:val="center"/>
              <w:rPr>
                <w:rFonts w:hint="default" w:ascii="Times New Roman" w:hAnsi="Times New Roman" w:eastAsia="宋体" w:cs="Times New Roman"/>
                <w:color w:val="000000" w:themeColor="text1"/>
                <w:kern w:val="0"/>
                <w:sz w:val="20"/>
                <w:szCs w:val="20"/>
                <w:highlight w:val="none"/>
                <w:lang w:bidi="ar"/>
                <w14:textFill>
                  <w14:solidFill>
                    <w14:schemeClr w14:val="tx1"/>
                  </w14:solidFill>
                </w14:textFill>
              </w:rPr>
            </w:pPr>
            <w:r>
              <w:rPr>
                <w:rFonts w:hint="default" w:ascii="Times New Roman" w:hAnsi="Times New Roman" w:eastAsia="宋体" w:cs="Times New Roman"/>
                <w:color w:val="000000" w:themeColor="text1"/>
                <w:kern w:val="0"/>
                <w:sz w:val="20"/>
                <w:szCs w:val="20"/>
                <w:highlight w:val="none"/>
                <w:lang w:bidi="ar"/>
                <w14:textFill>
                  <w14:solidFill>
                    <w14:schemeClr w14:val="tx1"/>
                  </w14:solidFill>
                </w14:textFill>
              </w:rPr>
              <w:t>3</w:t>
            </w:r>
          </w:p>
        </w:tc>
        <w:tc>
          <w:tcPr>
            <w:tcW w:w="2094" w:type="dxa"/>
            <w:tcBorders>
              <w:top w:val="nil"/>
              <w:left w:val="nil"/>
              <w:bottom w:val="nil"/>
              <w:right w:val="nil"/>
            </w:tcBorders>
            <w:shd w:val="clear" w:color="auto" w:fill="F2F2F2"/>
            <w:noWrap/>
            <w:vAlign w:val="center"/>
          </w:tcPr>
          <w:p w14:paraId="228C99C5">
            <w:pPr>
              <w:widowControl/>
              <w:tabs>
                <w:tab w:val="right" w:pos="1878"/>
              </w:tabs>
              <w:jc w:val="left"/>
              <w:textAlignment w:val="center"/>
              <w:rPr>
                <w:rFonts w:hint="default" w:ascii="Times New Roman" w:hAnsi="Times New Roman" w:eastAsia="宋体" w:cs="Times New Roman"/>
                <w:color w:val="000000" w:themeColor="text1"/>
                <w:kern w:val="0"/>
                <w:sz w:val="20"/>
                <w:szCs w:val="20"/>
                <w:highlight w:val="none"/>
                <w:lang w:bidi="ar"/>
                <w14:textFill>
                  <w14:solidFill>
                    <w14:schemeClr w14:val="tx1"/>
                  </w14:solidFill>
                </w14:textFill>
              </w:rPr>
            </w:pPr>
            <w:r>
              <w:rPr>
                <w:rFonts w:hint="default" w:ascii="Times New Roman" w:hAnsi="Times New Roman" w:eastAsia="宋体" w:cs="Times New Roman"/>
                <w:color w:val="000000" w:themeColor="text1"/>
                <w:kern w:val="0"/>
                <w:sz w:val="20"/>
                <w:szCs w:val="20"/>
                <w:highlight w:val="none"/>
                <w:lang w:bidi="ar"/>
                <w14:textFill>
                  <w14:solidFill>
                    <w14:schemeClr w14:val="tx1"/>
                  </w14:solidFill>
                </w14:textFill>
              </w:rPr>
              <w:t>7.52 (5.62</w:t>
            </w:r>
            <w:r>
              <w:rPr>
                <w:rFonts w:hint="default" w:ascii="Times New Roman" w:hAnsi="Times New Roman" w:eastAsia="宋体" w:cs="Times New Roman"/>
                <w:i w:val="0"/>
                <w:iCs w:val="0"/>
                <w:color w:val="auto"/>
                <w:kern w:val="0"/>
                <w:sz w:val="20"/>
                <w:szCs w:val="20"/>
                <w:highlight w:val="none"/>
                <w:u w:val="none"/>
                <w:lang w:val="en-US" w:eastAsia="zh-CN" w:bidi="ar"/>
              </w:rPr>
              <w:t>–</w:t>
            </w:r>
            <w:r>
              <w:rPr>
                <w:rFonts w:hint="default" w:ascii="Times New Roman" w:hAnsi="Times New Roman" w:eastAsia="宋体" w:cs="Times New Roman"/>
                <w:color w:val="000000" w:themeColor="text1"/>
                <w:kern w:val="0"/>
                <w:sz w:val="20"/>
                <w:szCs w:val="20"/>
                <w:highlight w:val="none"/>
                <w:lang w:bidi="ar"/>
                <w14:textFill>
                  <w14:solidFill>
                    <w14:schemeClr w14:val="tx1"/>
                  </w14:solidFill>
                </w14:textFill>
              </w:rPr>
              <w:t>9.42)</w:t>
            </w:r>
            <w:r>
              <w:rPr>
                <w:rFonts w:hint="default" w:ascii="Times New Roman" w:hAnsi="Times New Roman" w:eastAsia="宋体" w:cs="Times New Roman"/>
                <w:color w:val="000000" w:themeColor="text1"/>
                <w:kern w:val="0"/>
                <w:sz w:val="20"/>
                <w:szCs w:val="20"/>
                <w:highlight w:val="none"/>
                <w:lang w:bidi="ar"/>
                <w14:textFill>
                  <w14:solidFill>
                    <w14:schemeClr w14:val="tx1"/>
                  </w14:solidFill>
                </w14:textFill>
              </w:rPr>
              <w:tab/>
            </w:r>
          </w:p>
        </w:tc>
        <w:tc>
          <w:tcPr>
            <w:tcW w:w="1636" w:type="dxa"/>
            <w:tcBorders>
              <w:top w:val="nil"/>
              <w:left w:val="nil"/>
              <w:bottom w:val="nil"/>
              <w:right w:val="nil"/>
            </w:tcBorders>
            <w:shd w:val="clear" w:color="auto" w:fill="F2F2F2"/>
            <w:noWrap/>
            <w:vAlign w:val="center"/>
          </w:tcPr>
          <w:p w14:paraId="3EA00D1C">
            <w:pPr>
              <w:widowControl/>
              <w:jc w:val="left"/>
              <w:textAlignment w:val="center"/>
              <w:rPr>
                <w:rFonts w:hint="default" w:ascii="Times New Roman" w:hAnsi="Times New Roman" w:eastAsia="宋体" w:cs="Times New Roman"/>
                <w:color w:val="000000" w:themeColor="text1"/>
                <w:kern w:val="0"/>
                <w:sz w:val="20"/>
                <w:szCs w:val="20"/>
                <w:highlight w:val="none"/>
                <w:lang w:bidi="ar"/>
                <w14:textFill>
                  <w14:solidFill>
                    <w14:schemeClr w14:val="tx1"/>
                  </w14:solidFill>
                </w14:textFill>
              </w:rPr>
            </w:pPr>
            <w:r>
              <w:rPr>
                <w:rFonts w:hint="default" w:ascii="Times New Roman" w:hAnsi="Times New Roman" w:eastAsia="宋体" w:cs="Times New Roman"/>
                <w:color w:val="000000" w:themeColor="text1"/>
                <w:kern w:val="0"/>
                <w:sz w:val="20"/>
                <w:szCs w:val="20"/>
                <w:highlight w:val="none"/>
                <w:lang w:bidi="ar"/>
                <w14:textFill>
                  <w14:solidFill>
                    <w14:schemeClr w14:val="tx1"/>
                  </w14:solidFill>
                </w14:textFill>
              </w:rPr>
              <w:t>99%</w:t>
            </w:r>
          </w:p>
        </w:tc>
        <w:tc>
          <w:tcPr>
            <w:tcW w:w="1650" w:type="dxa"/>
            <w:tcBorders>
              <w:top w:val="nil"/>
              <w:left w:val="nil"/>
              <w:bottom w:val="nil"/>
              <w:right w:val="nil"/>
            </w:tcBorders>
            <w:shd w:val="clear" w:color="auto" w:fill="F2F2F2"/>
            <w:noWrap/>
            <w:vAlign w:val="center"/>
          </w:tcPr>
          <w:p w14:paraId="0745C273">
            <w:pPr>
              <w:widowControl/>
              <w:jc w:val="left"/>
              <w:textAlignment w:val="center"/>
              <w:rPr>
                <w:rFonts w:hint="default" w:ascii="Times New Roman" w:hAnsi="Times New Roman" w:eastAsia="宋体" w:cs="Times New Roman"/>
                <w:color w:val="000000" w:themeColor="text1"/>
                <w:kern w:val="0"/>
                <w:sz w:val="20"/>
                <w:szCs w:val="20"/>
                <w:highlight w:val="none"/>
                <w:lang w:bidi="ar"/>
                <w14:textFill>
                  <w14:solidFill>
                    <w14:schemeClr w14:val="tx1"/>
                  </w14:solidFill>
                </w14:textFill>
              </w:rPr>
            </w:pPr>
            <w:r>
              <w:rPr>
                <w:rFonts w:hint="default" w:ascii="Times New Roman" w:hAnsi="Times New Roman" w:eastAsia="宋体" w:cs="Times New Roman"/>
                <w:color w:val="000000" w:themeColor="text1"/>
                <w:kern w:val="0"/>
                <w:sz w:val="20"/>
                <w:szCs w:val="20"/>
                <w:highlight w:val="none"/>
                <w:lang w:bidi="ar"/>
                <w14:textFill>
                  <w14:solidFill>
                    <w14:schemeClr w14:val="tx1"/>
                  </w14:solidFill>
                </w14:textFill>
              </w:rPr>
              <w:t>2.771</w:t>
            </w:r>
          </w:p>
        </w:tc>
        <w:tc>
          <w:tcPr>
            <w:tcW w:w="1773" w:type="dxa"/>
            <w:tcBorders>
              <w:top w:val="nil"/>
              <w:left w:val="nil"/>
              <w:bottom w:val="nil"/>
              <w:right w:val="nil"/>
            </w:tcBorders>
            <w:shd w:val="clear" w:color="auto" w:fill="F2F2F2"/>
            <w:noWrap/>
            <w:vAlign w:val="center"/>
          </w:tcPr>
          <w:p w14:paraId="7520AFB6">
            <w:pPr>
              <w:widowControl/>
              <w:jc w:val="left"/>
              <w:textAlignment w:val="center"/>
              <w:rPr>
                <w:rFonts w:hint="default" w:ascii="Times New Roman" w:hAnsi="Times New Roman" w:eastAsia="宋体" w:cs="Times New Roman"/>
                <w:color w:val="000000" w:themeColor="text1"/>
                <w:kern w:val="0"/>
                <w:sz w:val="20"/>
                <w:szCs w:val="20"/>
                <w:highlight w:val="none"/>
                <w:lang w:bidi="ar"/>
                <w14:textFill>
                  <w14:solidFill>
                    <w14:schemeClr w14:val="tx1"/>
                  </w14:solidFill>
                </w14:textFill>
              </w:rPr>
            </w:pPr>
            <w:r>
              <w:rPr>
                <w:rFonts w:hint="default" w:ascii="Times New Roman" w:hAnsi="Times New Roman" w:eastAsia="宋体" w:cs="Times New Roman"/>
                <w:color w:val="000000" w:themeColor="text1"/>
                <w:kern w:val="0"/>
                <w:sz w:val="20"/>
                <w:szCs w:val="20"/>
                <w:highlight w:val="none"/>
                <w:lang w:bidi="ar"/>
                <w14:textFill>
                  <w14:solidFill>
                    <w14:schemeClr w14:val="tx1"/>
                  </w14:solidFill>
                </w14:textFill>
              </w:rPr>
              <w:t>&lt; 0.01</w:t>
            </w:r>
          </w:p>
        </w:tc>
        <w:tc>
          <w:tcPr>
            <w:tcW w:w="2404" w:type="dxa"/>
            <w:vMerge w:val="restart"/>
            <w:tcBorders>
              <w:top w:val="nil"/>
              <w:left w:val="nil"/>
              <w:right w:val="nil"/>
            </w:tcBorders>
            <w:shd w:val="clear" w:color="auto" w:fill="F2F2F2"/>
            <w:noWrap/>
            <w:vAlign w:val="center"/>
          </w:tcPr>
          <w:p w14:paraId="3D7E251F">
            <w:pPr>
              <w:widowControl/>
              <w:jc w:val="left"/>
              <w:textAlignment w:val="center"/>
              <w:rPr>
                <w:rFonts w:hint="default" w:ascii="Times New Roman" w:hAnsi="Times New Roman" w:eastAsia="宋体" w:cs="Times New Roman"/>
                <w:color w:val="000000" w:themeColor="text1"/>
                <w:kern w:val="0"/>
                <w:sz w:val="20"/>
                <w:szCs w:val="20"/>
                <w:highlight w:val="none"/>
                <w:lang w:bidi="ar"/>
                <w14:textFill>
                  <w14:solidFill>
                    <w14:schemeClr w14:val="tx1"/>
                  </w14:solidFill>
                </w14:textFill>
              </w:rPr>
            </w:pPr>
            <w:r>
              <w:rPr>
                <w:rFonts w:hint="default" w:ascii="Times New Roman" w:hAnsi="Times New Roman" w:eastAsia="宋体" w:cs="Times New Roman"/>
                <w:color w:val="000000" w:themeColor="text1"/>
                <w:kern w:val="0"/>
                <w:sz w:val="20"/>
                <w:szCs w:val="20"/>
                <w:highlight w:val="none"/>
                <w:lang w:bidi="ar"/>
                <w14:textFill>
                  <w14:solidFill>
                    <w14:schemeClr w14:val="tx1"/>
                  </w14:solidFill>
                </w14:textFill>
              </w:rPr>
              <w:t>0.05</w:t>
            </w:r>
          </w:p>
        </w:tc>
      </w:tr>
      <w:tr w14:paraId="69B8349A">
        <w:tblPrEx>
          <w:tblCellMar>
            <w:top w:w="0" w:type="dxa"/>
            <w:left w:w="108" w:type="dxa"/>
            <w:bottom w:w="0" w:type="dxa"/>
            <w:right w:w="108" w:type="dxa"/>
          </w:tblCellMar>
        </w:tblPrEx>
        <w:trPr>
          <w:trHeight w:val="90" w:hRule="atLeast"/>
        </w:trPr>
        <w:tc>
          <w:tcPr>
            <w:tcW w:w="2540" w:type="dxa"/>
            <w:tcBorders>
              <w:top w:val="nil"/>
              <w:left w:val="nil"/>
              <w:bottom w:val="single" w:color="000000" w:sz="4" w:space="0"/>
              <w:right w:val="nil"/>
            </w:tcBorders>
            <w:shd w:val="clear" w:color="auto" w:fill="F2F2F2"/>
            <w:noWrap/>
            <w:vAlign w:val="center"/>
          </w:tcPr>
          <w:p w14:paraId="569ABA21">
            <w:pPr>
              <w:widowControl/>
              <w:jc w:val="left"/>
              <w:textAlignment w:val="center"/>
              <w:rPr>
                <w:rFonts w:hint="default" w:ascii="Times New Roman" w:hAnsi="Times New Roman" w:eastAsia="宋体" w:cs="Times New Roman"/>
                <w:color w:val="000000" w:themeColor="text1"/>
                <w:sz w:val="20"/>
                <w:szCs w:val="20"/>
                <w:highlight w:val="none"/>
                <w14:textFill>
                  <w14:solidFill>
                    <w14:schemeClr w14:val="tx1"/>
                  </w14:solidFill>
                </w14:textFill>
              </w:rPr>
            </w:pPr>
            <w:r>
              <w:rPr>
                <w:rFonts w:hint="default" w:ascii="Times New Roman" w:hAnsi="Times New Roman" w:eastAsia="宋体" w:cs="Times New Roman"/>
                <w:color w:val="000000" w:themeColor="text1"/>
                <w:kern w:val="0"/>
                <w:sz w:val="20"/>
                <w:szCs w:val="20"/>
                <w:highlight w:val="none"/>
                <w:lang w:bidi="ar"/>
                <w14:textFill>
                  <w14:solidFill>
                    <w14:schemeClr w14:val="tx1"/>
                  </w14:solidFill>
                </w14:textFill>
              </w:rPr>
              <w:t xml:space="preserve">    C</w:t>
            </w:r>
          </w:p>
        </w:tc>
        <w:tc>
          <w:tcPr>
            <w:tcW w:w="1581" w:type="dxa"/>
            <w:tcBorders>
              <w:top w:val="nil"/>
              <w:left w:val="nil"/>
              <w:bottom w:val="single" w:color="000000" w:sz="4" w:space="0"/>
              <w:right w:val="nil"/>
            </w:tcBorders>
            <w:shd w:val="clear" w:color="auto" w:fill="F2F2F2"/>
            <w:noWrap/>
            <w:vAlign w:val="center"/>
          </w:tcPr>
          <w:p w14:paraId="60FEE4BA">
            <w:pPr>
              <w:widowControl/>
              <w:jc w:val="left"/>
              <w:textAlignment w:val="center"/>
              <w:rPr>
                <w:rFonts w:hint="default" w:ascii="Times New Roman" w:hAnsi="Times New Roman" w:eastAsia="宋体" w:cs="Times New Roman"/>
                <w:color w:val="000000" w:themeColor="text1"/>
                <w:kern w:val="0"/>
                <w:sz w:val="20"/>
                <w:szCs w:val="20"/>
                <w:highlight w:val="none"/>
                <w:lang w:bidi="ar"/>
                <w14:textFill>
                  <w14:solidFill>
                    <w14:schemeClr w14:val="tx1"/>
                  </w14:solidFill>
                </w14:textFill>
              </w:rPr>
            </w:pPr>
            <w:r>
              <w:rPr>
                <w:rFonts w:hint="default" w:ascii="Times New Roman" w:hAnsi="Times New Roman" w:eastAsia="宋体" w:cs="Times New Roman"/>
                <w:color w:val="000000" w:themeColor="text1"/>
                <w:kern w:val="0"/>
                <w:sz w:val="20"/>
                <w:szCs w:val="20"/>
                <w:highlight w:val="none"/>
                <w:lang w:bidi="ar"/>
                <w14:textFill>
                  <w14:solidFill>
                    <w14:schemeClr w14:val="tx1"/>
                  </w14:solidFill>
                </w14:textFill>
              </w:rPr>
              <w:t>1</w:t>
            </w:r>
          </w:p>
        </w:tc>
        <w:tc>
          <w:tcPr>
            <w:tcW w:w="2094" w:type="dxa"/>
            <w:tcBorders>
              <w:top w:val="nil"/>
              <w:left w:val="nil"/>
              <w:bottom w:val="single" w:color="000000" w:sz="4" w:space="0"/>
              <w:right w:val="nil"/>
            </w:tcBorders>
            <w:shd w:val="clear" w:color="auto" w:fill="F2F2F2"/>
            <w:noWrap/>
            <w:vAlign w:val="center"/>
          </w:tcPr>
          <w:p w14:paraId="53C3709E">
            <w:pPr>
              <w:widowControl/>
              <w:jc w:val="left"/>
              <w:textAlignment w:val="center"/>
              <w:rPr>
                <w:rFonts w:hint="default" w:ascii="Times New Roman" w:hAnsi="Times New Roman" w:eastAsia="宋体" w:cs="Times New Roman"/>
                <w:color w:val="000000" w:themeColor="text1"/>
                <w:kern w:val="0"/>
                <w:sz w:val="20"/>
                <w:szCs w:val="20"/>
                <w:highlight w:val="none"/>
                <w:lang w:bidi="ar"/>
                <w14:textFill>
                  <w14:solidFill>
                    <w14:schemeClr w14:val="tx1"/>
                  </w14:solidFill>
                </w14:textFill>
              </w:rPr>
            </w:pPr>
            <w:r>
              <w:rPr>
                <w:rFonts w:hint="default" w:ascii="Times New Roman" w:hAnsi="Times New Roman" w:eastAsia="宋体" w:cs="Times New Roman"/>
                <w:color w:val="000000" w:themeColor="text1"/>
                <w:kern w:val="0"/>
                <w:sz w:val="20"/>
                <w:szCs w:val="20"/>
                <w:highlight w:val="none"/>
                <w:lang w:bidi="ar"/>
                <w14:textFill>
                  <w14:solidFill>
                    <w14:schemeClr w14:val="tx1"/>
                  </w14:solidFill>
                </w14:textFill>
              </w:rPr>
              <w:t>5.60 (5.59</w:t>
            </w:r>
            <w:r>
              <w:rPr>
                <w:rFonts w:hint="default" w:ascii="Times New Roman" w:hAnsi="Times New Roman" w:eastAsia="宋体" w:cs="Times New Roman"/>
                <w:i w:val="0"/>
                <w:iCs w:val="0"/>
                <w:color w:val="auto"/>
                <w:kern w:val="0"/>
                <w:sz w:val="20"/>
                <w:szCs w:val="20"/>
                <w:highlight w:val="none"/>
                <w:u w:val="none"/>
                <w:lang w:val="en-US" w:eastAsia="zh-CN" w:bidi="ar"/>
              </w:rPr>
              <w:t>–</w:t>
            </w:r>
            <w:r>
              <w:rPr>
                <w:rFonts w:hint="default" w:ascii="Times New Roman" w:hAnsi="Times New Roman" w:eastAsia="宋体" w:cs="Times New Roman"/>
                <w:color w:val="000000" w:themeColor="text1"/>
                <w:kern w:val="0"/>
                <w:sz w:val="20"/>
                <w:szCs w:val="20"/>
                <w:highlight w:val="none"/>
                <w:lang w:bidi="ar"/>
                <w14:textFill>
                  <w14:solidFill>
                    <w14:schemeClr w14:val="tx1"/>
                  </w14:solidFill>
                </w14:textFill>
              </w:rPr>
              <w:t>5.61)</w:t>
            </w:r>
          </w:p>
        </w:tc>
        <w:tc>
          <w:tcPr>
            <w:tcW w:w="1636" w:type="dxa"/>
            <w:tcBorders>
              <w:top w:val="nil"/>
              <w:left w:val="nil"/>
              <w:bottom w:val="single" w:color="000000" w:sz="4" w:space="0"/>
              <w:right w:val="nil"/>
            </w:tcBorders>
            <w:shd w:val="clear" w:color="auto" w:fill="F2F2F2"/>
            <w:noWrap/>
            <w:vAlign w:val="center"/>
          </w:tcPr>
          <w:p w14:paraId="02E97BD0">
            <w:pPr>
              <w:widowControl/>
              <w:jc w:val="left"/>
              <w:textAlignment w:val="center"/>
              <w:rPr>
                <w:rFonts w:hint="default" w:ascii="Times New Roman" w:hAnsi="Times New Roman" w:eastAsia="宋体" w:cs="Times New Roman"/>
                <w:color w:val="000000" w:themeColor="text1"/>
                <w:kern w:val="0"/>
                <w:sz w:val="20"/>
                <w:szCs w:val="20"/>
                <w:highlight w:val="none"/>
                <w:lang w:bidi="ar"/>
                <w14:textFill>
                  <w14:solidFill>
                    <w14:schemeClr w14:val="tx1"/>
                  </w14:solidFill>
                </w14:textFill>
              </w:rPr>
            </w:pPr>
            <w:r>
              <w:rPr>
                <w:rFonts w:hint="default" w:ascii="Times New Roman" w:hAnsi="Times New Roman" w:eastAsia="宋体" w:cs="Times New Roman"/>
                <w:color w:val="000000" w:themeColor="text1"/>
                <w:kern w:val="0"/>
                <w:sz w:val="20"/>
                <w:szCs w:val="20"/>
                <w:highlight w:val="none"/>
                <w:lang w:bidi="ar"/>
                <w14:textFill>
                  <w14:solidFill>
                    <w14:schemeClr w14:val="tx1"/>
                  </w14:solidFill>
                </w14:textFill>
              </w:rPr>
              <w:t>NA</w:t>
            </w:r>
          </w:p>
        </w:tc>
        <w:tc>
          <w:tcPr>
            <w:tcW w:w="1650" w:type="dxa"/>
            <w:tcBorders>
              <w:top w:val="nil"/>
              <w:left w:val="nil"/>
              <w:bottom w:val="single" w:color="000000" w:sz="4" w:space="0"/>
              <w:right w:val="nil"/>
            </w:tcBorders>
            <w:shd w:val="clear" w:color="auto" w:fill="F2F2F2"/>
            <w:noWrap/>
            <w:vAlign w:val="center"/>
          </w:tcPr>
          <w:p w14:paraId="3E076871">
            <w:pPr>
              <w:widowControl/>
              <w:jc w:val="left"/>
              <w:textAlignment w:val="center"/>
              <w:rPr>
                <w:rFonts w:hint="default" w:ascii="Times New Roman" w:hAnsi="Times New Roman" w:eastAsia="宋体" w:cs="Times New Roman"/>
                <w:color w:val="000000" w:themeColor="text1"/>
                <w:kern w:val="0"/>
                <w:sz w:val="20"/>
                <w:szCs w:val="20"/>
                <w:highlight w:val="none"/>
                <w:lang w:bidi="ar"/>
                <w14:textFill>
                  <w14:solidFill>
                    <w14:schemeClr w14:val="tx1"/>
                  </w14:solidFill>
                </w14:textFill>
              </w:rPr>
            </w:pPr>
            <w:r>
              <w:rPr>
                <w:rFonts w:hint="default" w:ascii="Times New Roman" w:hAnsi="Times New Roman" w:eastAsia="宋体" w:cs="Times New Roman"/>
                <w:color w:val="000000" w:themeColor="text1"/>
                <w:kern w:val="0"/>
                <w:sz w:val="20"/>
                <w:szCs w:val="20"/>
                <w:highlight w:val="none"/>
                <w:lang w:bidi="ar"/>
                <w14:textFill>
                  <w14:solidFill>
                    <w14:schemeClr w14:val="tx1"/>
                  </w14:solidFill>
                </w14:textFill>
              </w:rPr>
              <w:t>NA</w:t>
            </w:r>
          </w:p>
        </w:tc>
        <w:tc>
          <w:tcPr>
            <w:tcW w:w="1773" w:type="dxa"/>
            <w:tcBorders>
              <w:top w:val="nil"/>
              <w:left w:val="nil"/>
              <w:bottom w:val="single" w:color="000000" w:sz="4" w:space="0"/>
              <w:right w:val="nil"/>
            </w:tcBorders>
            <w:shd w:val="clear" w:color="auto" w:fill="F2F2F2"/>
            <w:noWrap/>
            <w:vAlign w:val="center"/>
          </w:tcPr>
          <w:p w14:paraId="088AEE4E">
            <w:pPr>
              <w:widowControl/>
              <w:jc w:val="left"/>
              <w:textAlignment w:val="center"/>
              <w:rPr>
                <w:rFonts w:hint="default" w:ascii="Times New Roman" w:hAnsi="Times New Roman" w:eastAsia="宋体" w:cs="Times New Roman"/>
                <w:color w:val="000000" w:themeColor="text1"/>
                <w:sz w:val="20"/>
                <w:szCs w:val="20"/>
                <w:highlight w:val="none"/>
                <w14:textFill>
                  <w14:solidFill>
                    <w14:schemeClr w14:val="tx1"/>
                  </w14:solidFill>
                </w14:textFill>
              </w:rPr>
            </w:pPr>
            <w:r>
              <w:rPr>
                <w:rFonts w:hint="default" w:ascii="Times New Roman" w:hAnsi="Times New Roman" w:eastAsia="宋体" w:cs="Times New Roman"/>
                <w:color w:val="000000" w:themeColor="text1"/>
                <w:sz w:val="20"/>
                <w:szCs w:val="20"/>
                <w:highlight w:val="none"/>
                <w14:textFill>
                  <w14:solidFill>
                    <w14:schemeClr w14:val="tx1"/>
                  </w14:solidFill>
                </w14:textFill>
              </w:rPr>
              <w:t>NA</w:t>
            </w:r>
          </w:p>
        </w:tc>
        <w:tc>
          <w:tcPr>
            <w:tcW w:w="2404" w:type="dxa"/>
            <w:vMerge w:val="continue"/>
            <w:tcBorders>
              <w:left w:val="nil"/>
              <w:bottom w:val="single" w:color="000000" w:sz="4" w:space="0"/>
              <w:right w:val="nil"/>
            </w:tcBorders>
            <w:shd w:val="clear" w:color="auto" w:fill="F2F2F2"/>
            <w:noWrap/>
            <w:vAlign w:val="center"/>
          </w:tcPr>
          <w:p w14:paraId="009D2A91">
            <w:pPr>
              <w:jc w:val="left"/>
              <w:rPr>
                <w:rFonts w:hint="default" w:ascii="Times New Roman" w:hAnsi="Times New Roman" w:eastAsia="宋体" w:cs="Times New Roman"/>
                <w:color w:val="000000" w:themeColor="text1"/>
                <w:sz w:val="20"/>
                <w:szCs w:val="20"/>
                <w:highlight w:val="none"/>
                <w14:textFill>
                  <w14:solidFill>
                    <w14:schemeClr w14:val="tx1"/>
                  </w14:solidFill>
                </w14:textFill>
              </w:rPr>
            </w:pPr>
          </w:p>
        </w:tc>
      </w:tr>
    </w:tbl>
    <w:p w14:paraId="37CF85A0">
      <w:pPr>
        <w:jc w:val="left"/>
        <w:rPr>
          <w:rFonts w:hint="default" w:ascii="Times New Roman" w:hAnsi="Times New Roman" w:cs="Times New Roman"/>
          <w:color w:val="000000" w:themeColor="text1"/>
          <w:sz w:val="20"/>
          <w:szCs w:val="20"/>
          <w:highlight w:val="none"/>
          <w14:textFill>
            <w14:solidFill>
              <w14:schemeClr w14:val="tx1"/>
            </w14:solidFill>
          </w14:textFill>
        </w:rPr>
      </w:pPr>
      <w:r>
        <w:rPr>
          <w:rFonts w:hint="default" w:ascii="Times New Roman" w:hAnsi="Times New Roman" w:cs="Times New Roman"/>
          <w:color w:val="000000" w:themeColor="text1"/>
          <w:sz w:val="20"/>
          <w:szCs w:val="20"/>
          <w:highlight w:val="none"/>
          <w14:textFill>
            <w14:solidFill>
              <w14:schemeClr w14:val="tx1"/>
            </w14:solidFill>
          </w14:textFill>
        </w:rPr>
        <w:t>The formula for calculating eGDR: A. eGDRWHR=24.31–12.22*(WHR)–3.29*(HTN)–0.57*(HbA1c); C. eGDRWC=21.158−0.09*(WC)−3.407*(HTN)−0.551* (HbA1c)</w:t>
      </w:r>
    </w:p>
    <w:p w14:paraId="760F82E6">
      <w:pPr>
        <w:jc w:val="left"/>
        <w:rPr>
          <w:rFonts w:hint="default" w:ascii="Times New Roman" w:hAnsi="Times New Roman" w:cs="Times New Roman"/>
          <w:color w:val="000000" w:themeColor="text1"/>
          <w:sz w:val="20"/>
          <w:szCs w:val="20"/>
          <w:highlight w:val="none"/>
          <w14:textFill>
            <w14:solidFill>
              <w14:schemeClr w14:val="tx1"/>
            </w14:solidFill>
          </w14:textFill>
        </w:rPr>
      </w:pPr>
    </w:p>
    <w:p w14:paraId="08168A4C">
      <w:pPr>
        <w:jc w:val="left"/>
        <w:rPr>
          <w:rFonts w:hint="default" w:ascii="Times New Roman" w:hAnsi="Times New Roman" w:cs="Times New Roman"/>
          <w:color w:val="000000" w:themeColor="text1"/>
          <w:sz w:val="20"/>
          <w:szCs w:val="20"/>
          <w:highlight w:val="none"/>
          <w14:textFill>
            <w14:solidFill>
              <w14:schemeClr w14:val="tx1"/>
            </w14:solidFill>
          </w14:textFill>
        </w:rPr>
      </w:pPr>
    </w:p>
    <w:p w14:paraId="161A6ED9">
      <w:pPr>
        <w:jc w:val="left"/>
        <w:rPr>
          <w:rFonts w:hint="default" w:ascii="Times New Roman" w:hAnsi="Times New Roman" w:cs="Times New Roman"/>
          <w:sz w:val="20"/>
          <w:szCs w:val="20"/>
          <w:highlight w:val="none"/>
        </w:rPr>
      </w:pPr>
    </w:p>
    <w:p w14:paraId="29A2B173">
      <w:pPr>
        <w:widowControl/>
        <w:jc w:val="left"/>
        <w:textAlignment w:val="top"/>
        <w:outlineLvl w:val="0"/>
        <w:rPr>
          <w:rFonts w:hint="default" w:ascii="Times New Roman" w:hAnsi="Times New Roman" w:eastAsia="CIDFont" w:cs="Times New Roman"/>
          <w:b/>
          <w:bCs/>
          <w:color w:val="000000" w:themeColor="text1"/>
          <w:kern w:val="0"/>
          <w:sz w:val="20"/>
          <w:szCs w:val="20"/>
          <w:highlight w:val="none"/>
          <w:lang w:bidi="ar"/>
          <w14:textFill>
            <w14:solidFill>
              <w14:schemeClr w14:val="tx1"/>
            </w14:solidFill>
          </w14:textFill>
        </w:rPr>
        <w:sectPr>
          <w:pgSz w:w="16838" w:h="11906" w:orient="landscape"/>
          <w:pgMar w:top="1800" w:right="1440" w:bottom="1800" w:left="1440" w:header="851" w:footer="992" w:gutter="0"/>
          <w:cols w:space="425" w:num="1"/>
          <w:docGrid w:type="lines" w:linePitch="312" w:charSpace="0"/>
        </w:sectPr>
      </w:pPr>
    </w:p>
    <w:p w14:paraId="1B0BF135">
      <w:pPr>
        <w:widowControl/>
        <w:jc w:val="left"/>
        <w:textAlignment w:val="top"/>
        <w:outlineLvl w:val="0"/>
        <w:rPr>
          <w:rFonts w:hint="default" w:ascii="Times New Roman" w:hAnsi="Times New Roman" w:eastAsia="Arial Narrow" w:cs="Times New Roman"/>
          <w:b/>
          <w:bCs/>
          <w:color w:val="000000" w:themeColor="text1"/>
          <w:sz w:val="20"/>
          <w:szCs w:val="20"/>
          <w:highlight w:val="none"/>
          <w:lang w:bidi="ar"/>
          <w14:textFill>
            <w14:solidFill>
              <w14:schemeClr w14:val="tx1"/>
            </w14:solidFill>
          </w14:textFill>
        </w:rPr>
      </w:pPr>
      <w:bookmarkStart w:id="9" w:name="_Toc5809"/>
      <w:r>
        <w:rPr>
          <w:rFonts w:hint="default" w:ascii="Times New Roman" w:hAnsi="Times New Roman" w:eastAsia="宋体" w:cs="Times New Roman"/>
          <w:b/>
          <w:bCs/>
          <w:color w:val="000000" w:themeColor="text1"/>
          <w:kern w:val="0"/>
          <w:sz w:val="20"/>
          <w:szCs w:val="20"/>
          <w:highlight w:val="none"/>
          <w:lang w:eastAsia="zh-CN" w:bidi="ar"/>
          <w14:textFill>
            <w14:solidFill>
              <w14:schemeClr w14:val="tx1"/>
            </w14:solidFill>
          </w14:textFill>
        </w:rPr>
        <w:t>Additional</w:t>
      </w:r>
      <w:r>
        <w:rPr>
          <w:rFonts w:hint="default" w:ascii="Times New Roman" w:hAnsi="Times New Roman" w:eastAsia="CIDFont" w:cs="Times New Roman"/>
          <w:b/>
          <w:bCs/>
          <w:color w:val="000000" w:themeColor="text1"/>
          <w:kern w:val="0"/>
          <w:sz w:val="20"/>
          <w:szCs w:val="20"/>
          <w:highlight w:val="none"/>
          <w:lang w:bidi="ar"/>
          <w14:textFill>
            <w14:solidFill>
              <w14:schemeClr w14:val="tx1"/>
            </w14:solidFill>
          </w14:textFill>
        </w:rPr>
        <w:t xml:space="preserve"> Table </w:t>
      </w:r>
      <w:r>
        <w:rPr>
          <w:rFonts w:hint="default" w:ascii="Times New Roman" w:hAnsi="Times New Roman" w:eastAsia="宋体" w:cs="Times New Roman"/>
          <w:b/>
          <w:bCs/>
          <w:color w:val="000000" w:themeColor="text1"/>
          <w:kern w:val="0"/>
          <w:sz w:val="20"/>
          <w:szCs w:val="20"/>
          <w:highlight w:val="none"/>
          <w:lang w:bidi="ar"/>
          <w14:textFill>
            <w14:solidFill>
              <w14:schemeClr w14:val="tx1"/>
            </w14:solidFill>
          </w14:textFill>
        </w:rPr>
        <w:t>10</w:t>
      </w:r>
      <w:r>
        <w:rPr>
          <w:rFonts w:hint="default" w:ascii="Times New Roman" w:hAnsi="Times New Roman" w:eastAsia="CIDFont" w:cs="Times New Roman"/>
          <w:b/>
          <w:bCs/>
          <w:color w:val="000000" w:themeColor="text1"/>
          <w:kern w:val="0"/>
          <w:sz w:val="20"/>
          <w:szCs w:val="20"/>
          <w:highlight w:val="none"/>
          <w:lang w:bidi="ar"/>
          <w14:textFill>
            <w14:solidFill>
              <w14:schemeClr w14:val="tx1"/>
            </w14:solidFill>
          </w14:textFill>
        </w:rPr>
        <w:t xml:space="preserve">. </w:t>
      </w:r>
      <w:r>
        <w:rPr>
          <w:rFonts w:hint="default" w:ascii="Times New Roman" w:hAnsi="Times New Roman" w:eastAsia="Arial Narrow" w:cs="Times New Roman"/>
          <w:b/>
          <w:bCs/>
          <w:color w:val="000000" w:themeColor="text1"/>
          <w:sz w:val="20"/>
          <w:szCs w:val="20"/>
          <w:highlight w:val="none"/>
          <w:lang w:bidi="ar"/>
          <w14:textFill>
            <w14:solidFill>
              <w14:schemeClr w14:val="tx1"/>
            </w14:solidFill>
          </w14:textFill>
        </w:rPr>
        <w:t>GRADE evidence profile</w:t>
      </w:r>
      <w:bookmarkEnd w:id="9"/>
    </w:p>
    <w:tbl>
      <w:tblPr>
        <w:tblStyle w:val="9"/>
        <w:tblpPr w:leftFromText="180" w:rightFromText="180" w:vertAnchor="text" w:horzAnchor="page" w:tblpX="244" w:tblpY="259"/>
        <w:tblOverlap w:val="never"/>
        <w:tblW w:w="16618" w:type="dxa"/>
        <w:tblInd w:w="0" w:type="dxa"/>
        <w:tblLayout w:type="fixed"/>
        <w:tblCellMar>
          <w:top w:w="0" w:type="dxa"/>
          <w:left w:w="108" w:type="dxa"/>
          <w:bottom w:w="0" w:type="dxa"/>
          <w:right w:w="108" w:type="dxa"/>
        </w:tblCellMar>
      </w:tblPr>
      <w:tblGrid>
        <w:gridCol w:w="1886"/>
        <w:gridCol w:w="850"/>
        <w:gridCol w:w="1346"/>
        <w:gridCol w:w="938"/>
        <w:gridCol w:w="1420"/>
        <w:gridCol w:w="1262"/>
        <w:gridCol w:w="1247"/>
        <w:gridCol w:w="1224"/>
        <w:gridCol w:w="1463"/>
        <w:gridCol w:w="946"/>
        <w:gridCol w:w="1362"/>
        <w:gridCol w:w="1539"/>
        <w:gridCol w:w="1135"/>
      </w:tblGrid>
      <w:tr w14:paraId="5E781F51">
        <w:tblPrEx>
          <w:tblCellMar>
            <w:top w:w="0" w:type="dxa"/>
            <w:left w:w="108" w:type="dxa"/>
            <w:bottom w:w="0" w:type="dxa"/>
            <w:right w:w="108" w:type="dxa"/>
          </w:tblCellMar>
        </w:tblPrEx>
        <w:trPr>
          <w:trHeight w:val="90" w:hRule="atLeast"/>
        </w:trPr>
        <w:tc>
          <w:tcPr>
            <w:tcW w:w="11636" w:type="dxa"/>
            <w:gridSpan w:val="9"/>
            <w:tcBorders>
              <w:top w:val="single" w:color="FFFFFF" w:sz="8" w:space="0"/>
              <w:left w:val="single" w:color="FFFFFF" w:sz="8" w:space="0"/>
              <w:bottom w:val="single" w:color="FFFFFF" w:sz="8" w:space="0"/>
              <w:right w:val="single" w:color="FFFFFF" w:sz="8" w:space="0"/>
            </w:tcBorders>
            <w:shd w:val="clear" w:color="auto" w:fill="2F5496"/>
          </w:tcPr>
          <w:p w14:paraId="312B1C3B">
            <w:pPr>
              <w:widowControl/>
              <w:jc w:val="center"/>
              <w:textAlignment w:val="top"/>
              <w:rPr>
                <w:rFonts w:hint="default" w:ascii="Times New Roman" w:hAnsi="Times New Roman" w:eastAsia="Arial Narrow" w:cs="Times New Roman"/>
                <w:b/>
                <w:bCs/>
                <w:color w:val="FFFFFF"/>
                <w:kern w:val="0"/>
                <w:sz w:val="20"/>
                <w:szCs w:val="20"/>
                <w:highlight w:val="none"/>
                <w:lang w:bidi="ar"/>
              </w:rPr>
            </w:pPr>
            <w:r>
              <w:rPr>
                <w:rFonts w:hint="default" w:ascii="Times New Roman" w:hAnsi="Times New Roman" w:eastAsia="Arial Narrow" w:cs="Times New Roman"/>
                <w:b/>
                <w:bCs/>
                <w:color w:val="FFFFFF"/>
                <w:kern w:val="0"/>
                <w:sz w:val="20"/>
                <w:szCs w:val="20"/>
                <w:highlight w:val="none"/>
                <w:lang w:bidi="ar"/>
              </w:rPr>
              <w:t>Certainty assessment</w:t>
            </w:r>
          </w:p>
        </w:tc>
        <w:tc>
          <w:tcPr>
            <w:tcW w:w="946" w:type="dxa"/>
            <w:vMerge w:val="restart"/>
            <w:tcBorders>
              <w:top w:val="single" w:color="FFFFFF" w:sz="8" w:space="0"/>
              <w:left w:val="nil"/>
              <w:bottom w:val="nil"/>
              <w:right w:val="single" w:color="FFFFFF" w:sz="8" w:space="0"/>
            </w:tcBorders>
            <w:shd w:val="clear" w:color="auto" w:fill="2F5496"/>
          </w:tcPr>
          <w:p w14:paraId="017C2112">
            <w:pPr>
              <w:widowControl/>
              <w:jc w:val="center"/>
              <w:textAlignment w:val="top"/>
              <w:rPr>
                <w:rFonts w:hint="default" w:ascii="Times New Roman" w:hAnsi="Times New Roman" w:eastAsia="Arial Narrow" w:cs="Times New Roman"/>
                <w:b/>
                <w:bCs/>
                <w:color w:val="FFFFFF"/>
                <w:sz w:val="20"/>
                <w:szCs w:val="20"/>
                <w:highlight w:val="none"/>
              </w:rPr>
            </w:pPr>
            <w:r>
              <w:rPr>
                <w:rFonts w:hint="default" w:ascii="Times New Roman" w:hAnsi="Times New Roman" w:eastAsia="Arial Narrow" w:cs="Times New Roman"/>
                <w:b/>
                <w:bCs/>
                <w:color w:val="FFFFFF"/>
                <w:kern w:val="0"/>
                <w:sz w:val="20"/>
                <w:szCs w:val="20"/>
                <w:highlight w:val="none"/>
                <w:lang w:bidi="ar"/>
              </w:rPr>
              <w:t>Total no.</w:t>
            </w:r>
          </w:p>
        </w:tc>
        <w:tc>
          <w:tcPr>
            <w:tcW w:w="2901" w:type="dxa"/>
            <w:gridSpan w:val="2"/>
            <w:tcBorders>
              <w:top w:val="single" w:color="FFFFFF" w:sz="8" w:space="0"/>
              <w:left w:val="nil"/>
              <w:bottom w:val="single" w:color="FFFFFF" w:sz="8" w:space="0"/>
              <w:right w:val="single" w:color="FFFFFF" w:sz="8" w:space="0"/>
            </w:tcBorders>
            <w:shd w:val="clear" w:color="auto" w:fill="2F5496"/>
          </w:tcPr>
          <w:p w14:paraId="739A9241">
            <w:pPr>
              <w:widowControl/>
              <w:jc w:val="center"/>
              <w:textAlignment w:val="top"/>
              <w:rPr>
                <w:rFonts w:hint="default" w:ascii="Times New Roman" w:hAnsi="Times New Roman" w:eastAsia="Arial Narrow" w:cs="Times New Roman"/>
                <w:b/>
                <w:bCs/>
                <w:color w:val="FFFFFF"/>
                <w:sz w:val="20"/>
                <w:szCs w:val="20"/>
                <w:highlight w:val="none"/>
              </w:rPr>
            </w:pPr>
            <w:r>
              <w:rPr>
                <w:rFonts w:hint="default" w:ascii="Times New Roman" w:hAnsi="Times New Roman" w:eastAsia="Arial Narrow" w:cs="Times New Roman"/>
                <w:b/>
                <w:bCs/>
                <w:color w:val="FFFFFF"/>
                <w:kern w:val="0"/>
                <w:sz w:val="20"/>
                <w:szCs w:val="20"/>
                <w:highlight w:val="none"/>
                <w:lang w:bidi="ar"/>
              </w:rPr>
              <w:t>Effect</w:t>
            </w:r>
          </w:p>
        </w:tc>
        <w:tc>
          <w:tcPr>
            <w:tcW w:w="1135" w:type="dxa"/>
            <w:vMerge w:val="restart"/>
            <w:tcBorders>
              <w:top w:val="single" w:color="FFFFFF" w:sz="8" w:space="0"/>
              <w:left w:val="nil"/>
              <w:bottom w:val="single" w:color="FFFFFF" w:sz="8" w:space="0"/>
              <w:right w:val="single" w:color="FFFFFF" w:sz="8" w:space="0"/>
            </w:tcBorders>
            <w:shd w:val="clear" w:color="auto" w:fill="2F5496"/>
          </w:tcPr>
          <w:p w14:paraId="67FF7384">
            <w:pPr>
              <w:widowControl/>
              <w:jc w:val="center"/>
              <w:textAlignment w:val="top"/>
              <w:rPr>
                <w:rFonts w:hint="default" w:ascii="Times New Roman" w:hAnsi="Times New Roman" w:eastAsia="Arial Narrow" w:cs="Times New Roman"/>
                <w:b/>
                <w:bCs/>
                <w:color w:val="FFFFFF"/>
                <w:sz w:val="20"/>
                <w:szCs w:val="20"/>
                <w:highlight w:val="none"/>
              </w:rPr>
            </w:pPr>
            <w:r>
              <w:rPr>
                <w:rFonts w:hint="default" w:ascii="Times New Roman" w:hAnsi="Times New Roman" w:eastAsia="Arial Narrow" w:cs="Times New Roman"/>
                <w:b/>
                <w:bCs/>
                <w:color w:val="FFFFFF"/>
                <w:kern w:val="0"/>
                <w:sz w:val="20"/>
                <w:szCs w:val="20"/>
                <w:highlight w:val="none"/>
                <w:lang w:bidi="ar"/>
              </w:rPr>
              <w:t>Certainty</w:t>
            </w:r>
          </w:p>
        </w:tc>
      </w:tr>
      <w:tr w14:paraId="56107D89">
        <w:tblPrEx>
          <w:tblCellMar>
            <w:top w:w="0" w:type="dxa"/>
            <w:left w:w="108" w:type="dxa"/>
            <w:bottom w:w="0" w:type="dxa"/>
            <w:right w:w="108" w:type="dxa"/>
          </w:tblCellMar>
        </w:tblPrEx>
        <w:trPr>
          <w:trHeight w:val="322" w:hRule="atLeast"/>
        </w:trPr>
        <w:tc>
          <w:tcPr>
            <w:tcW w:w="1886" w:type="dxa"/>
            <w:vMerge w:val="restart"/>
            <w:tcBorders>
              <w:top w:val="nil"/>
              <w:left w:val="single" w:color="FFFFFF" w:sz="8" w:space="0"/>
              <w:bottom w:val="single" w:color="FFFFFF" w:sz="8" w:space="0"/>
              <w:right w:val="single" w:color="FFFFFF" w:sz="8" w:space="0"/>
            </w:tcBorders>
            <w:shd w:val="clear" w:color="auto" w:fill="2F5496"/>
          </w:tcPr>
          <w:p w14:paraId="1D792691">
            <w:pPr>
              <w:widowControl/>
              <w:jc w:val="center"/>
              <w:textAlignment w:val="top"/>
              <w:rPr>
                <w:rFonts w:hint="default" w:ascii="Times New Roman" w:hAnsi="Times New Roman" w:eastAsia="Arial Narrow" w:cs="Times New Roman"/>
                <w:b/>
                <w:bCs/>
                <w:color w:val="FFFFFF"/>
                <w:sz w:val="20"/>
                <w:szCs w:val="20"/>
                <w:highlight w:val="none"/>
              </w:rPr>
            </w:pPr>
            <w:r>
              <w:rPr>
                <w:rFonts w:hint="default" w:ascii="Times New Roman" w:hAnsi="Times New Roman" w:eastAsia="Arial Narrow" w:cs="Times New Roman"/>
                <w:b/>
                <w:bCs/>
                <w:color w:val="FFFFFF"/>
                <w:kern w:val="0"/>
                <w:sz w:val="20"/>
                <w:szCs w:val="20"/>
                <w:highlight w:val="none"/>
                <w:lang w:bidi="ar"/>
              </w:rPr>
              <w:t xml:space="preserve">Outcome </w:t>
            </w:r>
          </w:p>
        </w:tc>
        <w:tc>
          <w:tcPr>
            <w:tcW w:w="850" w:type="dxa"/>
            <w:vMerge w:val="restart"/>
            <w:tcBorders>
              <w:top w:val="single" w:color="FFFFFF" w:sz="8" w:space="0"/>
              <w:left w:val="nil"/>
              <w:bottom w:val="single" w:color="FFFFFF" w:sz="8" w:space="0"/>
              <w:right w:val="single" w:color="FFFFFF" w:sz="8" w:space="0"/>
            </w:tcBorders>
            <w:shd w:val="clear" w:color="auto" w:fill="2F5496"/>
          </w:tcPr>
          <w:p w14:paraId="3863FDD7">
            <w:pPr>
              <w:widowControl/>
              <w:jc w:val="center"/>
              <w:textAlignment w:val="top"/>
              <w:rPr>
                <w:rFonts w:hint="default" w:ascii="Times New Roman" w:hAnsi="Times New Roman" w:eastAsia="Arial Narrow" w:cs="Times New Roman"/>
                <w:b/>
                <w:bCs/>
                <w:color w:val="FFFFFF"/>
                <w:sz w:val="20"/>
                <w:szCs w:val="20"/>
                <w:highlight w:val="none"/>
              </w:rPr>
            </w:pPr>
            <w:r>
              <w:rPr>
                <w:rFonts w:hint="default" w:ascii="Times New Roman" w:hAnsi="Times New Roman" w:eastAsia="Arial Narrow" w:cs="Times New Roman"/>
                <w:b/>
                <w:bCs/>
                <w:color w:val="FFFFFF"/>
                <w:kern w:val="0"/>
                <w:sz w:val="20"/>
                <w:szCs w:val="20"/>
                <w:highlight w:val="none"/>
                <w:lang w:bidi="ar"/>
              </w:rPr>
              <w:t>No. of studies</w:t>
            </w:r>
          </w:p>
        </w:tc>
        <w:tc>
          <w:tcPr>
            <w:tcW w:w="1346" w:type="dxa"/>
            <w:vMerge w:val="restart"/>
            <w:tcBorders>
              <w:top w:val="nil"/>
              <w:left w:val="nil"/>
              <w:bottom w:val="single" w:color="FFFFFF" w:sz="8" w:space="0"/>
              <w:right w:val="single" w:color="FFFFFF" w:sz="8" w:space="0"/>
            </w:tcBorders>
            <w:shd w:val="clear" w:color="auto" w:fill="2F5496"/>
          </w:tcPr>
          <w:p w14:paraId="59166667">
            <w:pPr>
              <w:widowControl/>
              <w:jc w:val="center"/>
              <w:textAlignment w:val="top"/>
              <w:rPr>
                <w:rFonts w:hint="default" w:ascii="Times New Roman" w:hAnsi="Times New Roman" w:eastAsia="Arial Narrow" w:cs="Times New Roman"/>
                <w:b/>
                <w:bCs/>
                <w:color w:val="FFFFFF"/>
                <w:sz w:val="20"/>
                <w:szCs w:val="20"/>
                <w:highlight w:val="none"/>
              </w:rPr>
            </w:pPr>
            <w:r>
              <w:rPr>
                <w:rFonts w:hint="default" w:ascii="Times New Roman" w:hAnsi="Times New Roman" w:eastAsia="Arial Narrow" w:cs="Times New Roman"/>
                <w:b/>
                <w:bCs/>
                <w:color w:val="FFFFFF"/>
                <w:kern w:val="0"/>
                <w:sz w:val="20"/>
                <w:szCs w:val="20"/>
                <w:highlight w:val="none"/>
                <w:lang w:bidi="ar"/>
              </w:rPr>
              <w:t>Study design</w:t>
            </w:r>
          </w:p>
        </w:tc>
        <w:tc>
          <w:tcPr>
            <w:tcW w:w="938" w:type="dxa"/>
            <w:vMerge w:val="restart"/>
            <w:tcBorders>
              <w:top w:val="nil"/>
              <w:left w:val="nil"/>
              <w:bottom w:val="single" w:color="FFFFFF" w:sz="8" w:space="0"/>
              <w:right w:val="single" w:color="FFFFFF" w:sz="8" w:space="0"/>
            </w:tcBorders>
            <w:shd w:val="clear" w:color="auto" w:fill="2F5496"/>
          </w:tcPr>
          <w:p w14:paraId="448E9E10">
            <w:pPr>
              <w:widowControl/>
              <w:jc w:val="center"/>
              <w:textAlignment w:val="top"/>
              <w:rPr>
                <w:rFonts w:hint="default" w:ascii="Times New Roman" w:hAnsi="Times New Roman" w:eastAsia="Arial Narrow" w:cs="Times New Roman"/>
                <w:b/>
                <w:bCs/>
                <w:color w:val="FFFFFF"/>
                <w:sz w:val="20"/>
                <w:szCs w:val="20"/>
                <w:highlight w:val="none"/>
              </w:rPr>
            </w:pPr>
            <w:r>
              <w:rPr>
                <w:rFonts w:hint="default" w:ascii="Times New Roman" w:hAnsi="Times New Roman" w:eastAsia="Arial Narrow" w:cs="Times New Roman"/>
                <w:b/>
                <w:bCs/>
                <w:color w:val="FFFFFF"/>
                <w:kern w:val="0"/>
                <w:sz w:val="20"/>
                <w:szCs w:val="20"/>
                <w:highlight w:val="none"/>
                <w:lang w:bidi="ar"/>
              </w:rPr>
              <w:t>Risk of bias</w:t>
            </w:r>
            <w:r>
              <w:rPr>
                <w:rStyle w:val="19"/>
                <w:rFonts w:hint="default" w:ascii="Times New Roman" w:hAnsi="Times New Roman" w:cs="Times New Roman"/>
                <w:b/>
                <w:bCs/>
                <w:color w:val="FFFFFF" w:themeColor="background1"/>
                <w:sz w:val="20"/>
                <w:szCs w:val="20"/>
                <w:highlight w:val="none"/>
                <w:vertAlign w:val="superscript"/>
                <w:lang w:bidi="ar"/>
                <w14:textFill>
                  <w14:solidFill>
                    <w14:schemeClr w14:val="bg1"/>
                  </w14:solidFill>
                </w14:textFill>
              </w:rPr>
              <w:t>a</w:t>
            </w:r>
          </w:p>
        </w:tc>
        <w:tc>
          <w:tcPr>
            <w:tcW w:w="1420" w:type="dxa"/>
            <w:vMerge w:val="restart"/>
            <w:tcBorders>
              <w:top w:val="single" w:color="FFFFFF" w:sz="8" w:space="0"/>
              <w:left w:val="nil"/>
              <w:bottom w:val="single" w:color="FFFFFF" w:sz="8" w:space="0"/>
              <w:right w:val="single" w:color="FFFFFF" w:sz="8" w:space="0"/>
            </w:tcBorders>
            <w:shd w:val="clear" w:color="auto" w:fill="2F5496"/>
          </w:tcPr>
          <w:p w14:paraId="05B25609">
            <w:pPr>
              <w:widowControl/>
              <w:jc w:val="center"/>
              <w:textAlignment w:val="top"/>
              <w:rPr>
                <w:rFonts w:hint="default" w:ascii="Times New Roman" w:hAnsi="Times New Roman" w:eastAsia="Arial Narrow" w:cs="Times New Roman"/>
                <w:b/>
                <w:bCs/>
                <w:color w:val="FFFFFF"/>
                <w:sz w:val="20"/>
                <w:szCs w:val="20"/>
                <w:highlight w:val="none"/>
              </w:rPr>
            </w:pPr>
            <w:r>
              <w:rPr>
                <w:rFonts w:hint="default" w:ascii="Times New Roman" w:hAnsi="Times New Roman" w:eastAsia="Arial Narrow" w:cs="Times New Roman"/>
                <w:b/>
                <w:bCs/>
                <w:color w:val="FFFFFF"/>
                <w:kern w:val="0"/>
                <w:sz w:val="20"/>
                <w:szCs w:val="20"/>
                <w:highlight w:val="none"/>
                <w:lang w:bidi="ar"/>
              </w:rPr>
              <w:t>Inconsistency</w:t>
            </w:r>
          </w:p>
        </w:tc>
        <w:tc>
          <w:tcPr>
            <w:tcW w:w="1262" w:type="dxa"/>
            <w:vMerge w:val="restart"/>
            <w:tcBorders>
              <w:top w:val="single" w:color="FFFFFF" w:sz="8" w:space="0"/>
              <w:left w:val="nil"/>
              <w:bottom w:val="single" w:color="FFFFFF" w:sz="8" w:space="0"/>
              <w:right w:val="single" w:color="FFFFFF" w:sz="8" w:space="0"/>
            </w:tcBorders>
            <w:shd w:val="clear" w:color="auto" w:fill="2F5496"/>
          </w:tcPr>
          <w:p w14:paraId="1F2B0E2C">
            <w:pPr>
              <w:widowControl/>
              <w:jc w:val="center"/>
              <w:textAlignment w:val="top"/>
              <w:rPr>
                <w:rFonts w:hint="default" w:ascii="Times New Roman" w:hAnsi="Times New Roman" w:eastAsia="Arial Narrow" w:cs="Times New Roman"/>
                <w:b/>
                <w:bCs/>
                <w:color w:val="FFFFFF"/>
                <w:sz w:val="20"/>
                <w:szCs w:val="20"/>
                <w:highlight w:val="none"/>
              </w:rPr>
            </w:pPr>
            <w:r>
              <w:rPr>
                <w:rFonts w:hint="default" w:ascii="Times New Roman" w:hAnsi="Times New Roman" w:eastAsia="Arial Narrow" w:cs="Times New Roman"/>
                <w:b/>
                <w:bCs/>
                <w:color w:val="FFFFFF"/>
                <w:kern w:val="0"/>
                <w:sz w:val="20"/>
                <w:szCs w:val="20"/>
                <w:highlight w:val="none"/>
                <w:lang w:bidi="ar"/>
              </w:rPr>
              <w:t>Indirectness</w:t>
            </w:r>
          </w:p>
        </w:tc>
        <w:tc>
          <w:tcPr>
            <w:tcW w:w="1247" w:type="dxa"/>
            <w:vMerge w:val="restart"/>
            <w:tcBorders>
              <w:top w:val="single" w:color="FFFFFF" w:sz="8" w:space="0"/>
              <w:left w:val="nil"/>
              <w:bottom w:val="single" w:color="FFFFFF" w:sz="8" w:space="0"/>
              <w:right w:val="single" w:color="FFFFFF" w:sz="8" w:space="0"/>
            </w:tcBorders>
            <w:shd w:val="clear" w:color="auto" w:fill="2F5496"/>
          </w:tcPr>
          <w:p w14:paraId="675D69B0">
            <w:pPr>
              <w:widowControl/>
              <w:jc w:val="center"/>
              <w:textAlignment w:val="top"/>
              <w:rPr>
                <w:rFonts w:hint="default" w:ascii="Times New Roman" w:hAnsi="Times New Roman" w:eastAsia="Arial Narrow" w:cs="Times New Roman"/>
                <w:b/>
                <w:bCs/>
                <w:color w:val="FFFFFF"/>
                <w:sz w:val="20"/>
                <w:szCs w:val="20"/>
                <w:highlight w:val="none"/>
              </w:rPr>
            </w:pPr>
            <w:r>
              <w:rPr>
                <w:rFonts w:hint="default" w:ascii="Times New Roman" w:hAnsi="Times New Roman" w:eastAsia="Arial Narrow" w:cs="Times New Roman"/>
                <w:b/>
                <w:bCs/>
                <w:color w:val="FFFFFF"/>
                <w:kern w:val="0"/>
                <w:sz w:val="20"/>
                <w:szCs w:val="20"/>
                <w:highlight w:val="none"/>
                <w:lang w:bidi="ar"/>
              </w:rPr>
              <w:t>Imprecision</w:t>
            </w:r>
          </w:p>
        </w:tc>
        <w:tc>
          <w:tcPr>
            <w:tcW w:w="1224" w:type="dxa"/>
            <w:vMerge w:val="restart"/>
            <w:tcBorders>
              <w:top w:val="single" w:color="FFFFFF" w:sz="8" w:space="0"/>
              <w:left w:val="nil"/>
              <w:bottom w:val="single" w:color="FFFFFF" w:sz="8" w:space="0"/>
              <w:right w:val="single" w:color="FFFFFF" w:sz="8" w:space="0"/>
            </w:tcBorders>
            <w:shd w:val="clear" w:color="auto" w:fill="2F5496"/>
          </w:tcPr>
          <w:p w14:paraId="0D72F6F4">
            <w:pPr>
              <w:widowControl/>
              <w:jc w:val="center"/>
              <w:textAlignment w:val="top"/>
              <w:rPr>
                <w:rFonts w:hint="default" w:ascii="Times New Roman" w:hAnsi="Times New Roman" w:eastAsia="Arial Narrow" w:cs="Times New Roman"/>
                <w:b/>
                <w:bCs/>
                <w:color w:val="FFFFFF"/>
                <w:sz w:val="20"/>
                <w:szCs w:val="20"/>
                <w:highlight w:val="none"/>
              </w:rPr>
            </w:pPr>
            <w:r>
              <w:rPr>
                <w:rFonts w:hint="default" w:ascii="Times New Roman" w:hAnsi="Times New Roman" w:eastAsia="Arial Narrow" w:cs="Times New Roman"/>
                <w:b/>
                <w:bCs/>
                <w:color w:val="FFFFFF"/>
                <w:kern w:val="0"/>
                <w:sz w:val="20"/>
                <w:szCs w:val="20"/>
                <w:highlight w:val="none"/>
                <w:lang w:bidi="ar"/>
              </w:rPr>
              <w:t>Publication bias</w:t>
            </w:r>
          </w:p>
        </w:tc>
        <w:tc>
          <w:tcPr>
            <w:tcW w:w="1463" w:type="dxa"/>
            <w:vMerge w:val="restart"/>
            <w:tcBorders>
              <w:top w:val="single" w:color="FFFFFF" w:sz="8" w:space="0"/>
              <w:left w:val="nil"/>
              <w:right w:val="single" w:color="FFFFFF" w:sz="8" w:space="0"/>
            </w:tcBorders>
            <w:shd w:val="clear" w:color="auto" w:fill="2F5496"/>
          </w:tcPr>
          <w:p w14:paraId="08206914">
            <w:pPr>
              <w:jc w:val="center"/>
              <w:rPr>
                <w:rFonts w:hint="default" w:ascii="Times New Roman" w:hAnsi="Times New Roman" w:eastAsia="Arial Narrow" w:cs="Times New Roman"/>
                <w:b/>
                <w:bCs/>
                <w:color w:val="FFFFFF"/>
                <w:sz w:val="20"/>
                <w:szCs w:val="20"/>
                <w:highlight w:val="none"/>
              </w:rPr>
            </w:pPr>
            <w:r>
              <w:rPr>
                <w:rFonts w:hint="default" w:ascii="Times New Roman" w:hAnsi="Times New Roman" w:eastAsia="Arial Narrow" w:cs="Times New Roman"/>
                <w:b/>
                <w:bCs/>
                <w:color w:val="FFFFFF"/>
                <w:kern w:val="0"/>
                <w:sz w:val="20"/>
                <w:szCs w:val="20"/>
                <w:highlight w:val="none"/>
                <w:lang w:bidi="ar"/>
              </w:rPr>
              <w:t>Other considerations</w:t>
            </w:r>
          </w:p>
        </w:tc>
        <w:tc>
          <w:tcPr>
            <w:tcW w:w="946" w:type="dxa"/>
            <w:vMerge w:val="continue"/>
            <w:tcBorders>
              <w:top w:val="single" w:color="FFFFFF" w:sz="8" w:space="0"/>
              <w:left w:val="nil"/>
              <w:bottom w:val="nil"/>
              <w:right w:val="single" w:color="FFFFFF" w:sz="8" w:space="0"/>
            </w:tcBorders>
            <w:shd w:val="clear" w:color="auto" w:fill="2F5496"/>
          </w:tcPr>
          <w:p w14:paraId="0CD74D48">
            <w:pPr>
              <w:jc w:val="center"/>
              <w:rPr>
                <w:rFonts w:hint="default" w:ascii="Times New Roman" w:hAnsi="Times New Roman" w:eastAsia="Arial Narrow" w:cs="Times New Roman"/>
                <w:b/>
                <w:bCs/>
                <w:color w:val="FFFFFF"/>
                <w:sz w:val="20"/>
                <w:szCs w:val="20"/>
                <w:highlight w:val="none"/>
              </w:rPr>
            </w:pPr>
          </w:p>
        </w:tc>
        <w:tc>
          <w:tcPr>
            <w:tcW w:w="1362" w:type="dxa"/>
            <w:tcBorders>
              <w:top w:val="single" w:color="FFFFFF" w:sz="8" w:space="0"/>
              <w:left w:val="nil"/>
              <w:bottom w:val="nil"/>
              <w:right w:val="single" w:color="FFFFFF" w:sz="8" w:space="0"/>
            </w:tcBorders>
            <w:shd w:val="clear" w:color="auto" w:fill="2F5496"/>
          </w:tcPr>
          <w:p w14:paraId="6531BDB5">
            <w:pPr>
              <w:widowControl/>
              <w:jc w:val="center"/>
              <w:textAlignment w:val="top"/>
              <w:rPr>
                <w:rFonts w:hint="default" w:ascii="Times New Roman" w:hAnsi="Times New Roman" w:eastAsia="Arial Narrow" w:cs="Times New Roman"/>
                <w:b/>
                <w:bCs/>
                <w:color w:val="FFFFFF"/>
                <w:sz w:val="20"/>
                <w:szCs w:val="20"/>
                <w:highlight w:val="none"/>
              </w:rPr>
            </w:pPr>
            <w:r>
              <w:rPr>
                <w:rFonts w:hint="default" w:ascii="Times New Roman" w:hAnsi="Times New Roman" w:eastAsia="Arial Narrow" w:cs="Times New Roman"/>
                <w:b/>
                <w:bCs/>
                <w:color w:val="FFFFFF"/>
                <w:kern w:val="0"/>
                <w:sz w:val="20"/>
                <w:szCs w:val="20"/>
                <w:highlight w:val="none"/>
                <w:lang w:bidi="ar"/>
              </w:rPr>
              <w:t>Relative</w:t>
            </w:r>
          </w:p>
        </w:tc>
        <w:tc>
          <w:tcPr>
            <w:tcW w:w="1539" w:type="dxa"/>
            <w:tcBorders>
              <w:top w:val="single" w:color="FFFFFF" w:sz="8" w:space="0"/>
              <w:left w:val="nil"/>
              <w:bottom w:val="nil"/>
              <w:right w:val="single" w:color="FFFFFF" w:sz="8" w:space="0"/>
            </w:tcBorders>
            <w:shd w:val="clear" w:color="auto" w:fill="2F5496"/>
          </w:tcPr>
          <w:p w14:paraId="5641455D">
            <w:pPr>
              <w:widowControl/>
              <w:jc w:val="center"/>
              <w:textAlignment w:val="top"/>
              <w:rPr>
                <w:rFonts w:hint="default" w:ascii="Times New Roman" w:hAnsi="Times New Roman" w:eastAsia="Arial Narrow" w:cs="Times New Roman"/>
                <w:b/>
                <w:bCs/>
                <w:color w:val="FFFFFF"/>
                <w:sz w:val="20"/>
                <w:szCs w:val="20"/>
                <w:highlight w:val="none"/>
              </w:rPr>
            </w:pPr>
            <w:r>
              <w:rPr>
                <w:rFonts w:hint="default" w:ascii="Times New Roman" w:hAnsi="Times New Roman" w:eastAsia="Arial Narrow" w:cs="Times New Roman"/>
                <w:b/>
                <w:bCs/>
                <w:color w:val="FFFFFF"/>
                <w:kern w:val="0"/>
                <w:sz w:val="20"/>
                <w:szCs w:val="20"/>
                <w:highlight w:val="none"/>
                <w:lang w:bidi="ar"/>
              </w:rPr>
              <w:t>Absolute</w:t>
            </w:r>
          </w:p>
        </w:tc>
        <w:tc>
          <w:tcPr>
            <w:tcW w:w="1135" w:type="dxa"/>
            <w:vMerge w:val="continue"/>
            <w:tcBorders>
              <w:top w:val="single" w:color="FFFFFF" w:sz="8" w:space="0"/>
              <w:left w:val="nil"/>
              <w:bottom w:val="single" w:color="FFFFFF" w:sz="8" w:space="0"/>
              <w:right w:val="single" w:color="FFFFFF" w:sz="8" w:space="0"/>
            </w:tcBorders>
            <w:shd w:val="clear" w:color="auto" w:fill="2F5496"/>
          </w:tcPr>
          <w:p w14:paraId="20F38E5E">
            <w:pPr>
              <w:jc w:val="center"/>
              <w:rPr>
                <w:rFonts w:hint="default" w:ascii="Times New Roman" w:hAnsi="Times New Roman" w:eastAsia="Arial Narrow" w:cs="Times New Roman"/>
                <w:color w:val="FFFFFF"/>
                <w:sz w:val="20"/>
                <w:szCs w:val="20"/>
                <w:highlight w:val="none"/>
              </w:rPr>
            </w:pPr>
          </w:p>
        </w:tc>
      </w:tr>
      <w:tr w14:paraId="5358F503">
        <w:tblPrEx>
          <w:tblCellMar>
            <w:top w:w="0" w:type="dxa"/>
            <w:left w:w="108" w:type="dxa"/>
            <w:bottom w:w="0" w:type="dxa"/>
            <w:right w:w="108" w:type="dxa"/>
          </w:tblCellMar>
        </w:tblPrEx>
        <w:trPr>
          <w:trHeight w:val="90" w:hRule="atLeast"/>
        </w:trPr>
        <w:tc>
          <w:tcPr>
            <w:tcW w:w="1886" w:type="dxa"/>
            <w:vMerge w:val="continue"/>
            <w:tcBorders>
              <w:top w:val="nil"/>
              <w:left w:val="single" w:color="FFFFFF" w:sz="8" w:space="0"/>
              <w:bottom w:val="single" w:color="auto" w:sz="4" w:space="0"/>
              <w:right w:val="single" w:color="FFFFFF" w:sz="8" w:space="0"/>
            </w:tcBorders>
            <w:shd w:val="clear" w:color="auto" w:fill="2F5496"/>
          </w:tcPr>
          <w:p w14:paraId="744FE477">
            <w:pPr>
              <w:jc w:val="center"/>
              <w:rPr>
                <w:rFonts w:hint="default" w:ascii="Times New Roman" w:hAnsi="Times New Roman" w:eastAsia="Arial Narrow" w:cs="Times New Roman"/>
                <w:color w:val="FFFFFF"/>
                <w:sz w:val="20"/>
                <w:szCs w:val="20"/>
                <w:highlight w:val="none"/>
              </w:rPr>
            </w:pPr>
          </w:p>
        </w:tc>
        <w:tc>
          <w:tcPr>
            <w:tcW w:w="850" w:type="dxa"/>
            <w:vMerge w:val="continue"/>
            <w:tcBorders>
              <w:top w:val="single" w:color="FFFFFF" w:sz="8" w:space="0"/>
              <w:left w:val="nil"/>
              <w:bottom w:val="single" w:color="auto" w:sz="4" w:space="0"/>
              <w:right w:val="single" w:color="FFFFFF" w:sz="8" w:space="0"/>
            </w:tcBorders>
            <w:shd w:val="clear" w:color="auto" w:fill="2F5496"/>
          </w:tcPr>
          <w:p w14:paraId="7FFC3FDF">
            <w:pPr>
              <w:jc w:val="center"/>
              <w:rPr>
                <w:rFonts w:hint="default" w:ascii="Times New Roman" w:hAnsi="Times New Roman" w:eastAsia="Arial Narrow" w:cs="Times New Roman"/>
                <w:color w:val="FFFFFF"/>
                <w:sz w:val="20"/>
                <w:szCs w:val="20"/>
                <w:highlight w:val="none"/>
              </w:rPr>
            </w:pPr>
          </w:p>
        </w:tc>
        <w:tc>
          <w:tcPr>
            <w:tcW w:w="1346" w:type="dxa"/>
            <w:vMerge w:val="continue"/>
            <w:tcBorders>
              <w:top w:val="nil"/>
              <w:left w:val="nil"/>
              <w:bottom w:val="single" w:color="auto" w:sz="4" w:space="0"/>
              <w:right w:val="single" w:color="FFFFFF" w:sz="8" w:space="0"/>
            </w:tcBorders>
            <w:shd w:val="clear" w:color="auto" w:fill="2F5496"/>
          </w:tcPr>
          <w:p w14:paraId="1EC151F1">
            <w:pPr>
              <w:jc w:val="center"/>
              <w:rPr>
                <w:rFonts w:hint="default" w:ascii="Times New Roman" w:hAnsi="Times New Roman" w:eastAsia="Arial Narrow" w:cs="Times New Roman"/>
                <w:color w:val="FFFFFF"/>
                <w:sz w:val="20"/>
                <w:szCs w:val="20"/>
                <w:highlight w:val="none"/>
              </w:rPr>
            </w:pPr>
          </w:p>
        </w:tc>
        <w:tc>
          <w:tcPr>
            <w:tcW w:w="938" w:type="dxa"/>
            <w:vMerge w:val="continue"/>
            <w:tcBorders>
              <w:top w:val="nil"/>
              <w:left w:val="nil"/>
              <w:bottom w:val="single" w:color="auto" w:sz="4" w:space="0"/>
              <w:right w:val="single" w:color="FFFFFF" w:sz="8" w:space="0"/>
            </w:tcBorders>
            <w:shd w:val="clear" w:color="auto" w:fill="2F5496"/>
          </w:tcPr>
          <w:p w14:paraId="70261287">
            <w:pPr>
              <w:jc w:val="center"/>
              <w:rPr>
                <w:rFonts w:hint="default" w:ascii="Times New Roman" w:hAnsi="Times New Roman" w:eastAsia="Arial Narrow" w:cs="Times New Roman"/>
                <w:color w:val="FFFFFF"/>
                <w:sz w:val="20"/>
                <w:szCs w:val="20"/>
                <w:highlight w:val="none"/>
              </w:rPr>
            </w:pPr>
          </w:p>
        </w:tc>
        <w:tc>
          <w:tcPr>
            <w:tcW w:w="1420" w:type="dxa"/>
            <w:vMerge w:val="continue"/>
            <w:tcBorders>
              <w:top w:val="single" w:color="FFFFFF" w:sz="8" w:space="0"/>
              <w:left w:val="nil"/>
              <w:bottom w:val="single" w:color="auto" w:sz="4" w:space="0"/>
              <w:right w:val="single" w:color="FFFFFF" w:sz="8" w:space="0"/>
            </w:tcBorders>
            <w:shd w:val="clear" w:color="auto" w:fill="2F5496"/>
          </w:tcPr>
          <w:p w14:paraId="34B393D0">
            <w:pPr>
              <w:jc w:val="center"/>
              <w:rPr>
                <w:rFonts w:hint="default" w:ascii="Times New Roman" w:hAnsi="Times New Roman" w:eastAsia="Arial Narrow" w:cs="Times New Roman"/>
                <w:color w:val="FFFFFF"/>
                <w:sz w:val="20"/>
                <w:szCs w:val="20"/>
                <w:highlight w:val="none"/>
              </w:rPr>
            </w:pPr>
          </w:p>
        </w:tc>
        <w:tc>
          <w:tcPr>
            <w:tcW w:w="1262" w:type="dxa"/>
            <w:vMerge w:val="continue"/>
            <w:tcBorders>
              <w:top w:val="single" w:color="FFFFFF" w:sz="8" w:space="0"/>
              <w:left w:val="nil"/>
              <w:bottom w:val="single" w:color="auto" w:sz="4" w:space="0"/>
              <w:right w:val="single" w:color="FFFFFF" w:sz="8" w:space="0"/>
            </w:tcBorders>
            <w:shd w:val="clear" w:color="auto" w:fill="2F5496"/>
          </w:tcPr>
          <w:p w14:paraId="358C7EA8">
            <w:pPr>
              <w:jc w:val="center"/>
              <w:rPr>
                <w:rFonts w:hint="default" w:ascii="Times New Roman" w:hAnsi="Times New Roman" w:eastAsia="Arial Narrow" w:cs="Times New Roman"/>
                <w:color w:val="FFFFFF"/>
                <w:sz w:val="20"/>
                <w:szCs w:val="20"/>
                <w:highlight w:val="none"/>
              </w:rPr>
            </w:pPr>
          </w:p>
        </w:tc>
        <w:tc>
          <w:tcPr>
            <w:tcW w:w="1247" w:type="dxa"/>
            <w:vMerge w:val="continue"/>
            <w:tcBorders>
              <w:top w:val="single" w:color="FFFFFF" w:sz="8" w:space="0"/>
              <w:left w:val="nil"/>
              <w:bottom w:val="single" w:color="auto" w:sz="4" w:space="0"/>
              <w:right w:val="single" w:color="FFFFFF" w:sz="8" w:space="0"/>
            </w:tcBorders>
            <w:shd w:val="clear" w:color="auto" w:fill="2F5496"/>
          </w:tcPr>
          <w:p w14:paraId="4E9DAE43">
            <w:pPr>
              <w:jc w:val="center"/>
              <w:rPr>
                <w:rFonts w:hint="default" w:ascii="Times New Roman" w:hAnsi="Times New Roman" w:eastAsia="Arial Narrow" w:cs="Times New Roman"/>
                <w:color w:val="FFFFFF"/>
                <w:sz w:val="20"/>
                <w:szCs w:val="20"/>
                <w:highlight w:val="none"/>
              </w:rPr>
            </w:pPr>
          </w:p>
        </w:tc>
        <w:tc>
          <w:tcPr>
            <w:tcW w:w="1224" w:type="dxa"/>
            <w:vMerge w:val="continue"/>
            <w:tcBorders>
              <w:top w:val="single" w:color="FFFFFF" w:sz="8" w:space="0"/>
              <w:left w:val="nil"/>
              <w:bottom w:val="single" w:color="auto" w:sz="4" w:space="0"/>
              <w:right w:val="single" w:color="FFFFFF" w:sz="8" w:space="0"/>
            </w:tcBorders>
            <w:shd w:val="clear" w:color="auto" w:fill="2F5496"/>
          </w:tcPr>
          <w:p w14:paraId="4445B13A">
            <w:pPr>
              <w:jc w:val="center"/>
              <w:rPr>
                <w:rFonts w:hint="default" w:ascii="Times New Roman" w:hAnsi="Times New Roman" w:eastAsia="Arial Narrow" w:cs="Times New Roman"/>
                <w:color w:val="FFFFFF"/>
                <w:sz w:val="20"/>
                <w:szCs w:val="20"/>
                <w:highlight w:val="none"/>
              </w:rPr>
            </w:pPr>
          </w:p>
        </w:tc>
        <w:tc>
          <w:tcPr>
            <w:tcW w:w="1463" w:type="dxa"/>
            <w:vMerge w:val="continue"/>
            <w:tcBorders>
              <w:left w:val="nil"/>
              <w:bottom w:val="single" w:color="auto" w:sz="4" w:space="0"/>
              <w:right w:val="single" w:color="FFFFFF" w:sz="8" w:space="0"/>
            </w:tcBorders>
            <w:shd w:val="clear" w:color="auto" w:fill="2F5496"/>
          </w:tcPr>
          <w:p w14:paraId="622A094F">
            <w:pPr>
              <w:jc w:val="center"/>
              <w:rPr>
                <w:rFonts w:hint="default" w:ascii="Times New Roman" w:hAnsi="Times New Roman" w:eastAsia="Arial Narrow" w:cs="Times New Roman"/>
                <w:color w:val="FFFFFF"/>
                <w:sz w:val="20"/>
                <w:szCs w:val="20"/>
                <w:highlight w:val="none"/>
              </w:rPr>
            </w:pPr>
          </w:p>
        </w:tc>
        <w:tc>
          <w:tcPr>
            <w:tcW w:w="946" w:type="dxa"/>
            <w:vMerge w:val="continue"/>
            <w:tcBorders>
              <w:top w:val="single" w:color="FFFFFF" w:sz="8" w:space="0"/>
              <w:left w:val="nil"/>
              <w:bottom w:val="single" w:color="auto" w:sz="4" w:space="0"/>
              <w:right w:val="single" w:color="FFFFFF" w:sz="8" w:space="0"/>
            </w:tcBorders>
            <w:shd w:val="clear" w:color="auto" w:fill="2F5496"/>
          </w:tcPr>
          <w:p w14:paraId="3E032975">
            <w:pPr>
              <w:jc w:val="center"/>
              <w:rPr>
                <w:rFonts w:hint="default" w:ascii="Times New Roman" w:hAnsi="Times New Roman" w:eastAsia="Arial Narrow" w:cs="Times New Roman"/>
                <w:color w:val="FFFFFF"/>
                <w:sz w:val="20"/>
                <w:szCs w:val="20"/>
                <w:highlight w:val="none"/>
              </w:rPr>
            </w:pPr>
          </w:p>
        </w:tc>
        <w:tc>
          <w:tcPr>
            <w:tcW w:w="1362" w:type="dxa"/>
            <w:tcBorders>
              <w:top w:val="nil"/>
              <w:left w:val="nil"/>
              <w:bottom w:val="single" w:color="auto" w:sz="4" w:space="0"/>
              <w:right w:val="single" w:color="FFFFFF" w:sz="8" w:space="0"/>
            </w:tcBorders>
            <w:shd w:val="clear" w:color="auto" w:fill="2F5496"/>
          </w:tcPr>
          <w:p w14:paraId="4BA26C54">
            <w:pPr>
              <w:widowControl/>
              <w:jc w:val="center"/>
              <w:textAlignment w:val="top"/>
              <w:rPr>
                <w:rFonts w:hint="default" w:ascii="Times New Roman" w:hAnsi="Times New Roman" w:eastAsia="Arial Narrow" w:cs="Times New Roman"/>
                <w:b/>
                <w:bCs/>
                <w:color w:val="FFFFFF"/>
                <w:sz w:val="20"/>
                <w:szCs w:val="20"/>
                <w:highlight w:val="none"/>
              </w:rPr>
            </w:pPr>
            <w:r>
              <w:rPr>
                <w:rFonts w:hint="default" w:ascii="Times New Roman" w:hAnsi="Times New Roman" w:eastAsia="Arial Narrow" w:cs="Times New Roman"/>
                <w:b/>
                <w:bCs/>
                <w:color w:val="FFFFFF"/>
                <w:kern w:val="0"/>
                <w:sz w:val="20"/>
                <w:szCs w:val="20"/>
                <w:highlight w:val="none"/>
                <w:lang w:bidi="ar"/>
              </w:rPr>
              <w:t>(95% CI)</w:t>
            </w:r>
          </w:p>
        </w:tc>
        <w:tc>
          <w:tcPr>
            <w:tcW w:w="1539" w:type="dxa"/>
            <w:tcBorders>
              <w:top w:val="nil"/>
              <w:left w:val="nil"/>
              <w:bottom w:val="single" w:color="auto" w:sz="4" w:space="0"/>
              <w:right w:val="single" w:color="FFFFFF" w:sz="8" w:space="0"/>
            </w:tcBorders>
            <w:shd w:val="clear" w:color="auto" w:fill="2F5496"/>
          </w:tcPr>
          <w:p w14:paraId="0FDF1F75">
            <w:pPr>
              <w:widowControl/>
              <w:jc w:val="center"/>
              <w:textAlignment w:val="top"/>
              <w:rPr>
                <w:rFonts w:hint="default" w:ascii="Times New Roman" w:hAnsi="Times New Roman" w:eastAsia="Arial Narrow" w:cs="Times New Roman"/>
                <w:b/>
                <w:bCs/>
                <w:color w:val="FFFFFF"/>
                <w:sz w:val="20"/>
                <w:szCs w:val="20"/>
                <w:highlight w:val="none"/>
              </w:rPr>
            </w:pPr>
            <w:r>
              <w:rPr>
                <w:rFonts w:hint="default" w:ascii="Times New Roman" w:hAnsi="Times New Roman" w:eastAsia="Arial Narrow" w:cs="Times New Roman"/>
                <w:b/>
                <w:bCs/>
                <w:color w:val="FFFFFF"/>
                <w:kern w:val="0"/>
                <w:sz w:val="20"/>
                <w:szCs w:val="20"/>
                <w:highlight w:val="none"/>
                <w:lang w:bidi="ar"/>
              </w:rPr>
              <w:t>(95% CI)</w:t>
            </w:r>
          </w:p>
        </w:tc>
        <w:tc>
          <w:tcPr>
            <w:tcW w:w="1135" w:type="dxa"/>
            <w:vMerge w:val="continue"/>
            <w:tcBorders>
              <w:top w:val="single" w:color="FFFFFF" w:sz="8" w:space="0"/>
              <w:left w:val="nil"/>
              <w:bottom w:val="single" w:color="auto" w:sz="4" w:space="0"/>
              <w:right w:val="single" w:color="FFFFFF" w:sz="8" w:space="0"/>
            </w:tcBorders>
            <w:shd w:val="clear" w:color="auto" w:fill="2F5496"/>
          </w:tcPr>
          <w:p w14:paraId="68DA4DB1">
            <w:pPr>
              <w:jc w:val="center"/>
              <w:rPr>
                <w:rFonts w:hint="default" w:ascii="Times New Roman" w:hAnsi="Times New Roman" w:eastAsia="Arial Narrow" w:cs="Times New Roman"/>
                <w:color w:val="FFFFFF"/>
                <w:sz w:val="20"/>
                <w:szCs w:val="20"/>
                <w:highlight w:val="none"/>
              </w:rPr>
            </w:pPr>
          </w:p>
        </w:tc>
      </w:tr>
      <w:tr w14:paraId="438B31FB">
        <w:tblPrEx>
          <w:tblCellMar>
            <w:top w:w="0" w:type="dxa"/>
            <w:left w:w="108" w:type="dxa"/>
            <w:bottom w:w="0" w:type="dxa"/>
            <w:right w:w="108" w:type="dxa"/>
          </w:tblCellMar>
        </w:tblPrEx>
        <w:trPr>
          <w:trHeight w:val="1025" w:hRule="atLeast"/>
        </w:trPr>
        <w:tc>
          <w:tcPr>
            <w:tcW w:w="1886" w:type="dxa"/>
            <w:tcBorders>
              <w:top w:val="single" w:color="auto" w:sz="4" w:space="0"/>
              <w:left w:val="single" w:color="auto" w:sz="4" w:space="0"/>
              <w:bottom w:val="single" w:color="auto" w:sz="4" w:space="0"/>
              <w:right w:val="single" w:color="auto" w:sz="4" w:space="0"/>
            </w:tcBorders>
            <w:shd w:val="clear" w:color="auto" w:fill="auto"/>
          </w:tcPr>
          <w:p w14:paraId="6D7560BF">
            <w:pPr>
              <w:widowControl/>
              <w:jc w:val="left"/>
              <w:textAlignment w:val="top"/>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 xml:space="preserve">CVD in T1DM </w:t>
            </w:r>
          </w:p>
        </w:tc>
        <w:tc>
          <w:tcPr>
            <w:tcW w:w="850" w:type="dxa"/>
            <w:tcBorders>
              <w:top w:val="single" w:color="auto" w:sz="4" w:space="0"/>
              <w:left w:val="single" w:color="auto" w:sz="4" w:space="0"/>
              <w:bottom w:val="single" w:color="auto" w:sz="4" w:space="0"/>
              <w:right w:val="single" w:color="auto" w:sz="4" w:space="0"/>
            </w:tcBorders>
            <w:shd w:val="clear" w:color="auto" w:fill="auto"/>
          </w:tcPr>
          <w:p w14:paraId="19768834">
            <w:pPr>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6</w:t>
            </w:r>
          </w:p>
        </w:tc>
        <w:tc>
          <w:tcPr>
            <w:tcW w:w="1346" w:type="dxa"/>
            <w:tcBorders>
              <w:top w:val="single" w:color="auto" w:sz="4" w:space="0"/>
              <w:left w:val="single" w:color="auto" w:sz="4" w:space="0"/>
              <w:bottom w:val="single" w:color="auto" w:sz="4" w:space="0"/>
              <w:right w:val="single" w:color="auto" w:sz="4" w:space="0"/>
            </w:tcBorders>
            <w:shd w:val="clear" w:color="auto" w:fill="auto"/>
          </w:tcPr>
          <w:p w14:paraId="032452D2">
            <w:pPr>
              <w:widowControl/>
              <w:jc w:val="center"/>
              <w:textAlignment w:val="top"/>
              <w:rPr>
                <w:rFonts w:hint="default" w:ascii="Times New Roman" w:hAnsi="Times New Roman" w:eastAsia="Arial Narrow" w:cs="Times New Roman"/>
                <w:sz w:val="20"/>
                <w:szCs w:val="20"/>
                <w:highlight w:val="none"/>
              </w:rPr>
            </w:pPr>
            <w:r>
              <w:rPr>
                <w:rFonts w:hint="default" w:ascii="Times New Roman" w:hAnsi="Times New Roman" w:eastAsia="Arial Narrow" w:cs="Times New Roman"/>
                <w:kern w:val="0"/>
                <w:sz w:val="20"/>
                <w:szCs w:val="20"/>
                <w:highlight w:val="none"/>
                <w:lang w:bidi="ar"/>
              </w:rPr>
              <w:t>observational studies</w:t>
            </w:r>
            <w:r>
              <w:rPr>
                <w:rStyle w:val="21"/>
                <w:rFonts w:hint="default" w:ascii="Times New Roman" w:hAnsi="Times New Roman" w:cs="Times New Roman"/>
                <w:color w:val="auto"/>
                <w:sz w:val="20"/>
                <w:szCs w:val="20"/>
                <w:highlight w:val="none"/>
                <w:lang w:bidi="ar"/>
              </w:rPr>
              <w:t>b</w:t>
            </w:r>
          </w:p>
        </w:tc>
        <w:tc>
          <w:tcPr>
            <w:tcW w:w="938" w:type="dxa"/>
            <w:tcBorders>
              <w:top w:val="single" w:color="auto" w:sz="4" w:space="0"/>
              <w:left w:val="single" w:color="auto" w:sz="4" w:space="0"/>
              <w:bottom w:val="single" w:color="auto" w:sz="4" w:space="0"/>
              <w:right w:val="single" w:color="auto" w:sz="4" w:space="0"/>
            </w:tcBorders>
            <w:shd w:val="clear" w:color="auto" w:fill="auto"/>
          </w:tcPr>
          <w:p w14:paraId="027E3613">
            <w:pPr>
              <w:widowControl/>
              <w:jc w:val="center"/>
              <w:textAlignment w:val="top"/>
              <w:rPr>
                <w:rFonts w:hint="default" w:ascii="Times New Roman" w:hAnsi="Times New Roman" w:eastAsia="Arial Narrow" w:cs="Times New Roman"/>
                <w:sz w:val="20"/>
                <w:szCs w:val="20"/>
                <w:highlight w:val="none"/>
              </w:rPr>
            </w:pPr>
            <w:r>
              <w:rPr>
                <w:rFonts w:hint="default" w:ascii="Times New Roman" w:hAnsi="Times New Roman" w:eastAsia="Arial Narrow" w:cs="Times New Roman"/>
                <w:sz w:val="20"/>
                <w:szCs w:val="20"/>
                <w:highlight w:val="none"/>
                <w:lang w:bidi="ar"/>
              </w:rPr>
              <w:t>not serious</w:t>
            </w:r>
          </w:p>
        </w:tc>
        <w:tc>
          <w:tcPr>
            <w:tcW w:w="1420" w:type="dxa"/>
            <w:tcBorders>
              <w:top w:val="single" w:color="auto" w:sz="4" w:space="0"/>
              <w:left w:val="single" w:color="auto" w:sz="4" w:space="0"/>
              <w:bottom w:val="single" w:color="auto" w:sz="4" w:space="0"/>
              <w:right w:val="single" w:color="auto" w:sz="4" w:space="0"/>
            </w:tcBorders>
            <w:shd w:val="clear" w:color="auto" w:fill="auto"/>
          </w:tcPr>
          <w:p w14:paraId="2D7C065E">
            <w:pPr>
              <w:widowControl/>
              <w:jc w:val="center"/>
              <w:textAlignment w:val="top"/>
              <w:rPr>
                <w:rFonts w:hint="default" w:ascii="Times New Roman" w:hAnsi="Times New Roman" w:eastAsia="Arial Narrow" w:cs="Times New Roman"/>
                <w:sz w:val="20"/>
                <w:szCs w:val="20"/>
                <w:highlight w:val="none"/>
                <w:vertAlign w:val="superscript"/>
                <w:lang w:bidi="ar"/>
              </w:rPr>
            </w:pPr>
            <w:r>
              <w:rPr>
                <w:rFonts w:hint="default" w:ascii="Times New Roman" w:hAnsi="Times New Roman" w:eastAsia="Arial Narrow" w:cs="Times New Roman"/>
                <w:sz w:val="20"/>
                <w:szCs w:val="20"/>
                <w:highlight w:val="none"/>
                <w:lang w:bidi="ar"/>
              </w:rPr>
              <w:t>serious</w:t>
            </w:r>
            <w:r>
              <w:rPr>
                <w:rFonts w:hint="default" w:ascii="Times New Roman" w:hAnsi="Times New Roman" w:eastAsia="Arial Narrow" w:cs="Times New Roman"/>
                <w:sz w:val="20"/>
                <w:szCs w:val="20"/>
                <w:highlight w:val="none"/>
                <w:vertAlign w:val="superscript"/>
                <w:lang w:bidi="ar"/>
              </w:rPr>
              <w:t>c</w:t>
            </w:r>
          </w:p>
          <w:p w14:paraId="42AEC217">
            <w:pPr>
              <w:widowControl/>
              <w:jc w:val="center"/>
              <w:textAlignment w:val="top"/>
              <w:rPr>
                <w:rFonts w:hint="default" w:ascii="Times New Roman" w:hAnsi="Times New Roman" w:eastAsia="Arial Narrow" w:cs="Times New Roman"/>
                <w:sz w:val="20"/>
                <w:szCs w:val="20"/>
                <w:highlight w:val="none"/>
                <w:vertAlign w:val="superscript"/>
                <w:lang w:bidi="ar"/>
              </w:rPr>
            </w:pPr>
          </w:p>
        </w:tc>
        <w:tc>
          <w:tcPr>
            <w:tcW w:w="1262" w:type="dxa"/>
            <w:tcBorders>
              <w:top w:val="single" w:color="auto" w:sz="4" w:space="0"/>
              <w:left w:val="single" w:color="auto" w:sz="4" w:space="0"/>
              <w:bottom w:val="single" w:color="auto" w:sz="4" w:space="0"/>
              <w:right w:val="single" w:color="auto" w:sz="4" w:space="0"/>
            </w:tcBorders>
            <w:shd w:val="clear" w:color="auto" w:fill="auto"/>
          </w:tcPr>
          <w:p w14:paraId="00B6C008">
            <w:pPr>
              <w:widowControl/>
              <w:jc w:val="center"/>
              <w:textAlignment w:val="top"/>
              <w:rPr>
                <w:rFonts w:hint="default" w:ascii="Times New Roman" w:hAnsi="Times New Roman" w:eastAsia="Arial Narrow" w:cs="Times New Roman"/>
                <w:sz w:val="20"/>
                <w:szCs w:val="20"/>
                <w:highlight w:val="none"/>
              </w:rPr>
            </w:pPr>
            <w:r>
              <w:rPr>
                <w:rFonts w:hint="default" w:ascii="Times New Roman" w:hAnsi="Times New Roman" w:eastAsia="Arial Narrow" w:cs="Times New Roman"/>
                <w:sz w:val="20"/>
                <w:szCs w:val="20"/>
                <w:highlight w:val="none"/>
                <w:lang w:bidi="ar"/>
              </w:rPr>
              <w:t>not serious</w:t>
            </w:r>
          </w:p>
        </w:tc>
        <w:tc>
          <w:tcPr>
            <w:tcW w:w="1247" w:type="dxa"/>
            <w:tcBorders>
              <w:top w:val="single" w:color="auto" w:sz="4" w:space="0"/>
              <w:left w:val="single" w:color="auto" w:sz="4" w:space="0"/>
              <w:bottom w:val="single" w:color="auto" w:sz="4" w:space="0"/>
              <w:right w:val="single" w:color="auto" w:sz="4" w:space="0"/>
            </w:tcBorders>
            <w:shd w:val="clear" w:color="auto" w:fill="auto"/>
          </w:tcPr>
          <w:p w14:paraId="1106AF2E">
            <w:pPr>
              <w:jc w:val="center"/>
              <w:rPr>
                <w:rFonts w:hint="default" w:ascii="Times New Roman" w:hAnsi="Times New Roman" w:eastAsia="宋体" w:cs="Times New Roman"/>
                <w:sz w:val="20"/>
                <w:szCs w:val="20"/>
                <w:highlight w:val="none"/>
              </w:rPr>
            </w:pPr>
            <w:r>
              <w:rPr>
                <w:rFonts w:hint="default" w:ascii="Times New Roman" w:hAnsi="Times New Roman" w:eastAsia="Arial Narrow" w:cs="Times New Roman"/>
                <w:sz w:val="20"/>
                <w:szCs w:val="20"/>
                <w:highlight w:val="none"/>
                <w:lang w:bidi="ar"/>
              </w:rPr>
              <w:t>not serious</w:t>
            </w:r>
          </w:p>
        </w:tc>
        <w:tc>
          <w:tcPr>
            <w:tcW w:w="1224" w:type="dxa"/>
            <w:tcBorders>
              <w:top w:val="single" w:color="auto" w:sz="4" w:space="0"/>
              <w:left w:val="single" w:color="auto" w:sz="4" w:space="0"/>
              <w:bottom w:val="single" w:color="auto" w:sz="4" w:space="0"/>
              <w:right w:val="single" w:color="auto" w:sz="4" w:space="0"/>
            </w:tcBorders>
            <w:shd w:val="clear" w:color="auto" w:fill="auto"/>
          </w:tcPr>
          <w:p w14:paraId="07934768">
            <w:pPr>
              <w:widowControl/>
              <w:jc w:val="center"/>
              <w:textAlignment w:val="top"/>
              <w:rPr>
                <w:rFonts w:hint="default" w:ascii="Times New Roman" w:hAnsi="Times New Roman" w:eastAsia="Arial Narrow" w:cs="Times New Roman"/>
                <w:sz w:val="20"/>
                <w:szCs w:val="20"/>
                <w:highlight w:val="none"/>
              </w:rPr>
            </w:pPr>
            <w:r>
              <w:rPr>
                <w:rFonts w:hint="default" w:ascii="Times New Roman" w:hAnsi="Times New Roman" w:eastAsia="Arial Narrow" w:cs="Times New Roman"/>
                <w:sz w:val="20"/>
                <w:szCs w:val="20"/>
                <w:highlight w:val="none"/>
                <w:lang w:bidi="ar"/>
              </w:rPr>
              <w:t>undetected</w:t>
            </w:r>
          </w:p>
        </w:tc>
        <w:tc>
          <w:tcPr>
            <w:tcW w:w="1463" w:type="dxa"/>
            <w:tcBorders>
              <w:top w:val="single" w:color="auto" w:sz="4" w:space="0"/>
              <w:left w:val="single" w:color="auto" w:sz="4" w:space="0"/>
              <w:bottom w:val="single" w:color="auto" w:sz="4" w:space="0"/>
              <w:right w:val="single" w:color="auto" w:sz="4" w:space="0"/>
            </w:tcBorders>
            <w:shd w:val="clear" w:color="auto" w:fill="auto"/>
          </w:tcPr>
          <w:p w14:paraId="1871D671">
            <w:pPr>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none</w:t>
            </w:r>
          </w:p>
        </w:tc>
        <w:tc>
          <w:tcPr>
            <w:tcW w:w="946" w:type="dxa"/>
            <w:tcBorders>
              <w:top w:val="single" w:color="auto" w:sz="4" w:space="0"/>
              <w:left w:val="single" w:color="auto" w:sz="4" w:space="0"/>
              <w:bottom w:val="single" w:color="auto" w:sz="4" w:space="0"/>
              <w:right w:val="single" w:color="auto" w:sz="4" w:space="0"/>
            </w:tcBorders>
            <w:shd w:val="clear" w:color="auto" w:fill="auto"/>
          </w:tcPr>
          <w:p w14:paraId="41C738F1">
            <w:pPr>
              <w:jc w:val="center"/>
              <w:rPr>
                <w:rFonts w:hint="default" w:ascii="Times New Roman" w:hAnsi="Times New Roman" w:eastAsia="宋体" w:cs="Times New Roman"/>
                <w:color w:val="000000"/>
                <w:sz w:val="20"/>
                <w:szCs w:val="20"/>
                <w:highlight w:val="none"/>
              </w:rPr>
            </w:pPr>
            <w:r>
              <w:rPr>
                <w:rFonts w:hint="default" w:ascii="Times New Roman" w:hAnsi="Times New Roman" w:eastAsia="宋体" w:cs="Times New Roman"/>
                <w:color w:val="000000"/>
                <w:sz w:val="20"/>
                <w:szCs w:val="20"/>
                <w:highlight w:val="none"/>
              </w:rPr>
              <w:t>20,546</w:t>
            </w:r>
          </w:p>
        </w:tc>
        <w:tc>
          <w:tcPr>
            <w:tcW w:w="1362" w:type="dxa"/>
            <w:tcBorders>
              <w:top w:val="single" w:color="auto" w:sz="4" w:space="0"/>
              <w:left w:val="single" w:color="auto" w:sz="4" w:space="0"/>
              <w:bottom w:val="single" w:color="auto" w:sz="4" w:space="0"/>
              <w:right w:val="single" w:color="auto" w:sz="4" w:space="0"/>
            </w:tcBorders>
            <w:shd w:val="clear" w:color="auto" w:fill="auto"/>
          </w:tcPr>
          <w:p w14:paraId="7925BC6F">
            <w:pPr>
              <w:widowControl/>
              <w:jc w:val="left"/>
              <w:rPr>
                <w:rFonts w:hint="default" w:ascii="Times New Roman" w:hAnsi="Times New Roman" w:eastAsia="Arial Narrow" w:cs="Times New Roman"/>
                <w:color w:val="000000"/>
                <w:kern w:val="0"/>
                <w:sz w:val="20"/>
                <w:szCs w:val="20"/>
                <w:highlight w:val="none"/>
                <w:lang w:bidi="ar"/>
              </w:rPr>
            </w:pPr>
            <w:r>
              <w:rPr>
                <w:rFonts w:hint="default" w:ascii="Times New Roman" w:hAnsi="Times New Roman" w:eastAsia="宋体" w:cs="Times New Roman"/>
                <w:color w:val="000000"/>
                <w:kern w:val="0"/>
                <w:sz w:val="20"/>
                <w:szCs w:val="20"/>
                <w:highlight w:val="none"/>
                <w:lang w:bidi="ar"/>
              </w:rPr>
              <w:t>H</w:t>
            </w:r>
            <w:r>
              <w:rPr>
                <w:rFonts w:hint="default" w:ascii="Times New Roman" w:hAnsi="Times New Roman" w:eastAsia="Arial Narrow" w:cs="Times New Roman"/>
                <w:color w:val="000000"/>
                <w:kern w:val="0"/>
                <w:sz w:val="20"/>
                <w:szCs w:val="20"/>
                <w:highlight w:val="none"/>
                <w:lang w:bidi="ar"/>
              </w:rPr>
              <w:t>R 0.78</w:t>
            </w:r>
          </w:p>
          <w:p w14:paraId="09BD3AFC">
            <w:pPr>
              <w:widowControl/>
              <w:jc w:val="left"/>
              <w:rPr>
                <w:rFonts w:hint="default" w:ascii="Times New Roman" w:hAnsi="Times New Roman" w:eastAsia="Arial Narrow" w:cs="Times New Roman"/>
                <w:color w:val="000000"/>
                <w:kern w:val="0"/>
                <w:sz w:val="20"/>
                <w:szCs w:val="20"/>
                <w:highlight w:val="none"/>
                <w:lang w:bidi="ar"/>
              </w:rPr>
            </w:pPr>
            <w:r>
              <w:rPr>
                <w:rFonts w:hint="default" w:ascii="Times New Roman" w:hAnsi="Times New Roman" w:eastAsia="Arial Narrow" w:cs="Times New Roman"/>
                <w:color w:val="000000"/>
                <w:kern w:val="0"/>
                <w:sz w:val="20"/>
                <w:szCs w:val="20"/>
                <w:highlight w:val="none"/>
                <w:lang w:bidi="ar"/>
              </w:rPr>
              <w:t>(0.69 to 0.87)</w:t>
            </w:r>
          </w:p>
        </w:tc>
        <w:tc>
          <w:tcPr>
            <w:tcW w:w="1539" w:type="dxa"/>
            <w:tcBorders>
              <w:top w:val="single" w:color="auto" w:sz="4" w:space="0"/>
              <w:left w:val="single" w:color="auto" w:sz="4" w:space="0"/>
              <w:bottom w:val="single" w:color="auto" w:sz="4" w:space="0"/>
              <w:right w:val="single" w:color="auto" w:sz="4" w:space="0"/>
            </w:tcBorders>
            <w:shd w:val="clear" w:color="auto" w:fill="auto"/>
          </w:tcPr>
          <w:p w14:paraId="17547A39">
            <w:pPr>
              <w:widowControl/>
              <w:jc w:val="center"/>
              <w:textAlignment w:val="top"/>
              <w:rPr>
                <w:rFonts w:hint="default" w:ascii="Times New Roman" w:hAnsi="Times New Roman" w:eastAsia="Arial Narrow" w:cs="Times New Roman"/>
                <w:color w:val="000000"/>
                <w:kern w:val="0"/>
                <w:sz w:val="20"/>
                <w:szCs w:val="20"/>
                <w:highlight w:val="none"/>
                <w:lang w:bidi="ar"/>
              </w:rPr>
            </w:pPr>
            <w:r>
              <w:rPr>
                <w:rFonts w:hint="default" w:ascii="Times New Roman" w:hAnsi="Times New Roman" w:cs="Times New Roman"/>
                <w:sz w:val="20"/>
                <w:szCs w:val="20"/>
                <w:highlight w:val="none"/>
              </w:rPr>
              <w:t>1fewer per 1,000</w:t>
            </w:r>
            <w:r>
              <w:rPr>
                <w:rFonts w:hint="default" w:ascii="Times New Roman" w:hAnsi="Times New Roman" w:cs="Times New Roman"/>
                <w:sz w:val="20"/>
                <w:szCs w:val="20"/>
                <w:highlight w:val="none"/>
              </w:rPr>
              <w:br w:type="textWrapping"/>
            </w:r>
            <w:r>
              <w:rPr>
                <w:rFonts w:hint="default" w:ascii="Times New Roman" w:hAnsi="Times New Roman" w:cs="Times New Roman"/>
                <w:sz w:val="20"/>
                <w:szCs w:val="20"/>
                <w:highlight w:val="none"/>
              </w:rPr>
              <w:t>(from 1 fewer to 1 fewer)</w:t>
            </w:r>
          </w:p>
        </w:tc>
        <w:tc>
          <w:tcPr>
            <w:tcW w:w="1135" w:type="dxa"/>
            <w:tcBorders>
              <w:top w:val="single" w:color="auto" w:sz="4" w:space="0"/>
              <w:left w:val="single" w:color="auto" w:sz="4" w:space="0"/>
              <w:bottom w:val="single" w:color="auto" w:sz="4" w:space="0"/>
              <w:right w:val="single" w:color="auto" w:sz="4" w:space="0"/>
            </w:tcBorders>
            <w:shd w:val="clear" w:color="auto" w:fill="auto"/>
          </w:tcPr>
          <w:p w14:paraId="4AA5D8A3">
            <w:pPr>
              <w:jc w:val="center"/>
              <w:rPr>
                <w:rStyle w:val="23"/>
                <w:rFonts w:hint="default" w:ascii="Times New Roman" w:hAnsi="Times New Roman" w:cs="Times New Roman"/>
                <w:sz w:val="20"/>
                <w:szCs w:val="20"/>
                <w:highlight w:val="none"/>
              </w:rPr>
            </w:pPr>
            <w:r>
              <w:rPr>
                <w:rStyle w:val="22"/>
                <w:rFonts w:hint="default" w:ascii="Times New Roman" w:hAnsi="Times New Roman" w:cs="Times New Roman"/>
                <w:sz w:val="20"/>
                <w:szCs w:val="20"/>
                <w:highlight w:val="none"/>
              </w:rPr>
              <w:t>⨁</w:t>
            </w:r>
            <w:r>
              <w:rPr>
                <w:rStyle w:val="22"/>
                <w:rFonts w:hint="default" w:ascii="Times New Roman" w:hAnsi="Times New Roman" w:eastAsia="MS Mincho" w:cs="Times New Roman"/>
                <w:sz w:val="20"/>
                <w:szCs w:val="20"/>
                <w:highlight w:val="none"/>
              </w:rPr>
              <w:t>◯◯◯</w:t>
            </w:r>
            <w:r>
              <w:rPr>
                <w:rFonts w:hint="default" w:ascii="Times New Roman" w:hAnsi="Times New Roman" w:cs="Times New Roman"/>
                <w:sz w:val="20"/>
                <w:szCs w:val="20"/>
                <w:highlight w:val="none"/>
              </w:rPr>
              <w:br w:type="textWrapping"/>
            </w:r>
            <w:r>
              <w:rPr>
                <w:rStyle w:val="23"/>
                <w:rFonts w:hint="default" w:ascii="Times New Roman" w:hAnsi="Times New Roman" w:cs="Times New Roman"/>
                <w:sz w:val="20"/>
                <w:szCs w:val="20"/>
                <w:highlight w:val="none"/>
              </w:rPr>
              <w:t>Very low</w:t>
            </w:r>
          </w:p>
          <w:p w14:paraId="7A854BCD">
            <w:pPr>
              <w:widowControl/>
              <w:jc w:val="center"/>
              <w:textAlignment w:val="top"/>
              <w:rPr>
                <w:rStyle w:val="24"/>
                <w:rFonts w:hint="default" w:ascii="Times New Roman" w:hAnsi="Times New Roman" w:cs="Times New Roman"/>
                <w:b w:val="0"/>
                <w:bCs w:val="0"/>
                <w:sz w:val="20"/>
                <w:szCs w:val="20"/>
                <w:highlight w:val="none"/>
                <w:lang w:bidi="ar"/>
              </w:rPr>
            </w:pPr>
          </w:p>
        </w:tc>
      </w:tr>
      <w:tr w14:paraId="2162DCB1">
        <w:tblPrEx>
          <w:tblCellMar>
            <w:top w:w="0" w:type="dxa"/>
            <w:left w:w="108" w:type="dxa"/>
            <w:bottom w:w="0" w:type="dxa"/>
            <w:right w:w="108" w:type="dxa"/>
          </w:tblCellMar>
        </w:tblPrEx>
        <w:trPr>
          <w:trHeight w:val="312" w:hRule="atLeast"/>
        </w:trPr>
        <w:tc>
          <w:tcPr>
            <w:tcW w:w="1886" w:type="dxa"/>
            <w:tcBorders>
              <w:top w:val="single" w:color="auto" w:sz="4" w:space="0"/>
              <w:left w:val="single" w:color="auto" w:sz="4" w:space="0"/>
              <w:bottom w:val="single" w:color="auto" w:sz="4" w:space="0"/>
              <w:right w:val="single" w:color="auto" w:sz="4" w:space="0"/>
            </w:tcBorders>
            <w:shd w:val="clear" w:color="auto" w:fill="auto"/>
          </w:tcPr>
          <w:p w14:paraId="5D030C0B">
            <w:pPr>
              <w:widowControl/>
              <w:jc w:val="left"/>
              <w:textAlignment w:val="top"/>
              <w:rPr>
                <w:rFonts w:hint="default" w:ascii="Times New Roman" w:hAnsi="Times New Roman" w:eastAsia="宋体" w:cs="Times New Roman"/>
                <w:kern w:val="0"/>
                <w:sz w:val="20"/>
                <w:szCs w:val="20"/>
                <w:highlight w:val="none"/>
                <w:lang w:bidi="ar"/>
              </w:rPr>
            </w:pPr>
            <w:r>
              <w:rPr>
                <w:rFonts w:hint="default" w:ascii="Times New Roman" w:hAnsi="Times New Roman" w:eastAsia="宋体" w:cs="Times New Roman"/>
                <w:kern w:val="0"/>
                <w:sz w:val="20"/>
                <w:szCs w:val="20"/>
                <w:highlight w:val="none"/>
                <w:lang w:bidi="ar"/>
              </w:rPr>
              <w:t>DMC in T1DM</w:t>
            </w:r>
          </w:p>
        </w:tc>
        <w:tc>
          <w:tcPr>
            <w:tcW w:w="850" w:type="dxa"/>
            <w:tcBorders>
              <w:top w:val="single" w:color="auto" w:sz="4" w:space="0"/>
              <w:left w:val="single" w:color="auto" w:sz="4" w:space="0"/>
              <w:bottom w:val="single" w:color="auto" w:sz="4" w:space="0"/>
              <w:right w:val="single" w:color="auto" w:sz="4" w:space="0"/>
            </w:tcBorders>
            <w:shd w:val="clear" w:color="auto" w:fill="auto"/>
          </w:tcPr>
          <w:p w14:paraId="4FC50517">
            <w:pPr>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3</w:t>
            </w:r>
          </w:p>
        </w:tc>
        <w:tc>
          <w:tcPr>
            <w:tcW w:w="1346" w:type="dxa"/>
            <w:tcBorders>
              <w:top w:val="single" w:color="auto" w:sz="4" w:space="0"/>
              <w:left w:val="single" w:color="auto" w:sz="4" w:space="0"/>
              <w:bottom w:val="single" w:color="auto" w:sz="4" w:space="0"/>
              <w:right w:val="single" w:color="auto" w:sz="4" w:space="0"/>
            </w:tcBorders>
            <w:shd w:val="clear" w:color="auto" w:fill="auto"/>
          </w:tcPr>
          <w:p w14:paraId="56598D94">
            <w:pPr>
              <w:widowControl/>
              <w:jc w:val="center"/>
              <w:textAlignment w:val="top"/>
              <w:rPr>
                <w:rFonts w:hint="default" w:ascii="Times New Roman" w:hAnsi="Times New Roman" w:eastAsia="宋体" w:cs="Times New Roman"/>
                <w:sz w:val="20"/>
                <w:szCs w:val="20"/>
                <w:highlight w:val="none"/>
              </w:rPr>
            </w:pPr>
            <w:r>
              <w:rPr>
                <w:rFonts w:hint="default" w:ascii="Times New Roman" w:hAnsi="Times New Roman" w:eastAsia="Arial Narrow" w:cs="Times New Roman"/>
                <w:kern w:val="0"/>
                <w:sz w:val="20"/>
                <w:szCs w:val="20"/>
                <w:highlight w:val="none"/>
                <w:lang w:bidi="ar"/>
              </w:rPr>
              <w:t>observational studies</w:t>
            </w:r>
            <w:r>
              <w:rPr>
                <w:rFonts w:hint="default" w:ascii="Times New Roman" w:hAnsi="Times New Roman" w:eastAsia="宋体" w:cs="Times New Roman"/>
                <w:kern w:val="0"/>
                <w:sz w:val="20"/>
                <w:szCs w:val="20"/>
                <w:highlight w:val="none"/>
                <w:vertAlign w:val="superscript"/>
                <w:lang w:bidi="ar"/>
              </w:rPr>
              <w:t>d</w:t>
            </w:r>
          </w:p>
        </w:tc>
        <w:tc>
          <w:tcPr>
            <w:tcW w:w="938" w:type="dxa"/>
            <w:tcBorders>
              <w:top w:val="single" w:color="auto" w:sz="4" w:space="0"/>
              <w:left w:val="single" w:color="auto" w:sz="4" w:space="0"/>
              <w:bottom w:val="single" w:color="auto" w:sz="4" w:space="0"/>
              <w:right w:val="single" w:color="auto" w:sz="4" w:space="0"/>
            </w:tcBorders>
            <w:shd w:val="clear" w:color="auto" w:fill="auto"/>
          </w:tcPr>
          <w:p w14:paraId="505B25AE">
            <w:pPr>
              <w:widowControl/>
              <w:jc w:val="center"/>
              <w:textAlignment w:val="top"/>
              <w:rPr>
                <w:rFonts w:hint="default" w:ascii="Times New Roman" w:hAnsi="Times New Roman" w:eastAsia="Arial Narrow" w:cs="Times New Roman"/>
                <w:sz w:val="20"/>
                <w:szCs w:val="20"/>
                <w:highlight w:val="none"/>
              </w:rPr>
            </w:pPr>
            <w:r>
              <w:rPr>
                <w:rFonts w:hint="default" w:ascii="Times New Roman" w:hAnsi="Times New Roman" w:eastAsia="Arial Narrow" w:cs="Times New Roman"/>
                <w:sz w:val="20"/>
                <w:szCs w:val="20"/>
                <w:highlight w:val="none"/>
                <w:lang w:bidi="ar"/>
              </w:rPr>
              <w:t>not serious</w:t>
            </w:r>
          </w:p>
        </w:tc>
        <w:tc>
          <w:tcPr>
            <w:tcW w:w="1420" w:type="dxa"/>
            <w:tcBorders>
              <w:top w:val="single" w:color="auto" w:sz="4" w:space="0"/>
              <w:left w:val="single" w:color="auto" w:sz="4" w:space="0"/>
              <w:bottom w:val="single" w:color="auto" w:sz="4" w:space="0"/>
              <w:right w:val="single" w:color="auto" w:sz="4" w:space="0"/>
            </w:tcBorders>
            <w:shd w:val="clear" w:color="auto" w:fill="auto"/>
          </w:tcPr>
          <w:p w14:paraId="7A3A9718">
            <w:pPr>
              <w:widowControl/>
              <w:jc w:val="center"/>
              <w:textAlignment w:val="top"/>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not serious</w:t>
            </w:r>
          </w:p>
          <w:p w14:paraId="3C579FD5">
            <w:pPr>
              <w:widowControl/>
              <w:jc w:val="center"/>
              <w:textAlignment w:val="top"/>
              <w:rPr>
                <w:rFonts w:hint="default" w:ascii="Times New Roman" w:hAnsi="Times New Roman" w:eastAsia="Arial Narrow" w:cs="Times New Roman"/>
                <w:sz w:val="20"/>
                <w:szCs w:val="20"/>
                <w:highlight w:val="none"/>
              </w:rPr>
            </w:pPr>
          </w:p>
        </w:tc>
        <w:tc>
          <w:tcPr>
            <w:tcW w:w="1262" w:type="dxa"/>
            <w:tcBorders>
              <w:top w:val="single" w:color="auto" w:sz="4" w:space="0"/>
              <w:left w:val="single" w:color="auto" w:sz="4" w:space="0"/>
              <w:bottom w:val="single" w:color="auto" w:sz="4" w:space="0"/>
              <w:right w:val="single" w:color="auto" w:sz="4" w:space="0"/>
            </w:tcBorders>
            <w:shd w:val="clear" w:color="auto" w:fill="auto"/>
          </w:tcPr>
          <w:p w14:paraId="26FFB0BF">
            <w:pPr>
              <w:widowControl/>
              <w:jc w:val="center"/>
              <w:textAlignment w:val="top"/>
              <w:rPr>
                <w:rFonts w:hint="default" w:ascii="Times New Roman" w:hAnsi="Times New Roman" w:eastAsia="Arial Narrow" w:cs="Times New Roman"/>
                <w:sz w:val="20"/>
                <w:szCs w:val="20"/>
                <w:highlight w:val="none"/>
              </w:rPr>
            </w:pPr>
            <w:r>
              <w:rPr>
                <w:rFonts w:hint="default" w:ascii="Times New Roman" w:hAnsi="Times New Roman" w:eastAsia="Arial Narrow" w:cs="Times New Roman"/>
                <w:sz w:val="20"/>
                <w:szCs w:val="20"/>
                <w:highlight w:val="none"/>
                <w:lang w:bidi="ar"/>
              </w:rPr>
              <w:t>not serious</w:t>
            </w:r>
          </w:p>
        </w:tc>
        <w:tc>
          <w:tcPr>
            <w:tcW w:w="1247" w:type="dxa"/>
            <w:tcBorders>
              <w:top w:val="single" w:color="auto" w:sz="4" w:space="0"/>
              <w:left w:val="single" w:color="auto" w:sz="4" w:space="0"/>
              <w:bottom w:val="single" w:color="auto" w:sz="4" w:space="0"/>
              <w:right w:val="single" w:color="auto" w:sz="4" w:space="0"/>
            </w:tcBorders>
            <w:shd w:val="clear" w:color="auto" w:fill="auto"/>
          </w:tcPr>
          <w:p w14:paraId="06F059C8">
            <w:pPr>
              <w:jc w:val="center"/>
              <w:rPr>
                <w:rFonts w:hint="default" w:ascii="Times New Roman" w:hAnsi="Times New Roman" w:eastAsia="宋体" w:cs="Times New Roman"/>
                <w:sz w:val="20"/>
                <w:szCs w:val="20"/>
                <w:highlight w:val="none"/>
              </w:rPr>
            </w:pPr>
            <w:r>
              <w:rPr>
                <w:rFonts w:hint="default" w:ascii="Times New Roman" w:hAnsi="Times New Roman" w:cs="Times New Roman"/>
                <w:sz w:val="20"/>
                <w:szCs w:val="20"/>
                <w:highlight w:val="none"/>
              </w:rPr>
              <w:t>not serious</w:t>
            </w:r>
          </w:p>
        </w:tc>
        <w:tc>
          <w:tcPr>
            <w:tcW w:w="1224" w:type="dxa"/>
            <w:tcBorders>
              <w:top w:val="single" w:color="auto" w:sz="4" w:space="0"/>
              <w:left w:val="single" w:color="auto" w:sz="4" w:space="0"/>
              <w:bottom w:val="single" w:color="auto" w:sz="4" w:space="0"/>
              <w:right w:val="single" w:color="auto" w:sz="4" w:space="0"/>
            </w:tcBorders>
            <w:shd w:val="clear" w:color="auto" w:fill="auto"/>
          </w:tcPr>
          <w:p w14:paraId="0E7D9D3D">
            <w:pPr>
              <w:widowControl/>
              <w:jc w:val="center"/>
              <w:textAlignment w:val="top"/>
              <w:rPr>
                <w:rFonts w:hint="default" w:ascii="Times New Roman" w:hAnsi="Times New Roman" w:eastAsia="Arial Narrow" w:cs="Times New Roman"/>
                <w:sz w:val="20"/>
                <w:szCs w:val="20"/>
                <w:highlight w:val="none"/>
              </w:rPr>
            </w:pPr>
            <w:r>
              <w:rPr>
                <w:rFonts w:hint="default" w:ascii="Times New Roman" w:hAnsi="Times New Roman" w:eastAsia="Arial Narrow" w:cs="Times New Roman"/>
                <w:sz w:val="20"/>
                <w:szCs w:val="20"/>
                <w:highlight w:val="none"/>
                <w:lang w:bidi="ar"/>
              </w:rPr>
              <w:t>undetected</w:t>
            </w:r>
          </w:p>
        </w:tc>
        <w:tc>
          <w:tcPr>
            <w:tcW w:w="1463" w:type="dxa"/>
            <w:tcBorders>
              <w:top w:val="single" w:color="auto" w:sz="4" w:space="0"/>
              <w:left w:val="single" w:color="auto" w:sz="4" w:space="0"/>
              <w:bottom w:val="single" w:color="auto" w:sz="4" w:space="0"/>
              <w:right w:val="single" w:color="auto" w:sz="4" w:space="0"/>
            </w:tcBorders>
            <w:shd w:val="clear" w:color="auto" w:fill="auto"/>
          </w:tcPr>
          <w:p w14:paraId="18356EE1">
            <w:pPr>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kern w:val="0"/>
                <w:sz w:val="20"/>
                <w:szCs w:val="20"/>
                <w:highlight w:val="none"/>
                <w:lang w:bidi="ar"/>
              </w:rPr>
              <w:t>none</w:t>
            </w:r>
          </w:p>
        </w:tc>
        <w:tc>
          <w:tcPr>
            <w:tcW w:w="946" w:type="dxa"/>
            <w:tcBorders>
              <w:top w:val="single" w:color="auto" w:sz="4" w:space="0"/>
              <w:left w:val="single" w:color="auto" w:sz="4" w:space="0"/>
              <w:bottom w:val="single" w:color="auto" w:sz="4" w:space="0"/>
              <w:right w:val="single" w:color="auto" w:sz="4" w:space="0"/>
            </w:tcBorders>
            <w:shd w:val="clear" w:color="auto" w:fill="auto"/>
          </w:tcPr>
          <w:p w14:paraId="39108936">
            <w:pPr>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24,440</w:t>
            </w:r>
          </w:p>
        </w:tc>
        <w:tc>
          <w:tcPr>
            <w:tcW w:w="1362" w:type="dxa"/>
            <w:tcBorders>
              <w:top w:val="single" w:color="auto" w:sz="4" w:space="0"/>
              <w:left w:val="single" w:color="auto" w:sz="4" w:space="0"/>
              <w:bottom w:val="single" w:color="auto" w:sz="4" w:space="0"/>
              <w:right w:val="single" w:color="auto" w:sz="4" w:space="0"/>
            </w:tcBorders>
            <w:shd w:val="clear" w:color="auto" w:fill="auto"/>
          </w:tcPr>
          <w:p w14:paraId="2821ED50">
            <w:pPr>
              <w:widowControl/>
              <w:jc w:val="left"/>
              <w:rPr>
                <w:rFonts w:hint="default" w:ascii="Times New Roman" w:hAnsi="Times New Roman" w:eastAsia="Arial Narrow" w:cs="Times New Roman"/>
                <w:kern w:val="0"/>
                <w:sz w:val="20"/>
                <w:szCs w:val="20"/>
                <w:highlight w:val="none"/>
                <w:lang w:bidi="ar"/>
              </w:rPr>
            </w:pPr>
            <w:r>
              <w:rPr>
                <w:rFonts w:hint="default" w:ascii="Times New Roman" w:hAnsi="Times New Roman" w:eastAsia="Arial Narrow" w:cs="Times New Roman"/>
                <w:kern w:val="0"/>
                <w:sz w:val="20"/>
                <w:szCs w:val="20"/>
                <w:highlight w:val="none"/>
                <w:lang w:bidi="ar"/>
              </w:rPr>
              <w:t xml:space="preserve">HR 0.86   </w:t>
            </w:r>
          </w:p>
          <w:p w14:paraId="71553D81">
            <w:pPr>
              <w:widowControl/>
              <w:jc w:val="left"/>
              <w:rPr>
                <w:rFonts w:hint="default" w:ascii="Times New Roman" w:hAnsi="Times New Roman" w:eastAsia="Arial Narrow" w:cs="Times New Roman"/>
                <w:sz w:val="20"/>
                <w:szCs w:val="20"/>
                <w:highlight w:val="none"/>
              </w:rPr>
            </w:pPr>
            <w:r>
              <w:rPr>
                <w:rFonts w:hint="default" w:ascii="Times New Roman" w:hAnsi="Times New Roman" w:eastAsia="Arial Narrow" w:cs="Times New Roman"/>
                <w:kern w:val="0"/>
                <w:sz w:val="20"/>
                <w:szCs w:val="20"/>
                <w:highlight w:val="none"/>
                <w:lang w:bidi="ar"/>
              </w:rPr>
              <w:t>(0.72 to 1.03)</w:t>
            </w:r>
          </w:p>
        </w:tc>
        <w:tc>
          <w:tcPr>
            <w:tcW w:w="1539" w:type="dxa"/>
            <w:tcBorders>
              <w:top w:val="single" w:color="auto" w:sz="4" w:space="0"/>
              <w:left w:val="single" w:color="auto" w:sz="4" w:space="0"/>
              <w:bottom w:val="single" w:color="auto" w:sz="4" w:space="0"/>
              <w:right w:val="single" w:color="auto" w:sz="4" w:space="0"/>
            </w:tcBorders>
            <w:shd w:val="clear" w:color="auto" w:fill="auto"/>
          </w:tcPr>
          <w:p w14:paraId="32284CE3">
            <w:pPr>
              <w:widowControl/>
              <w:jc w:val="center"/>
              <w:textAlignment w:val="top"/>
              <w:rPr>
                <w:rFonts w:hint="default" w:ascii="Times New Roman" w:hAnsi="Times New Roman" w:eastAsia="Arial Narrow" w:cs="Times New Roman"/>
                <w:sz w:val="20"/>
                <w:szCs w:val="20"/>
                <w:highlight w:val="none"/>
              </w:rPr>
            </w:pPr>
            <w:r>
              <w:rPr>
                <w:rFonts w:hint="default" w:ascii="Times New Roman" w:hAnsi="Times New Roman" w:cs="Times New Roman"/>
                <w:sz w:val="20"/>
                <w:szCs w:val="20"/>
                <w:highlight w:val="none"/>
              </w:rPr>
              <w:t>1 fewer per 1,000</w:t>
            </w:r>
            <w:r>
              <w:rPr>
                <w:rFonts w:hint="default" w:ascii="Times New Roman" w:hAnsi="Times New Roman" w:cs="Times New Roman"/>
                <w:sz w:val="20"/>
                <w:szCs w:val="20"/>
                <w:highlight w:val="none"/>
              </w:rPr>
              <w:br w:type="textWrapping"/>
            </w:r>
            <w:r>
              <w:rPr>
                <w:rFonts w:hint="default" w:ascii="Times New Roman" w:hAnsi="Times New Roman" w:cs="Times New Roman"/>
                <w:sz w:val="20"/>
                <w:szCs w:val="20"/>
                <w:highlight w:val="none"/>
              </w:rPr>
              <w:t>(from 1 fewer to 1 fewer)</w:t>
            </w:r>
          </w:p>
        </w:tc>
        <w:tc>
          <w:tcPr>
            <w:tcW w:w="1135" w:type="dxa"/>
            <w:tcBorders>
              <w:top w:val="single" w:color="auto" w:sz="4" w:space="0"/>
              <w:left w:val="single" w:color="auto" w:sz="4" w:space="0"/>
              <w:bottom w:val="single" w:color="auto" w:sz="4" w:space="0"/>
              <w:right w:val="single" w:color="auto" w:sz="4" w:space="0"/>
            </w:tcBorders>
            <w:shd w:val="clear" w:color="auto" w:fill="auto"/>
          </w:tcPr>
          <w:p w14:paraId="2AEFB38E">
            <w:pPr>
              <w:widowControl/>
              <w:jc w:val="center"/>
              <w:textAlignment w:val="top"/>
              <w:rPr>
                <w:rFonts w:hint="default" w:ascii="Times New Roman" w:hAnsi="Times New Roman" w:eastAsia="Arial Narrow" w:cs="Times New Roman"/>
                <w:sz w:val="20"/>
                <w:szCs w:val="20"/>
                <w:highlight w:val="none"/>
              </w:rPr>
            </w:pPr>
            <w:r>
              <w:rPr>
                <w:rStyle w:val="22"/>
                <w:rFonts w:hint="default" w:ascii="Times New Roman" w:hAnsi="Times New Roman" w:cs="Times New Roman"/>
                <w:sz w:val="20"/>
                <w:szCs w:val="20"/>
                <w:highlight w:val="none"/>
              </w:rPr>
              <w:t>⨁⨁</w:t>
            </w:r>
            <w:r>
              <w:rPr>
                <w:rStyle w:val="22"/>
                <w:rFonts w:hint="default" w:ascii="Times New Roman" w:hAnsi="Times New Roman" w:eastAsia="MS Mincho" w:cs="Times New Roman"/>
                <w:sz w:val="20"/>
                <w:szCs w:val="20"/>
                <w:highlight w:val="none"/>
              </w:rPr>
              <w:t>◯◯</w:t>
            </w:r>
            <w:r>
              <w:rPr>
                <w:rFonts w:hint="default" w:ascii="Times New Roman" w:hAnsi="Times New Roman" w:cs="Times New Roman"/>
                <w:sz w:val="20"/>
                <w:szCs w:val="20"/>
                <w:highlight w:val="none"/>
              </w:rPr>
              <w:br w:type="textWrapping"/>
            </w:r>
            <w:r>
              <w:rPr>
                <w:rStyle w:val="23"/>
                <w:rFonts w:hint="default" w:ascii="Times New Roman" w:hAnsi="Times New Roman" w:cs="Times New Roman"/>
                <w:sz w:val="20"/>
                <w:szCs w:val="20"/>
                <w:highlight w:val="none"/>
              </w:rPr>
              <w:t>Low</w:t>
            </w:r>
          </w:p>
        </w:tc>
      </w:tr>
      <w:tr w14:paraId="74AB5DE3">
        <w:tblPrEx>
          <w:tblCellMar>
            <w:top w:w="0" w:type="dxa"/>
            <w:left w:w="108" w:type="dxa"/>
            <w:bottom w:w="0" w:type="dxa"/>
            <w:right w:w="108" w:type="dxa"/>
          </w:tblCellMar>
        </w:tblPrEx>
        <w:trPr>
          <w:trHeight w:val="1025" w:hRule="atLeast"/>
        </w:trPr>
        <w:tc>
          <w:tcPr>
            <w:tcW w:w="1886" w:type="dxa"/>
            <w:tcBorders>
              <w:top w:val="single" w:color="auto" w:sz="4" w:space="0"/>
              <w:left w:val="single" w:color="auto" w:sz="4" w:space="0"/>
              <w:bottom w:val="single" w:color="auto" w:sz="4" w:space="0"/>
              <w:right w:val="single" w:color="auto" w:sz="4" w:space="0"/>
            </w:tcBorders>
            <w:shd w:val="clear" w:color="auto" w:fill="auto"/>
          </w:tcPr>
          <w:p w14:paraId="32F1A634">
            <w:pPr>
              <w:widowControl/>
              <w:jc w:val="left"/>
              <w:textAlignment w:val="top"/>
              <w:rPr>
                <w:rFonts w:hint="default" w:ascii="Times New Roman" w:hAnsi="Times New Roman" w:eastAsia="宋体" w:cs="Times New Roman"/>
                <w:kern w:val="0"/>
                <w:sz w:val="20"/>
                <w:szCs w:val="20"/>
                <w:highlight w:val="none"/>
                <w:lang w:bidi="ar"/>
              </w:rPr>
            </w:pPr>
            <w:r>
              <w:rPr>
                <w:rFonts w:hint="default" w:ascii="Times New Roman" w:hAnsi="Times New Roman" w:eastAsia="宋体" w:cs="Times New Roman"/>
                <w:kern w:val="0"/>
                <w:sz w:val="20"/>
                <w:szCs w:val="20"/>
                <w:highlight w:val="none"/>
                <w:lang w:bidi="ar"/>
              </w:rPr>
              <w:t>All-cause mortality in T1DM</w:t>
            </w:r>
          </w:p>
          <w:p w14:paraId="1A49F538">
            <w:pPr>
              <w:widowControl/>
              <w:jc w:val="left"/>
              <w:textAlignment w:val="top"/>
              <w:rPr>
                <w:rFonts w:hint="default" w:ascii="Times New Roman" w:hAnsi="Times New Roman" w:eastAsia="宋体" w:cs="Times New Roman"/>
                <w:kern w:val="0"/>
                <w:sz w:val="20"/>
                <w:szCs w:val="20"/>
                <w:highlight w:val="none"/>
                <w:lang w:bidi="ar"/>
              </w:rPr>
            </w:pPr>
          </w:p>
        </w:tc>
        <w:tc>
          <w:tcPr>
            <w:tcW w:w="850" w:type="dxa"/>
            <w:tcBorders>
              <w:top w:val="single" w:color="auto" w:sz="4" w:space="0"/>
              <w:left w:val="single" w:color="auto" w:sz="4" w:space="0"/>
              <w:bottom w:val="single" w:color="auto" w:sz="4" w:space="0"/>
              <w:right w:val="single" w:color="auto" w:sz="4" w:space="0"/>
            </w:tcBorders>
            <w:shd w:val="clear" w:color="auto" w:fill="auto"/>
          </w:tcPr>
          <w:p w14:paraId="24A12E07">
            <w:pPr>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5</w:t>
            </w:r>
          </w:p>
        </w:tc>
        <w:tc>
          <w:tcPr>
            <w:tcW w:w="1346" w:type="dxa"/>
            <w:tcBorders>
              <w:top w:val="single" w:color="auto" w:sz="4" w:space="0"/>
              <w:left w:val="single" w:color="auto" w:sz="4" w:space="0"/>
              <w:bottom w:val="single" w:color="auto" w:sz="4" w:space="0"/>
              <w:right w:val="single" w:color="auto" w:sz="4" w:space="0"/>
            </w:tcBorders>
            <w:shd w:val="clear" w:color="auto" w:fill="auto"/>
          </w:tcPr>
          <w:p w14:paraId="47F9F582">
            <w:pPr>
              <w:widowControl/>
              <w:jc w:val="center"/>
              <w:textAlignment w:val="top"/>
              <w:rPr>
                <w:rFonts w:hint="default" w:ascii="Times New Roman" w:hAnsi="Times New Roman" w:eastAsia="宋体" w:cs="Times New Roman"/>
                <w:sz w:val="20"/>
                <w:szCs w:val="20"/>
                <w:highlight w:val="none"/>
              </w:rPr>
            </w:pPr>
            <w:r>
              <w:rPr>
                <w:rFonts w:hint="default" w:ascii="Times New Roman" w:hAnsi="Times New Roman" w:eastAsia="Arial Narrow" w:cs="Times New Roman"/>
                <w:kern w:val="0"/>
                <w:sz w:val="20"/>
                <w:szCs w:val="20"/>
                <w:highlight w:val="none"/>
                <w:lang w:bidi="ar"/>
              </w:rPr>
              <w:t>observational studies</w:t>
            </w:r>
            <w:r>
              <w:rPr>
                <w:rFonts w:hint="default" w:ascii="Times New Roman" w:hAnsi="Times New Roman" w:eastAsia="宋体" w:cs="Times New Roman"/>
                <w:kern w:val="0"/>
                <w:sz w:val="20"/>
                <w:szCs w:val="20"/>
                <w:highlight w:val="none"/>
                <w:vertAlign w:val="superscript"/>
                <w:lang w:bidi="ar"/>
              </w:rPr>
              <w:t>e</w:t>
            </w:r>
          </w:p>
        </w:tc>
        <w:tc>
          <w:tcPr>
            <w:tcW w:w="938" w:type="dxa"/>
            <w:tcBorders>
              <w:top w:val="single" w:color="auto" w:sz="4" w:space="0"/>
              <w:left w:val="single" w:color="auto" w:sz="4" w:space="0"/>
              <w:bottom w:val="single" w:color="auto" w:sz="4" w:space="0"/>
              <w:right w:val="single" w:color="auto" w:sz="4" w:space="0"/>
            </w:tcBorders>
            <w:shd w:val="clear" w:color="auto" w:fill="auto"/>
          </w:tcPr>
          <w:p w14:paraId="229EF1B4">
            <w:pPr>
              <w:widowControl/>
              <w:jc w:val="center"/>
              <w:textAlignment w:val="top"/>
              <w:rPr>
                <w:rFonts w:hint="default" w:ascii="Times New Roman" w:hAnsi="Times New Roman" w:eastAsia="Arial Narrow" w:cs="Times New Roman"/>
                <w:sz w:val="20"/>
                <w:szCs w:val="20"/>
                <w:highlight w:val="none"/>
              </w:rPr>
            </w:pPr>
            <w:r>
              <w:rPr>
                <w:rFonts w:hint="default" w:ascii="Times New Roman" w:hAnsi="Times New Roman" w:eastAsia="Arial Narrow" w:cs="Times New Roman"/>
                <w:sz w:val="20"/>
                <w:szCs w:val="20"/>
                <w:highlight w:val="none"/>
                <w:lang w:bidi="ar"/>
              </w:rPr>
              <w:t>not serious</w:t>
            </w:r>
          </w:p>
        </w:tc>
        <w:tc>
          <w:tcPr>
            <w:tcW w:w="1420" w:type="dxa"/>
            <w:tcBorders>
              <w:top w:val="single" w:color="auto" w:sz="4" w:space="0"/>
              <w:left w:val="single" w:color="auto" w:sz="4" w:space="0"/>
              <w:bottom w:val="single" w:color="auto" w:sz="4" w:space="0"/>
              <w:right w:val="single" w:color="auto" w:sz="4" w:space="0"/>
            </w:tcBorders>
            <w:shd w:val="clear" w:color="auto" w:fill="auto"/>
          </w:tcPr>
          <w:p w14:paraId="19245DEA">
            <w:pPr>
              <w:widowControl/>
              <w:jc w:val="center"/>
              <w:textAlignment w:val="top"/>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not serious</w:t>
            </w:r>
          </w:p>
          <w:p w14:paraId="3227C257">
            <w:pPr>
              <w:widowControl/>
              <w:jc w:val="center"/>
              <w:textAlignment w:val="top"/>
              <w:rPr>
                <w:rFonts w:hint="default" w:ascii="Times New Roman" w:hAnsi="Times New Roman" w:eastAsia="Arial Narrow" w:cs="Times New Roman"/>
                <w:sz w:val="20"/>
                <w:szCs w:val="20"/>
                <w:highlight w:val="none"/>
                <w:vertAlign w:val="superscript"/>
                <w:lang w:bidi="ar"/>
              </w:rPr>
            </w:pPr>
          </w:p>
        </w:tc>
        <w:tc>
          <w:tcPr>
            <w:tcW w:w="1262" w:type="dxa"/>
            <w:tcBorders>
              <w:top w:val="single" w:color="auto" w:sz="4" w:space="0"/>
              <w:left w:val="single" w:color="auto" w:sz="4" w:space="0"/>
              <w:bottom w:val="single" w:color="auto" w:sz="4" w:space="0"/>
              <w:right w:val="single" w:color="auto" w:sz="4" w:space="0"/>
            </w:tcBorders>
            <w:shd w:val="clear" w:color="auto" w:fill="auto"/>
          </w:tcPr>
          <w:p w14:paraId="552B9463">
            <w:pPr>
              <w:widowControl/>
              <w:jc w:val="center"/>
              <w:textAlignment w:val="top"/>
              <w:rPr>
                <w:rFonts w:hint="default" w:ascii="Times New Roman" w:hAnsi="Times New Roman" w:eastAsia="Arial Narrow" w:cs="Times New Roman"/>
                <w:sz w:val="20"/>
                <w:szCs w:val="20"/>
                <w:highlight w:val="none"/>
              </w:rPr>
            </w:pPr>
            <w:r>
              <w:rPr>
                <w:rFonts w:hint="default" w:ascii="Times New Roman" w:hAnsi="Times New Roman" w:eastAsia="Arial Narrow" w:cs="Times New Roman"/>
                <w:sz w:val="20"/>
                <w:szCs w:val="20"/>
                <w:highlight w:val="none"/>
                <w:lang w:bidi="ar"/>
              </w:rPr>
              <w:t>not serious</w:t>
            </w:r>
          </w:p>
        </w:tc>
        <w:tc>
          <w:tcPr>
            <w:tcW w:w="1247" w:type="dxa"/>
            <w:tcBorders>
              <w:top w:val="single" w:color="auto" w:sz="4" w:space="0"/>
              <w:left w:val="single" w:color="auto" w:sz="4" w:space="0"/>
              <w:bottom w:val="single" w:color="auto" w:sz="4" w:space="0"/>
              <w:right w:val="single" w:color="auto" w:sz="4" w:space="0"/>
            </w:tcBorders>
            <w:shd w:val="clear" w:color="auto" w:fill="auto"/>
          </w:tcPr>
          <w:p w14:paraId="53F17FD6">
            <w:pPr>
              <w:jc w:val="center"/>
              <w:rPr>
                <w:rFonts w:hint="default" w:ascii="Times New Roman" w:hAnsi="Times New Roman" w:eastAsia="Arial Narrow" w:cs="Times New Roman"/>
                <w:sz w:val="20"/>
                <w:szCs w:val="20"/>
                <w:highlight w:val="none"/>
              </w:rPr>
            </w:pPr>
            <w:r>
              <w:rPr>
                <w:rFonts w:hint="default" w:ascii="Times New Roman" w:hAnsi="Times New Roman" w:cs="Times New Roman"/>
                <w:sz w:val="20"/>
                <w:szCs w:val="20"/>
                <w:highlight w:val="none"/>
              </w:rPr>
              <w:t>not serious</w:t>
            </w:r>
          </w:p>
        </w:tc>
        <w:tc>
          <w:tcPr>
            <w:tcW w:w="1224" w:type="dxa"/>
            <w:tcBorders>
              <w:top w:val="single" w:color="auto" w:sz="4" w:space="0"/>
              <w:left w:val="single" w:color="auto" w:sz="4" w:space="0"/>
              <w:bottom w:val="single" w:color="auto" w:sz="4" w:space="0"/>
              <w:right w:val="single" w:color="auto" w:sz="4" w:space="0"/>
            </w:tcBorders>
            <w:shd w:val="clear" w:color="auto" w:fill="auto"/>
          </w:tcPr>
          <w:p w14:paraId="0CD0946E">
            <w:pPr>
              <w:widowControl/>
              <w:jc w:val="center"/>
              <w:textAlignment w:val="top"/>
              <w:rPr>
                <w:rFonts w:hint="default" w:ascii="Times New Roman" w:hAnsi="Times New Roman" w:eastAsia="Arial Narrow" w:cs="Times New Roman"/>
                <w:sz w:val="20"/>
                <w:szCs w:val="20"/>
                <w:highlight w:val="none"/>
              </w:rPr>
            </w:pPr>
            <w:r>
              <w:rPr>
                <w:rFonts w:hint="default" w:ascii="Times New Roman" w:hAnsi="Times New Roman" w:eastAsia="Arial Narrow" w:cs="Times New Roman"/>
                <w:sz w:val="20"/>
                <w:szCs w:val="20"/>
                <w:highlight w:val="none"/>
                <w:lang w:bidi="ar"/>
              </w:rPr>
              <w:t>undetected</w:t>
            </w:r>
          </w:p>
        </w:tc>
        <w:tc>
          <w:tcPr>
            <w:tcW w:w="1463" w:type="dxa"/>
            <w:tcBorders>
              <w:top w:val="single" w:color="auto" w:sz="4" w:space="0"/>
              <w:left w:val="single" w:color="auto" w:sz="4" w:space="0"/>
              <w:bottom w:val="single" w:color="auto" w:sz="4" w:space="0"/>
              <w:right w:val="single" w:color="auto" w:sz="4" w:space="0"/>
            </w:tcBorders>
            <w:shd w:val="clear" w:color="auto" w:fill="auto"/>
          </w:tcPr>
          <w:p w14:paraId="23C4EAF7">
            <w:pPr>
              <w:jc w:val="center"/>
              <w:rPr>
                <w:rFonts w:hint="default" w:ascii="Times New Roman" w:hAnsi="Times New Roman" w:eastAsia="Arial Narrow" w:cs="Times New Roman"/>
                <w:sz w:val="20"/>
                <w:szCs w:val="20"/>
                <w:highlight w:val="none"/>
              </w:rPr>
            </w:pPr>
            <w:r>
              <w:rPr>
                <w:rFonts w:hint="default" w:ascii="Times New Roman" w:hAnsi="Times New Roman" w:eastAsia="宋体" w:cs="Times New Roman"/>
                <w:kern w:val="0"/>
                <w:sz w:val="20"/>
                <w:szCs w:val="20"/>
                <w:highlight w:val="none"/>
                <w:lang w:bidi="ar"/>
              </w:rPr>
              <w:t>none</w:t>
            </w:r>
          </w:p>
        </w:tc>
        <w:tc>
          <w:tcPr>
            <w:tcW w:w="946" w:type="dxa"/>
            <w:tcBorders>
              <w:top w:val="single" w:color="auto" w:sz="4" w:space="0"/>
              <w:left w:val="single" w:color="auto" w:sz="4" w:space="0"/>
              <w:bottom w:val="single" w:color="auto" w:sz="4" w:space="0"/>
              <w:right w:val="single" w:color="auto" w:sz="4" w:space="0"/>
            </w:tcBorders>
            <w:shd w:val="clear" w:color="auto" w:fill="auto"/>
          </w:tcPr>
          <w:p w14:paraId="325A5007">
            <w:pPr>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 xml:space="preserve"> 19,403</w:t>
            </w:r>
          </w:p>
        </w:tc>
        <w:tc>
          <w:tcPr>
            <w:tcW w:w="1362" w:type="dxa"/>
            <w:tcBorders>
              <w:top w:val="single" w:color="auto" w:sz="4" w:space="0"/>
              <w:left w:val="single" w:color="auto" w:sz="4" w:space="0"/>
              <w:bottom w:val="single" w:color="auto" w:sz="4" w:space="0"/>
              <w:right w:val="single" w:color="auto" w:sz="4" w:space="0"/>
            </w:tcBorders>
            <w:shd w:val="clear" w:color="auto" w:fill="auto"/>
          </w:tcPr>
          <w:p w14:paraId="30624A9A">
            <w:pPr>
              <w:widowControl/>
              <w:jc w:val="left"/>
              <w:rPr>
                <w:rFonts w:hint="default" w:ascii="Times New Roman" w:hAnsi="Times New Roman" w:eastAsia="Arial Narrow" w:cs="Times New Roman"/>
                <w:sz w:val="20"/>
                <w:szCs w:val="20"/>
                <w:highlight w:val="none"/>
              </w:rPr>
            </w:pPr>
            <w:r>
              <w:rPr>
                <w:rFonts w:hint="default" w:ascii="Times New Roman" w:hAnsi="Times New Roman" w:eastAsia="Arial Narrow" w:cs="Times New Roman"/>
                <w:sz w:val="20"/>
                <w:szCs w:val="20"/>
                <w:highlight w:val="none"/>
              </w:rPr>
              <w:t xml:space="preserve">HR 0.83 </w:t>
            </w:r>
          </w:p>
          <w:p w14:paraId="2D64CC9E">
            <w:pPr>
              <w:widowControl/>
              <w:jc w:val="left"/>
              <w:rPr>
                <w:rFonts w:hint="default" w:ascii="Times New Roman" w:hAnsi="Times New Roman" w:eastAsia="Arial Narrow" w:cs="Times New Roman"/>
                <w:sz w:val="20"/>
                <w:szCs w:val="20"/>
                <w:highlight w:val="none"/>
              </w:rPr>
            </w:pPr>
            <w:r>
              <w:rPr>
                <w:rFonts w:hint="default" w:ascii="Times New Roman" w:hAnsi="Times New Roman" w:eastAsia="Arial Narrow" w:cs="Times New Roman"/>
                <w:sz w:val="20"/>
                <w:szCs w:val="20"/>
                <w:highlight w:val="none"/>
              </w:rPr>
              <w:t>(0.79 to 0.88)</w:t>
            </w:r>
          </w:p>
        </w:tc>
        <w:tc>
          <w:tcPr>
            <w:tcW w:w="1539" w:type="dxa"/>
            <w:tcBorders>
              <w:top w:val="single" w:color="auto" w:sz="4" w:space="0"/>
              <w:left w:val="single" w:color="auto" w:sz="4" w:space="0"/>
              <w:bottom w:val="single" w:color="auto" w:sz="4" w:space="0"/>
              <w:right w:val="single" w:color="auto" w:sz="4" w:space="0"/>
            </w:tcBorders>
            <w:shd w:val="clear" w:color="auto" w:fill="auto"/>
          </w:tcPr>
          <w:p w14:paraId="3331AF3D">
            <w:pPr>
              <w:widowControl/>
              <w:jc w:val="center"/>
              <w:textAlignment w:val="top"/>
              <w:rPr>
                <w:rFonts w:hint="default" w:ascii="Times New Roman" w:hAnsi="Times New Roman" w:eastAsia="Arial Narrow" w:cs="Times New Roman"/>
                <w:sz w:val="20"/>
                <w:szCs w:val="20"/>
                <w:highlight w:val="none"/>
              </w:rPr>
            </w:pPr>
            <w:r>
              <w:rPr>
                <w:rFonts w:hint="default" w:ascii="Times New Roman" w:hAnsi="Times New Roman" w:cs="Times New Roman"/>
                <w:sz w:val="20"/>
                <w:szCs w:val="20"/>
                <w:highlight w:val="none"/>
              </w:rPr>
              <w:t>1 fewer per 1,000</w:t>
            </w:r>
            <w:r>
              <w:rPr>
                <w:rFonts w:hint="default" w:ascii="Times New Roman" w:hAnsi="Times New Roman" w:cs="Times New Roman"/>
                <w:sz w:val="20"/>
                <w:szCs w:val="20"/>
                <w:highlight w:val="none"/>
              </w:rPr>
              <w:br w:type="textWrapping"/>
            </w:r>
            <w:r>
              <w:rPr>
                <w:rFonts w:hint="default" w:ascii="Times New Roman" w:hAnsi="Times New Roman" w:cs="Times New Roman"/>
                <w:sz w:val="20"/>
                <w:szCs w:val="20"/>
                <w:highlight w:val="none"/>
              </w:rPr>
              <w:t>(from 1 fewer to 1 fewer)</w:t>
            </w:r>
          </w:p>
        </w:tc>
        <w:tc>
          <w:tcPr>
            <w:tcW w:w="1135" w:type="dxa"/>
            <w:tcBorders>
              <w:top w:val="single" w:color="auto" w:sz="4" w:space="0"/>
              <w:left w:val="single" w:color="auto" w:sz="4" w:space="0"/>
              <w:bottom w:val="single" w:color="auto" w:sz="4" w:space="0"/>
              <w:right w:val="single" w:color="auto" w:sz="4" w:space="0"/>
            </w:tcBorders>
            <w:shd w:val="clear" w:color="auto" w:fill="auto"/>
          </w:tcPr>
          <w:p w14:paraId="19C1D054">
            <w:pPr>
              <w:widowControl/>
              <w:jc w:val="center"/>
              <w:textAlignment w:val="top"/>
              <w:rPr>
                <w:rFonts w:hint="default" w:ascii="Times New Roman" w:hAnsi="Times New Roman" w:eastAsia="Arial Narrow" w:cs="Times New Roman"/>
                <w:sz w:val="20"/>
                <w:szCs w:val="20"/>
                <w:highlight w:val="none"/>
              </w:rPr>
            </w:pPr>
            <w:r>
              <w:rPr>
                <w:rStyle w:val="22"/>
                <w:rFonts w:hint="default" w:ascii="Times New Roman" w:hAnsi="Times New Roman" w:cs="Times New Roman"/>
                <w:sz w:val="20"/>
                <w:szCs w:val="20"/>
                <w:highlight w:val="none"/>
              </w:rPr>
              <w:t>⨁⨁</w:t>
            </w:r>
            <w:r>
              <w:rPr>
                <w:rStyle w:val="22"/>
                <w:rFonts w:hint="default" w:ascii="Times New Roman" w:hAnsi="Times New Roman" w:eastAsia="MS Mincho" w:cs="Times New Roman"/>
                <w:sz w:val="20"/>
                <w:szCs w:val="20"/>
                <w:highlight w:val="none"/>
              </w:rPr>
              <w:t>◯◯</w:t>
            </w:r>
            <w:r>
              <w:rPr>
                <w:rFonts w:hint="default" w:ascii="Times New Roman" w:hAnsi="Times New Roman" w:cs="Times New Roman"/>
                <w:sz w:val="20"/>
                <w:szCs w:val="20"/>
                <w:highlight w:val="none"/>
              </w:rPr>
              <w:br w:type="textWrapping"/>
            </w:r>
            <w:r>
              <w:rPr>
                <w:rStyle w:val="23"/>
                <w:rFonts w:hint="default" w:ascii="Times New Roman" w:hAnsi="Times New Roman" w:cs="Times New Roman"/>
                <w:sz w:val="20"/>
                <w:szCs w:val="20"/>
                <w:highlight w:val="none"/>
              </w:rPr>
              <w:t>Low</w:t>
            </w:r>
          </w:p>
        </w:tc>
      </w:tr>
      <w:tr w14:paraId="557B5167">
        <w:tblPrEx>
          <w:tblCellMar>
            <w:top w:w="0" w:type="dxa"/>
            <w:left w:w="108" w:type="dxa"/>
            <w:bottom w:w="0" w:type="dxa"/>
            <w:right w:w="108" w:type="dxa"/>
          </w:tblCellMar>
        </w:tblPrEx>
        <w:trPr>
          <w:trHeight w:val="658" w:hRule="atLeast"/>
        </w:trPr>
        <w:tc>
          <w:tcPr>
            <w:tcW w:w="1886" w:type="dxa"/>
            <w:tcBorders>
              <w:top w:val="single" w:color="auto" w:sz="4" w:space="0"/>
              <w:left w:val="single" w:color="auto" w:sz="4" w:space="0"/>
              <w:bottom w:val="single" w:color="auto" w:sz="4" w:space="0"/>
              <w:right w:val="single" w:color="auto" w:sz="4" w:space="0"/>
            </w:tcBorders>
            <w:shd w:val="clear" w:color="auto" w:fill="auto"/>
          </w:tcPr>
          <w:p w14:paraId="3F8E37B0">
            <w:pPr>
              <w:widowControl/>
              <w:jc w:val="left"/>
              <w:textAlignment w:val="top"/>
              <w:rPr>
                <w:rFonts w:hint="default" w:ascii="Times New Roman" w:hAnsi="Times New Roman" w:eastAsia="Arial Narrow" w:cs="Times New Roman"/>
                <w:kern w:val="0"/>
                <w:sz w:val="20"/>
                <w:szCs w:val="20"/>
                <w:highlight w:val="none"/>
                <w:lang w:bidi="ar"/>
              </w:rPr>
            </w:pPr>
            <w:r>
              <w:rPr>
                <w:rFonts w:hint="default" w:ascii="Times New Roman" w:hAnsi="Times New Roman" w:eastAsia="Arial Narrow" w:cs="Times New Roman"/>
                <w:kern w:val="0"/>
                <w:sz w:val="20"/>
                <w:szCs w:val="20"/>
                <w:highlight w:val="none"/>
                <w:lang w:bidi="ar"/>
              </w:rPr>
              <w:t>All-cause mortality in T2DM</w:t>
            </w:r>
          </w:p>
          <w:p w14:paraId="06FA8CAC">
            <w:pPr>
              <w:widowControl/>
              <w:jc w:val="left"/>
              <w:textAlignment w:val="top"/>
              <w:rPr>
                <w:rFonts w:hint="default" w:ascii="Times New Roman" w:hAnsi="Times New Roman" w:eastAsia="Arial Narrow" w:cs="Times New Roman"/>
                <w:kern w:val="0"/>
                <w:sz w:val="20"/>
                <w:szCs w:val="20"/>
                <w:highlight w:val="none"/>
                <w:lang w:bidi="ar"/>
              </w:rPr>
            </w:pPr>
          </w:p>
        </w:tc>
        <w:tc>
          <w:tcPr>
            <w:tcW w:w="850" w:type="dxa"/>
            <w:tcBorders>
              <w:top w:val="single" w:color="auto" w:sz="4" w:space="0"/>
              <w:left w:val="single" w:color="auto" w:sz="4" w:space="0"/>
              <w:bottom w:val="single" w:color="auto" w:sz="4" w:space="0"/>
              <w:right w:val="single" w:color="auto" w:sz="4" w:space="0"/>
            </w:tcBorders>
            <w:shd w:val="clear" w:color="auto" w:fill="auto"/>
          </w:tcPr>
          <w:p w14:paraId="4102A5A7">
            <w:pPr>
              <w:widowControl/>
              <w:jc w:val="center"/>
              <w:textAlignment w:val="top"/>
              <w:rPr>
                <w:rFonts w:hint="default" w:ascii="Times New Roman" w:hAnsi="Times New Roman" w:eastAsia="Arial Narrow" w:cs="Times New Roman"/>
                <w:kern w:val="0"/>
                <w:sz w:val="20"/>
                <w:szCs w:val="20"/>
                <w:highlight w:val="none"/>
                <w:lang w:bidi="ar"/>
              </w:rPr>
            </w:pPr>
            <w:r>
              <w:rPr>
                <w:rFonts w:hint="default" w:ascii="Times New Roman" w:hAnsi="Times New Roman" w:eastAsia="Arial Narrow" w:cs="Times New Roman"/>
                <w:kern w:val="0"/>
                <w:sz w:val="20"/>
                <w:szCs w:val="20"/>
                <w:highlight w:val="none"/>
                <w:lang w:bidi="ar"/>
              </w:rPr>
              <w:t>2</w:t>
            </w:r>
          </w:p>
        </w:tc>
        <w:tc>
          <w:tcPr>
            <w:tcW w:w="1346" w:type="dxa"/>
            <w:tcBorders>
              <w:top w:val="single" w:color="auto" w:sz="4" w:space="0"/>
              <w:left w:val="single" w:color="auto" w:sz="4" w:space="0"/>
              <w:bottom w:val="single" w:color="auto" w:sz="4" w:space="0"/>
              <w:right w:val="single" w:color="auto" w:sz="4" w:space="0"/>
            </w:tcBorders>
            <w:shd w:val="clear" w:color="auto" w:fill="auto"/>
          </w:tcPr>
          <w:p w14:paraId="32E4284D">
            <w:pPr>
              <w:widowControl/>
              <w:jc w:val="center"/>
              <w:textAlignment w:val="top"/>
              <w:rPr>
                <w:rFonts w:hint="default" w:ascii="Times New Roman" w:hAnsi="Times New Roman" w:eastAsia="Arial Narrow" w:cs="Times New Roman"/>
                <w:kern w:val="0"/>
                <w:sz w:val="20"/>
                <w:szCs w:val="20"/>
                <w:highlight w:val="none"/>
                <w:lang w:bidi="ar"/>
              </w:rPr>
            </w:pPr>
            <w:r>
              <w:rPr>
                <w:rFonts w:hint="default" w:ascii="Times New Roman" w:hAnsi="Times New Roman" w:eastAsia="Arial Narrow" w:cs="Times New Roman"/>
                <w:kern w:val="0"/>
                <w:sz w:val="20"/>
                <w:szCs w:val="20"/>
                <w:highlight w:val="none"/>
                <w:lang w:bidi="ar"/>
              </w:rPr>
              <w:t>observational studies</w:t>
            </w:r>
            <w:r>
              <w:rPr>
                <w:rFonts w:hint="default" w:ascii="Times New Roman" w:hAnsi="Times New Roman" w:eastAsia="Arial Narrow" w:cs="Times New Roman"/>
                <w:kern w:val="0"/>
                <w:sz w:val="20"/>
                <w:szCs w:val="20"/>
                <w:highlight w:val="none"/>
                <w:vertAlign w:val="superscript"/>
                <w:lang w:bidi="ar"/>
              </w:rPr>
              <w:t>f</w:t>
            </w:r>
          </w:p>
        </w:tc>
        <w:tc>
          <w:tcPr>
            <w:tcW w:w="938" w:type="dxa"/>
            <w:tcBorders>
              <w:top w:val="single" w:color="auto" w:sz="4" w:space="0"/>
              <w:left w:val="single" w:color="auto" w:sz="4" w:space="0"/>
              <w:bottom w:val="single" w:color="auto" w:sz="4" w:space="0"/>
              <w:right w:val="single" w:color="auto" w:sz="4" w:space="0"/>
            </w:tcBorders>
            <w:shd w:val="clear" w:color="auto" w:fill="auto"/>
          </w:tcPr>
          <w:p w14:paraId="1B2527B1">
            <w:pPr>
              <w:widowControl/>
              <w:jc w:val="center"/>
              <w:textAlignment w:val="top"/>
              <w:rPr>
                <w:rFonts w:hint="default" w:ascii="Times New Roman" w:hAnsi="Times New Roman" w:eastAsia="Arial Narrow" w:cs="Times New Roman"/>
                <w:kern w:val="0"/>
                <w:sz w:val="20"/>
                <w:szCs w:val="20"/>
                <w:highlight w:val="none"/>
                <w:lang w:bidi="ar"/>
              </w:rPr>
            </w:pPr>
            <w:r>
              <w:rPr>
                <w:rFonts w:hint="default" w:ascii="Times New Roman" w:hAnsi="Times New Roman" w:eastAsia="Arial Narrow" w:cs="Times New Roman"/>
                <w:kern w:val="0"/>
                <w:sz w:val="20"/>
                <w:szCs w:val="20"/>
                <w:highlight w:val="none"/>
                <w:lang w:bidi="ar"/>
              </w:rPr>
              <w:t>not serious</w:t>
            </w:r>
          </w:p>
        </w:tc>
        <w:tc>
          <w:tcPr>
            <w:tcW w:w="1420" w:type="dxa"/>
            <w:tcBorders>
              <w:top w:val="single" w:color="auto" w:sz="4" w:space="0"/>
              <w:left w:val="single" w:color="auto" w:sz="4" w:space="0"/>
              <w:bottom w:val="single" w:color="auto" w:sz="4" w:space="0"/>
              <w:right w:val="single" w:color="auto" w:sz="4" w:space="0"/>
            </w:tcBorders>
            <w:shd w:val="clear" w:color="auto" w:fill="auto"/>
          </w:tcPr>
          <w:p w14:paraId="5A721447">
            <w:pPr>
              <w:widowControl/>
              <w:jc w:val="center"/>
              <w:textAlignment w:val="top"/>
              <w:rPr>
                <w:rFonts w:hint="default" w:ascii="Times New Roman" w:hAnsi="Times New Roman" w:eastAsia="Arial Narrow" w:cs="Times New Roman"/>
                <w:kern w:val="0"/>
                <w:sz w:val="20"/>
                <w:szCs w:val="20"/>
                <w:highlight w:val="none"/>
                <w:lang w:bidi="ar"/>
              </w:rPr>
            </w:pPr>
            <w:r>
              <w:rPr>
                <w:rFonts w:hint="default" w:ascii="Times New Roman" w:hAnsi="Times New Roman" w:eastAsia="Arial Narrow" w:cs="Times New Roman"/>
                <w:kern w:val="0"/>
                <w:sz w:val="20"/>
                <w:szCs w:val="20"/>
                <w:highlight w:val="none"/>
                <w:lang w:bidi="ar"/>
              </w:rPr>
              <w:t>not serious</w:t>
            </w:r>
          </w:p>
        </w:tc>
        <w:tc>
          <w:tcPr>
            <w:tcW w:w="1262" w:type="dxa"/>
            <w:tcBorders>
              <w:top w:val="single" w:color="auto" w:sz="4" w:space="0"/>
              <w:left w:val="single" w:color="auto" w:sz="4" w:space="0"/>
              <w:bottom w:val="single" w:color="auto" w:sz="4" w:space="0"/>
              <w:right w:val="single" w:color="auto" w:sz="4" w:space="0"/>
            </w:tcBorders>
            <w:shd w:val="clear" w:color="auto" w:fill="auto"/>
          </w:tcPr>
          <w:p w14:paraId="0A376A24">
            <w:pPr>
              <w:widowControl/>
              <w:jc w:val="center"/>
              <w:textAlignment w:val="top"/>
              <w:rPr>
                <w:rFonts w:hint="default" w:ascii="Times New Roman" w:hAnsi="Times New Roman" w:eastAsia="Arial Narrow" w:cs="Times New Roman"/>
                <w:kern w:val="0"/>
                <w:sz w:val="20"/>
                <w:szCs w:val="20"/>
                <w:highlight w:val="none"/>
                <w:lang w:bidi="ar"/>
              </w:rPr>
            </w:pPr>
            <w:r>
              <w:rPr>
                <w:rFonts w:hint="default" w:ascii="Times New Roman" w:hAnsi="Times New Roman" w:eastAsia="Arial Narrow" w:cs="Times New Roman"/>
                <w:kern w:val="0"/>
                <w:sz w:val="20"/>
                <w:szCs w:val="20"/>
                <w:highlight w:val="none"/>
                <w:lang w:bidi="ar"/>
              </w:rPr>
              <w:t>not serious</w:t>
            </w:r>
          </w:p>
        </w:tc>
        <w:tc>
          <w:tcPr>
            <w:tcW w:w="1247" w:type="dxa"/>
            <w:tcBorders>
              <w:top w:val="single" w:color="auto" w:sz="4" w:space="0"/>
              <w:left w:val="single" w:color="auto" w:sz="4" w:space="0"/>
              <w:bottom w:val="single" w:color="auto" w:sz="4" w:space="0"/>
              <w:right w:val="single" w:color="auto" w:sz="4" w:space="0"/>
            </w:tcBorders>
            <w:shd w:val="clear" w:color="auto" w:fill="auto"/>
          </w:tcPr>
          <w:p w14:paraId="4A028B4A">
            <w:pPr>
              <w:widowControl/>
              <w:jc w:val="center"/>
              <w:textAlignment w:val="top"/>
              <w:rPr>
                <w:rFonts w:hint="default" w:ascii="Times New Roman" w:hAnsi="Times New Roman" w:eastAsia="Arial Narrow" w:cs="Times New Roman"/>
                <w:kern w:val="0"/>
                <w:sz w:val="20"/>
                <w:szCs w:val="20"/>
                <w:highlight w:val="none"/>
                <w:lang w:bidi="ar"/>
              </w:rPr>
            </w:pPr>
            <w:r>
              <w:rPr>
                <w:rFonts w:hint="default" w:ascii="Times New Roman" w:hAnsi="Times New Roman" w:eastAsia="Arial Narrow" w:cs="Times New Roman"/>
                <w:kern w:val="0"/>
                <w:sz w:val="20"/>
                <w:szCs w:val="20"/>
                <w:highlight w:val="none"/>
                <w:lang w:bidi="ar"/>
              </w:rPr>
              <w:t>not serious</w:t>
            </w:r>
          </w:p>
        </w:tc>
        <w:tc>
          <w:tcPr>
            <w:tcW w:w="1224" w:type="dxa"/>
            <w:tcBorders>
              <w:top w:val="single" w:color="auto" w:sz="4" w:space="0"/>
              <w:left w:val="single" w:color="auto" w:sz="4" w:space="0"/>
              <w:bottom w:val="single" w:color="auto" w:sz="4" w:space="0"/>
              <w:right w:val="single" w:color="auto" w:sz="4" w:space="0"/>
            </w:tcBorders>
            <w:shd w:val="clear" w:color="auto" w:fill="auto"/>
          </w:tcPr>
          <w:p w14:paraId="58514597">
            <w:pPr>
              <w:widowControl/>
              <w:jc w:val="center"/>
              <w:textAlignment w:val="top"/>
              <w:rPr>
                <w:rFonts w:hint="default" w:ascii="Times New Roman" w:hAnsi="Times New Roman" w:eastAsia="Arial Narrow" w:cs="Times New Roman"/>
                <w:kern w:val="0"/>
                <w:sz w:val="20"/>
                <w:szCs w:val="20"/>
                <w:highlight w:val="none"/>
                <w:lang w:bidi="ar"/>
              </w:rPr>
            </w:pPr>
            <w:r>
              <w:rPr>
                <w:rFonts w:hint="default" w:ascii="Times New Roman" w:hAnsi="Times New Roman" w:eastAsia="Arial Narrow" w:cs="Times New Roman"/>
                <w:kern w:val="0"/>
                <w:sz w:val="20"/>
                <w:szCs w:val="20"/>
                <w:highlight w:val="none"/>
                <w:lang w:bidi="ar"/>
              </w:rPr>
              <w:t>undetected</w:t>
            </w:r>
          </w:p>
        </w:tc>
        <w:tc>
          <w:tcPr>
            <w:tcW w:w="1463" w:type="dxa"/>
            <w:tcBorders>
              <w:top w:val="single" w:color="auto" w:sz="4" w:space="0"/>
              <w:left w:val="single" w:color="auto" w:sz="4" w:space="0"/>
              <w:bottom w:val="single" w:color="auto" w:sz="4" w:space="0"/>
              <w:right w:val="single" w:color="auto" w:sz="4" w:space="0"/>
            </w:tcBorders>
            <w:shd w:val="clear" w:color="auto" w:fill="auto"/>
          </w:tcPr>
          <w:p w14:paraId="23683298">
            <w:pPr>
              <w:widowControl/>
              <w:jc w:val="center"/>
              <w:textAlignment w:val="top"/>
              <w:rPr>
                <w:rFonts w:hint="default" w:ascii="Times New Roman" w:hAnsi="Times New Roman" w:eastAsia="Arial Narrow" w:cs="Times New Roman"/>
                <w:kern w:val="0"/>
                <w:sz w:val="20"/>
                <w:szCs w:val="20"/>
                <w:highlight w:val="none"/>
                <w:lang w:bidi="ar"/>
              </w:rPr>
            </w:pPr>
            <w:r>
              <w:rPr>
                <w:rFonts w:hint="default" w:ascii="Times New Roman" w:hAnsi="Times New Roman" w:eastAsia="Arial Narrow" w:cs="Times New Roman"/>
                <w:kern w:val="0"/>
                <w:sz w:val="20"/>
                <w:szCs w:val="20"/>
                <w:highlight w:val="none"/>
                <w:lang w:bidi="ar"/>
              </w:rPr>
              <w:t>none</w:t>
            </w:r>
          </w:p>
        </w:tc>
        <w:tc>
          <w:tcPr>
            <w:tcW w:w="946" w:type="dxa"/>
            <w:tcBorders>
              <w:top w:val="single" w:color="auto" w:sz="4" w:space="0"/>
              <w:left w:val="single" w:color="auto" w:sz="4" w:space="0"/>
              <w:bottom w:val="single" w:color="auto" w:sz="4" w:space="0"/>
              <w:right w:val="single" w:color="auto" w:sz="4" w:space="0"/>
            </w:tcBorders>
            <w:shd w:val="clear" w:color="auto" w:fill="auto"/>
          </w:tcPr>
          <w:p w14:paraId="377F616B">
            <w:pPr>
              <w:widowControl/>
              <w:jc w:val="center"/>
              <w:textAlignment w:val="top"/>
              <w:rPr>
                <w:rFonts w:hint="default" w:ascii="Times New Roman" w:hAnsi="Times New Roman" w:eastAsia="Arial Narrow" w:cs="Times New Roman"/>
                <w:kern w:val="0"/>
                <w:sz w:val="20"/>
                <w:szCs w:val="20"/>
                <w:highlight w:val="none"/>
                <w:lang w:bidi="ar"/>
              </w:rPr>
            </w:pPr>
            <w:r>
              <w:rPr>
                <w:rFonts w:hint="default" w:ascii="Times New Roman" w:hAnsi="Times New Roman" w:eastAsia="Arial Narrow" w:cs="Times New Roman"/>
                <w:kern w:val="0"/>
                <w:sz w:val="20"/>
                <w:szCs w:val="20"/>
                <w:highlight w:val="none"/>
                <w:lang w:bidi="ar"/>
              </w:rPr>
              <w:t>108,250</w:t>
            </w:r>
          </w:p>
        </w:tc>
        <w:tc>
          <w:tcPr>
            <w:tcW w:w="1362" w:type="dxa"/>
            <w:tcBorders>
              <w:top w:val="single" w:color="auto" w:sz="4" w:space="0"/>
              <w:left w:val="single" w:color="auto" w:sz="4" w:space="0"/>
              <w:bottom w:val="single" w:color="auto" w:sz="4" w:space="0"/>
              <w:right w:val="single" w:color="auto" w:sz="4" w:space="0"/>
            </w:tcBorders>
            <w:shd w:val="clear" w:color="auto" w:fill="auto"/>
          </w:tcPr>
          <w:p w14:paraId="41C3FF5B">
            <w:pPr>
              <w:widowControl/>
              <w:jc w:val="center"/>
              <w:textAlignment w:val="top"/>
              <w:rPr>
                <w:rFonts w:hint="default" w:ascii="Times New Roman" w:hAnsi="Times New Roman" w:eastAsia="Arial Narrow" w:cs="Times New Roman"/>
                <w:kern w:val="0"/>
                <w:sz w:val="20"/>
                <w:szCs w:val="20"/>
                <w:highlight w:val="none"/>
                <w:lang w:bidi="ar"/>
              </w:rPr>
            </w:pPr>
            <w:r>
              <w:rPr>
                <w:rFonts w:hint="default" w:ascii="Times New Roman" w:hAnsi="Times New Roman" w:eastAsia="Arial Narrow" w:cs="Times New Roman"/>
                <w:kern w:val="0"/>
                <w:sz w:val="20"/>
                <w:szCs w:val="20"/>
                <w:highlight w:val="none"/>
                <w:lang w:bidi="ar"/>
              </w:rPr>
              <w:t xml:space="preserve">HR 0.90 </w:t>
            </w:r>
          </w:p>
          <w:p w14:paraId="6687E6C8">
            <w:pPr>
              <w:widowControl/>
              <w:jc w:val="center"/>
              <w:textAlignment w:val="top"/>
              <w:rPr>
                <w:rFonts w:hint="default" w:ascii="Times New Roman" w:hAnsi="Times New Roman" w:eastAsia="Arial Narrow" w:cs="Times New Roman"/>
                <w:kern w:val="0"/>
                <w:sz w:val="20"/>
                <w:szCs w:val="20"/>
                <w:highlight w:val="none"/>
                <w:lang w:bidi="ar"/>
              </w:rPr>
            </w:pPr>
            <w:r>
              <w:rPr>
                <w:rFonts w:hint="default" w:ascii="Times New Roman" w:hAnsi="Times New Roman" w:eastAsia="Arial Narrow" w:cs="Times New Roman"/>
                <w:kern w:val="0"/>
                <w:sz w:val="20"/>
                <w:szCs w:val="20"/>
                <w:highlight w:val="none"/>
                <w:lang w:bidi="ar"/>
              </w:rPr>
              <w:t>(0.84 to 0.97)</w:t>
            </w:r>
          </w:p>
        </w:tc>
        <w:tc>
          <w:tcPr>
            <w:tcW w:w="1539" w:type="dxa"/>
            <w:tcBorders>
              <w:top w:val="single" w:color="auto" w:sz="4" w:space="0"/>
              <w:left w:val="single" w:color="auto" w:sz="4" w:space="0"/>
              <w:bottom w:val="single" w:color="auto" w:sz="4" w:space="0"/>
              <w:right w:val="single" w:color="auto" w:sz="4" w:space="0"/>
            </w:tcBorders>
            <w:shd w:val="clear" w:color="auto" w:fill="auto"/>
          </w:tcPr>
          <w:p w14:paraId="2F38A5E8">
            <w:pPr>
              <w:widowControl/>
              <w:jc w:val="center"/>
              <w:textAlignment w:val="top"/>
              <w:rPr>
                <w:rFonts w:hint="default" w:ascii="Times New Roman" w:hAnsi="Times New Roman" w:eastAsia="Arial Narrow" w:cs="Times New Roman"/>
                <w:kern w:val="0"/>
                <w:sz w:val="20"/>
                <w:szCs w:val="20"/>
                <w:highlight w:val="none"/>
                <w:lang w:bidi="ar"/>
              </w:rPr>
            </w:pPr>
            <w:r>
              <w:rPr>
                <w:rFonts w:hint="default" w:ascii="Times New Roman" w:hAnsi="Times New Roman" w:eastAsia="Arial Narrow" w:cs="Times New Roman"/>
                <w:kern w:val="0"/>
                <w:sz w:val="20"/>
                <w:szCs w:val="20"/>
                <w:highlight w:val="none"/>
                <w:lang w:bidi="ar"/>
              </w:rPr>
              <w:t>1 fewer per 1,000</w:t>
            </w:r>
            <w:r>
              <w:rPr>
                <w:rFonts w:hint="default" w:ascii="Times New Roman" w:hAnsi="Times New Roman" w:eastAsia="Arial Narrow" w:cs="Times New Roman"/>
                <w:kern w:val="0"/>
                <w:sz w:val="20"/>
                <w:szCs w:val="20"/>
                <w:highlight w:val="none"/>
                <w:lang w:bidi="ar"/>
              </w:rPr>
              <w:br w:type="textWrapping"/>
            </w:r>
            <w:r>
              <w:rPr>
                <w:rFonts w:hint="default" w:ascii="Times New Roman" w:hAnsi="Times New Roman" w:eastAsia="Arial Narrow" w:cs="Times New Roman"/>
                <w:kern w:val="0"/>
                <w:sz w:val="20"/>
                <w:szCs w:val="20"/>
                <w:highlight w:val="none"/>
                <w:lang w:bidi="ar"/>
              </w:rPr>
              <w:t>(from 1 fewer to 1 fewer)</w:t>
            </w:r>
          </w:p>
        </w:tc>
        <w:tc>
          <w:tcPr>
            <w:tcW w:w="1135" w:type="dxa"/>
            <w:tcBorders>
              <w:top w:val="single" w:color="auto" w:sz="4" w:space="0"/>
              <w:left w:val="single" w:color="auto" w:sz="4" w:space="0"/>
              <w:bottom w:val="single" w:color="auto" w:sz="4" w:space="0"/>
              <w:right w:val="single" w:color="auto" w:sz="4" w:space="0"/>
            </w:tcBorders>
            <w:shd w:val="clear" w:color="auto" w:fill="auto"/>
          </w:tcPr>
          <w:p w14:paraId="186E8FCB">
            <w:pPr>
              <w:widowControl/>
              <w:jc w:val="center"/>
              <w:textAlignment w:val="top"/>
              <w:rPr>
                <w:rFonts w:hint="default" w:ascii="Times New Roman" w:hAnsi="Times New Roman" w:eastAsia="Arial Narrow" w:cs="Times New Roman"/>
                <w:sz w:val="20"/>
                <w:szCs w:val="20"/>
                <w:highlight w:val="none"/>
              </w:rPr>
            </w:pPr>
            <w:r>
              <w:rPr>
                <w:rStyle w:val="22"/>
                <w:rFonts w:hint="default" w:ascii="Times New Roman" w:hAnsi="Times New Roman" w:cs="Times New Roman"/>
                <w:sz w:val="20"/>
                <w:szCs w:val="20"/>
                <w:highlight w:val="none"/>
              </w:rPr>
              <w:t>⨁⨁</w:t>
            </w:r>
            <w:r>
              <w:rPr>
                <w:rStyle w:val="22"/>
                <w:rFonts w:hint="default" w:ascii="Times New Roman" w:hAnsi="Times New Roman" w:eastAsia="MS Mincho" w:cs="Times New Roman"/>
                <w:sz w:val="20"/>
                <w:szCs w:val="20"/>
                <w:highlight w:val="none"/>
              </w:rPr>
              <w:t>◯◯</w:t>
            </w:r>
            <w:r>
              <w:rPr>
                <w:rFonts w:hint="default" w:ascii="Times New Roman" w:hAnsi="Times New Roman" w:cs="Times New Roman"/>
                <w:sz w:val="20"/>
                <w:szCs w:val="20"/>
                <w:highlight w:val="none"/>
              </w:rPr>
              <w:br w:type="textWrapping"/>
            </w:r>
            <w:r>
              <w:rPr>
                <w:rStyle w:val="23"/>
                <w:rFonts w:hint="default" w:ascii="Times New Roman" w:hAnsi="Times New Roman" w:cs="Times New Roman"/>
                <w:sz w:val="20"/>
                <w:szCs w:val="20"/>
                <w:highlight w:val="none"/>
              </w:rPr>
              <w:t>Low</w:t>
            </w:r>
          </w:p>
        </w:tc>
      </w:tr>
      <w:tr w14:paraId="0B2E3BC0">
        <w:tblPrEx>
          <w:tblCellMar>
            <w:top w:w="0" w:type="dxa"/>
            <w:left w:w="108" w:type="dxa"/>
            <w:bottom w:w="0" w:type="dxa"/>
            <w:right w:w="108" w:type="dxa"/>
          </w:tblCellMar>
        </w:tblPrEx>
        <w:trPr>
          <w:trHeight w:val="90" w:hRule="atLeast"/>
        </w:trPr>
        <w:tc>
          <w:tcPr>
            <w:tcW w:w="1886" w:type="dxa"/>
            <w:tcBorders>
              <w:top w:val="single" w:color="auto" w:sz="4" w:space="0"/>
              <w:left w:val="single" w:color="auto" w:sz="4" w:space="0"/>
              <w:bottom w:val="single" w:color="auto" w:sz="4" w:space="0"/>
              <w:right w:val="single" w:color="auto" w:sz="4" w:space="0"/>
            </w:tcBorders>
            <w:shd w:val="clear" w:color="auto" w:fill="auto"/>
          </w:tcPr>
          <w:p w14:paraId="56FB89A5">
            <w:pPr>
              <w:widowControl/>
              <w:jc w:val="left"/>
              <w:textAlignment w:val="top"/>
              <w:rPr>
                <w:rFonts w:hint="default" w:ascii="Times New Roman" w:hAnsi="Times New Roman" w:eastAsia="宋体" w:cs="Times New Roman"/>
                <w:kern w:val="0"/>
                <w:sz w:val="20"/>
                <w:szCs w:val="20"/>
                <w:highlight w:val="none"/>
                <w:lang w:bidi="ar"/>
              </w:rPr>
            </w:pPr>
            <w:r>
              <w:rPr>
                <w:rFonts w:hint="default" w:ascii="Times New Roman" w:hAnsi="Times New Roman" w:eastAsia="Arial Narrow" w:cs="Times New Roman"/>
                <w:kern w:val="0"/>
                <w:sz w:val="20"/>
                <w:szCs w:val="20"/>
                <w:highlight w:val="none"/>
                <w:lang w:bidi="ar"/>
              </w:rPr>
              <w:t>All-cause mortality in</w:t>
            </w:r>
            <w:r>
              <w:rPr>
                <w:rFonts w:hint="default" w:ascii="Times New Roman" w:hAnsi="Times New Roman" w:eastAsia="宋体" w:cs="Times New Roman"/>
                <w:kern w:val="0"/>
                <w:sz w:val="20"/>
                <w:szCs w:val="20"/>
                <w:highlight w:val="none"/>
                <w:lang w:bidi="ar"/>
              </w:rPr>
              <w:t xml:space="preserve"> general population</w:t>
            </w:r>
          </w:p>
        </w:tc>
        <w:tc>
          <w:tcPr>
            <w:tcW w:w="850" w:type="dxa"/>
            <w:tcBorders>
              <w:top w:val="single" w:color="auto" w:sz="4" w:space="0"/>
              <w:left w:val="single" w:color="auto" w:sz="4" w:space="0"/>
              <w:bottom w:val="single" w:color="auto" w:sz="4" w:space="0"/>
              <w:right w:val="single" w:color="auto" w:sz="4" w:space="0"/>
            </w:tcBorders>
            <w:shd w:val="clear" w:color="auto" w:fill="auto"/>
          </w:tcPr>
          <w:p w14:paraId="127D3EAD">
            <w:pPr>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2</w:t>
            </w:r>
          </w:p>
        </w:tc>
        <w:tc>
          <w:tcPr>
            <w:tcW w:w="1346" w:type="dxa"/>
            <w:tcBorders>
              <w:top w:val="single" w:color="auto" w:sz="4" w:space="0"/>
              <w:left w:val="single" w:color="auto" w:sz="4" w:space="0"/>
              <w:bottom w:val="single" w:color="auto" w:sz="4" w:space="0"/>
              <w:right w:val="single" w:color="auto" w:sz="4" w:space="0"/>
            </w:tcBorders>
            <w:shd w:val="clear" w:color="auto" w:fill="auto"/>
          </w:tcPr>
          <w:p w14:paraId="24D2B9DC">
            <w:pPr>
              <w:widowControl/>
              <w:jc w:val="center"/>
              <w:textAlignment w:val="top"/>
              <w:rPr>
                <w:rFonts w:hint="default" w:ascii="Times New Roman" w:hAnsi="Times New Roman" w:eastAsia="宋体" w:cs="Times New Roman"/>
                <w:kern w:val="0"/>
                <w:sz w:val="20"/>
                <w:szCs w:val="20"/>
                <w:highlight w:val="none"/>
                <w:lang w:bidi="ar"/>
              </w:rPr>
            </w:pPr>
            <w:r>
              <w:rPr>
                <w:rFonts w:hint="default" w:ascii="Times New Roman" w:hAnsi="Times New Roman" w:eastAsia="Arial Narrow" w:cs="Times New Roman"/>
                <w:kern w:val="0"/>
                <w:sz w:val="20"/>
                <w:szCs w:val="20"/>
                <w:highlight w:val="none"/>
                <w:lang w:bidi="ar"/>
              </w:rPr>
              <w:t>observational studies</w:t>
            </w:r>
            <w:r>
              <w:rPr>
                <w:rStyle w:val="21"/>
                <w:rFonts w:hint="default" w:ascii="Times New Roman" w:hAnsi="Times New Roman" w:eastAsia="宋体" w:cs="Times New Roman"/>
                <w:color w:val="auto"/>
                <w:sz w:val="20"/>
                <w:szCs w:val="20"/>
                <w:highlight w:val="none"/>
                <w:lang w:bidi="ar"/>
              </w:rPr>
              <w:t>h</w:t>
            </w:r>
          </w:p>
        </w:tc>
        <w:tc>
          <w:tcPr>
            <w:tcW w:w="938" w:type="dxa"/>
            <w:tcBorders>
              <w:top w:val="single" w:color="auto" w:sz="4" w:space="0"/>
              <w:left w:val="single" w:color="auto" w:sz="4" w:space="0"/>
              <w:bottom w:val="single" w:color="auto" w:sz="4" w:space="0"/>
              <w:right w:val="single" w:color="auto" w:sz="4" w:space="0"/>
            </w:tcBorders>
            <w:shd w:val="clear" w:color="auto" w:fill="auto"/>
          </w:tcPr>
          <w:p w14:paraId="1DA8C504">
            <w:pPr>
              <w:jc w:val="cente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not serious</w:t>
            </w:r>
          </w:p>
        </w:tc>
        <w:tc>
          <w:tcPr>
            <w:tcW w:w="1420" w:type="dxa"/>
            <w:tcBorders>
              <w:top w:val="single" w:color="auto" w:sz="4" w:space="0"/>
              <w:left w:val="single" w:color="auto" w:sz="4" w:space="0"/>
              <w:bottom w:val="single" w:color="auto" w:sz="4" w:space="0"/>
              <w:right w:val="single" w:color="auto" w:sz="4" w:space="0"/>
            </w:tcBorders>
            <w:shd w:val="clear" w:color="auto" w:fill="auto"/>
          </w:tcPr>
          <w:p w14:paraId="7420D6C3">
            <w:pPr>
              <w:jc w:val="cente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not serious</w:t>
            </w:r>
          </w:p>
          <w:p w14:paraId="4BBA5689">
            <w:pPr>
              <w:jc w:val="center"/>
              <w:rPr>
                <w:rFonts w:hint="default" w:ascii="Times New Roman" w:hAnsi="Times New Roman" w:cs="Times New Roman"/>
                <w:sz w:val="20"/>
                <w:szCs w:val="20"/>
                <w:highlight w:val="none"/>
              </w:rPr>
            </w:pPr>
          </w:p>
        </w:tc>
        <w:tc>
          <w:tcPr>
            <w:tcW w:w="1262" w:type="dxa"/>
            <w:tcBorders>
              <w:top w:val="single" w:color="auto" w:sz="4" w:space="0"/>
              <w:left w:val="single" w:color="auto" w:sz="4" w:space="0"/>
              <w:bottom w:val="single" w:color="auto" w:sz="4" w:space="0"/>
              <w:right w:val="single" w:color="auto" w:sz="4" w:space="0"/>
            </w:tcBorders>
            <w:shd w:val="clear" w:color="auto" w:fill="auto"/>
          </w:tcPr>
          <w:p w14:paraId="028C7A4C">
            <w:pPr>
              <w:jc w:val="cente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not serious</w:t>
            </w:r>
          </w:p>
        </w:tc>
        <w:tc>
          <w:tcPr>
            <w:tcW w:w="1247" w:type="dxa"/>
            <w:tcBorders>
              <w:top w:val="single" w:color="auto" w:sz="4" w:space="0"/>
              <w:left w:val="single" w:color="auto" w:sz="4" w:space="0"/>
              <w:bottom w:val="single" w:color="auto" w:sz="4" w:space="0"/>
              <w:right w:val="single" w:color="auto" w:sz="4" w:space="0"/>
            </w:tcBorders>
            <w:shd w:val="clear" w:color="auto" w:fill="auto"/>
          </w:tcPr>
          <w:p w14:paraId="7822A979">
            <w:pPr>
              <w:jc w:val="cente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not serious</w:t>
            </w:r>
          </w:p>
        </w:tc>
        <w:tc>
          <w:tcPr>
            <w:tcW w:w="1224" w:type="dxa"/>
            <w:tcBorders>
              <w:top w:val="single" w:color="auto" w:sz="4" w:space="0"/>
              <w:left w:val="single" w:color="auto" w:sz="4" w:space="0"/>
              <w:bottom w:val="single" w:color="auto" w:sz="4" w:space="0"/>
              <w:right w:val="single" w:color="auto" w:sz="4" w:space="0"/>
            </w:tcBorders>
            <w:shd w:val="clear" w:color="auto" w:fill="auto"/>
          </w:tcPr>
          <w:p w14:paraId="309C146D">
            <w:pPr>
              <w:jc w:val="cente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undetected</w:t>
            </w:r>
          </w:p>
        </w:tc>
        <w:tc>
          <w:tcPr>
            <w:tcW w:w="1463" w:type="dxa"/>
            <w:tcBorders>
              <w:top w:val="single" w:color="auto" w:sz="4" w:space="0"/>
              <w:left w:val="single" w:color="auto" w:sz="4" w:space="0"/>
              <w:bottom w:val="single" w:color="auto" w:sz="4" w:space="0"/>
              <w:right w:val="single" w:color="auto" w:sz="4" w:space="0"/>
            </w:tcBorders>
            <w:shd w:val="clear" w:color="auto" w:fill="auto"/>
          </w:tcPr>
          <w:p w14:paraId="5E6D32AC">
            <w:pPr>
              <w:jc w:val="cente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none</w:t>
            </w:r>
          </w:p>
        </w:tc>
        <w:tc>
          <w:tcPr>
            <w:tcW w:w="946" w:type="dxa"/>
            <w:tcBorders>
              <w:top w:val="single" w:color="auto" w:sz="4" w:space="0"/>
              <w:left w:val="single" w:color="auto" w:sz="4" w:space="0"/>
              <w:bottom w:val="single" w:color="auto" w:sz="4" w:space="0"/>
              <w:right w:val="single" w:color="auto" w:sz="4" w:space="0"/>
            </w:tcBorders>
            <w:shd w:val="clear" w:color="auto" w:fill="auto"/>
          </w:tcPr>
          <w:p w14:paraId="1753605C">
            <w:pPr>
              <w:jc w:val="cente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16,454</w:t>
            </w:r>
          </w:p>
        </w:tc>
        <w:tc>
          <w:tcPr>
            <w:tcW w:w="1362" w:type="dxa"/>
            <w:tcBorders>
              <w:top w:val="single" w:color="auto" w:sz="4" w:space="0"/>
              <w:left w:val="single" w:color="auto" w:sz="4" w:space="0"/>
              <w:bottom w:val="single" w:color="auto" w:sz="4" w:space="0"/>
              <w:right w:val="single" w:color="auto" w:sz="4" w:space="0"/>
            </w:tcBorders>
            <w:shd w:val="clear" w:color="auto" w:fill="auto"/>
          </w:tcPr>
          <w:p w14:paraId="719FAF78">
            <w:pPr>
              <w:jc w:val="cente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 xml:space="preserve">HR 0.88 </w:t>
            </w:r>
          </w:p>
          <w:p w14:paraId="4788769F">
            <w:pPr>
              <w:jc w:val="cente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(0.82 to 0.94)</w:t>
            </w:r>
          </w:p>
          <w:p w14:paraId="711F8507">
            <w:pPr>
              <w:jc w:val="center"/>
              <w:rPr>
                <w:rFonts w:hint="default" w:ascii="Times New Roman" w:hAnsi="Times New Roman" w:cs="Times New Roman"/>
                <w:sz w:val="20"/>
                <w:szCs w:val="20"/>
                <w:highlight w:val="none"/>
              </w:rPr>
            </w:pPr>
          </w:p>
        </w:tc>
        <w:tc>
          <w:tcPr>
            <w:tcW w:w="1539" w:type="dxa"/>
            <w:tcBorders>
              <w:top w:val="single" w:color="auto" w:sz="4" w:space="0"/>
              <w:left w:val="single" w:color="auto" w:sz="4" w:space="0"/>
              <w:bottom w:val="single" w:color="auto" w:sz="4" w:space="0"/>
              <w:right w:val="single" w:color="auto" w:sz="4" w:space="0"/>
            </w:tcBorders>
            <w:shd w:val="clear" w:color="auto" w:fill="auto"/>
          </w:tcPr>
          <w:p w14:paraId="016AF2AA">
            <w:pPr>
              <w:jc w:val="cente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 fewer per 1,000</w:t>
            </w:r>
            <w:r>
              <w:rPr>
                <w:rFonts w:hint="default" w:ascii="Times New Roman" w:hAnsi="Times New Roman" w:cs="Times New Roman"/>
                <w:sz w:val="20"/>
                <w:szCs w:val="20"/>
                <w:highlight w:val="none"/>
              </w:rPr>
              <w:br w:type="textWrapping"/>
            </w:r>
            <w:r>
              <w:rPr>
                <w:rFonts w:hint="default" w:ascii="Times New Roman" w:hAnsi="Times New Roman" w:cs="Times New Roman"/>
                <w:sz w:val="20"/>
                <w:szCs w:val="20"/>
                <w:highlight w:val="none"/>
              </w:rPr>
              <w:t>(from 1 fewer to 1 fewer)</w:t>
            </w:r>
          </w:p>
        </w:tc>
        <w:tc>
          <w:tcPr>
            <w:tcW w:w="1135" w:type="dxa"/>
            <w:tcBorders>
              <w:top w:val="single" w:color="auto" w:sz="4" w:space="0"/>
              <w:left w:val="single" w:color="auto" w:sz="4" w:space="0"/>
              <w:bottom w:val="single" w:color="auto" w:sz="4" w:space="0"/>
              <w:right w:val="single" w:color="auto" w:sz="4" w:space="0"/>
            </w:tcBorders>
            <w:shd w:val="clear" w:color="auto" w:fill="auto"/>
          </w:tcPr>
          <w:p w14:paraId="61453499">
            <w:pPr>
              <w:widowControl/>
              <w:jc w:val="center"/>
              <w:textAlignment w:val="top"/>
              <w:rPr>
                <w:rFonts w:hint="default" w:ascii="Times New Roman" w:hAnsi="Times New Roman" w:eastAsia="Arial Narrow" w:cs="Times New Roman"/>
                <w:sz w:val="20"/>
                <w:szCs w:val="20"/>
                <w:highlight w:val="none"/>
              </w:rPr>
            </w:pPr>
            <w:r>
              <w:rPr>
                <w:rStyle w:val="22"/>
                <w:rFonts w:hint="default" w:ascii="Times New Roman" w:hAnsi="Times New Roman" w:cs="Times New Roman"/>
                <w:sz w:val="20"/>
                <w:szCs w:val="20"/>
                <w:highlight w:val="none"/>
              </w:rPr>
              <w:t>⨁⨁</w:t>
            </w:r>
            <w:r>
              <w:rPr>
                <w:rStyle w:val="22"/>
                <w:rFonts w:hint="default" w:ascii="Times New Roman" w:hAnsi="Times New Roman" w:eastAsia="MS Mincho" w:cs="Times New Roman"/>
                <w:sz w:val="20"/>
                <w:szCs w:val="20"/>
                <w:highlight w:val="none"/>
              </w:rPr>
              <w:t>◯◯</w:t>
            </w:r>
            <w:r>
              <w:rPr>
                <w:rFonts w:hint="default" w:ascii="Times New Roman" w:hAnsi="Times New Roman" w:cs="Times New Roman"/>
                <w:sz w:val="20"/>
                <w:szCs w:val="20"/>
                <w:highlight w:val="none"/>
              </w:rPr>
              <w:br w:type="textWrapping"/>
            </w:r>
            <w:r>
              <w:rPr>
                <w:rStyle w:val="23"/>
                <w:rFonts w:hint="default" w:ascii="Times New Roman" w:hAnsi="Times New Roman" w:cs="Times New Roman"/>
                <w:sz w:val="20"/>
                <w:szCs w:val="20"/>
                <w:highlight w:val="none"/>
              </w:rPr>
              <w:t>Low</w:t>
            </w:r>
          </w:p>
        </w:tc>
      </w:tr>
      <w:tr w14:paraId="4F5C605A">
        <w:tblPrEx>
          <w:tblCellMar>
            <w:top w:w="0" w:type="dxa"/>
            <w:left w:w="108" w:type="dxa"/>
            <w:bottom w:w="0" w:type="dxa"/>
            <w:right w:w="108" w:type="dxa"/>
          </w:tblCellMar>
        </w:tblPrEx>
        <w:trPr>
          <w:trHeight w:val="90" w:hRule="atLeast"/>
        </w:trPr>
        <w:tc>
          <w:tcPr>
            <w:tcW w:w="1886" w:type="dxa"/>
            <w:tcBorders>
              <w:top w:val="single" w:color="auto" w:sz="4" w:space="0"/>
              <w:left w:val="single" w:color="auto" w:sz="4" w:space="0"/>
              <w:bottom w:val="single" w:color="auto" w:sz="4" w:space="0"/>
              <w:right w:val="single" w:color="auto" w:sz="4" w:space="0"/>
            </w:tcBorders>
            <w:shd w:val="clear" w:color="auto" w:fill="auto"/>
          </w:tcPr>
          <w:p w14:paraId="6311D4EE">
            <w:pPr>
              <w:widowControl/>
              <w:jc w:val="left"/>
              <w:textAlignment w:val="top"/>
              <w:rPr>
                <w:rFonts w:hint="default" w:ascii="Times New Roman" w:hAnsi="Times New Roman" w:eastAsia="宋体" w:cs="Times New Roman"/>
                <w:kern w:val="0"/>
                <w:sz w:val="20"/>
                <w:szCs w:val="20"/>
                <w:highlight w:val="none"/>
                <w:lang w:bidi="ar"/>
              </w:rPr>
            </w:pPr>
            <w:r>
              <w:rPr>
                <w:rFonts w:hint="default" w:ascii="Times New Roman" w:hAnsi="Times New Roman" w:eastAsia="宋体" w:cs="Times New Roman"/>
                <w:kern w:val="0"/>
                <w:sz w:val="20"/>
                <w:szCs w:val="20"/>
                <w:highlight w:val="none"/>
                <w:lang w:bidi="ar"/>
              </w:rPr>
              <w:t>Mean eGDR in T1DM</w:t>
            </w:r>
          </w:p>
        </w:tc>
        <w:tc>
          <w:tcPr>
            <w:tcW w:w="850" w:type="dxa"/>
            <w:tcBorders>
              <w:top w:val="single" w:color="auto" w:sz="4" w:space="0"/>
              <w:left w:val="single" w:color="auto" w:sz="4" w:space="0"/>
              <w:bottom w:val="single" w:color="auto" w:sz="4" w:space="0"/>
              <w:right w:val="single" w:color="auto" w:sz="4" w:space="0"/>
            </w:tcBorders>
            <w:shd w:val="clear" w:color="auto" w:fill="auto"/>
          </w:tcPr>
          <w:p w14:paraId="61A08B45">
            <w:pPr>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 xml:space="preserve"> </w:t>
            </w:r>
            <w:r>
              <w:rPr>
                <w:rFonts w:hint="default" w:ascii="Times New Roman" w:hAnsi="Times New Roman" w:eastAsia="宋体" w:cs="Times New Roman"/>
                <w:sz w:val="20"/>
                <w:szCs w:val="20"/>
                <w:highlight w:val="none"/>
              </w:rPr>
              <w:t>46</w:t>
            </w:r>
          </w:p>
        </w:tc>
        <w:tc>
          <w:tcPr>
            <w:tcW w:w="1346" w:type="dxa"/>
            <w:tcBorders>
              <w:top w:val="single" w:color="auto" w:sz="4" w:space="0"/>
              <w:left w:val="single" w:color="auto" w:sz="4" w:space="0"/>
              <w:bottom w:val="single" w:color="auto" w:sz="4" w:space="0"/>
              <w:right w:val="single" w:color="auto" w:sz="4" w:space="0"/>
            </w:tcBorders>
            <w:shd w:val="clear" w:color="auto" w:fill="auto"/>
          </w:tcPr>
          <w:p w14:paraId="2C5F63FF">
            <w:pPr>
              <w:widowControl/>
              <w:jc w:val="center"/>
              <w:textAlignment w:val="top"/>
              <w:rPr>
                <w:rFonts w:hint="default" w:ascii="Times New Roman" w:hAnsi="Times New Roman" w:eastAsia="宋体" w:cs="Times New Roman"/>
                <w:sz w:val="20"/>
                <w:szCs w:val="20"/>
                <w:highlight w:val="none"/>
              </w:rPr>
            </w:pPr>
            <w:r>
              <w:rPr>
                <w:rFonts w:hint="default" w:ascii="Times New Roman" w:hAnsi="Times New Roman" w:eastAsia="Arial Narrow" w:cs="Times New Roman"/>
                <w:kern w:val="0"/>
                <w:sz w:val="20"/>
                <w:szCs w:val="20"/>
                <w:highlight w:val="none"/>
                <w:lang w:bidi="ar"/>
              </w:rPr>
              <w:t>observational studies</w:t>
            </w:r>
            <w:r>
              <w:rPr>
                <w:rFonts w:hint="default" w:ascii="Times New Roman" w:hAnsi="Times New Roman" w:eastAsia="宋体" w:cs="Times New Roman"/>
                <w:kern w:val="0"/>
                <w:sz w:val="20"/>
                <w:szCs w:val="20"/>
                <w:highlight w:val="none"/>
                <w:vertAlign w:val="superscript"/>
                <w:lang w:bidi="ar"/>
              </w:rPr>
              <w:t>h</w:t>
            </w:r>
          </w:p>
        </w:tc>
        <w:tc>
          <w:tcPr>
            <w:tcW w:w="938" w:type="dxa"/>
            <w:tcBorders>
              <w:top w:val="single" w:color="auto" w:sz="4" w:space="0"/>
              <w:left w:val="single" w:color="auto" w:sz="4" w:space="0"/>
              <w:bottom w:val="single" w:color="auto" w:sz="4" w:space="0"/>
              <w:right w:val="single" w:color="auto" w:sz="4" w:space="0"/>
            </w:tcBorders>
            <w:shd w:val="clear" w:color="auto" w:fill="auto"/>
          </w:tcPr>
          <w:p w14:paraId="414CB76C">
            <w:pPr>
              <w:jc w:val="cente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not serious</w:t>
            </w:r>
          </w:p>
        </w:tc>
        <w:tc>
          <w:tcPr>
            <w:tcW w:w="1420" w:type="dxa"/>
            <w:tcBorders>
              <w:top w:val="single" w:color="auto" w:sz="4" w:space="0"/>
              <w:left w:val="single" w:color="auto" w:sz="4" w:space="0"/>
              <w:bottom w:val="single" w:color="auto" w:sz="4" w:space="0"/>
              <w:right w:val="single" w:color="auto" w:sz="4" w:space="0"/>
            </w:tcBorders>
            <w:shd w:val="clear" w:color="auto" w:fill="auto"/>
          </w:tcPr>
          <w:p w14:paraId="22A483D7">
            <w:pPr>
              <w:jc w:val="center"/>
              <w:rPr>
                <w:rFonts w:hint="default" w:ascii="Times New Roman" w:hAnsi="Times New Roman" w:eastAsia="宋体" w:cs="Times New Roman"/>
                <w:sz w:val="20"/>
                <w:szCs w:val="20"/>
                <w:highlight w:val="none"/>
                <w:lang w:bidi="ar"/>
              </w:rPr>
            </w:pPr>
            <w:r>
              <w:rPr>
                <w:rFonts w:hint="default" w:ascii="Times New Roman" w:hAnsi="Times New Roman" w:eastAsia="宋体" w:cs="Times New Roman"/>
                <w:sz w:val="20"/>
                <w:szCs w:val="20"/>
                <w:highlight w:val="none"/>
                <w:lang w:bidi="ar"/>
              </w:rPr>
              <w:t>s</w:t>
            </w:r>
            <w:r>
              <w:rPr>
                <w:rFonts w:hint="default" w:ascii="Times New Roman" w:hAnsi="Times New Roman" w:eastAsia="Arial Narrow" w:cs="Times New Roman"/>
                <w:sz w:val="20"/>
                <w:szCs w:val="20"/>
                <w:highlight w:val="none"/>
                <w:lang w:bidi="ar"/>
              </w:rPr>
              <w:t>erious</w:t>
            </w:r>
            <w:r>
              <w:rPr>
                <w:rFonts w:hint="default" w:ascii="Times New Roman" w:hAnsi="Times New Roman" w:eastAsia="宋体" w:cs="Times New Roman"/>
                <w:sz w:val="20"/>
                <w:szCs w:val="20"/>
                <w:highlight w:val="none"/>
                <w:vertAlign w:val="superscript"/>
                <w:lang w:bidi="ar"/>
              </w:rPr>
              <w:t>i</w:t>
            </w:r>
          </w:p>
          <w:p w14:paraId="6934FF29">
            <w:pPr>
              <w:jc w:val="center"/>
              <w:rPr>
                <w:rFonts w:hint="default" w:ascii="Times New Roman" w:hAnsi="Times New Roman" w:cs="Times New Roman"/>
                <w:sz w:val="20"/>
                <w:szCs w:val="20"/>
                <w:highlight w:val="none"/>
              </w:rPr>
            </w:pPr>
          </w:p>
        </w:tc>
        <w:tc>
          <w:tcPr>
            <w:tcW w:w="1262" w:type="dxa"/>
            <w:tcBorders>
              <w:top w:val="single" w:color="auto" w:sz="4" w:space="0"/>
              <w:left w:val="single" w:color="auto" w:sz="4" w:space="0"/>
              <w:bottom w:val="single" w:color="auto" w:sz="4" w:space="0"/>
              <w:right w:val="single" w:color="auto" w:sz="4" w:space="0"/>
            </w:tcBorders>
            <w:shd w:val="clear" w:color="auto" w:fill="auto"/>
          </w:tcPr>
          <w:p w14:paraId="42F04618">
            <w:pPr>
              <w:jc w:val="center"/>
              <w:rPr>
                <w:rFonts w:hint="default" w:ascii="Times New Roman" w:hAnsi="Times New Roman" w:cs="Times New Roman"/>
                <w:sz w:val="20"/>
                <w:szCs w:val="20"/>
                <w:highlight w:val="none"/>
              </w:rPr>
            </w:pPr>
            <w:r>
              <w:rPr>
                <w:rFonts w:hint="default" w:ascii="Times New Roman" w:hAnsi="Times New Roman" w:eastAsia="Arial Narrow" w:cs="Times New Roman"/>
                <w:sz w:val="20"/>
                <w:szCs w:val="20"/>
                <w:highlight w:val="none"/>
                <w:lang w:bidi="ar"/>
              </w:rPr>
              <w:t>not serious</w:t>
            </w:r>
          </w:p>
        </w:tc>
        <w:tc>
          <w:tcPr>
            <w:tcW w:w="1247" w:type="dxa"/>
            <w:tcBorders>
              <w:top w:val="single" w:color="auto" w:sz="4" w:space="0"/>
              <w:left w:val="single" w:color="auto" w:sz="4" w:space="0"/>
              <w:bottom w:val="single" w:color="auto" w:sz="4" w:space="0"/>
              <w:right w:val="single" w:color="auto" w:sz="4" w:space="0"/>
            </w:tcBorders>
            <w:shd w:val="clear" w:color="auto" w:fill="auto"/>
          </w:tcPr>
          <w:p w14:paraId="7CE86022">
            <w:pPr>
              <w:jc w:val="center"/>
              <w:rPr>
                <w:rFonts w:hint="default" w:ascii="Times New Roman" w:hAnsi="Times New Roman" w:eastAsia="Arial Narrow" w:cs="Times New Roman"/>
                <w:sz w:val="20"/>
                <w:szCs w:val="20"/>
                <w:highlight w:val="none"/>
              </w:rPr>
            </w:pPr>
            <w:r>
              <w:rPr>
                <w:rFonts w:hint="default" w:ascii="Times New Roman" w:hAnsi="Times New Roman" w:cs="Times New Roman"/>
                <w:sz w:val="20"/>
                <w:szCs w:val="20"/>
                <w:highlight w:val="none"/>
              </w:rPr>
              <w:t>not serious</w:t>
            </w:r>
          </w:p>
        </w:tc>
        <w:tc>
          <w:tcPr>
            <w:tcW w:w="1224" w:type="dxa"/>
            <w:tcBorders>
              <w:top w:val="single" w:color="auto" w:sz="4" w:space="0"/>
              <w:left w:val="single" w:color="auto" w:sz="4" w:space="0"/>
              <w:bottom w:val="single" w:color="auto" w:sz="4" w:space="0"/>
              <w:right w:val="single" w:color="auto" w:sz="4" w:space="0"/>
            </w:tcBorders>
            <w:shd w:val="clear" w:color="auto" w:fill="auto"/>
          </w:tcPr>
          <w:p w14:paraId="03422A95">
            <w:pPr>
              <w:jc w:val="center"/>
              <w:rPr>
                <w:rFonts w:hint="default" w:ascii="Times New Roman" w:hAnsi="Times New Roman" w:cs="Times New Roman"/>
                <w:sz w:val="20"/>
                <w:szCs w:val="20"/>
                <w:highlight w:val="none"/>
              </w:rPr>
            </w:pPr>
            <w:r>
              <w:rPr>
                <w:rFonts w:hint="default" w:ascii="Times New Roman" w:hAnsi="Times New Roman" w:eastAsia="Arial Narrow" w:cs="Times New Roman"/>
                <w:sz w:val="20"/>
                <w:szCs w:val="20"/>
                <w:highlight w:val="none"/>
                <w:lang w:bidi="ar"/>
              </w:rPr>
              <w:t>undetected</w:t>
            </w:r>
          </w:p>
        </w:tc>
        <w:tc>
          <w:tcPr>
            <w:tcW w:w="1463" w:type="dxa"/>
            <w:tcBorders>
              <w:top w:val="single" w:color="auto" w:sz="4" w:space="0"/>
              <w:left w:val="single" w:color="auto" w:sz="4" w:space="0"/>
              <w:bottom w:val="single" w:color="auto" w:sz="4" w:space="0"/>
              <w:right w:val="single" w:color="auto" w:sz="4" w:space="0"/>
            </w:tcBorders>
            <w:shd w:val="clear" w:color="auto" w:fill="auto"/>
          </w:tcPr>
          <w:p w14:paraId="288B8EC9">
            <w:pPr>
              <w:jc w:val="center"/>
              <w:rPr>
                <w:rFonts w:hint="default" w:ascii="Times New Roman" w:hAnsi="Times New Roman" w:eastAsia="Arial Narrow" w:cs="Times New Roman"/>
                <w:sz w:val="20"/>
                <w:szCs w:val="20"/>
                <w:highlight w:val="none"/>
              </w:rPr>
            </w:pPr>
            <w:r>
              <w:rPr>
                <w:rFonts w:hint="default" w:ascii="Times New Roman" w:hAnsi="Times New Roman" w:eastAsia="宋体" w:cs="Times New Roman"/>
                <w:kern w:val="0"/>
                <w:sz w:val="20"/>
                <w:szCs w:val="20"/>
                <w:highlight w:val="none"/>
                <w:lang w:bidi="ar"/>
              </w:rPr>
              <w:t>none</w:t>
            </w:r>
          </w:p>
        </w:tc>
        <w:tc>
          <w:tcPr>
            <w:tcW w:w="946" w:type="dxa"/>
            <w:tcBorders>
              <w:top w:val="single" w:color="auto" w:sz="4" w:space="0"/>
              <w:left w:val="single" w:color="auto" w:sz="4" w:space="0"/>
              <w:bottom w:val="single" w:color="auto" w:sz="4" w:space="0"/>
              <w:right w:val="single" w:color="auto" w:sz="4" w:space="0"/>
            </w:tcBorders>
            <w:shd w:val="clear" w:color="auto" w:fill="auto"/>
          </w:tcPr>
          <w:p w14:paraId="62E232B4">
            <w:pPr>
              <w:widowControl/>
              <w:jc w:val="left"/>
              <w:rPr>
                <w:rFonts w:hint="default" w:ascii="Times New Roman" w:hAnsi="Times New Roman" w:cs="Times New Roman"/>
                <w:sz w:val="20"/>
                <w:szCs w:val="20"/>
                <w:highlight w:val="none"/>
              </w:rPr>
            </w:pPr>
            <w:r>
              <w:rPr>
                <w:rFonts w:hint="default" w:ascii="Times New Roman" w:hAnsi="Times New Roman" w:eastAsia="宋体" w:cs="Times New Roman"/>
                <w:sz w:val="20"/>
                <w:szCs w:val="20"/>
                <w:highlight w:val="none"/>
              </w:rPr>
              <w:t xml:space="preserve"> </w:t>
            </w:r>
            <w:r>
              <w:rPr>
                <w:rFonts w:hint="default" w:ascii="Times New Roman" w:hAnsi="Times New Roman" w:eastAsia="宋体" w:cs="Times New Roman"/>
                <w:kern w:val="0"/>
                <w:sz w:val="20"/>
                <w:szCs w:val="20"/>
                <w:highlight w:val="none"/>
                <w:lang w:bidi="ar"/>
              </w:rPr>
              <w:t>10,604</w:t>
            </w:r>
          </w:p>
          <w:p w14:paraId="2182ABC7">
            <w:pPr>
              <w:jc w:val="center"/>
              <w:rPr>
                <w:rFonts w:hint="default" w:ascii="Times New Roman" w:hAnsi="Times New Roman" w:eastAsia="宋体" w:cs="Times New Roman"/>
                <w:sz w:val="20"/>
                <w:szCs w:val="20"/>
                <w:highlight w:val="none"/>
              </w:rPr>
            </w:pPr>
          </w:p>
        </w:tc>
        <w:tc>
          <w:tcPr>
            <w:tcW w:w="1362" w:type="dxa"/>
            <w:tcBorders>
              <w:top w:val="single" w:color="auto" w:sz="4" w:space="0"/>
              <w:left w:val="single" w:color="auto" w:sz="4" w:space="0"/>
              <w:bottom w:val="single" w:color="auto" w:sz="4" w:space="0"/>
              <w:right w:val="single" w:color="auto" w:sz="4" w:space="0"/>
            </w:tcBorders>
            <w:shd w:val="clear" w:color="auto" w:fill="auto"/>
          </w:tcPr>
          <w:p w14:paraId="281F8C7F">
            <w:pPr>
              <w:widowControl/>
              <w:jc w:val="center"/>
              <w:textAlignment w:val="top"/>
              <w:rPr>
                <w:rFonts w:hint="default" w:ascii="Times New Roman" w:hAnsi="Times New Roman" w:eastAsia="Arial Narrow" w:cs="Times New Roman"/>
                <w:sz w:val="20"/>
                <w:szCs w:val="20"/>
                <w:highlight w:val="none"/>
              </w:rPr>
            </w:pPr>
            <w:r>
              <w:rPr>
                <w:rFonts w:hint="default" w:ascii="Times New Roman" w:hAnsi="Times New Roman" w:eastAsia="Arial Narrow" w:cs="Times New Roman"/>
                <w:sz w:val="20"/>
                <w:szCs w:val="20"/>
                <w:highlight w:val="none"/>
              </w:rPr>
              <w:t>NA</w:t>
            </w:r>
          </w:p>
        </w:tc>
        <w:tc>
          <w:tcPr>
            <w:tcW w:w="1539" w:type="dxa"/>
            <w:tcBorders>
              <w:top w:val="single" w:color="auto" w:sz="4" w:space="0"/>
              <w:left w:val="single" w:color="auto" w:sz="4" w:space="0"/>
              <w:bottom w:val="single" w:color="auto" w:sz="4" w:space="0"/>
              <w:right w:val="single" w:color="auto" w:sz="4" w:space="0"/>
            </w:tcBorders>
            <w:shd w:val="clear" w:color="auto" w:fill="auto"/>
          </w:tcPr>
          <w:p w14:paraId="13C99B9C">
            <w:pPr>
              <w:widowControl/>
              <w:jc w:val="center"/>
              <w:textAlignment w:val="top"/>
              <w:rPr>
                <w:rFonts w:hint="default" w:ascii="Times New Roman" w:hAnsi="Times New Roman" w:eastAsia="Arial Narrow" w:cs="Times New Roman"/>
                <w:sz w:val="20"/>
                <w:szCs w:val="20"/>
                <w:highlight w:val="none"/>
              </w:rPr>
            </w:pPr>
            <w:r>
              <w:rPr>
                <w:rFonts w:hint="default" w:ascii="Times New Roman" w:hAnsi="Times New Roman" w:eastAsia="Arial Narrow" w:cs="Times New Roman"/>
                <w:sz w:val="20"/>
                <w:szCs w:val="20"/>
                <w:highlight w:val="none"/>
              </w:rPr>
              <w:t>NA</w:t>
            </w:r>
          </w:p>
        </w:tc>
        <w:tc>
          <w:tcPr>
            <w:tcW w:w="1135" w:type="dxa"/>
            <w:tcBorders>
              <w:top w:val="single" w:color="auto" w:sz="4" w:space="0"/>
              <w:left w:val="single" w:color="auto" w:sz="4" w:space="0"/>
              <w:bottom w:val="single" w:color="auto" w:sz="4" w:space="0"/>
              <w:right w:val="single" w:color="auto" w:sz="4" w:space="0"/>
            </w:tcBorders>
            <w:shd w:val="clear" w:color="auto" w:fill="auto"/>
          </w:tcPr>
          <w:p w14:paraId="60A23EC0">
            <w:pPr>
              <w:jc w:val="center"/>
              <w:rPr>
                <w:rStyle w:val="23"/>
                <w:rFonts w:hint="default" w:ascii="Times New Roman" w:hAnsi="Times New Roman" w:cs="Times New Roman"/>
                <w:sz w:val="20"/>
                <w:szCs w:val="20"/>
                <w:highlight w:val="none"/>
              </w:rPr>
            </w:pPr>
            <w:r>
              <w:rPr>
                <w:rStyle w:val="22"/>
                <w:rFonts w:hint="default" w:ascii="Times New Roman" w:hAnsi="Times New Roman" w:cs="Times New Roman"/>
                <w:sz w:val="20"/>
                <w:szCs w:val="20"/>
                <w:highlight w:val="none"/>
              </w:rPr>
              <w:t>⨁</w:t>
            </w:r>
            <w:r>
              <w:rPr>
                <w:rStyle w:val="22"/>
                <w:rFonts w:hint="default" w:ascii="Times New Roman" w:hAnsi="Times New Roman" w:eastAsia="MS Mincho" w:cs="Times New Roman"/>
                <w:sz w:val="20"/>
                <w:szCs w:val="20"/>
                <w:highlight w:val="none"/>
              </w:rPr>
              <w:t>◯◯◯</w:t>
            </w:r>
            <w:r>
              <w:rPr>
                <w:rFonts w:hint="default" w:ascii="Times New Roman" w:hAnsi="Times New Roman" w:cs="Times New Roman"/>
                <w:sz w:val="20"/>
                <w:szCs w:val="20"/>
                <w:highlight w:val="none"/>
              </w:rPr>
              <w:br w:type="textWrapping"/>
            </w:r>
            <w:r>
              <w:rPr>
                <w:rStyle w:val="23"/>
                <w:rFonts w:hint="default" w:ascii="Times New Roman" w:hAnsi="Times New Roman" w:cs="Times New Roman"/>
                <w:sz w:val="20"/>
                <w:szCs w:val="20"/>
                <w:highlight w:val="none"/>
              </w:rPr>
              <w:t>Very low</w:t>
            </w:r>
          </w:p>
          <w:p w14:paraId="14163C55">
            <w:pPr>
              <w:widowControl/>
              <w:jc w:val="center"/>
              <w:textAlignment w:val="top"/>
              <w:rPr>
                <w:rFonts w:hint="default" w:ascii="Times New Roman" w:hAnsi="Times New Roman" w:eastAsia="Arial Narrow" w:cs="Times New Roman"/>
                <w:sz w:val="20"/>
                <w:szCs w:val="20"/>
                <w:highlight w:val="none"/>
              </w:rPr>
            </w:pPr>
          </w:p>
        </w:tc>
      </w:tr>
      <w:tr w14:paraId="3B1AEAAE">
        <w:tblPrEx>
          <w:tblCellMar>
            <w:top w:w="0" w:type="dxa"/>
            <w:left w:w="108" w:type="dxa"/>
            <w:bottom w:w="0" w:type="dxa"/>
            <w:right w:w="108" w:type="dxa"/>
          </w:tblCellMar>
        </w:tblPrEx>
        <w:trPr>
          <w:trHeight w:val="90" w:hRule="atLeast"/>
        </w:trPr>
        <w:tc>
          <w:tcPr>
            <w:tcW w:w="1886" w:type="dxa"/>
            <w:tcBorders>
              <w:top w:val="single" w:color="auto" w:sz="4" w:space="0"/>
              <w:left w:val="single" w:color="auto" w:sz="4" w:space="0"/>
              <w:bottom w:val="single" w:color="auto" w:sz="4" w:space="0"/>
              <w:right w:val="single" w:color="auto" w:sz="4" w:space="0"/>
            </w:tcBorders>
            <w:shd w:val="clear" w:color="auto" w:fill="auto"/>
          </w:tcPr>
          <w:p w14:paraId="6F7A6F0A">
            <w:pPr>
              <w:widowControl/>
              <w:jc w:val="left"/>
              <w:textAlignment w:val="top"/>
              <w:rPr>
                <w:rFonts w:hint="default" w:ascii="Times New Roman" w:hAnsi="Times New Roman" w:eastAsia="宋体" w:cs="Times New Roman"/>
                <w:kern w:val="0"/>
                <w:sz w:val="20"/>
                <w:szCs w:val="20"/>
                <w:highlight w:val="none"/>
                <w:lang w:bidi="ar"/>
              </w:rPr>
            </w:pPr>
            <w:r>
              <w:rPr>
                <w:rFonts w:hint="default" w:ascii="Times New Roman" w:hAnsi="Times New Roman" w:eastAsia="宋体" w:cs="Times New Roman"/>
                <w:kern w:val="0"/>
                <w:sz w:val="20"/>
                <w:szCs w:val="20"/>
                <w:highlight w:val="none"/>
                <w:lang w:bidi="ar"/>
              </w:rPr>
              <w:t>Mean eGDR in T2DM</w:t>
            </w:r>
          </w:p>
        </w:tc>
        <w:tc>
          <w:tcPr>
            <w:tcW w:w="850" w:type="dxa"/>
            <w:tcBorders>
              <w:top w:val="single" w:color="auto" w:sz="4" w:space="0"/>
              <w:left w:val="single" w:color="auto" w:sz="4" w:space="0"/>
              <w:bottom w:val="single" w:color="auto" w:sz="4" w:space="0"/>
              <w:right w:val="single" w:color="auto" w:sz="4" w:space="0"/>
            </w:tcBorders>
            <w:shd w:val="clear" w:color="auto" w:fill="auto"/>
          </w:tcPr>
          <w:p w14:paraId="593810CD">
            <w:pPr>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4</w:t>
            </w:r>
          </w:p>
        </w:tc>
        <w:tc>
          <w:tcPr>
            <w:tcW w:w="1346" w:type="dxa"/>
            <w:tcBorders>
              <w:top w:val="single" w:color="auto" w:sz="4" w:space="0"/>
              <w:left w:val="single" w:color="auto" w:sz="4" w:space="0"/>
              <w:bottom w:val="single" w:color="auto" w:sz="4" w:space="0"/>
              <w:right w:val="single" w:color="auto" w:sz="4" w:space="0"/>
            </w:tcBorders>
            <w:shd w:val="clear" w:color="auto" w:fill="auto"/>
          </w:tcPr>
          <w:p w14:paraId="70F29F8B">
            <w:pPr>
              <w:widowControl/>
              <w:jc w:val="center"/>
              <w:textAlignment w:val="top"/>
              <w:rPr>
                <w:rFonts w:hint="default" w:ascii="Times New Roman" w:hAnsi="Times New Roman" w:eastAsia="宋体" w:cs="Times New Roman"/>
                <w:sz w:val="20"/>
                <w:szCs w:val="20"/>
                <w:highlight w:val="none"/>
              </w:rPr>
            </w:pPr>
            <w:r>
              <w:rPr>
                <w:rFonts w:hint="default" w:ascii="Times New Roman" w:hAnsi="Times New Roman" w:eastAsia="Arial Narrow" w:cs="Times New Roman"/>
                <w:kern w:val="0"/>
                <w:sz w:val="20"/>
                <w:szCs w:val="20"/>
                <w:highlight w:val="none"/>
                <w:lang w:bidi="ar"/>
              </w:rPr>
              <w:t>observational studies</w:t>
            </w:r>
            <w:r>
              <w:rPr>
                <w:rFonts w:hint="default" w:ascii="Times New Roman" w:hAnsi="Times New Roman" w:eastAsia="宋体" w:cs="Times New Roman"/>
                <w:kern w:val="0"/>
                <w:sz w:val="20"/>
                <w:szCs w:val="20"/>
                <w:highlight w:val="none"/>
                <w:vertAlign w:val="superscript"/>
                <w:lang w:bidi="ar"/>
              </w:rPr>
              <w:t>j</w:t>
            </w:r>
          </w:p>
        </w:tc>
        <w:tc>
          <w:tcPr>
            <w:tcW w:w="938" w:type="dxa"/>
            <w:tcBorders>
              <w:top w:val="single" w:color="auto" w:sz="4" w:space="0"/>
              <w:left w:val="single" w:color="auto" w:sz="4" w:space="0"/>
              <w:bottom w:val="single" w:color="auto" w:sz="4" w:space="0"/>
              <w:right w:val="single" w:color="auto" w:sz="4" w:space="0"/>
            </w:tcBorders>
            <w:shd w:val="clear" w:color="auto" w:fill="auto"/>
          </w:tcPr>
          <w:p w14:paraId="7C07B679">
            <w:pPr>
              <w:jc w:val="cente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not serious</w:t>
            </w:r>
          </w:p>
        </w:tc>
        <w:tc>
          <w:tcPr>
            <w:tcW w:w="1420" w:type="dxa"/>
            <w:tcBorders>
              <w:top w:val="single" w:color="auto" w:sz="4" w:space="0"/>
              <w:left w:val="single" w:color="auto" w:sz="4" w:space="0"/>
              <w:bottom w:val="single" w:color="auto" w:sz="4" w:space="0"/>
              <w:right w:val="single" w:color="auto" w:sz="4" w:space="0"/>
            </w:tcBorders>
            <w:shd w:val="clear" w:color="auto" w:fill="auto"/>
          </w:tcPr>
          <w:p w14:paraId="4491449D">
            <w:pPr>
              <w:jc w:val="center"/>
              <w:rPr>
                <w:rFonts w:hint="default" w:ascii="Times New Roman" w:hAnsi="Times New Roman" w:eastAsia="宋体" w:cs="Times New Roman"/>
                <w:sz w:val="20"/>
                <w:szCs w:val="20"/>
                <w:highlight w:val="none"/>
                <w:lang w:bidi="ar"/>
              </w:rPr>
            </w:pPr>
            <w:r>
              <w:rPr>
                <w:rFonts w:hint="default" w:ascii="Times New Roman" w:hAnsi="Times New Roman" w:eastAsia="宋体" w:cs="Times New Roman"/>
                <w:sz w:val="20"/>
                <w:szCs w:val="20"/>
                <w:highlight w:val="none"/>
                <w:lang w:bidi="ar"/>
              </w:rPr>
              <w:t>s</w:t>
            </w:r>
            <w:r>
              <w:rPr>
                <w:rFonts w:hint="default" w:ascii="Times New Roman" w:hAnsi="Times New Roman" w:eastAsia="Arial Narrow" w:cs="Times New Roman"/>
                <w:sz w:val="20"/>
                <w:szCs w:val="20"/>
                <w:highlight w:val="none"/>
                <w:lang w:bidi="ar"/>
              </w:rPr>
              <w:t>erious</w:t>
            </w:r>
            <w:r>
              <w:rPr>
                <w:rFonts w:hint="default" w:ascii="Times New Roman" w:hAnsi="Times New Roman" w:eastAsia="宋体" w:cs="Times New Roman"/>
                <w:sz w:val="20"/>
                <w:szCs w:val="20"/>
                <w:highlight w:val="none"/>
                <w:vertAlign w:val="superscript"/>
                <w:lang w:bidi="ar"/>
              </w:rPr>
              <w:t>k</w:t>
            </w:r>
          </w:p>
          <w:p w14:paraId="7356B5FF">
            <w:pPr>
              <w:jc w:val="center"/>
              <w:rPr>
                <w:rFonts w:hint="default" w:ascii="Times New Roman" w:hAnsi="Times New Roman" w:cs="Times New Roman"/>
                <w:sz w:val="20"/>
                <w:szCs w:val="20"/>
                <w:highlight w:val="none"/>
              </w:rPr>
            </w:pPr>
          </w:p>
        </w:tc>
        <w:tc>
          <w:tcPr>
            <w:tcW w:w="1262" w:type="dxa"/>
            <w:tcBorders>
              <w:top w:val="single" w:color="auto" w:sz="4" w:space="0"/>
              <w:left w:val="single" w:color="auto" w:sz="4" w:space="0"/>
              <w:bottom w:val="single" w:color="auto" w:sz="4" w:space="0"/>
              <w:right w:val="single" w:color="auto" w:sz="4" w:space="0"/>
            </w:tcBorders>
            <w:shd w:val="clear" w:color="auto" w:fill="auto"/>
          </w:tcPr>
          <w:p w14:paraId="31464F08">
            <w:pPr>
              <w:jc w:val="center"/>
              <w:rPr>
                <w:rFonts w:hint="default" w:ascii="Times New Roman" w:hAnsi="Times New Roman" w:cs="Times New Roman"/>
                <w:sz w:val="20"/>
                <w:szCs w:val="20"/>
                <w:highlight w:val="none"/>
              </w:rPr>
            </w:pPr>
            <w:r>
              <w:rPr>
                <w:rFonts w:hint="default" w:ascii="Times New Roman" w:hAnsi="Times New Roman" w:eastAsia="Arial Narrow" w:cs="Times New Roman"/>
                <w:sz w:val="20"/>
                <w:szCs w:val="20"/>
                <w:highlight w:val="none"/>
                <w:lang w:bidi="ar"/>
              </w:rPr>
              <w:t>not serious</w:t>
            </w:r>
          </w:p>
        </w:tc>
        <w:tc>
          <w:tcPr>
            <w:tcW w:w="1247" w:type="dxa"/>
            <w:tcBorders>
              <w:top w:val="single" w:color="auto" w:sz="4" w:space="0"/>
              <w:left w:val="single" w:color="auto" w:sz="4" w:space="0"/>
              <w:bottom w:val="single" w:color="auto" w:sz="4" w:space="0"/>
              <w:right w:val="single" w:color="auto" w:sz="4" w:space="0"/>
            </w:tcBorders>
            <w:shd w:val="clear" w:color="auto" w:fill="auto"/>
          </w:tcPr>
          <w:p w14:paraId="55AD938F">
            <w:pPr>
              <w:jc w:val="center"/>
              <w:rPr>
                <w:rFonts w:hint="default" w:ascii="Times New Roman" w:hAnsi="Times New Roman" w:eastAsia="Arial Narrow" w:cs="Times New Roman"/>
                <w:sz w:val="20"/>
                <w:szCs w:val="20"/>
                <w:highlight w:val="none"/>
              </w:rPr>
            </w:pPr>
            <w:r>
              <w:rPr>
                <w:rFonts w:hint="default" w:ascii="Times New Roman" w:hAnsi="Times New Roman" w:cs="Times New Roman"/>
                <w:sz w:val="20"/>
                <w:szCs w:val="20"/>
                <w:highlight w:val="none"/>
              </w:rPr>
              <w:t>not serious</w:t>
            </w:r>
          </w:p>
        </w:tc>
        <w:tc>
          <w:tcPr>
            <w:tcW w:w="1224" w:type="dxa"/>
            <w:tcBorders>
              <w:top w:val="single" w:color="auto" w:sz="4" w:space="0"/>
              <w:left w:val="single" w:color="auto" w:sz="4" w:space="0"/>
              <w:bottom w:val="single" w:color="auto" w:sz="4" w:space="0"/>
              <w:right w:val="single" w:color="auto" w:sz="4" w:space="0"/>
            </w:tcBorders>
            <w:shd w:val="clear" w:color="auto" w:fill="auto"/>
          </w:tcPr>
          <w:p w14:paraId="6B2D2D4E">
            <w:pPr>
              <w:jc w:val="center"/>
              <w:rPr>
                <w:rFonts w:hint="default" w:ascii="Times New Roman" w:hAnsi="Times New Roman" w:cs="Times New Roman"/>
                <w:sz w:val="20"/>
                <w:szCs w:val="20"/>
                <w:highlight w:val="none"/>
              </w:rPr>
            </w:pPr>
            <w:r>
              <w:rPr>
                <w:rFonts w:hint="default" w:ascii="Times New Roman" w:hAnsi="Times New Roman" w:eastAsia="Arial Narrow" w:cs="Times New Roman"/>
                <w:sz w:val="20"/>
                <w:szCs w:val="20"/>
                <w:highlight w:val="none"/>
                <w:lang w:bidi="ar"/>
              </w:rPr>
              <w:t>undetected</w:t>
            </w:r>
          </w:p>
        </w:tc>
        <w:tc>
          <w:tcPr>
            <w:tcW w:w="1463" w:type="dxa"/>
            <w:tcBorders>
              <w:top w:val="single" w:color="auto" w:sz="4" w:space="0"/>
              <w:left w:val="single" w:color="auto" w:sz="4" w:space="0"/>
              <w:bottom w:val="single" w:color="auto" w:sz="4" w:space="0"/>
              <w:right w:val="single" w:color="auto" w:sz="4" w:space="0"/>
            </w:tcBorders>
            <w:shd w:val="clear" w:color="auto" w:fill="auto"/>
          </w:tcPr>
          <w:p w14:paraId="3D9F713A">
            <w:pPr>
              <w:jc w:val="center"/>
              <w:rPr>
                <w:rFonts w:hint="default" w:ascii="Times New Roman" w:hAnsi="Times New Roman" w:eastAsia="Arial Narrow" w:cs="Times New Roman"/>
                <w:sz w:val="20"/>
                <w:szCs w:val="20"/>
                <w:highlight w:val="none"/>
              </w:rPr>
            </w:pPr>
            <w:r>
              <w:rPr>
                <w:rFonts w:hint="default" w:ascii="Times New Roman" w:hAnsi="Times New Roman" w:eastAsia="宋体" w:cs="Times New Roman"/>
                <w:kern w:val="0"/>
                <w:sz w:val="20"/>
                <w:szCs w:val="20"/>
                <w:highlight w:val="none"/>
                <w:lang w:bidi="ar"/>
              </w:rPr>
              <w:t>none</w:t>
            </w:r>
          </w:p>
        </w:tc>
        <w:tc>
          <w:tcPr>
            <w:tcW w:w="946" w:type="dxa"/>
            <w:tcBorders>
              <w:top w:val="single" w:color="auto" w:sz="4" w:space="0"/>
              <w:left w:val="single" w:color="auto" w:sz="4" w:space="0"/>
              <w:bottom w:val="single" w:color="auto" w:sz="4" w:space="0"/>
              <w:right w:val="single" w:color="auto" w:sz="4" w:space="0"/>
            </w:tcBorders>
            <w:shd w:val="clear" w:color="auto" w:fill="auto"/>
          </w:tcPr>
          <w:p w14:paraId="1EC26CC7">
            <w:pPr>
              <w:widowControl/>
              <w:jc w:val="left"/>
              <w:rPr>
                <w:rFonts w:hint="default" w:ascii="Times New Roman" w:hAnsi="Times New Roman" w:eastAsia="宋体" w:cs="Times New Roman"/>
                <w:kern w:val="0"/>
                <w:sz w:val="20"/>
                <w:szCs w:val="20"/>
                <w:highlight w:val="none"/>
                <w:lang w:bidi="ar"/>
              </w:rPr>
            </w:pPr>
            <w:r>
              <w:rPr>
                <w:rFonts w:hint="default" w:ascii="Times New Roman" w:hAnsi="Times New Roman" w:eastAsia="宋体" w:cs="Times New Roman"/>
                <w:kern w:val="0"/>
                <w:sz w:val="20"/>
                <w:szCs w:val="20"/>
                <w:highlight w:val="none"/>
                <w:lang w:bidi="ar"/>
              </w:rPr>
              <w:t>105,210</w:t>
            </w:r>
          </w:p>
          <w:p w14:paraId="0BC7F8D1">
            <w:pPr>
              <w:jc w:val="center"/>
              <w:rPr>
                <w:rFonts w:hint="default" w:ascii="Times New Roman" w:hAnsi="Times New Roman" w:eastAsia="Arial Narrow" w:cs="Times New Roman"/>
                <w:sz w:val="20"/>
                <w:szCs w:val="20"/>
                <w:highlight w:val="none"/>
              </w:rPr>
            </w:pPr>
          </w:p>
        </w:tc>
        <w:tc>
          <w:tcPr>
            <w:tcW w:w="1362" w:type="dxa"/>
            <w:tcBorders>
              <w:top w:val="single" w:color="auto" w:sz="4" w:space="0"/>
              <w:left w:val="single" w:color="auto" w:sz="4" w:space="0"/>
              <w:bottom w:val="single" w:color="auto" w:sz="4" w:space="0"/>
              <w:right w:val="single" w:color="auto" w:sz="4" w:space="0"/>
            </w:tcBorders>
            <w:shd w:val="clear" w:color="auto" w:fill="auto"/>
          </w:tcPr>
          <w:p w14:paraId="0B28BB34">
            <w:pPr>
              <w:widowControl/>
              <w:jc w:val="center"/>
              <w:textAlignment w:val="top"/>
              <w:rPr>
                <w:rFonts w:hint="default" w:ascii="Times New Roman" w:hAnsi="Times New Roman" w:eastAsia="Arial Narrow" w:cs="Times New Roman"/>
                <w:sz w:val="20"/>
                <w:szCs w:val="20"/>
                <w:highlight w:val="none"/>
              </w:rPr>
            </w:pPr>
            <w:r>
              <w:rPr>
                <w:rFonts w:hint="default" w:ascii="Times New Roman" w:hAnsi="Times New Roman" w:eastAsia="Arial Narrow" w:cs="Times New Roman"/>
                <w:sz w:val="20"/>
                <w:szCs w:val="20"/>
                <w:highlight w:val="none"/>
              </w:rPr>
              <w:t>NA</w:t>
            </w:r>
          </w:p>
        </w:tc>
        <w:tc>
          <w:tcPr>
            <w:tcW w:w="1539" w:type="dxa"/>
            <w:tcBorders>
              <w:top w:val="single" w:color="auto" w:sz="4" w:space="0"/>
              <w:left w:val="single" w:color="auto" w:sz="4" w:space="0"/>
              <w:bottom w:val="single" w:color="auto" w:sz="4" w:space="0"/>
              <w:right w:val="single" w:color="auto" w:sz="4" w:space="0"/>
            </w:tcBorders>
            <w:shd w:val="clear" w:color="auto" w:fill="auto"/>
          </w:tcPr>
          <w:p w14:paraId="4454C5FE">
            <w:pPr>
              <w:widowControl/>
              <w:jc w:val="center"/>
              <w:textAlignment w:val="top"/>
              <w:rPr>
                <w:rFonts w:hint="default" w:ascii="Times New Roman" w:hAnsi="Times New Roman" w:eastAsia="Arial Narrow" w:cs="Times New Roman"/>
                <w:sz w:val="20"/>
                <w:szCs w:val="20"/>
                <w:highlight w:val="none"/>
              </w:rPr>
            </w:pPr>
            <w:r>
              <w:rPr>
                <w:rFonts w:hint="default" w:ascii="Times New Roman" w:hAnsi="Times New Roman" w:eastAsia="Arial Narrow" w:cs="Times New Roman"/>
                <w:sz w:val="20"/>
                <w:szCs w:val="20"/>
                <w:highlight w:val="none"/>
              </w:rPr>
              <w:t>NA</w:t>
            </w:r>
          </w:p>
        </w:tc>
        <w:tc>
          <w:tcPr>
            <w:tcW w:w="1135" w:type="dxa"/>
            <w:tcBorders>
              <w:top w:val="single" w:color="auto" w:sz="4" w:space="0"/>
              <w:left w:val="single" w:color="auto" w:sz="4" w:space="0"/>
              <w:bottom w:val="single" w:color="auto" w:sz="4" w:space="0"/>
              <w:right w:val="single" w:color="auto" w:sz="4" w:space="0"/>
            </w:tcBorders>
            <w:shd w:val="clear" w:color="auto" w:fill="auto"/>
          </w:tcPr>
          <w:p w14:paraId="2F2974DF">
            <w:pPr>
              <w:jc w:val="center"/>
              <w:rPr>
                <w:rStyle w:val="23"/>
                <w:rFonts w:hint="default" w:ascii="Times New Roman" w:hAnsi="Times New Roman" w:cs="Times New Roman"/>
                <w:sz w:val="20"/>
                <w:szCs w:val="20"/>
                <w:highlight w:val="none"/>
              </w:rPr>
            </w:pPr>
            <w:r>
              <w:rPr>
                <w:rStyle w:val="22"/>
                <w:rFonts w:hint="default" w:ascii="Times New Roman" w:hAnsi="Times New Roman" w:cs="Times New Roman"/>
                <w:sz w:val="20"/>
                <w:szCs w:val="20"/>
                <w:highlight w:val="none"/>
              </w:rPr>
              <w:t>⨁</w:t>
            </w:r>
            <w:r>
              <w:rPr>
                <w:rStyle w:val="22"/>
                <w:rFonts w:hint="default" w:ascii="Times New Roman" w:hAnsi="Times New Roman" w:eastAsia="MS Mincho" w:cs="Times New Roman"/>
                <w:sz w:val="20"/>
                <w:szCs w:val="20"/>
                <w:highlight w:val="none"/>
              </w:rPr>
              <w:t>◯◯◯</w:t>
            </w:r>
            <w:r>
              <w:rPr>
                <w:rFonts w:hint="default" w:ascii="Times New Roman" w:hAnsi="Times New Roman" w:cs="Times New Roman"/>
                <w:sz w:val="20"/>
                <w:szCs w:val="20"/>
                <w:highlight w:val="none"/>
              </w:rPr>
              <w:br w:type="textWrapping"/>
            </w:r>
            <w:r>
              <w:rPr>
                <w:rStyle w:val="23"/>
                <w:rFonts w:hint="default" w:ascii="Times New Roman" w:hAnsi="Times New Roman" w:cs="Times New Roman"/>
                <w:sz w:val="20"/>
                <w:szCs w:val="20"/>
                <w:highlight w:val="none"/>
              </w:rPr>
              <w:t>Very low</w:t>
            </w:r>
          </w:p>
          <w:p w14:paraId="16278A59">
            <w:pPr>
              <w:widowControl/>
              <w:jc w:val="center"/>
              <w:textAlignment w:val="top"/>
              <w:rPr>
                <w:rFonts w:hint="default" w:ascii="Times New Roman" w:hAnsi="Times New Roman" w:eastAsia="Arial Narrow" w:cs="Times New Roman"/>
                <w:sz w:val="20"/>
                <w:szCs w:val="20"/>
                <w:highlight w:val="none"/>
              </w:rPr>
            </w:pPr>
          </w:p>
        </w:tc>
      </w:tr>
    </w:tbl>
    <w:p w14:paraId="0CF9D210">
      <w:pPr>
        <w:widowControl/>
        <w:spacing w:before="156" w:beforeLines="50" w:after="156" w:afterLines="50"/>
        <w:jc w:val="left"/>
        <w:textAlignment w:val="top"/>
        <w:rPr>
          <w:rFonts w:hint="default" w:ascii="Times New Roman" w:hAnsi="Times New Roman" w:eastAsia="宋体" w:cs="Times New Roman"/>
          <w:sz w:val="20"/>
          <w:szCs w:val="20"/>
          <w:highlight w:val="none"/>
          <w:lang w:bidi="ar"/>
        </w:rPr>
      </w:pPr>
      <w:r>
        <w:rPr>
          <w:rFonts w:hint="default" w:ascii="Times New Roman" w:hAnsi="Times New Roman" w:eastAsia="Arial Narrow" w:cs="Times New Roman"/>
          <w:b/>
          <w:bCs/>
          <w:sz w:val="20"/>
          <w:szCs w:val="20"/>
          <w:highlight w:val="none"/>
          <w:lang w:bidi="ar"/>
        </w:rPr>
        <w:t>CI,</w:t>
      </w:r>
      <w:r>
        <w:rPr>
          <w:rFonts w:hint="default" w:ascii="Times New Roman" w:hAnsi="Times New Roman" w:eastAsia="Arial Narrow" w:cs="Times New Roman"/>
          <w:sz w:val="20"/>
          <w:szCs w:val="20"/>
          <w:highlight w:val="none"/>
          <w:lang w:bidi="ar"/>
        </w:rPr>
        <w:t xml:space="preserve"> confidence interval; </w:t>
      </w:r>
      <w:r>
        <w:rPr>
          <w:rFonts w:hint="default" w:ascii="Times New Roman" w:hAnsi="Times New Roman" w:eastAsia="宋体" w:cs="Times New Roman"/>
          <w:b/>
          <w:bCs/>
          <w:sz w:val="20"/>
          <w:szCs w:val="20"/>
          <w:highlight w:val="none"/>
          <w:lang w:bidi="ar"/>
        </w:rPr>
        <w:t>H</w:t>
      </w:r>
      <w:r>
        <w:rPr>
          <w:rFonts w:hint="default" w:ascii="Times New Roman" w:hAnsi="Times New Roman" w:eastAsia="Arial Narrow" w:cs="Times New Roman"/>
          <w:b/>
          <w:bCs/>
          <w:sz w:val="20"/>
          <w:szCs w:val="20"/>
          <w:highlight w:val="none"/>
          <w:lang w:bidi="ar"/>
        </w:rPr>
        <w:t>R,</w:t>
      </w:r>
      <w:r>
        <w:rPr>
          <w:rFonts w:hint="default" w:ascii="Times New Roman" w:hAnsi="Times New Roman" w:eastAsia="Arial Narrow" w:cs="Times New Roman"/>
          <w:sz w:val="20"/>
          <w:szCs w:val="20"/>
          <w:highlight w:val="none"/>
          <w:lang w:bidi="ar"/>
        </w:rPr>
        <w:t xml:space="preserve"> </w:t>
      </w:r>
      <w:r>
        <w:rPr>
          <w:rFonts w:hint="default" w:ascii="Times New Roman" w:hAnsi="Times New Roman" w:eastAsia="宋体" w:cs="Times New Roman"/>
          <w:sz w:val="20"/>
          <w:szCs w:val="20"/>
          <w:highlight w:val="none"/>
          <w:lang w:bidi="ar"/>
        </w:rPr>
        <w:t>h</w:t>
      </w:r>
      <w:r>
        <w:rPr>
          <w:rFonts w:hint="default" w:ascii="Times New Roman" w:hAnsi="Times New Roman" w:eastAsia="Arial Narrow" w:cs="Times New Roman"/>
          <w:sz w:val="20"/>
          <w:szCs w:val="20"/>
          <w:highlight w:val="none"/>
          <w:lang w:bidi="ar"/>
        </w:rPr>
        <w:t xml:space="preserve">azard </w:t>
      </w:r>
      <w:r>
        <w:rPr>
          <w:rFonts w:hint="default" w:ascii="Times New Roman" w:hAnsi="Times New Roman" w:eastAsia="宋体" w:cs="Times New Roman"/>
          <w:sz w:val="20"/>
          <w:szCs w:val="20"/>
          <w:highlight w:val="none"/>
          <w:lang w:bidi="ar"/>
        </w:rPr>
        <w:t>r</w:t>
      </w:r>
      <w:r>
        <w:rPr>
          <w:rFonts w:hint="default" w:ascii="Times New Roman" w:hAnsi="Times New Roman" w:eastAsia="Arial Narrow" w:cs="Times New Roman"/>
          <w:sz w:val="20"/>
          <w:szCs w:val="20"/>
          <w:highlight w:val="none"/>
          <w:lang w:bidi="ar"/>
        </w:rPr>
        <w:t>atio</w:t>
      </w:r>
      <w:r>
        <w:rPr>
          <w:rFonts w:hint="default" w:ascii="Times New Roman" w:hAnsi="Times New Roman" w:eastAsia="宋体" w:cs="Times New Roman"/>
          <w:sz w:val="20"/>
          <w:szCs w:val="20"/>
          <w:highlight w:val="none"/>
          <w:lang w:bidi="ar"/>
        </w:rPr>
        <w:t>.</w:t>
      </w:r>
    </w:p>
    <w:p w14:paraId="039599B5">
      <w:pPr>
        <w:widowControl/>
        <w:spacing w:before="156" w:beforeLines="50" w:after="156" w:afterLines="50"/>
        <w:jc w:val="left"/>
        <w:textAlignment w:val="top"/>
        <w:rPr>
          <w:rFonts w:hint="default" w:ascii="Times New Roman" w:hAnsi="Times New Roman" w:eastAsia="Arial Narrow" w:cs="Times New Roman"/>
          <w:sz w:val="20"/>
          <w:szCs w:val="20"/>
          <w:highlight w:val="none"/>
          <w:lang w:bidi="ar"/>
        </w:rPr>
      </w:pPr>
      <w:r>
        <w:rPr>
          <w:rFonts w:hint="default" w:ascii="Times New Roman" w:hAnsi="Times New Roman" w:eastAsia="Arial Narrow" w:cs="Times New Roman"/>
          <w:sz w:val="20"/>
          <w:szCs w:val="20"/>
          <w:highlight w:val="none"/>
          <w:lang w:bidi="ar"/>
        </w:rPr>
        <w:t xml:space="preserve">All of the studies we included were observational, hence the Cochrane suggestion is that the grading start at low quality. On GRADE Working Group grades of evidence, </w:t>
      </w:r>
      <w:r>
        <w:rPr>
          <w:rFonts w:hint="default" w:ascii="Times New Roman" w:hAnsi="Times New Roman" w:eastAsia="Arial Narrow" w:cs="Times New Roman"/>
          <w:b/>
          <w:bCs/>
          <w:sz w:val="20"/>
          <w:szCs w:val="20"/>
          <w:highlight w:val="none"/>
          <w:lang w:bidi="ar"/>
        </w:rPr>
        <w:t>High certainty</w:t>
      </w:r>
      <w:r>
        <w:rPr>
          <w:rFonts w:hint="default" w:ascii="Times New Roman" w:hAnsi="Times New Roman" w:eastAsia="Arial Narrow" w:cs="Times New Roman"/>
          <w:sz w:val="20"/>
          <w:szCs w:val="20"/>
          <w:highlight w:val="none"/>
          <w:lang w:bidi="ar"/>
        </w:rPr>
        <w:t xml:space="preserve">: we are very confident that the true effect lies close to that of the estimate of the effect. </w:t>
      </w:r>
      <w:r>
        <w:rPr>
          <w:rFonts w:hint="default" w:ascii="Times New Roman" w:hAnsi="Times New Roman" w:eastAsia="Arial Narrow" w:cs="Times New Roman"/>
          <w:b/>
          <w:bCs/>
          <w:sz w:val="20"/>
          <w:szCs w:val="20"/>
          <w:highlight w:val="none"/>
          <w:lang w:bidi="ar"/>
        </w:rPr>
        <w:t>Moderate certainty</w:t>
      </w:r>
      <w:r>
        <w:rPr>
          <w:rFonts w:hint="default" w:ascii="Times New Roman" w:hAnsi="Times New Roman" w:eastAsia="Arial Narrow" w:cs="Times New Roman"/>
          <w:sz w:val="20"/>
          <w:szCs w:val="20"/>
          <w:highlight w:val="none"/>
          <w:lang w:bidi="ar"/>
        </w:rPr>
        <w:t xml:space="preserve">: we are moderately confident in the effect estimate: the true effect is likely to be close to the estimate of the effect, but there is a possibility that it is substantially different. </w:t>
      </w:r>
      <w:r>
        <w:rPr>
          <w:rFonts w:hint="default" w:ascii="Times New Roman" w:hAnsi="Times New Roman" w:eastAsia="Arial Narrow" w:cs="Times New Roman"/>
          <w:b/>
          <w:bCs/>
          <w:sz w:val="20"/>
          <w:szCs w:val="20"/>
          <w:highlight w:val="none"/>
          <w:lang w:bidi="ar"/>
        </w:rPr>
        <w:t>Low certainty</w:t>
      </w:r>
      <w:r>
        <w:rPr>
          <w:rFonts w:hint="default" w:ascii="Times New Roman" w:hAnsi="Times New Roman" w:eastAsia="Arial Narrow" w:cs="Times New Roman"/>
          <w:sz w:val="20"/>
          <w:szCs w:val="20"/>
          <w:highlight w:val="none"/>
          <w:lang w:bidi="ar"/>
        </w:rPr>
        <w:t xml:space="preserve">: our confidence in the effect estimate is limited: the true effect may be substantially different from the estimate of the effect. </w:t>
      </w:r>
      <w:r>
        <w:rPr>
          <w:rFonts w:hint="default" w:ascii="Times New Roman" w:hAnsi="Times New Roman" w:eastAsia="Arial Narrow" w:cs="Times New Roman"/>
          <w:b/>
          <w:bCs/>
          <w:sz w:val="20"/>
          <w:szCs w:val="20"/>
          <w:highlight w:val="none"/>
          <w:lang w:bidi="ar"/>
        </w:rPr>
        <w:t>Very low certainty</w:t>
      </w:r>
      <w:r>
        <w:rPr>
          <w:rFonts w:hint="default" w:ascii="Times New Roman" w:hAnsi="Times New Roman" w:eastAsia="Arial Narrow" w:cs="Times New Roman"/>
          <w:sz w:val="20"/>
          <w:szCs w:val="20"/>
          <w:highlight w:val="none"/>
          <w:lang w:bidi="ar"/>
        </w:rPr>
        <w:t>: we have very little confidence in the effect estimate: the true effect is likely to be substantially different from the estimate of effect.</w:t>
      </w:r>
    </w:p>
    <w:p w14:paraId="3D6E964C">
      <w:pPr>
        <w:widowControl/>
        <w:numPr>
          <w:ilvl w:val="0"/>
          <w:numId w:val="2"/>
        </w:numPr>
        <w:jc w:val="left"/>
        <w:textAlignment w:val="top"/>
        <w:rPr>
          <w:rFonts w:hint="default" w:ascii="Times New Roman" w:hAnsi="Times New Roman" w:eastAsia="Arial Narrow" w:cs="Times New Roman"/>
          <w:sz w:val="20"/>
          <w:szCs w:val="20"/>
          <w:highlight w:val="none"/>
          <w:lang w:bidi="ar"/>
        </w:rPr>
      </w:pPr>
      <w:r>
        <w:rPr>
          <w:rFonts w:hint="default" w:ascii="Times New Roman" w:hAnsi="Times New Roman" w:eastAsia="Arial Narrow" w:cs="Times New Roman"/>
          <w:sz w:val="20"/>
          <w:szCs w:val="20"/>
          <w:highlight w:val="none"/>
          <w:lang w:bidi="ar"/>
        </w:rPr>
        <w:t>Based on National Heath Lung, and Blood Institute's (NHLBI) quality rating tool for included studies, a "</w:t>
      </w:r>
      <w:r>
        <w:rPr>
          <w:rFonts w:hint="default" w:ascii="Times New Roman" w:hAnsi="Times New Roman" w:eastAsia="宋体" w:cs="Times New Roman"/>
          <w:sz w:val="20"/>
          <w:szCs w:val="20"/>
          <w:highlight w:val="none"/>
          <w:lang w:bidi="ar"/>
        </w:rPr>
        <w:t>h</w:t>
      </w:r>
      <w:r>
        <w:rPr>
          <w:rFonts w:hint="default" w:ascii="Times New Roman" w:hAnsi="Times New Roman" w:cs="Times New Roman"/>
          <w:color w:val="000000" w:themeColor="text1"/>
          <w:sz w:val="20"/>
          <w:szCs w:val="20"/>
          <w:highlight w:val="none"/>
          <w14:textFill>
            <w14:solidFill>
              <w14:schemeClr w14:val="tx1"/>
            </w14:solidFill>
          </w14:textFill>
        </w:rPr>
        <w:t>igh quality</w:t>
      </w:r>
      <w:r>
        <w:rPr>
          <w:rFonts w:hint="default" w:ascii="Times New Roman" w:hAnsi="Times New Roman" w:eastAsia="Arial Narrow" w:cs="Times New Roman"/>
          <w:sz w:val="20"/>
          <w:szCs w:val="20"/>
          <w:highlight w:val="none"/>
          <w:lang w:bidi="ar"/>
        </w:rPr>
        <w:t>" study has the low risk of bias and results are considered to be valid; a "</w:t>
      </w:r>
      <w:r>
        <w:rPr>
          <w:rFonts w:hint="default" w:ascii="Times New Roman" w:hAnsi="Times New Roman" w:cs="Times New Roman"/>
          <w:color w:val="000000" w:themeColor="text1"/>
          <w:sz w:val="20"/>
          <w:szCs w:val="20"/>
          <w:highlight w:val="none"/>
          <w14:textFill>
            <w14:solidFill>
              <w14:schemeClr w14:val="tx1"/>
            </w14:solidFill>
          </w14:textFill>
        </w:rPr>
        <w:t>medium quality</w:t>
      </w:r>
      <w:r>
        <w:rPr>
          <w:rFonts w:hint="default" w:ascii="Times New Roman" w:hAnsi="Times New Roman" w:eastAsia="Arial Narrow" w:cs="Times New Roman"/>
          <w:sz w:val="20"/>
          <w:szCs w:val="20"/>
          <w:highlight w:val="none"/>
          <w:lang w:bidi="ar"/>
        </w:rPr>
        <w:t>" study is susceptible to some risk of bias deemed not sufficient to invalidate its results; a "</w:t>
      </w:r>
      <w:r>
        <w:rPr>
          <w:rFonts w:hint="default" w:ascii="Times New Roman" w:hAnsi="Times New Roman" w:cs="Times New Roman"/>
          <w:color w:val="000000" w:themeColor="text1"/>
          <w:sz w:val="20"/>
          <w:szCs w:val="20"/>
          <w:highlight w:val="none"/>
          <w14:textFill>
            <w14:solidFill>
              <w14:schemeClr w14:val="tx1"/>
            </w14:solidFill>
          </w14:textFill>
        </w:rPr>
        <w:t xml:space="preserve"> low quality</w:t>
      </w:r>
      <w:r>
        <w:rPr>
          <w:rFonts w:hint="default" w:ascii="Times New Roman" w:hAnsi="Times New Roman" w:eastAsia="Arial Narrow" w:cs="Times New Roman"/>
          <w:sz w:val="20"/>
          <w:szCs w:val="20"/>
          <w:highlight w:val="none"/>
          <w:lang w:bidi="ar"/>
        </w:rPr>
        <w:t>" rating indicates high risk of bias.</w:t>
      </w:r>
    </w:p>
    <w:p w14:paraId="73391102">
      <w:pPr>
        <w:widowControl/>
        <w:numPr>
          <w:ilvl w:val="0"/>
          <w:numId w:val="2"/>
        </w:numPr>
        <w:jc w:val="left"/>
        <w:textAlignment w:val="top"/>
        <w:rPr>
          <w:rFonts w:hint="default" w:ascii="Times New Roman" w:hAnsi="Times New Roman" w:eastAsia="Arial Narrow" w:cs="Times New Roman"/>
          <w:sz w:val="20"/>
          <w:szCs w:val="20"/>
          <w:highlight w:val="none"/>
          <w:lang w:bidi="ar"/>
        </w:rPr>
      </w:pPr>
      <w:r>
        <w:rPr>
          <w:rFonts w:hint="default" w:ascii="Times New Roman" w:hAnsi="Times New Roman" w:eastAsia="宋体" w:cs="Times New Roman"/>
          <w:sz w:val="20"/>
          <w:szCs w:val="20"/>
          <w:highlight w:val="none"/>
          <w:lang w:bidi="ar"/>
        </w:rPr>
        <w:t>Six</w:t>
      </w:r>
      <w:r>
        <w:rPr>
          <w:rFonts w:hint="default" w:ascii="Times New Roman" w:hAnsi="Times New Roman" w:eastAsia="Arial Narrow" w:cs="Times New Roman"/>
          <w:sz w:val="20"/>
          <w:szCs w:val="20"/>
          <w:highlight w:val="none"/>
          <w:lang w:bidi="ar"/>
        </w:rPr>
        <w:t xml:space="preserve"> cohort studies are among the observational studies.</w:t>
      </w:r>
    </w:p>
    <w:p w14:paraId="571BF59E">
      <w:pPr>
        <w:widowControl/>
        <w:numPr>
          <w:ilvl w:val="0"/>
          <w:numId w:val="2"/>
        </w:numPr>
        <w:jc w:val="left"/>
        <w:textAlignment w:val="top"/>
        <w:rPr>
          <w:rFonts w:hint="default" w:ascii="Times New Roman" w:hAnsi="Times New Roman" w:eastAsia="Arial Narrow" w:cs="Times New Roman"/>
          <w:sz w:val="20"/>
          <w:szCs w:val="20"/>
          <w:highlight w:val="none"/>
          <w:lang w:bidi="ar"/>
        </w:rPr>
      </w:pPr>
      <w:r>
        <w:rPr>
          <w:rFonts w:hint="default" w:ascii="Times New Roman" w:hAnsi="Times New Roman" w:eastAsia="Arial Narrow" w:cs="Times New Roman"/>
          <w:sz w:val="20"/>
          <w:szCs w:val="20"/>
          <w:highlight w:val="none"/>
          <w:lang w:bidi="ar"/>
        </w:rPr>
        <w:t>Downgraded one level due to evidence of unexplained inconsistency indicated by the presence of substantial heterogeneity (I</w:t>
      </w:r>
      <w:r>
        <w:rPr>
          <w:rFonts w:hint="default" w:ascii="Times New Roman" w:hAnsi="Times New Roman" w:eastAsia="Arial Narrow" w:cs="Times New Roman"/>
          <w:sz w:val="20"/>
          <w:szCs w:val="20"/>
          <w:highlight w:val="none"/>
          <w:vertAlign w:val="superscript"/>
          <w:lang w:bidi="ar"/>
        </w:rPr>
        <w:t>2</w:t>
      </w:r>
      <w:r>
        <w:rPr>
          <w:rFonts w:hint="default" w:ascii="Times New Roman" w:hAnsi="Times New Roman" w:eastAsia="Arial Narrow" w:cs="Times New Roman"/>
          <w:sz w:val="20"/>
          <w:szCs w:val="20"/>
          <w:highlight w:val="none"/>
          <w:lang w:bidi="ar"/>
        </w:rPr>
        <w:t xml:space="preserve"> = </w:t>
      </w:r>
      <w:r>
        <w:rPr>
          <w:rFonts w:hint="default" w:ascii="Times New Roman" w:hAnsi="Times New Roman" w:eastAsia="宋体" w:cs="Times New Roman"/>
          <w:sz w:val="20"/>
          <w:szCs w:val="20"/>
          <w:highlight w:val="none"/>
          <w:lang w:bidi="ar"/>
        </w:rPr>
        <w:t>68</w:t>
      </w:r>
      <w:r>
        <w:rPr>
          <w:rFonts w:hint="default" w:ascii="Times New Roman" w:hAnsi="Times New Roman" w:eastAsia="Arial Narrow" w:cs="Times New Roman"/>
          <w:sz w:val="20"/>
          <w:szCs w:val="20"/>
          <w:highlight w:val="none"/>
          <w:lang w:bidi="ar"/>
        </w:rPr>
        <w:t>%) and statistically significant Chi</w:t>
      </w:r>
      <w:r>
        <w:rPr>
          <w:rFonts w:hint="default" w:ascii="Times New Roman" w:hAnsi="Times New Roman" w:eastAsia="Arial Narrow" w:cs="Times New Roman"/>
          <w:sz w:val="20"/>
          <w:szCs w:val="20"/>
          <w:highlight w:val="none"/>
          <w:vertAlign w:val="superscript"/>
          <w:lang w:bidi="ar"/>
        </w:rPr>
        <w:t>2</w:t>
      </w:r>
      <w:r>
        <w:rPr>
          <w:rFonts w:hint="default" w:ascii="Times New Roman" w:hAnsi="Times New Roman" w:eastAsia="Arial Narrow" w:cs="Times New Roman"/>
          <w:sz w:val="20"/>
          <w:szCs w:val="20"/>
          <w:highlight w:val="none"/>
          <w:lang w:bidi="ar"/>
        </w:rPr>
        <w:t xml:space="preserve"> test (p for heterogeneity &lt; 0.001).</w:t>
      </w:r>
    </w:p>
    <w:p w14:paraId="596A9EF6">
      <w:pPr>
        <w:widowControl/>
        <w:numPr>
          <w:ilvl w:val="0"/>
          <w:numId w:val="2"/>
        </w:numPr>
        <w:jc w:val="left"/>
        <w:textAlignment w:val="top"/>
        <w:rPr>
          <w:rFonts w:hint="default" w:ascii="Times New Roman" w:hAnsi="Times New Roman" w:eastAsia="Arial Narrow" w:cs="Times New Roman"/>
          <w:sz w:val="20"/>
          <w:szCs w:val="20"/>
          <w:highlight w:val="none"/>
          <w:lang w:bidi="ar"/>
        </w:rPr>
      </w:pPr>
      <w:r>
        <w:rPr>
          <w:rFonts w:hint="default" w:ascii="Times New Roman" w:hAnsi="Times New Roman" w:eastAsia="宋体" w:cs="Times New Roman"/>
          <w:sz w:val="20"/>
          <w:szCs w:val="20"/>
          <w:highlight w:val="none"/>
          <w:lang w:bidi="ar"/>
        </w:rPr>
        <w:t>Three</w:t>
      </w:r>
      <w:r>
        <w:rPr>
          <w:rFonts w:hint="default" w:ascii="Times New Roman" w:hAnsi="Times New Roman" w:eastAsia="Arial Narrow" w:cs="Times New Roman"/>
          <w:sz w:val="20"/>
          <w:szCs w:val="20"/>
          <w:highlight w:val="none"/>
          <w:lang w:bidi="ar"/>
        </w:rPr>
        <w:t xml:space="preserve"> cohort studies are among the observational studies.</w:t>
      </w:r>
    </w:p>
    <w:p w14:paraId="10430E28">
      <w:pPr>
        <w:widowControl/>
        <w:numPr>
          <w:ilvl w:val="0"/>
          <w:numId w:val="2"/>
        </w:numPr>
        <w:jc w:val="left"/>
        <w:textAlignment w:val="top"/>
        <w:rPr>
          <w:rFonts w:hint="default" w:ascii="Times New Roman" w:hAnsi="Times New Roman" w:eastAsia="Arial Narrow" w:cs="Times New Roman"/>
          <w:sz w:val="20"/>
          <w:szCs w:val="20"/>
          <w:highlight w:val="none"/>
          <w:lang w:bidi="ar"/>
        </w:rPr>
      </w:pPr>
      <w:r>
        <w:rPr>
          <w:rFonts w:hint="default" w:ascii="Times New Roman" w:hAnsi="Times New Roman" w:eastAsia="宋体" w:cs="Times New Roman"/>
          <w:sz w:val="20"/>
          <w:szCs w:val="20"/>
          <w:highlight w:val="none"/>
          <w:lang w:bidi="ar"/>
        </w:rPr>
        <w:t>Five</w:t>
      </w:r>
      <w:r>
        <w:rPr>
          <w:rFonts w:hint="default" w:ascii="Times New Roman" w:hAnsi="Times New Roman" w:eastAsia="Arial Narrow" w:cs="Times New Roman"/>
          <w:sz w:val="20"/>
          <w:szCs w:val="20"/>
          <w:highlight w:val="none"/>
          <w:lang w:bidi="ar"/>
        </w:rPr>
        <w:t xml:space="preserve"> cohort studies are among the observational studies.</w:t>
      </w:r>
    </w:p>
    <w:p w14:paraId="7AC473E9">
      <w:pPr>
        <w:widowControl/>
        <w:numPr>
          <w:ilvl w:val="0"/>
          <w:numId w:val="2"/>
        </w:numPr>
        <w:jc w:val="left"/>
        <w:textAlignment w:val="top"/>
        <w:rPr>
          <w:rFonts w:hint="default" w:ascii="Times New Roman" w:hAnsi="Times New Roman" w:eastAsia="Arial Narrow" w:cs="Times New Roman"/>
          <w:sz w:val="20"/>
          <w:szCs w:val="20"/>
          <w:highlight w:val="none"/>
          <w:lang w:bidi="ar"/>
        </w:rPr>
      </w:pPr>
      <w:r>
        <w:rPr>
          <w:rFonts w:hint="default" w:ascii="Times New Roman" w:hAnsi="Times New Roman" w:eastAsia="宋体" w:cs="Times New Roman"/>
          <w:sz w:val="20"/>
          <w:szCs w:val="20"/>
          <w:highlight w:val="none"/>
          <w:lang w:bidi="ar"/>
        </w:rPr>
        <w:t xml:space="preserve">Two </w:t>
      </w:r>
      <w:r>
        <w:rPr>
          <w:rFonts w:hint="default" w:ascii="Times New Roman" w:hAnsi="Times New Roman" w:eastAsia="Arial Narrow" w:cs="Times New Roman"/>
          <w:sz w:val="20"/>
          <w:szCs w:val="20"/>
          <w:highlight w:val="none"/>
          <w:lang w:bidi="ar"/>
        </w:rPr>
        <w:t>cohort studies are among the observational studies.</w:t>
      </w:r>
    </w:p>
    <w:p w14:paraId="02A43A8D">
      <w:pPr>
        <w:widowControl/>
        <w:numPr>
          <w:ilvl w:val="0"/>
          <w:numId w:val="2"/>
        </w:numPr>
        <w:jc w:val="left"/>
        <w:textAlignment w:val="top"/>
        <w:rPr>
          <w:rFonts w:hint="default" w:ascii="Times New Roman" w:hAnsi="Times New Roman" w:eastAsia="Arial Narrow" w:cs="Times New Roman"/>
          <w:sz w:val="20"/>
          <w:szCs w:val="20"/>
          <w:highlight w:val="none"/>
          <w:lang w:bidi="ar"/>
        </w:rPr>
      </w:pPr>
      <w:r>
        <w:rPr>
          <w:rFonts w:hint="default" w:ascii="Times New Roman" w:hAnsi="Times New Roman" w:eastAsia="宋体" w:cs="Times New Roman"/>
          <w:sz w:val="20"/>
          <w:szCs w:val="20"/>
          <w:highlight w:val="none"/>
          <w:lang w:bidi="ar"/>
        </w:rPr>
        <w:t xml:space="preserve">Two </w:t>
      </w:r>
      <w:r>
        <w:rPr>
          <w:rFonts w:hint="default" w:ascii="Times New Roman" w:hAnsi="Times New Roman" w:eastAsia="Arial Narrow" w:cs="Times New Roman"/>
          <w:sz w:val="20"/>
          <w:szCs w:val="20"/>
          <w:highlight w:val="none"/>
          <w:lang w:bidi="ar"/>
        </w:rPr>
        <w:t>cohort studies are among the observational studies.</w:t>
      </w:r>
    </w:p>
    <w:p w14:paraId="49EBD333">
      <w:pPr>
        <w:widowControl/>
        <w:numPr>
          <w:ilvl w:val="0"/>
          <w:numId w:val="2"/>
        </w:numPr>
        <w:jc w:val="left"/>
        <w:textAlignment w:val="top"/>
        <w:rPr>
          <w:rFonts w:hint="default" w:ascii="Times New Roman" w:hAnsi="Times New Roman" w:eastAsia="Arial Narrow" w:cs="Times New Roman"/>
          <w:sz w:val="20"/>
          <w:szCs w:val="20"/>
          <w:highlight w:val="none"/>
          <w:lang w:bidi="ar"/>
        </w:rPr>
      </w:pPr>
      <w:r>
        <w:rPr>
          <w:rFonts w:hint="default" w:ascii="Times New Roman" w:hAnsi="Times New Roman" w:eastAsia="宋体" w:cs="Times New Roman"/>
          <w:sz w:val="20"/>
          <w:szCs w:val="20"/>
          <w:highlight w:val="none"/>
          <w:lang w:bidi="ar"/>
        </w:rPr>
        <w:t>Forty-six</w:t>
      </w:r>
      <w:r>
        <w:rPr>
          <w:rFonts w:hint="default" w:ascii="Times New Roman" w:hAnsi="Times New Roman" w:eastAsia="宋体" w:cs="Times New Roman"/>
          <w:sz w:val="20"/>
          <w:szCs w:val="20"/>
          <w:highlight w:val="none"/>
          <w:lang w:bidi="ar"/>
        </w:rPr>
        <w:t xml:space="preserve"> </w:t>
      </w:r>
      <w:r>
        <w:rPr>
          <w:rFonts w:hint="default" w:ascii="Times New Roman" w:hAnsi="Times New Roman" w:eastAsia="Arial Narrow" w:cs="Times New Roman"/>
          <w:sz w:val="20"/>
          <w:szCs w:val="20"/>
          <w:highlight w:val="none"/>
          <w:lang w:bidi="ar"/>
        </w:rPr>
        <w:t>cohort studies</w:t>
      </w:r>
      <w:r>
        <w:rPr>
          <w:rFonts w:hint="default" w:ascii="Times New Roman" w:hAnsi="Times New Roman" w:eastAsia="宋体" w:cs="Times New Roman"/>
          <w:sz w:val="20"/>
          <w:szCs w:val="20"/>
          <w:highlight w:val="none"/>
          <w:lang w:bidi="ar"/>
        </w:rPr>
        <w:t xml:space="preserve"> and eight cohort studies</w:t>
      </w:r>
      <w:r>
        <w:rPr>
          <w:rFonts w:hint="default" w:ascii="Times New Roman" w:hAnsi="Times New Roman" w:eastAsia="Arial Narrow" w:cs="Times New Roman"/>
          <w:sz w:val="20"/>
          <w:szCs w:val="20"/>
          <w:highlight w:val="none"/>
          <w:lang w:bidi="ar"/>
        </w:rPr>
        <w:t xml:space="preserve"> are among the observational studies.</w:t>
      </w:r>
    </w:p>
    <w:p w14:paraId="688A7EF4">
      <w:pPr>
        <w:widowControl/>
        <w:numPr>
          <w:ilvl w:val="0"/>
          <w:numId w:val="2"/>
        </w:numPr>
        <w:jc w:val="left"/>
        <w:textAlignment w:val="top"/>
        <w:rPr>
          <w:rFonts w:hint="default" w:ascii="Times New Roman" w:hAnsi="Times New Roman" w:eastAsia="Arial Narrow" w:cs="Times New Roman"/>
          <w:sz w:val="20"/>
          <w:szCs w:val="20"/>
          <w:highlight w:val="none"/>
          <w:lang w:bidi="ar"/>
        </w:rPr>
      </w:pPr>
      <w:r>
        <w:rPr>
          <w:rFonts w:hint="default" w:ascii="Times New Roman" w:hAnsi="Times New Roman" w:eastAsia="Arial Narrow" w:cs="Times New Roman"/>
          <w:sz w:val="20"/>
          <w:szCs w:val="20"/>
          <w:highlight w:val="none"/>
          <w:lang w:bidi="ar"/>
        </w:rPr>
        <w:t>Downgraded one level due to evidence of unexplained inconsistency indicated by the presence of substantial heterogeneity (I</w:t>
      </w:r>
      <w:r>
        <w:rPr>
          <w:rFonts w:hint="default" w:ascii="Times New Roman" w:hAnsi="Times New Roman" w:eastAsia="Arial Narrow" w:cs="Times New Roman"/>
          <w:sz w:val="20"/>
          <w:szCs w:val="20"/>
          <w:highlight w:val="none"/>
          <w:vertAlign w:val="superscript"/>
          <w:lang w:bidi="ar"/>
        </w:rPr>
        <w:t>2</w:t>
      </w:r>
      <w:r>
        <w:rPr>
          <w:rFonts w:hint="default" w:ascii="Times New Roman" w:hAnsi="Times New Roman" w:eastAsia="Arial Narrow" w:cs="Times New Roman"/>
          <w:sz w:val="20"/>
          <w:szCs w:val="20"/>
          <w:highlight w:val="none"/>
          <w:lang w:bidi="ar"/>
        </w:rPr>
        <w:t xml:space="preserve"> = </w:t>
      </w:r>
      <w:r>
        <w:rPr>
          <w:rFonts w:hint="default" w:ascii="Times New Roman" w:hAnsi="Times New Roman" w:eastAsia="宋体" w:cs="Times New Roman"/>
          <w:sz w:val="20"/>
          <w:szCs w:val="20"/>
          <w:highlight w:val="none"/>
          <w:lang w:bidi="ar"/>
        </w:rPr>
        <w:t>99</w:t>
      </w:r>
      <w:r>
        <w:rPr>
          <w:rFonts w:hint="default" w:ascii="Times New Roman" w:hAnsi="Times New Roman" w:eastAsia="Arial Narrow" w:cs="Times New Roman"/>
          <w:sz w:val="20"/>
          <w:szCs w:val="20"/>
          <w:highlight w:val="none"/>
          <w:lang w:bidi="ar"/>
        </w:rPr>
        <w:t>%) and statistically significant Chi</w:t>
      </w:r>
      <w:r>
        <w:rPr>
          <w:rFonts w:hint="default" w:ascii="Times New Roman" w:hAnsi="Times New Roman" w:eastAsia="Arial Narrow" w:cs="Times New Roman"/>
          <w:sz w:val="20"/>
          <w:szCs w:val="20"/>
          <w:highlight w:val="none"/>
          <w:vertAlign w:val="superscript"/>
          <w:lang w:bidi="ar"/>
        </w:rPr>
        <w:t>2</w:t>
      </w:r>
      <w:r>
        <w:rPr>
          <w:rFonts w:hint="default" w:ascii="Times New Roman" w:hAnsi="Times New Roman" w:eastAsia="Arial Narrow" w:cs="Times New Roman"/>
          <w:sz w:val="20"/>
          <w:szCs w:val="20"/>
          <w:highlight w:val="none"/>
          <w:lang w:bidi="ar"/>
        </w:rPr>
        <w:t xml:space="preserve"> test (p for heterogeneity &lt; 0.001).</w:t>
      </w:r>
    </w:p>
    <w:p w14:paraId="756C65EC">
      <w:pPr>
        <w:widowControl/>
        <w:numPr>
          <w:ilvl w:val="0"/>
          <w:numId w:val="2"/>
        </w:numPr>
        <w:jc w:val="left"/>
        <w:textAlignment w:val="top"/>
        <w:rPr>
          <w:rFonts w:hint="default" w:ascii="Times New Roman" w:hAnsi="Times New Roman" w:eastAsia="Arial Narrow" w:cs="Times New Roman"/>
          <w:sz w:val="20"/>
          <w:szCs w:val="20"/>
          <w:highlight w:val="none"/>
          <w:lang w:bidi="ar"/>
        </w:rPr>
      </w:pPr>
      <w:r>
        <w:rPr>
          <w:rFonts w:hint="default" w:ascii="Times New Roman" w:hAnsi="Times New Roman" w:eastAsia="宋体" w:cs="Times New Roman"/>
          <w:sz w:val="20"/>
          <w:szCs w:val="20"/>
          <w:highlight w:val="none"/>
          <w:lang w:bidi="ar"/>
        </w:rPr>
        <w:t xml:space="preserve">Two </w:t>
      </w:r>
      <w:r>
        <w:rPr>
          <w:rFonts w:hint="default" w:ascii="Times New Roman" w:hAnsi="Times New Roman" w:eastAsia="Arial Narrow" w:cs="Times New Roman"/>
          <w:sz w:val="20"/>
          <w:szCs w:val="20"/>
          <w:highlight w:val="none"/>
          <w:lang w:bidi="ar"/>
        </w:rPr>
        <w:t xml:space="preserve">cohort studies </w:t>
      </w:r>
      <w:r>
        <w:rPr>
          <w:rFonts w:hint="default" w:ascii="Times New Roman" w:hAnsi="Times New Roman" w:eastAsia="宋体" w:cs="Times New Roman"/>
          <w:sz w:val="20"/>
          <w:szCs w:val="20"/>
          <w:highlight w:val="none"/>
          <w:lang w:bidi="ar"/>
        </w:rPr>
        <w:t xml:space="preserve">and two cross-sectional studies </w:t>
      </w:r>
      <w:r>
        <w:rPr>
          <w:rFonts w:hint="default" w:ascii="Times New Roman" w:hAnsi="Times New Roman" w:eastAsia="Arial Narrow" w:cs="Times New Roman"/>
          <w:sz w:val="20"/>
          <w:szCs w:val="20"/>
          <w:highlight w:val="none"/>
          <w:lang w:bidi="ar"/>
        </w:rPr>
        <w:t>are among the observational studies.</w:t>
      </w:r>
    </w:p>
    <w:p w14:paraId="7D56DA96">
      <w:pPr>
        <w:widowControl/>
        <w:numPr>
          <w:ilvl w:val="0"/>
          <w:numId w:val="2"/>
        </w:numPr>
        <w:jc w:val="left"/>
        <w:textAlignment w:val="top"/>
        <w:rPr>
          <w:rFonts w:hint="default" w:ascii="Times New Roman" w:hAnsi="Times New Roman" w:eastAsia="Arial Narrow" w:cs="Times New Roman"/>
          <w:sz w:val="20"/>
          <w:szCs w:val="20"/>
          <w:highlight w:val="none"/>
          <w:lang w:bidi="ar"/>
        </w:rPr>
      </w:pPr>
      <w:r>
        <w:rPr>
          <w:rFonts w:hint="default" w:ascii="Times New Roman" w:hAnsi="Times New Roman" w:eastAsia="Arial Narrow" w:cs="Times New Roman"/>
          <w:sz w:val="20"/>
          <w:szCs w:val="20"/>
          <w:highlight w:val="none"/>
          <w:lang w:bidi="ar"/>
        </w:rPr>
        <w:t>Downgraded one level due to evidence of unexplained inconsistency indicated by the presence of substantial heterogeneity (I</w:t>
      </w:r>
      <w:r>
        <w:rPr>
          <w:rFonts w:hint="default" w:ascii="Times New Roman" w:hAnsi="Times New Roman" w:eastAsia="Arial Narrow" w:cs="Times New Roman"/>
          <w:sz w:val="20"/>
          <w:szCs w:val="20"/>
          <w:highlight w:val="none"/>
          <w:vertAlign w:val="superscript"/>
          <w:lang w:bidi="ar"/>
        </w:rPr>
        <w:t>2</w:t>
      </w:r>
      <w:r>
        <w:rPr>
          <w:rFonts w:hint="default" w:ascii="Times New Roman" w:hAnsi="Times New Roman" w:eastAsia="Arial Narrow" w:cs="Times New Roman"/>
          <w:sz w:val="20"/>
          <w:szCs w:val="20"/>
          <w:highlight w:val="none"/>
          <w:lang w:bidi="ar"/>
        </w:rPr>
        <w:t xml:space="preserve"> = </w:t>
      </w:r>
      <w:r>
        <w:rPr>
          <w:rFonts w:hint="default" w:ascii="Times New Roman" w:hAnsi="Times New Roman" w:eastAsia="宋体" w:cs="Times New Roman"/>
          <w:sz w:val="20"/>
          <w:szCs w:val="20"/>
          <w:highlight w:val="none"/>
          <w:lang w:bidi="ar"/>
        </w:rPr>
        <w:t>100</w:t>
      </w:r>
      <w:r>
        <w:rPr>
          <w:rFonts w:hint="default" w:ascii="Times New Roman" w:hAnsi="Times New Roman" w:eastAsia="Arial Narrow" w:cs="Times New Roman"/>
          <w:sz w:val="20"/>
          <w:szCs w:val="20"/>
          <w:highlight w:val="none"/>
          <w:lang w:bidi="ar"/>
        </w:rPr>
        <w:t>%) and statistically significant Chi</w:t>
      </w:r>
      <w:r>
        <w:rPr>
          <w:rFonts w:hint="default" w:ascii="Times New Roman" w:hAnsi="Times New Roman" w:eastAsia="Arial Narrow" w:cs="Times New Roman"/>
          <w:sz w:val="20"/>
          <w:szCs w:val="20"/>
          <w:highlight w:val="none"/>
          <w:vertAlign w:val="superscript"/>
          <w:lang w:bidi="ar"/>
        </w:rPr>
        <w:t>2</w:t>
      </w:r>
      <w:r>
        <w:rPr>
          <w:rFonts w:hint="default" w:ascii="Times New Roman" w:hAnsi="Times New Roman" w:eastAsia="Arial Narrow" w:cs="Times New Roman"/>
          <w:sz w:val="20"/>
          <w:szCs w:val="20"/>
          <w:highlight w:val="none"/>
          <w:lang w:bidi="ar"/>
        </w:rPr>
        <w:t xml:space="preserve"> test (p for heterogeneity &lt; 0.001).</w:t>
      </w:r>
    </w:p>
    <w:p w14:paraId="3812C1F2">
      <w:pPr>
        <w:pStyle w:val="8"/>
        <w:widowControl/>
        <w:shd w:val="clear" w:color="auto" w:fill="FFFFFF"/>
        <w:spacing w:beforeAutospacing="0" w:afterAutospacing="0"/>
        <w:rPr>
          <w:rFonts w:hint="default" w:ascii="Times New Roman" w:hAnsi="Times New Roman" w:eastAsia="Shaker2Lancet-Bold" w:cs="Times New Roman"/>
          <w:sz w:val="20"/>
          <w:szCs w:val="20"/>
          <w:highlight w:val="none"/>
          <w:lang w:bidi="ar"/>
        </w:rPr>
      </w:pPr>
    </w:p>
    <w:p w14:paraId="3B412854">
      <w:pPr>
        <w:pStyle w:val="8"/>
        <w:widowControl/>
        <w:shd w:val="clear" w:color="auto" w:fill="FFFFFF"/>
        <w:spacing w:beforeAutospacing="0" w:afterAutospacing="0"/>
        <w:rPr>
          <w:rFonts w:hint="default" w:ascii="Times New Roman" w:hAnsi="Times New Roman" w:eastAsia="Shaker2Lancet-Bold" w:cs="Times New Roman"/>
          <w:sz w:val="20"/>
          <w:szCs w:val="20"/>
          <w:highlight w:val="none"/>
          <w:lang w:bidi="ar"/>
        </w:rPr>
      </w:pPr>
    </w:p>
    <w:p w14:paraId="244BD01B">
      <w:pPr>
        <w:pStyle w:val="8"/>
        <w:widowControl/>
        <w:shd w:val="clear" w:color="auto" w:fill="FFFFFF"/>
        <w:spacing w:beforeAutospacing="0" w:afterAutospacing="0"/>
        <w:rPr>
          <w:rFonts w:hint="default" w:ascii="Times New Roman" w:hAnsi="Times New Roman" w:eastAsia="Shaker2Lancet-Bold" w:cs="Times New Roman"/>
          <w:sz w:val="20"/>
          <w:szCs w:val="20"/>
          <w:highlight w:val="none"/>
          <w:lang w:bidi="ar"/>
        </w:rPr>
      </w:pPr>
    </w:p>
    <w:p w14:paraId="71942B78">
      <w:pPr>
        <w:pStyle w:val="8"/>
        <w:widowControl/>
        <w:shd w:val="clear" w:color="auto" w:fill="FFFFFF"/>
        <w:spacing w:beforeAutospacing="0" w:afterAutospacing="0"/>
        <w:rPr>
          <w:rFonts w:hint="default" w:ascii="Times New Roman" w:hAnsi="Times New Roman" w:eastAsia="Shaker2Lancet-Bold" w:cs="Times New Roman"/>
          <w:sz w:val="20"/>
          <w:szCs w:val="20"/>
          <w:highlight w:val="none"/>
          <w:lang w:bidi="ar"/>
        </w:rPr>
      </w:pPr>
    </w:p>
    <w:p w14:paraId="224EACEA">
      <w:pPr>
        <w:pStyle w:val="8"/>
        <w:widowControl/>
        <w:shd w:val="clear" w:color="auto" w:fill="FFFFFF"/>
        <w:spacing w:beforeAutospacing="0" w:afterAutospacing="0"/>
        <w:rPr>
          <w:rFonts w:hint="default" w:ascii="Times New Roman" w:hAnsi="Times New Roman" w:eastAsia="Shaker2Lancet-Bold" w:cs="Times New Roman"/>
          <w:b/>
          <w:bCs/>
          <w:color w:val="231F20"/>
          <w:sz w:val="20"/>
          <w:szCs w:val="20"/>
          <w:highlight w:val="none"/>
          <w:lang w:bidi="ar"/>
        </w:rPr>
      </w:pPr>
    </w:p>
    <w:p w14:paraId="39671172">
      <w:pPr>
        <w:pStyle w:val="8"/>
        <w:widowControl/>
        <w:shd w:val="clear" w:color="auto" w:fill="FFFFFF"/>
        <w:spacing w:beforeAutospacing="0" w:afterAutospacing="0"/>
        <w:rPr>
          <w:rFonts w:hint="default" w:ascii="Times New Roman" w:hAnsi="Times New Roman" w:eastAsia="Shaker2Lancet-Bold" w:cs="Times New Roman"/>
          <w:b/>
          <w:bCs/>
          <w:color w:val="231F20"/>
          <w:sz w:val="20"/>
          <w:szCs w:val="20"/>
          <w:highlight w:val="none"/>
          <w:lang w:bidi="ar"/>
        </w:rPr>
      </w:pPr>
    </w:p>
    <w:p w14:paraId="4E0CF3E9">
      <w:pPr>
        <w:pStyle w:val="8"/>
        <w:widowControl/>
        <w:shd w:val="clear" w:color="auto" w:fill="FFFFFF"/>
        <w:spacing w:beforeAutospacing="0" w:afterAutospacing="0"/>
        <w:rPr>
          <w:rFonts w:hint="default" w:ascii="Times New Roman" w:hAnsi="Times New Roman" w:eastAsia="Shaker2Lancet-Bold" w:cs="Times New Roman"/>
          <w:b/>
          <w:bCs/>
          <w:color w:val="231F20"/>
          <w:sz w:val="20"/>
          <w:szCs w:val="20"/>
          <w:highlight w:val="none"/>
          <w:lang w:bidi="ar"/>
        </w:rPr>
      </w:pPr>
    </w:p>
    <w:p w14:paraId="7C9C1465">
      <w:pPr>
        <w:pStyle w:val="8"/>
        <w:widowControl/>
        <w:shd w:val="clear" w:color="auto" w:fill="FFFFFF"/>
        <w:spacing w:beforeAutospacing="0" w:afterAutospacing="0"/>
        <w:rPr>
          <w:rFonts w:hint="default" w:ascii="Times New Roman" w:hAnsi="Times New Roman" w:eastAsia="Shaker2Lancet-Bold" w:cs="Times New Roman"/>
          <w:b/>
          <w:bCs/>
          <w:color w:val="231F20"/>
          <w:sz w:val="20"/>
          <w:szCs w:val="20"/>
          <w:highlight w:val="none"/>
          <w:lang w:bidi="ar"/>
        </w:rPr>
      </w:pPr>
    </w:p>
    <w:p w14:paraId="089C0B94">
      <w:pPr>
        <w:pStyle w:val="8"/>
        <w:widowControl/>
        <w:shd w:val="clear" w:color="auto" w:fill="FFFFFF"/>
        <w:spacing w:beforeAutospacing="0" w:afterAutospacing="0"/>
        <w:rPr>
          <w:rFonts w:hint="default" w:ascii="Times New Roman" w:hAnsi="Times New Roman" w:eastAsia="Shaker2Lancet-Bold" w:cs="Times New Roman"/>
          <w:b/>
          <w:bCs/>
          <w:color w:val="231F20"/>
          <w:sz w:val="20"/>
          <w:szCs w:val="20"/>
          <w:highlight w:val="none"/>
          <w:lang w:bidi="ar"/>
        </w:rPr>
      </w:pPr>
    </w:p>
    <w:p w14:paraId="33EBC11C">
      <w:pPr>
        <w:pStyle w:val="8"/>
        <w:widowControl/>
        <w:shd w:val="clear" w:color="auto" w:fill="FFFFFF"/>
        <w:spacing w:beforeAutospacing="0" w:afterAutospacing="0"/>
        <w:rPr>
          <w:rFonts w:hint="default" w:ascii="Times New Roman" w:hAnsi="Times New Roman" w:eastAsia="Shaker2Lancet-Bold" w:cs="Times New Roman"/>
          <w:b/>
          <w:bCs/>
          <w:color w:val="231F20"/>
          <w:sz w:val="20"/>
          <w:szCs w:val="20"/>
          <w:highlight w:val="none"/>
          <w:lang w:bidi="ar"/>
        </w:rPr>
      </w:pPr>
    </w:p>
    <w:p w14:paraId="2C6BC6BE">
      <w:pPr>
        <w:pStyle w:val="8"/>
        <w:widowControl/>
        <w:shd w:val="clear" w:color="auto" w:fill="FFFFFF"/>
        <w:spacing w:beforeAutospacing="0" w:afterAutospacing="0"/>
        <w:rPr>
          <w:rFonts w:hint="default" w:ascii="Times New Roman" w:hAnsi="Times New Roman" w:eastAsia="Shaker2Lancet-Bold" w:cs="Times New Roman"/>
          <w:b/>
          <w:bCs/>
          <w:color w:val="231F20"/>
          <w:sz w:val="20"/>
          <w:szCs w:val="20"/>
          <w:highlight w:val="none"/>
          <w:lang w:bidi="ar"/>
        </w:rPr>
      </w:pPr>
    </w:p>
    <w:p w14:paraId="19216469">
      <w:pPr>
        <w:pStyle w:val="8"/>
        <w:widowControl/>
        <w:shd w:val="clear" w:color="auto" w:fill="FFFFFF"/>
        <w:spacing w:beforeAutospacing="0" w:afterAutospacing="0"/>
        <w:rPr>
          <w:rFonts w:hint="default" w:ascii="Times New Roman" w:hAnsi="Times New Roman" w:eastAsia="Shaker2Lancet-Bold" w:cs="Times New Roman"/>
          <w:b/>
          <w:bCs/>
          <w:color w:val="231F20"/>
          <w:sz w:val="20"/>
          <w:szCs w:val="20"/>
          <w:highlight w:val="none"/>
          <w:lang w:bidi="ar"/>
        </w:rPr>
      </w:pPr>
    </w:p>
    <w:p w14:paraId="5D97E3C9">
      <w:pPr>
        <w:pStyle w:val="8"/>
        <w:widowControl/>
        <w:shd w:val="clear" w:color="auto" w:fill="FFFFFF"/>
        <w:spacing w:beforeAutospacing="0" w:afterAutospacing="0"/>
        <w:rPr>
          <w:rFonts w:hint="default" w:ascii="Times New Roman" w:hAnsi="Times New Roman" w:eastAsia="Shaker2Lancet-Bold" w:cs="Times New Roman"/>
          <w:b/>
          <w:bCs/>
          <w:color w:val="231F20"/>
          <w:sz w:val="20"/>
          <w:szCs w:val="20"/>
          <w:highlight w:val="none"/>
          <w:lang w:bidi="ar"/>
        </w:rPr>
      </w:pPr>
    </w:p>
    <w:p w14:paraId="58DABF19">
      <w:pPr>
        <w:pStyle w:val="8"/>
        <w:widowControl/>
        <w:shd w:val="clear" w:color="auto" w:fill="FFFFFF"/>
        <w:spacing w:beforeAutospacing="0" w:afterAutospacing="0"/>
        <w:rPr>
          <w:rFonts w:hint="default" w:ascii="Times New Roman" w:hAnsi="Times New Roman" w:eastAsia="Shaker2Lancet-Bold" w:cs="Times New Roman"/>
          <w:b/>
          <w:bCs/>
          <w:color w:val="231F20"/>
          <w:sz w:val="20"/>
          <w:szCs w:val="20"/>
          <w:highlight w:val="none"/>
          <w:lang w:bidi="ar"/>
        </w:rPr>
      </w:pPr>
    </w:p>
    <w:p w14:paraId="1CCA8FB6">
      <w:pPr>
        <w:pStyle w:val="8"/>
        <w:widowControl/>
        <w:shd w:val="clear" w:color="auto" w:fill="FFFFFF"/>
        <w:spacing w:beforeAutospacing="0" w:afterAutospacing="0"/>
        <w:rPr>
          <w:rFonts w:hint="default" w:ascii="Times New Roman" w:hAnsi="Times New Roman" w:eastAsia="Shaker2Lancet-Bold" w:cs="Times New Roman"/>
          <w:b/>
          <w:bCs/>
          <w:color w:val="231F20"/>
          <w:sz w:val="20"/>
          <w:szCs w:val="20"/>
          <w:highlight w:val="none"/>
          <w:lang w:bidi="ar"/>
        </w:rPr>
      </w:pPr>
    </w:p>
    <w:p w14:paraId="4C7742F9">
      <w:pPr>
        <w:pStyle w:val="8"/>
        <w:widowControl/>
        <w:shd w:val="clear" w:color="auto" w:fill="FFFFFF"/>
        <w:spacing w:beforeAutospacing="0" w:afterAutospacing="0"/>
        <w:rPr>
          <w:rFonts w:hint="default" w:ascii="Times New Roman" w:hAnsi="Times New Roman" w:eastAsia="Shaker2Lancet-Bold" w:cs="Times New Roman"/>
          <w:b/>
          <w:bCs/>
          <w:color w:val="231F20"/>
          <w:sz w:val="20"/>
          <w:szCs w:val="20"/>
          <w:highlight w:val="none"/>
          <w:lang w:bidi="ar"/>
        </w:rPr>
      </w:pPr>
    </w:p>
    <w:p w14:paraId="4F6A86F8">
      <w:pPr>
        <w:pStyle w:val="8"/>
        <w:widowControl/>
        <w:shd w:val="clear" w:color="auto" w:fill="FFFFFF"/>
        <w:spacing w:beforeAutospacing="0" w:afterAutospacing="0"/>
        <w:rPr>
          <w:rFonts w:hint="default" w:ascii="Times New Roman" w:hAnsi="Times New Roman" w:eastAsia="Shaker2Lancet-Bold" w:cs="Times New Roman"/>
          <w:b/>
          <w:bCs/>
          <w:color w:val="231F20"/>
          <w:sz w:val="20"/>
          <w:szCs w:val="20"/>
          <w:highlight w:val="none"/>
          <w:lang w:bidi="ar"/>
        </w:rPr>
      </w:pPr>
    </w:p>
    <w:p w14:paraId="04BE486D">
      <w:pPr>
        <w:pStyle w:val="8"/>
        <w:widowControl/>
        <w:shd w:val="clear" w:color="auto" w:fill="FFFFFF"/>
        <w:spacing w:beforeAutospacing="0" w:afterAutospacing="0"/>
        <w:rPr>
          <w:rFonts w:hint="default" w:ascii="Times New Roman" w:hAnsi="Times New Roman" w:eastAsia="Shaker2Lancet-Bold" w:cs="Times New Roman"/>
          <w:b/>
          <w:bCs/>
          <w:color w:val="231F20"/>
          <w:sz w:val="20"/>
          <w:szCs w:val="20"/>
          <w:highlight w:val="none"/>
          <w:lang w:bidi="ar"/>
        </w:rPr>
      </w:pPr>
    </w:p>
    <w:p w14:paraId="23E77008">
      <w:pPr>
        <w:pStyle w:val="8"/>
        <w:widowControl/>
        <w:shd w:val="clear" w:color="auto" w:fill="FFFFFF"/>
        <w:spacing w:beforeAutospacing="0" w:afterAutospacing="0"/>
        <w:rPr>
          <w:rFonts w:hint="default" w:ascii="Times New Roman" w:hAnsi="Times New Roman" w:eastAsia="Shaker2Lancet-Bold" w:cs="Times New Roman"/>
          <w:b/>
          <w:bCs/>
          <w:color w:val="231F20"/>
          <w:sz w:val="20"/>
          <w:szCs w:val="20"/>
          <w:highlight w:val="none"/>
          <w:lang w:bidi="ar"/>
        </w:rPr>
      </w:pPr>
    </w:p>
    <w:p w14:paraId="7D21DEA6">
      <w:pPr>
        <w:pStyle w:val="8"/>
        <w:widowControl/>
        <w:shd w:val="clear" w:color="auto" w:fill="FFFFFF"/>
        <w:spacing w:beforeAutospacing="0" w:afterAutospacing="0"/>
        <w:rPr>
          <w:rFonts w:hint="default" w:ascii="Times New Roman" w:hAnsi="Times New Roman" w:eastAsia="Shaker2Lancet-Bold" w:cs="Times New Roman"/>
          <w:b/>
          <w:bCs/>
          <w:color w:val="231F20"/>
          <w:sz w:val="20"/>
          <w:szCs w:val="20"/>
          <w:highlight w:val="none"/>
          <w:lang w:bidi="ar"/>
        </w:rPr>
      </w:pPr>
    </w:p>
    <w:p w14:paraId="043DCBB7">
      <w:pPr>
        <w:pStyle w:val="8"/>
        <w:widowControl/>
        <w:shd w:val="clear" w:color="auto" w:fill="FFFFFF"/>
        <w:spacing w:beforeAutospacing="0" w:afterAutospacing="0"/>
        <w:rPr>
          <w:rFonts w:hint="default" w:ascii="Times New Roman" w:hAnsi="Times New Roman" w:eastAsia="Shaker2Lancet-Bold" w:cs="Times New Roman"/>
          <w:b/>
          <w:bCs/>
          <w:color w:val="231F20"/>
          <w:sz w:val="20"/>
          <w:szCs w:val="20"/>
          <w:highlight w:val="none"/>
          <w:lang w:bidi="ar"/>
        </w:rPr>
      </w:pPr>
    </w:p>
    <w:p w14:paraId="47540FD8">
      <w:pPr>
        <w:pStyle w:val="8"/>
        <w:widowControl/>
        <w:shd w:val="clear" w:color="auto" w:fill="FFFFFF"/>
        <w:spacing w:beforeAutospacing="0" w:afterAutospacing="0"/>
        <w:rPr>
          <w:rFonts w:hint="default" w:ascii="Times New Roman" w:hAnsi="Times New Roman" w:eastAsia="Shaker2Lancet-Bold" w:cs="Times New Roman"/>
          <w:b/>
          <w:bCs/>
          <w:color w:val="231F20"/>
          <w:sz w:val="20"/>
          <w:szCs w:val="20"/>
          <w:highlight w:val="none"/>
          <w:lang w:bidi="ar"/>
        </w:rPr>
      </w:pPr>
    </w:p>
    <w:p w14:paraId="4D2F6946">
      <w:pPr>
        <w:pStyle w:val="8"/>
        <w:widowControl/>
        <w:shd w:val="clear" w:color="auto" w:fill="FFFFFF"/>
        <w:spacing w:beforeAutospacing="0" w:afterAutospacing="0"/>
        <w:rPr>
          <w:rFonts w:hint="default" w:ascii="Times New Roman" w:hAnsi="Times New Roman" w:eastAsia="Shaker2Lancet-Bold" w:cs="Times New Roman"/>
          <w:b/>
          <w:bCs/>
          <w:color w:val="231F20"/>
          <w:sz w:val="20"/>
          <w:szCs w:val="20"/>
          <w:highlight w:val="none"/>
          <w:lang w:bidi="ar"/>
        </w:rPr>
      </w:pPr>
    </w:p>
    <w:p w14:paraId="2160BA22">
      <w:pPr>
        <w:pStyle w:val="8"/>
        <w:widowControl/>
        <w:shd w:val="clear" w:color="auto" w:fill="FFFFFF"/>
        <w:spacing w:beforeAutospacing="0" w:afterAutospacing="0"/>
        <w:rPr>
          <w:rFonts w:hint="default" w:ascii="Times New Roman" w:hAnsi="Times New Roman" w:eastAsia="Shaker2Lancet-Bold" w:cs="Times New Roman"/>
          <w:b/>
          <w:bCs/>
          <w:color w:val="231F20"/>
          <w:sz w:val="20"/>
          <w:szCs w:val="20"/>
          <w:highlight w:val="none"/>
          <w:lang w:bidi="ar"/>
        </w:rPr>
      </w:pPr>
    </w:p>
    <w:p w14:paraId="6D1BECB1">
      <w:pPr>
        <w:jc w:val="left"/>
        <w:outlineLvl w:val="0"/>
        <w:rPr>
          <w:rFonts w:hint="default" w:ascii="Times New Roman" w:hAnsi="Times New Roman" w:cs="Times New Roman"/>
          <w:b/>
          <w:bCs/>
          <w:sz w:val="20"/>
          <w:szCs w:val="20"/>
          <w:highlight w:val="none"/>
        </w:rPr>
      </w:pPr>
      <w:bookmarkStart w:id="10" w:name="_Toc25086"/>
      <w:r>
        <w:rPr>
          <w:rFonts w:hint="default" w:ascii="Times New Roman" w:hAnsi="Times New Roman" w:eastAsia="宋体" w:cs="Times New Roman"/>
          <w:b/>
          <w:bCs/>
          <w:color w:val="000000" w:themeColor="text1"/>
          <w:sz w:val="20"/>
          <w:szCs w:val="20"/>
          <w:highlight w:val="none"/>
          <w:lang w:eastAsia="zh-CN" w:bidi="ar"/>
          <w14:textFill>
            <w14:solidFill>
              <w14:schemeClr w14:val="tx1"/>
            </w14:solidFill>
          </w14:textFill>
        </w:rPr>
        <w:t xml:space="preserve">Fig. </w:t>
      </w:r>
      <w:r>
        <w:rPr>
          <w:rFonts w:hint="default" w:ascii="Times New Roman" w:hAnsi="Times New Roman" w:eastAsia="宋体" w:cs="Times New Roman"/>
          <w:b/>
          <w:bCs/>
          <w:color w:val="000000" w:themeColor="text1"/>
          <w:sz w:val="20"/>
          <w:szCs w:val="20"/>
          <w:highlight w:val="none"/>
          <w:lang w:val="en-US" w:eastAsia="zh-CN" w:bidi="ar"/>
          <w14:textFill>
            <w14:solidFill>
              <w14:schemeClr w14:val="tx1"/>
            </w14:solidFill>
          </w14:textFill>
        </w:rPr>
        <w:t>S</w:t>
      </w:r>
      <w:r>
        <w:rPr>
          <w:rFonts w:hint="default" w:ascii="Times New Roman" w:hAnsi="Times New Roman" w:eastAsia="CIDFont" w:cs="Times New Roman"/>
          <w:b/>
          <w:bCs/>
          <w:color w:val="000000" w:themeColor="text1"/>
          <w:sz w:val="20"/>
          <w:szCs w:val="20"/>
          <w:highlight w:val="none"/>
          <w:lang w:bidi="ar"/>
          <w14:textFill>
            <w14:solidFill>
              <w14:schemeClr w14:val="tx1"/>
            </w14:solidFill>
          </w14:textFill>
        </w:rPr>
        <w:t>1</w:t>
      </w:r>
      <w:r>
        <w:rPr>
          <w:rFonts w:hint="default" w:ascii="Times New Roman" w:hAnsi="Times New Roman" w:eastAsia="CIDFont" w:cs="Times New Roman"/>
          <w:b/>
          <w:bCs/>
          <w:color w:val="000000" w:themeColor="text1"/>
          <w:sz w:val="20"/>
          <w:szCs w:val="20"/>
          <w:highlight w:val="none"/>
          <w:lang w:bidi="ar"/>
          <w14:textFill>
            <w14:solidFill>
              <w14:schemeClr w14:val="tx1"/>
            </w14:solidFill>
          </w14:textFill>
        </w:rPr>
        <w:t xml:space="preserve">. Forest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P</w:t>
      </w:r>
      <w:r>
        <w:rPr>
          <w:rFonts w:hint="default" w:ascii="Times New Roman" w:hAnsi="Times New Roman" w:eastAsia="CIDFont" w:cs="Times New Roman"/>
          <w:b/>
          <w:bCs/>
          <w:color w:val="000000" w:themeColor="text1"/>
          <w:sz w:val="20"/>
          <w:szCs w:val="20"/>
          <w:highlight w:val="none"/>
          <w:lang w:bidi="ar"/>
          <w14:textFill>
            <w14:solidFill>
              <w14:schemeClr w14:val="tx1"/>
            </w14:solidFill>
          </w14:textFill>
        </w:rPr>
        <w:t>lot of the Overall eGDR Levels in Patien</w:t>
      </w:r>
      <w:r>
        <w:rPr>
          <w:rFonts w:hint="default" w:ascii="Times New Roman" w:hAnsi="Times New Roman" w:cs="Times New Roman"/>
          <w:b/>
          <w:bCs/>
          <w:sz w:val="20"/>
          <w:szCs w:val="20"/>
          <w:highlight w:val="none"/>
        </w:rPr>
        <w:t>ts with T1DM</w:t>
      </w:r>
      <w:bookmarkEnd w:id="10"/>
    </w:p>
    <w:p w14:paraId="0267B818">
      <w:pPr>
        <w:pStyle w:val="8"/>
        <w:widowControl/>
        <w:shd w:val="clear" w:color="auto" w:fill="FFFFFF"/>
        <w:spacing w:beforeAutospacing="0" w:afterAutospacing="0"/>
        <w:rPr>
          <w:rFonts w:hint="default" w:ascii="Times New Roman" w:hAnsi="Times New Roman" w:eastAsia="宋体" w:cs="Times New Roman"/>
          <w:color w:val="C00000"/>
          <w:sz w:val="20"/>
          <w:szCs w:val="20"/>
          <w:highlight w:val="none"/>
          <w:lang w:bidi="ar"/>
        </w:rPr>
      </w:pPr>
      <w:r>
        <w:rPr>
          <w:rFonts w:hint="default" w:ascii="Times New Roman" w:hAnsi="Times New Roman" w:cs="Times New Roman"/>
          <w:sz w:val="20"/>
          <w:szCs w:val="20"/>
          <w:highlight w:val="none"/>
        </w:rPr>
        <w:drawing>
          <wp:inline distT="0" distB="0" distL="114300" distR="114300">
            <wp:extent cx="3750945" cy="4992370"/>
            <wp:effectExtent l="0" t="0" r="1905" b="825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rcRect r="144" b="253"/>
                    <a:stretch>
                      <a:fillRect/>
                    </a:stretch>
                  </pic:blipFill>
                  <pic:spPr>
                    <a:xfrm>
                      <a:off x="0" y="0"/>
                      <a:ext cx="3750945" cy="4992370"/>
                    </a:xfrm>
                    <a:prstGeom prst="rect">
                      <a:avLst/>
                    </a:prstGeom>
                    <a:noFill/>
                    <a:ln>
                      <a:noFill/>
                    </a:ln>
                  </pic:spPr>
                </pic:pic>
              </a:graphicData>
            </a:graphic>
          </wp:inline>
        </w:drawing>
      </w:r>
    </w:p>
    <w:p w14:paraId="7BD509DF">
      <w:pPr>
        <w:jc w:val="left"/>
        <w:outlineLvl w:val="0"/>
        <w:rPr>
          <w:rFonts w:hint="default" w:ascii="Times New Roman" w:hAnsi="Times New Roman" w:eastAsia="CIDFont" w:cs="Times New Roman"/>
          <w:b/>
          <w:bCs/>
          <w:color w:val="000000" w:themeColor="text1"/>
          <w:sz w:val="20"/>
          <w:szCs w:val="20"/>
          <w:highlight w:val="none"/>
          <w:lang w:bidi="ar"/>
          <w14:textFill>
            <w14:solidFill>
              <w14:schemeClr w14:val="tx1"/>
            </w14:solidFill>
          </w14:textFill>
        </w:rPr>
        <w:sectPr>
          <w:pgSz w:w="16838" w:h="11906" w:orient="landscape"/>
          <w:pgMar w:top="1800" w:right="1440" w:bottom="1800" w:left="1440" w:header="851" w:footer="992" w:gutter="0"/>
          <w:cols w:space="425" w:num="1"/>
          <w:docGrid w:type="lines" w:linePitch="312" w:charSpace="0"/>
        </w:sectPr>
      </w:pPr>
    </w:p>
    <w:p w14:paraId="1A9BBD5D">
      <w:pPr>
        <w:jc w:val="left"/>
        <w:outlineLvl w:val="0"/>
        <w:rPr>
          <w:rFonts w:hint="default" w:ascii="Times New Roman" w:hAnsi="Times New Roman" w:cs="Times New Roman"/>
          <w:b/>
          <w:bCs/>
          <w:sz w:val="20"/>
          <w:szCs w:val="20"/>
          <w:highlight w:val="none"/>
        </w:rPr>
      </w:pPr>
      <w:bookmarkStart w:id="11" w:name="_Toc27405"/>
      <w:r>
        <w:rPr>
          <w:rFonts w:hint="default" w:ascii="Times New Roman" w:hAnsi="Times New Roman" w:eastAsia="宋体" w:cs="Times New Roman"/>
          <w:b/>
          <w:bCs/>
          <w:color w:val="000000" w:themeColor="text1"/>
          <w:sz w:val="20"/>
          <w:szCs w:val="20"/>
          <w:highlight w:val="none"/>
          <w:lang w:eastAsia="zh-CN" w:bidi="ar"/>
          <w14:textFill>
            <w14:solidFill>
              <w14:schemeClr w14:val="tx1"/>
            </w14:solidFill>
          </w14:textFill>
        </w:rPr>
        <w:t xml:space="preserve">Fig. </w:t>
      </w:r>
      <w:r>
        <w:rPr>
          <w:rFonts w:hint="default" w:ascii="Times New Roman" w:hAnsi="Times New Roman" w:eastAsia="宋体" w:cs="Times New Roman"/>
          <w:b/>
          <w:bCs/>
          <w:color w:val="000000" w:themeColor="text1"/>
          <w:sz w:val="20"/>
          <w:szCs w:val="20"/>
          <w:highlight w:val="none"/>
          <w:lang w:val="en-US" w:eastAsia="zh-CN" w:bidi="ar"/>
          <w14:textFill>
            <w14:solidFill>
              <w14:schemeClr w14:val="tx1"/>
            </w14:solidFill>
          </w14:textFill>
        </w:rPr>
        <w:t>S</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2</w:t>
      </w:r>
      <w:r>
        <w:rPr>
          <w:rFonts w:hint="default" w:ascii="Times New Roman" w:hAnsi="Times New Roman" w:eastAsia="CIDFont" w:cs="Times New Roman"/>
          <w:b/>
          <w:bCs/>
          <w:color w:val="000000" w:themeColor="text1"/>
          <w:sz w:val="20"/>
          <w:szCs w:val="20"/>
          <w:highlight w:val="none"/>
          <w:lang w:bidi="ar"/>
          <w14:textFill>
            <w14:solidFill>
              <w14:schemeClr w14:val="tx1"/>
            </w14:solidFill>
          </w14:textFill>
        </w:rPr>
        <w:t xml:space="preserve">. Forest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P</w:t>
      </w:r>
      <w:r>
        <w:rPr>
          <w:rFonts w:hint="default" w:ascii="Times New Roman" w:hAnsi="Times New Roman" w:eastAsia="CIDFont" w:cs="Times New Roman"/>
          <w:b/>
          <w:bCs/>
          <w:color w:val="000000" w:themeColor="text1"/>
          <w:sz w:val="20"/>
          <w:szCs w:val="20"/>
          <w:highlight w:val="none"/>
          <w:lang w:bidi="ar"/>
          <w14:textFill>
            <w14:solidFill>
              <w14:schemeClr w14:val="tx1"/>
            </w14:solidFill>
          </w14:textFill>
        </w:rPr>
        <w:t>lot of the Overall eGDR Levels in Patien</w:t>
      </w:r>
      <w:r>
        <w:rPr>
          <w:rFonts w:hint="default" w:ascii="Times New Roman" w:hAnsi="Times New Roman" w:cs="Times New Roman"/>
          <w:b/>
          <w:bCs/>
          <w:sz w:val="20"/>
          <w:szCs w:val="20"/>
          <w:highlight w:val="none"/>
        </w:rPr>
        <w:t>ts with T2DM</w:t>
      </w:r>
      <w:bookmarkEnd w:id="11"/>
    </w:p>
    <w:p w14:paraId="3AD0267E">
      <w:pPr>
        <w:jc w:val="left"/>
        <w:rPr>
          <w:rFonts w:hint="default" w:ascii="Times New Roman" w:hAnsi="Times New Roman" w:cs="Times New Roman"/>
          <w:b/>
          <w:bCs/>
          <w:sz w:val="20"/>
          <w:szCs w:val="20"/>
          <w:highlight w:val="none"/>
        </w:rPr>
      </w:pPr>
      <w:r>
        <w:rPr>
          <w:rFonts w:hint="default" w:ascii="Times New Roman" w:hAnsi="Times New Roman" w:cs="Times New Roman"/>
          <w:sz w:val="20"/>
          <w:szCs w:val="20"/>
          <w:highlight w:val="none"/>
        </w:rPr>
        <w:drawing>
          <wp:inline distT="0" distB="0" distL="114300" distR="114300">
            <wp:extent cx="5614670" cy="1505585"/>
            <wp:effectExtent l="0" t="0" r="5080" b="889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stretch>
                      <a:fillRect/>
                    </a:stretch>
                  </pic:blipFill>
                  <pic:spPr>
                    <a:xfrm>
                      <a:off x="0" y="0"/>
                      <a:ext cx="5614670" cy="1505585"/>
                    </a:xfrm>
                    <a:prstGeom prst="rect">
                      <a:avLst/>
                    </a:prstGeom>
                    <a:noFill/>
                    <a:ln>
                      <a:noFill/>
                    </a:ln>
                  </pic:spPr>
                </pic:pic>
              </a:graphicData>
            </a:graphic>
          </wp:inline>
        </w:drawing>
      </w:r>
    </w:p>
    <w:p w14:paraId="34E1FC62">
      <w:pPr>
        <w:pStyle w:val="8"/>
        <w:widowControl/>
        <w:shd w:val="clear" w:color="auto" w:fill="FFFFFF"/>
        <w:spacing w:beforeAutospacing="0" w:afterAutospacing="0"/>
        <w:rPr>
          <w:rFonts w:hint="default" w:ascii="Times New Roman" w:hAnsi="Times New Roman" w:eastAsia="宋体" w:cs="Times New Roman"/>
          <w:color w:val="C00000"/>
          <w:sz w:val="20"/>
          <w:szCs w:val="20"/>
          <w:highlight w:val="none"/>
          <w:lang w:bidi="ar"/>
        </w:rPr>
      </w:pPr>
    </w:p>
    <w:p w14:paraId="1BAFCB48">
      <w:pPr>
        <w:widowControl/>
        <w:spacing w:line="360" w:lineRule="auto"/>
        <w:jc w:val="left"/>
        <w:outlineLvl w:val="0"/>
        <w:rPr>
          <w:rFonts w:hint="default" w:ascii="Times New Roman" w:hAnsi="Times New Roman" w:eastAsia="CIDFont" w:cs="Times New Roman"/>
          <w:b/>
          <w:bCs/>
          <w:color w:val="000000"/>
          <w:kern w:val="0"/>
          <w:sz w:val="20"/>
          <w:szCs w:val="20"/>
          <w:highlight w:val="none"/>
          <w:lang w:bidi="ar"/>
        </w:rPr>
      </w:pPr>
    </w:p>
    <w:p w14:paraId="58E41B30">
      <w:pPr>
        <w:widowControl/>
        <w:spacing w:line="360" w:lineRule="auto"/>
        <w:jc w:val="left"/>
        <w:outlineLvl w:val="0"/>
        <w:rPr>
          <w:rFonts w:hint="default" w:ascii="Times New Roman" w:hAnsi="Times New Roman" w:eastAsia="CIDFont" w:cs="Times New Roman"/>
          <w:b/>
          <w:bCs/>
          <w:color w:val="000000"/>
          <w:kern w:val="0"/>
          <w:sz w:val="20"/>
          <w:szCs w:val="20"/>
          <w:highlight w:val="none"/>
          <w:lang w:bidi="ar"/>
        </w:rPr>
      </w:pPr>
    </w:p>
    <w:p w14:paraId="4863755A">
      <w:pPr>
        <w:widowControl/>
        <w:spacing w:line="360" w:lineRule="auto"/>
        <w:jc w:val="left"/>
        <w:outlineLvl w:val="0"/>
        <w:rPr>
          <w:rFonts w:hint="default" w:ascii="Times New Roman" w:hAnsi="Times New Roman" w:eastAsia="CIDFont" w:cs="Times New Roman"/>
          <w:b/>
          <w:bCs/>
          <w:color w:val="000000"/>
          <w:kern w:val="0"/>
          <w:sz w:val="20"/>
          <w:szCs w:val="20"/>
          <w:highlight w:val="none"/>
          <w:lang w:bidi="ar"/>
        </w:rPr>
      </w:pPr>
    </w:p>
    <w:p w14:paraId="4D51691A">
      <w:pPr>
        <w:widowControl/>
        <w:spacing w:line="360" w:lineRule="auto"/>
        <w:jc w:val="left"/>
        <w:outlineLvl w:val="0"/>
        <w:rPr>
          <w:rFonts w:hint="default" w:ascii="Times New Roman" w:hAnsi="Times New Roman" w:eastAsia="CIDFont" w:cs="Times New Roman"/>
          <w:b/>
          <w:bCs/>
          <w:color w:val="000000"/>
          <w:kern w:val="0"/>
          <w:sz w:val="20"/>
          <w:szCs w:val="20"/>
          <w:highlight w:val="none"/>
          <w:lang w:bidi="ar"/>
        </w:rPr>
      </w:pPr>
    </w:p>
    <w:p w14:paraId="4FBEE8D0">
      <w:pPr>
        <w:widowControl/>
        <w:spacing w:line="360" w:lineRule="auto"/>
        <w:jc w:val="left"/>
        <w:outlineLvl w:val="0"/>
        <w:rPr>
          <w:rFonts w:hint="default" w:ascii="Times New Roman" w:hAnsi="Times New Roman" w:eastAsia="CIDFont" w:cs="Times New Roman"/>
          <w:b/>
          <w:bCs/>
          <w:color w:val="000000"/>
          <w:kern w:val="0"/>
          <w:sz w:val="20"/>
          <w:szCs w:val="20"/>
          <w:highlight w:val="none"/>
          <w:lang w:bidi="ar"/>
        </w:rPr>
      </w:pPr>
    </w:p>
    <w:p w14:paraId="72C0A736">
      <w:pPr>
        <w:widowControl/>
        <w:spacing w:line="360" w:lineRule="auto"/>
        <w:jc w:val="left"/>
        <w:outlineLvl w:val="0"/>
        <w:rPr>
          <w:rFonts w:hint="default" w:ascii="Times New Roman" w:hAnsi="Times New Roman" w:eastAsia="CIDFont" w:cs="Times New Roman"/>
          <w:b/>
          <w:bCs/>
          <w:color w:val="000000"/>
          <w:kern w:val="0"/>
          <w:sz w:val="20"/>
          <w:szCs w:val="20"/>
          <w:highlight w:val="none"/>
          <w:lang w:bidi="ar"/>
        </w:rPr>
      </w:pPr>
    </w:p>
    <w:p w14:paraId="2FF10B11">
      <w:pPr>
        <w:widowControl/>
        <w:spacing w:line="360" w:lineRule="auto"/>
        <w:jc w:val="left"/>
        <w:outlineLvl w:val="0"/>
        <w:rPr>
          <w:rFonts w:hint="default" w:ascii="Times New Roman" w:hAnsi="Times New Roman" w:eastAsia="CIDFont" w:cs="Times New Roman"/>
          <w:b/>
          <w:bCs/>
          <w:color w:val="000000"/>
          <w:kern w:val="0"/>
          <w:sz w:val="20"/>
          <w:szCs w:val="20"/>
          <w:highlight w:val="none"/>
          <w:lang w:bidi="ar"/>
        </w:rPr>
      </w:pPr>
    </w:p>
    <w:p w14:paraId="0B9BF265">
      <w:pPr>
        <w:widowControl/>
        <w:spacing w:line="360" w:lineRule="auto"/>
        <w:jc w:val="left"/>
        <w:outlineLvl w:val="0"/>
        <w:rPr>
          <w:rFonts w:hint="default" w:ascii="Times New Roman" w:hAnsi="Times New Roman" w:eastAsia="CIDFont" w:cs="Times New Roman"/>
          <w:b/>
          <w:bCs/>
          <w:color w:val="000000"/>
          <w:kern w:val="0"/>
          <w:sz w:val="20"/>
          <w:szCs w:val="20"/>
          <w:highlight w:val="none"/>
          <w:lang w:bidi="ar"/>
        </w:rPr>
      </w:pPr>
    </w:p>
    <w:p w14:paraId="3F599A05">
      <w:pPr>
        <w:widowControl/>
        <w:spacing w:line="360" w:lineRule="auto"/>
        <w:jc w:val="left"/>
        <w:outlineLvl w:val="0"/>
        <w:rPr>
          <w:rFonts w:hint="default" w:ascii="Times New Roman" w:hAnsi="Times New Roman" w:eastAsia="CIDFont" w:cs="Times New Roman"/>
          <w:b/>
          <w:bCs/>
          <w:color w:val="000000"/>
          <w:kern w:val="0"/>
          <w:sz w:val="20"/>
          <w:szCs w:val="20"/>
          <w:highlight w:val="none"/>
          <w:lang w:bidi="ar"/>
        </w:rPr>
      </w:pPr>
    </w:p>
    <w:p w14:paraId="11884F7F">
      <w:pPr>
        <w:widowControl/>
        <w:spacing w:line="360" w:lineRule="auto"/>
        <w:jc w:val="left"/>
        <w:outlineLvl w:val="0"/>
        <w:rPr>
          <w:rFonts w:hint="default" w:ascii="Times New Roman" w:hAnsi="Times New Roman" w:eastAsia="CIDFont" w:cs="Times New Roman"/>
          <w:b/>
          <w:bCs/>
          <w:color w:val="000000"/>
          <w:kern w:val="0"/>
          <w:sz w:val="20"/>
          <w:szCs w:val="20"/>
          <w:highlight w:val="none"/>
          <w:lang w:bidi="ar"/>
        </w:rPr>
      </w:pPr>
    </w:p>
    <w:p w14:paraId="33513D0C">
      <w:pPr>
        <w:widowControl/>
        <w:spacing w:line="360" w:lineRule="auto"/>
        <w:jc w:val="left"/>
        <w:outlineLvl w:val="0"/>
        <w:rPr>
          <w:rFonts w:hint="default" w:ascii="Times New Roman" w:hAnsi="Times New Roman" w:eastAsia="CIDFont" w:cs="Times New Roman"/>
          <w:b/>
          <w:bCs/>
          <w:color w:val="000000"/>
          <w:kern w:val="0"/>
          <w:sz w:val="20"/>
          <w:szCs w:val="20"/>
          <w:highlight w:val="none"/>
          <w:lang w:bidi="ar"/>
        </w:rPr>
      </w:pPr>
    </w:p>
    <w:p w14:paraId="4AECB618">
      <w:pPr>
        <w:widowControl/>
        <w:spacing w:line="360" w:lineRule="auto"/>
        <w:jc w:val="left"/>
        <w:outlineLvl w:val="0"/>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pPr>
      <w:bookmarkStart w:id="12" w:name="_Toc10347"/>
      <w:r>
        <w:rPr>
          <w:rFonts w:hint="default" w:ascii="Times New Roman" w:hAnsi="Times New Roman" w:eastAsia="宋体" w:cs="Times New Roman"/>
          <w:b/>
          <w:bCs/>
          <w:color w:val="231F20"/>
          <w:kern w:val="0"/>
          <w:sz w:val="20"/>
          <w:szCs w:val="20"/>
          <w:highlight w:val="none"/>
          <w:lang w:eastAsia="zh-CN" w:bidi="ar"/>
        </w:rPr>
        <w:t xml:space="preserve">Fig. </w:t>
      </w:r>
      <w:r>
        <w:rPr>
          <w:rFonts w:hint="default" w:ascii="Times New Roman" w:hAnsi="Times New Roman" w:eastAsia="宋体" w:cs="Times New Roman"/>
          <w:b/>
          <w:bCs/>
          <w:color w:val="231F20"/>
          <w:kern w:val="0"/>
          <w:sz w:val="20"/>
          <w:szCs w:val="20"/>
          <w:highlight w:val="none"/>
          <w:lang w:val="en-US" w:eastAsia="zh-CN" w:bidi="ar"/>
        </w:rPr>
        <w:t>S</w:t>
      </w:r>
      <w:r>
        <w:rPr>
          <w:rFonts w:hint="default" w:ascii="Times New Roman" w:hAnsi="Times New Roman" w:eastAsia="宋体" w:cs="Times New Roman"/>
          <w:b/>
          <w:bCs/>
          <w:color w:val="231F20"/>
          <w:kern w:val="0"/>
          <w:sz w:val="20"/>
          <w:szCs w:val="20"/>
          <w:highlight w:val="none"/>
          <w:lang w:bidi="ar"/>
        </w:rPr>
        <w:t>3</w:t>
      </w:r>
      <w:r>
        <w:rPr>
          <w:rFonts w:hint="default" w:ascii="Times New Roman" w:hAnsi="Times New Roman" w:eastAsia="Shaker2Lancet-BoldItalic" w:cs="Times New Roman"/>
          <w:b/>
          <w:bCs/>
          <w:color w:val="231F20"/>
          <w:kern w:val="0"/>
          <w:sz w:val="20"/>
          <w:szCs w:val="20"/>
          <w:highlight w:val="none"/>
          <w:lang w:bidi="ar"/>
        </w:rPr>
        <w:t>.</w:t>
      </w:r>
      <w:r>
        <w:rPr>
          <w:rFonts w:hint="default" w:ascii="Times New Roman" w:hAnsi="Times New Roman" w:eastAsia="Shaker2Lancet-Bold" w:cs="Times New Roman"/>
          <w:b/>
          <w:bCs/>
          <w:color w:val="231F20"/>
          <w:kern w:val="0"/>
          <w:sz w:val="20"/>
          <w:szCs w:val="20"/>
          <w:highlight w:val="none"/>
          <w:lang w:bidi="ar"/>
        </w:rPr>
        <w:t xml:space="preserve"> </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Sensitivity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A</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nalysis of the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R</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isk of CVD in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P</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atients with T1DM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B</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ased on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D</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ifferent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D</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egrees of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A</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djustment</w:t>
      </w:r>
      <w:bookmarkEnd w:id="12"/>
    </w:p>
    <w:p w14:paraId="5E17BE12">
      <w:pPr>
        <w:pStyle w:val="8"/>
        <w:widowControl/>
        <w:shd w:val="clear" w:color="auto" w:fill="FFFFFF"/>
        <w:spacing w:beforeAutospacing="0" w:afterAutospacing="0"/>
        <w:rPr>
          <w:rFonts w:hint="default" w:ascii="Times New Roman" w:hAnsi="Times New Roman" w:eastAsia="CIDFont" w:cs="Times New Roman"/>
          <w:b/>
          <w:bCs/>
          <w:color w:val="000000" w:themeColor="text1"/>
          <w:sz w:val="20"/>
          <w:szCs w:val="20"/>
          <w:highlight w:val="none"/>
          <w:lang w:bidi="ar"/>
          <w14:textFill>
            <w14:solidFill>
              <w14:schemeClr w14:val="tx1"/>
            </w14:solidFill>
          </w14:textFill>
        </w:rPr>
      </w:pPr>
      <w:r>
        <w:rPr>
          <w:rFonts w:hint="default" w:ascii="Times New Roman" w:hAnsi="Times New Roman" w:cs="Times New Roman"/>
          <w:sz w:val="20"/>
          <w:szCs w:val="20"/>
          <w:highlight w:val="none"/>
        </w:rPr>
        <w:drawing>
          <wp:inline distT="0" distB="0" distL="114300" distR="114300">
            <wp:extent cx="5913120" cy="4319905"/>
            <wp:effectExtent l="0" t="0" r="0" b="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8"/>
                    <a:srcRect l="2451" t="1277"/>
                    <a:stretch>
                      <a:fillRect/>
                    </a:stretch>
                  </pic:blipFill>
                  <pic:spPr>
                    <a:xfrm>
                      <a:off x="0" y="0"/>
                      <a:ext cx="5913120" cy="4319905"/>
                    </a:xfrm>
                    <a:prstGeom prst="rect">
                      <a:avLst/>
                    </a:prstGeom>
                    <a:noFill/>
                    <a:ln w="9525">
                      <a:noFill/>
                    </a:ln>
                  </pic:spPr>
                </pic:pic>
              </a:graphicData>
            </a:graphic>
          </wp:inline>
        </w:drawing>
      </w:r>
    </w:p>
    <w:p w14:paraId="5DB64098">
      <w:pPr>
        <w:pStyle w:val="8"/>
        <w:widowControl/>
        <w:shd w:val="clear" w:color="auto" w:fill="FFFFFF"/>
        <w:spacing w:beforeAutospacing="0" w:afterAutospacing="0"/>
        <w:rPr>
          <w:rFonts w:hint="default" w:ascii="Times New Roman" w:hAnsi="Times New Roman" w:eastAsia="CIDFont" w:cs="Times New Roman"/>
          <w:b/>
          <w:bCs/>
          <w:color w:val="000000" w:themeColor="text1"/>
          <w:sz w:val="20"/>
          <w:szCs w:val="20"/>
          <w:highlight w:val="none"/>
          <w:lang w:bidi="ar"/>
          <w14:textFill>
            <w14:solidFill>
              <w14:schemeClr w14:val="tx1"/>
            </w14:solidFill>
          </w14:textFill>
        </w:rPr>
      </w:pPr>
    </w:p>
    <w:p w14:paraId="666840D1">
      <w:pPr>
        <w:pStyle w:val="8"/>
        <w:widowControl/>
        <w:shd w:val="clear" w:color="auto" w:fill="FFFFFF"/>
        <w:spacing w:beforeAutospacing="0" w:afterAutospacing="0"/>
        <w:rPr>
          <w:rFonts w:hint="default" w:ascii="Times New Roman" w:hAnsi="Times New Roman" w:eastAsia="CIDFont" w:cs="Times New Roman"/>
          <w:b/>
          <w:bCs/>
          <w:color w:val="000000" w:themeColor="text1"/>
          <w:sz w:val="20"/>
          <w:szCs w:val="20"/>
          <w:highlight w:val="none"/>
          <w:lang w:bidi="ar"/>
          <w14:textFill>
            <w14:solidFill>
              <w14:schemeClr w14:val="tx1"/>
            </w14:solidFill>
          </w14:textFill>
        </w:rPr>
      </w:pPr>
    </w:p>
    <w:p w14:paraId="3211AC41">
      <w:pPr>
        <w:pStyle w:val="8"/>
        <w:widowControl/>
        <w:shd w:val="clear" w:color="auto" w:fill="FFFFFF"/>
        <w:spacing w:beforeAutospacing="0" w:afterAutospacing="0"/>
        <w:rPr>
          <w:rFonts w:hint="default" w:ascii="Times New Roman" w:hAnsi="Times New Roman" w:eastAsia="CIDFont" w:cs="Times New Roman"/>
          <w:b/>
          <w:bCs/>
          <w:color w:val="000000" w:themeColor="text1"/>
          <w:sz w:val="20"/>
          <w:szCs w:val="20"/>
          <w:highlight w:val="none"/>
          <w:lang w:bidi="ar"/>
          <w14:textFill>
            <w14:solidFill>
              <w14:schemeClr w14:val="tx1"/>
            </w14:solidFill>
          </w14:textFill>
        </w:rPr>
      </w:pPr>
    </w:p>
    <w:p w14:paraId="4E94E32B">
      <w:pPr>
        <w:widowControl/>
        <w:spacing w:line="360" w:lineRule="auto"/>
        <w:jc w:val="left"/>
        <w:outlineLvl w:val="0"/>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pP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 </w:t>
      </w:r>
      <w:bookmarkStart w:id="13" w:name="_Toc23141"/>
      <w:r>
        <w:rPr>
          <w:rFonts w:hint="default" w:ascii="Times New Roman" w:hAnsi="Times New Roman" w:eastAsia="宋体" w:cs="Times New Roman"/>
          <w:b/>
          <w:bCs/>
          <w:color w:val="000000" w:themeColor="text1"/>
          <w:sz w:val="20"/>
          <w:szCs w:val="20"/>
          <w:highlight w:val="none"/>
          <w:lang w:eastAsia="zh-CN" w:bidi="ar"/>
          <w14:textFill>
            <w14:solidFill>
              <w14:schemeClr w14:val="tx1"/>
            </w14:solidFill>
          </w14:textFill>
        </w:rPr>
        <w:t>Fig.</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 </w:t>
      </w:r>
      <w:r>
        <w:rPr>
          <w:rFonts w:hint="default" w:ascii="Times New Roman" w:hAnsi="Times New Roman" w:eastAsia="宋体" w:cs="Times New Roman"/>
          <w:b/>
          <w:bCs/>
          <w:color w:val="000000" w:themeColor="text1"/>
          <w:sz w:val="20"/>
          <w:szCs w:val="20"/>
          <w:highlight w:val="none"/>
          <w:lang w:val="en-US" w:eastAsia="zh-CN" w:bidi="ar"/>
          <w14:textFill>
            <w14:solidFill>
              <w14:schemeClr w14:val="tx1"/>
            </w14:solidFill>
          </w14:textFill>
        </w:rPr>
        <w:t>S</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4</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 Sensitivity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A</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nalysis of the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R</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isk of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DMC</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 in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P</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atients with T1DM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B</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ased on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D</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ifferent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D</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egrees of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A</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djustment</w:t>
      </w:r>
      <w:bookmarkEnd w:id="13"/>
    </w:p>
    <w:p w14:paraId="7B12120B">
      <w:pPr>
        <w:pStyle w:val="8"/>
        <w:widowControl/>
        <w:shd w:val="clear" w:color="auto" w:fill="FFFFFF"/>
        <w:spacing w:beforeAutospacing="0" w:afterAutospacing="0"/>
        <w:rPr>
          <w:rFonts w:hint="default" w:ascii="Times New Roman" w:hAnsi="Times New Roman" w:eastAsia="CIDFont" w:cs="Times New Roman"/>
          <w:b/>
          <w:bCs/>
          <w:color w:val="000000" w:themeColor="text1"/>
          <w:sz w:val="20"/>
          <w:szCs w:val="20"/>
          <w:highlight w:val="none"/>
          <w:lang w:bidi="ar"/>
          <w14:textFill>
            <w14:solidFill>
              <w14:schemeClr w14:val="tx1"/>
            </w14:solidFill>
          </w14:textFill>
        </w:rPr>
      </w:pPr>
      <w:r>
        <w:rPr>
          <w:rFonts w:hint="default" w:ascii="Times New Roman" w:hAnsi="Times New Roman" w:cs="Times New Roman"/>
          <w:sz w:val="20"/>
          <w:szCs w:val="20"/>
          <w:highlight w:val="none"/>
        </w:rPr>
        <w:drawing>
          <wp:inline distT="0" distB="0" distL="114300" distR="114300">
            <wp:extent cx="5826125" cy="2625725"/>
            <wp:effectExtent l="0" t="0" r="3175" b="3175"/>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9"/>
                    <a:stretch>
                      <a:fillRect/>
                    </a:stretch>
                  </pic:blipFill>
                  <pic:spPr>
                    <a:xfrm>
                      <a:off x="0" y="0"/>
                      <a:ext cx="5826125" cy="2625725"/>
                    </a:xfrm>
                    <a:prstGeom prst="rect">
                      <a:avLst/>
                    </a:prstGeom>
                    <a:noFill/>
                    <a:ln w="9525">
                      <a:noFill/>
                    </a:ln>
                  </pic:spPr>
                </pic:pic>
              </a:graphicData>
            </a:graphic>
          </wp:inline>
        </w:drawing>
      </w:r>
    </w:p>
    <w:p w14:paraId="4CC765E3">
      <w:pPr>
        <w:pStyle w:val="8"/>
        <w:widowControl/>
        <w:shd w:val="clear" w:color="auto" w:fill="FFFFFF"/>
        <w:spacing w:beforeAutospacing="0" w:afterAutospacing="0"/>
        <w:rPr>
          <w:rFonts w:hint="default" w:ascii="Times New Roman" w:hAnsi="Times New Roman" w:eastAsia="CIDFont" w:cs="Times New Roman"/>
          <w:b/>
          <w:bCs/>
          <w:color w:val="000000" w:themeColor="text1"/>
          <w:sz w:val="20"/>
          <w:szCs w:val="20"/>
          <w:highlight w:val="none"/>
          <w:lang w:bidi="ar"/>
          <w14:textFill>
            <w14:solidFill>
              <w14:schemeClr w14:val="tx1"/>
            </w14:solidFill>
          </w14:textFill>
        </w:rPr>
      </w:pPr>
    </w:p>
    <w:p w14:paraId="1F6EE517">
      <w:pPr>
        <w:pStyle w:val="8"/>
        <w:widowControl/>
        <w:shd w:val="clear" w:color="auto" w:fill="FFFFFF"/>
        <w:spacing w:beforeAutospacing="0" w:afterAutospacing="0"/>
        <w:rPr>
          <w:rFonts w:hint="default" w:ascii="Times New Roman" w:hAnsi="Times New Roman" w:eastAsia="CIDFont" w:cs="Times New Roman"/>
          <w:b/>
          <w:bCs/>
          <w:color w:val="000000" w:themeColor="text1"/>
          <w:sz w:val="20"/>
          <w:szCs w:val="20"/>
          <w:highlight w:val="none"/>
          <w:lang w:bidi="ar"/>
          <w14:textFill>
            <w14:solidFill>
              <w14:schemeClr w14:val="tx1"/>
            </w14:solidFill>
          </w14:textFill>
        </w:rPr>
      </w:pPr>
    </w:p>
    <w:p w14:paraId="10D46CC8">
      <w:pPr>
        <w:pStyle w:val="8"/>
        <w:widowControl/>
        <w:shd w:val="clear" w:color="auto" w:fill="FFFFFF"/>
        <w:spacing w:beforeAutospacing="0" w:afterAutospacing="0"/>
        <w:rPr>
          <w:rFonts w:hint="default" w:ascii="Times New Roman" w:hAnsi="Times New Roman" w:eastAsia="CIDFont" w:cs="Times New Roman"/>
          <w:b/>
          <w:bCs/>
          <w:color w:val="000000" w:themeColor="text1"/>
          <w:sz w:val="20"/>
          <w:szCs w:val="20"/>
          <w:highlight w:val="none"/>
          <w:lang w:bidi="ar"/>
          <w14:textFill>
            <w14:solidFill>
              <w14:schemeClr w14:val="tx1"/>
            </w14:solidFill>
          </w14:textFill>
        </w:rPr>
      </w:pPr>
    </w:p>
    <w:p w14:paraId="67CFBD0B">
      <w:pPr>
        <w:pStyle w:val="8"/>
        <w:widowControl/>
        <w:shd w:val="clear" w:color="auto" w:fill="FFFFFF"/>
        <w:spacing w:beforeAutospacing="0" w:afterAutospacing="0"/>
        <w:rPr>
          <w:rFonts w:hint="default" w:ascii="Times New Roman" w:hAnsi="Times New Roman" w:eastAsia="CIDFont" w:cs="Times New Roman"/>
          <w:b/>
          <w:bCs/>
          <w:color w:val="000000" w:themeColor="text1"/>
          <w:sz w:val="20"/>
          <w:szCs w:val="20"/>
          <w:highlight w:val="none"/>
          <w:lang w:bidi="ar"/>
          <w14:textFill>
            <w14:solidFill>
              <w14:schemeClr w14:val="tx1"/>
            </w14:solidFill>
          </w14:textFill>
        </w:rPr>
      </w:pPr>
    </w:p>
    <w:p w14:paraId="2F5DDE50">
      <w:pPr>
        <w:pStyle w:val="8"/>
        <w:widowControl/>
        <w:shd w:val="clear" w:color="auto" w:fill="FFFFFF"/>
        <w:spacing w:beforeAutospacing="0" w:afterAutospacing="0"/>
        <w:rPr>
          <w:rFonts w:hint="default" w:ascii="Times New Roman" w:hAnsi="Times New Roman" w:eastAsia="CIDFont" w:cs="Times New Roman"/>
          <w:b/>
          <w:bCs/>
          <w:color w:val="000000" w:themeColor="text1"/>
          <w:sz w:val="20"/>
          <w:szCs w:val="20"/>
          <w:highlight w:val="none"/>
          <w:lang w:bidi="ar"/>
          <w14:textFill>
            <w14:solidFill>
              <w14:schemeClr w14:val="tx1"/>
            </w14:solidFill>
          </w14:textFill>
        </w:rPr>
      </w:pPr>
    </w:p>
    <w:p w14:paraId="084625A2">
      <w:pPr>
        <w:pStyle w:val="8"/>
        <w:widowControl/>
        <w:shd w:val="clear" w:color="auto" w:fill="FFFFFF"/>
        <w:spacing w:beforeAutospacing="0" w:afterAutospacing="0"/>
        <w:rPr>
          <w:rFonts w:hint="default" w:ascii="Times New Roman" w:hAnsi="Times New Roman" w:eastAsia="CIDFont" w:cs="Times New Roman"/>
          <w:b/>
          <w:bCs/>
          <w:color w:val="000000" w:themeColor="text1"/>
          <w:sz w:val="20"/>
          <w:szCs w:val="20"/>
          <w:highlight w:val="none"/>
          <w:lang w:bidi="ar"/>
          <w14:textFill>
            <w14:solidFill>
              <w14:schemeClr w14:val="tx1"/>
            </w14:solidFill>
          </w14:textFill>
        </w:rPr>
      </w:pPr>
    </w:p>
    <w:p w14:paraId="69A8E0EF">
      <w:pPr>
        <w:pStyle w:val="8"/>
        <w:widowControl/>
        <w:shd w:val="clear" w:color="auto" w:fill="FFFFFF"/>
        <w:spacing w:beforeAutospacing="0" w:afterAutospacing="0"/>
        <w:rPr>
          <w:rFonts w:hint="default" w:ascii="Times New Roman" w:hAnsi="Times New Roman" w:eastAsia="CIDFont" w:cs="Times New Roman"/>
          <w:b/>
          <w:bCs/>
          <w:color w:val="000000" w:themeColor="text1"/>
          <w:sz w:val="20"/>
          <w:szCs w:val="20"/>
          <w:highlight w:val="none"/>
          <w:lang w:bidi="ar"/>
          <w14:textFill>
            <w14:solidFill>
              <w14:schemeClr w14:val="tx1"/>
            </w14:solidFill>
          </w14:textFill>
        </w:rPr>
      </w:pPr>
    </w:p>
    <w:p w14:paraId="3D933340">
      <w:pPr>
        <w:pStyle w:val="8"/>
        <w:widowControl/>
        <w:shd w:val="clear" w:color="auto" w:fill="FFFFFF"/>
        <w:spacing w:beforeAutospacing="0" w:afterAutospacing="0"/>
        <w:rPr>
          <w:rFonts w:hint="default" w:ascii="Times New Roman" w:hAnsi="Times New Roman" w:eastAsia="CIDFont" w:cs="Times New Roman"/>
          <w:b/>
          <w:bCs/>
          <w:color w:val="000000" w:themeColor="text1"/>
          <w:sz w:val="20"/>
          <w:szCs w:val="20"/>
          <w:highlight w:val="none"/>
          <w:lang w:bidi="ar"/>
          <w14:textFill>
            <w14:solidFill>
              <w14:schemeClr w14:val="tx1"/>
            </w14:solidFill>
          </w14:textFill>
        </w:rPr>
      </w:pPr>
    </w:p>
    <w:p w14:paraId="379B5F12">
      <w:pPr>
        <w:pStyle w:val="8"/>
        <w:widowControl/>
        <w:shd w:val="clear" w:color="auto" w:fill="FFFFFF"/>
        <w:spacing w:beforeAutospacing="0" w:afterAutospacing="0"/>
        <w:rPr>
          <w:rFonts w:hint="default" w:ascii="Times New Roman" w:hAnsi="Times New Roman" w:eastAsia="CIDFont" w:cs="Times New Roman"/>
          <w:b/>
          <w:bCs/>
          <w:color w:val="000000" w:themeColor="text1"/>
          <w:sz w:val="20"/>
          <w:szCs w:val="20"/>
          <w:highlight w:val="none"/>
          <w:lang w:bidi="ar"/>
          <w14:textFill>
            <w14:solidFill>
              <w14:schemeClr w14:val="tx1"/>
            </w14:solidFill>
          </w14:textFill>
        </w:rPr>
      </w:pPr>
    </w:p>
    <w:p w14:paraId="5838B959">
      <w:pPr>
        <w:pStyle w:val="8"/>
        <w:widowControl/>
        <w:shd w:val="clear" w:color="auto" w:fill="FFFFFF"/>
        <w:spacing w:beforeAutospacing="0" w:afterAutospacing="0"/>
        <w:rPr>
          <w:rFonts w:hint="default" w:ascii="Times New Roman" w:hAnsi="Times New Roman" w:eastAsia="CIDFont" w:cs="Times New Roman"/>
          <w:b/>
          <w:bCs/>
          <w:color w:val="000000" w:themeColor="text1"/>
          <w:sz w:val="20"/>
          <w:szCs w:val="20"/>
          <w:highlight w:val="none"/>
          <w:lang w:bidi="ar"/>
          <w14:textFill>
            <w14:solidFill>
              <w14:schemeClr w14:val="tx1"/>
            </w14:solidFill>
          </w14:textFill>
        </w:rPr>
      </w:pPr>
    </w:p>
    <w:p w14:paraId="7F7CE5CC">
      <w:pPr>
        <w:pStyle w:val="8"/>
        <w:widowControl/>
        <w:shd w:val="clear" w:color="auto" w:fill="FFFFFF"/>
        <w:spacing w:beforeAutospacing="0" w:afterAutospacing="0"/>
        <w:rPr>
          <w:rFonts w:hint="default" w:ascii="Times New Roman" w:hAnsi="Times New Roman" w:eastAsia="CIDFont" w:cs="Times New Roman"/>
          <w:b/>
          <w:bCs/>
          <w:color w:val="000000" w:themeColor="text1"/>
          <w:sz w:val="20"/>
          <w:szCs w:val="20"/>
          <w:highlight w:val="none"/>
          <w:lang w:bidi="ar"/>
          <w14:textFill>
            <w14:solidFill>
              <w14:schemeClr w14:val="tx1"/>
            </w14:solidFill>
          </w14:textFill>
        </w:rPr>
      </w:pPr>
    </w:p>
    <w:p w14:paraId="4CBA0CAA">
      <w:pPr>
        <w:widowControl/>
        <w:spacing w:line="360" w:lineRule="auto"/>
        <w:jc w:val="left"/>
        <w:outlineLvl w:val="0"/>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pPr>
      <w:bookmarkStart w:id="14" w:name="_Toc27433"/>
      <w:r>
        <w:rPr>
          <w:rFonts w:hint="default" w:ascii="Times New Roman" w:hAnsi="Times New Roman" w:eastAsia="宋体" w:cs="Times New Roman"/>
          <w:b/>
          <w:bCs/>
          <w:color w:val="000000" w:themeColor="text1"/>
          <w:sz w:val="20"/>
          <w:szCs w:val="20"/>
          <w:highlight w:val="none"/>
          <w:lang w:eastAsia="zh-CN" w:bidi="ar"/>
          <w14:textFill>
            <w14:solidFill>
              <w14:schemeClr w14:val="tx1"/>
            </w14:solidFill>
          </w14:textFill>
        </w:rPr>
        <w:t>Fig.</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 </w:t>
      </w:r>
      <w:r>
        <w:rPr>
          <w:rFonts w:hint="default" w:ascii="Times New Roman" w:hAnsi="Times New Roman" w:eastAsia="宋体" w:cs="Times New Roman"/>
          <w:b/>
          <w:bCs/>
          <w:color w:val="000000" w:themeColor="text1"/>
          <w:sz w:val="20"/>
          <w:szCs w:val="20"/>
          <w:highlight w:val="none"/>
          <w:lang w:val="en-US" w:eastAsia="zh-CN" w:bidi="ar"/>
          <w14:textFill>
            <w14:solidFill>
              <w14:schemeClr w14:val="tx1"/>
            </w14:solidFill>
          </w14:textFill>
        </w:rPr>
        <w:t>S</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5</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 Sensitivity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A</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nalysis of the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R</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isk of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Mortality</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 in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P</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atients with T1DM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B</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ased on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D</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ifferent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D</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egrees of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A</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djustment</w:t>
      </w:r>
      <w:bookmarkEnd w:id="14"/>
    </w:p>
    <w:p w14:paraId="66FAD4D6">
      <w:pPr>
        <w:pStyle w:val="8"/>
        <w:widowControl/>
        <w:shd w:val="clear" w:color="auto" w:fill="FFFFFF"/>
        <w:spacing w:beforeAutospacing="0" w:afterAutospacing="0"/>
        <w:rPr>
          <w:rFonts w:hint="default" w:ascii="Times New Roman" w:hAnsi="Times New Roman" w:eastAsia="CIDFont" w:cs="Times New Roman"/>
          <w:b/>
          <w:bCs/>
          <w:color w:val="000000" w:themeColor="text1"/>
          <w:sz w:val="20"/>
          <w:szCs w:val="20"/>
          <w:highlight w:val="none"/>
          <w:lang w:bidi="ar"/>
          <w14:textFill>
            <w14:solidFill>
              <w14:schemeClr w14:val="tx1"/>
            </w14:solidFill>
          </w14:textFill>
        </w:rPr>
      </w:pPr>
      <w:r>
        <w:rPr>
          <w:rFonts w:hint="default" w:ascii="Times New Roman" w:hAnsi="Times New Roman" w:cs="Times New Roman"/>
          <w:sz w:val="20"/>
          <w:szCs w:val="20"/>
          <w:highlight w:val="none"/>
        </w:rPr>
        <w:drawing>
          <wp:inline distT="0" distB="0" distL="114300" distR="114300">
            <wp:extent cx="6339840" cy="4067175"/>
            <wp:effectExtent l="0" t="0" r="381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0"/>
                    <a:stretch>
                      <a:fillRect/>
                    </a:stretch>
                  </pic:blipFill>
                  <pic:spPr>
                    <a:xfrm>
                      <a:off x="0" y="0"/>
                      <a:ext cx="6339840" cy="4067175"/>
                    </a:xfrm>
                    <a:prstGeom prst="rect">
                      <a:avLst/>
                    </a:prstGeom>
                    <a:noFill/>
                    <a:ln w="9525">
                      <a:noFill/>
                    </a:ln>
                  </pic:spPr>
                </pic:pic>
              </a:graphicData>
            </a:graphic>
          </wp:inline>
        </w:drawing>
      </w:r>
    </w:p>
    <w:p w14:paraId="5A522A54">
      <w:pPr>
        <w:pStyle w:val="8"/>
        <w:widowControl/>
        <w:shd w:val="clear" w:color="auto" w:fill="FFFFFF"/>
        <w:spacing w:beforeAutospacing="0" w:afterAutospacing="0"/>
        <w:rPr>
          <w:rFonts w:hint="default" w:ascii="Times New Roman" w:hAnsi="Times New Roman" w:eastAsia="CIDFont" w:cs="Times New Roman"/>
          <w:b/>
          <w:bCs/>
          <w:color w:val="000000" w:themeColor="text1"/>
          <w:sz w:val="20"/>
          <w:szCs w:val="20"/>
          <w:highlight w:val="none"/>
          <w:lang w:bidi="ar"/>
          <w14:textFill>
            <w14:solidFill>
              <w14:schemeClr w14:val="tx1"/>
            </w14:solidFill>
          </w14:textFill>
        </w:rPr>
      </w:pPr>
    </w:p>
    <w:p w14:paraId="37137EFF">
      <w:pPr>
        <w:pStyle w:val="8"/>
        <w:widowControl/>
        <w:shd w:val="clear" w:color="auto" w:fill="FFFFFF"/>
        <w:spacing w:beforeAutospacing="0" w:afterAutospacing="0"/>
        <w:rPr>
          <w:rFonts w:hint="default" w:ascii="Times New Roman" w:hAnsi="Times New Roman" w:eastAsia="CIDFont" w:cs="Times New Roman"/>
          <w:b/>
          <w:bCs/>
          <w:color w:val="000000" w:themeColor="text1"/>
          <w:sz w:val="20"/>
          <w:szCs w:val="20"/>
          <w:highlight w:val="none"/>
          <w:lang w:bidi="ar"/>
          <w14:textFill>
            <w14:solidFill>
              <w14:schemeClr w14:val="tx1"/>
            </w14:solidFill>
          </w14:textFill>
        </w:rPr>
      </w:pPr>
    </w:p>
    <w:p w14:paraId="07E35AFD">
      <w:pPr>
        <w:pStyle w:val="8"/>
        <w:widowControl/>
        <w:shd w:val="clear" w:color="auto" w:fill="FFFFFF"/>
        <w:spacing w:beforeAutospacing="0" w:afterAutospacing="0"/>
        <w:rPr>
          <w:rFonts w:hint="default" w:ascii="Times New Roman" w:hAnsi="Times New Roman" w:eastAsia="CIDFont" w:cs="Times New Roman"/>
          <w:b/>
          <w:bCs/>
          <w:color w:val="000000" w:themeColor="text1"/>
          <w:sz w:val="20"/>
          <w:szCs w:val="20"/>
          <w:highlight w:val="none"/>
          <w:lang w:bidi="ar"/>
          <w14:textFill>
            <w14:solidFill>
              <w14:schemeClr w14:val="tx1"/>
            </w14:solidFill>
          </w14:textFill>
        </w:rPr>
      </w:pPr>
    </w:p>
    <w:p w14:paraId="3B50109F">
      <w:pPr>
        <w:pStyle w:val="8"/>
        <w:widowControl/>
        <w:shd w:val="clear" w:color="auto" w:fill="FFFFFF"/>
        <w:spacing w:beforeAutospacing="0" w:afterAutospacing="0"/>
        <w:rPr>
          <w:rFonts w:hint="default" w:ascii="Times New Roman" w:hAnsi="Times New Roman" w:eastAsia="CIDFont" w:cs="Times New Roman"/>
          <w:b/>
          <w:bCs/>
          <w:color w:val="000000" w:themeColor="text1"/>
          <w:sz w:val="20"/>
          <w:szCs w:val="20"/>
          <w:highlight w:val="none"/>
          <w:lang w:bidi="ar"/>
          <w14:textFill>
            <w14:solidFill>
              <w14:schemeClr w14:val="tx1"/>
            </w14:solidFill>
          </w14:textFill>
        </w:rPr>
      </w:pPr>
    </w:p>
    <w:p w14:paraId="3BF75DC0">
      <w:pPr>
        <w:widowControl/>
        <w:spacing w:line="360" w:lineRule="auto"/>
        <w:jc w:val="left"/>
        <w:outlineLvl w:val="0"/>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bookmarkStart w:id="15" w:name="_Toc22005"/>
      <w:r>
        <w:rPr>
          <w:rFonts w:hint="default" w:ascii="Times New Roman" w:hAnsi="Times New Roman" w:eastAsia="宋体" w:cs="Times New Roman"/>
          <w:b/>
          <w:bCs/>
          <w:color w:val="000000" w:themeColor="text1"/>
          <w:sz w:val="20"/>
          <w:szCs w:val="20"/>
          <w:highlight w:val="none"/>
          <w:lang w:eastAsia="zh-CN" w:bidi="ar"/>
          <w14:textFill>
            <w14:solidFill>
              <w14:schemeClr w14:val="tx1"/>
            </w14:solidFill>
          </w14:textFill>
        </w:rPr>
        <w:t>Fig.</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 xml:space="preserve"> </w:t>
      </w:r>
      <w:r>
        <w:rPr>
          <w:rFonts w:hint="default" w:ascii="Times New Roman" w:hAnsi="Times New Roman" w:eastAsia="宋体" w:cs="Times New Roman"/>
          <w:b/>
          <w:bCs/>
          <w:color w:val="000000" w:themeColor="text1"/>
          <w:sz w:val="20"/>
          <w:szCs w:val="20"/>
          <w:highlight w:val="none"/>
          <w:lang w:val="en-US" w:eastAsia="zh-CN" w:bidi="ar"/>
          <w14:textFill>
            <w14:solidFill>
              <w14:schemeClr w14:val="tx1"/>
            </w14:solidFill>
          </w14:textFill>
        </w:rPr>
        <w:t>S</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6</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 Sensitivity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A</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nalysis of the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R</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isk of CVD in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P</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atients with T1DM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B</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ased on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L</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eave-</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o</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ne-</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o</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ut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M</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ethod</w:t>
      </w:r>
      <w:bookmarkEnd w:id="15"/>
    </w:p>
    <w:p w14:paraId="1A8190B7">
      <w:pPr>
        <w:widowControl/>
        <w:spacing w:line="360" w:lineRule="auto"/>
        <w:jc w:val="left"/>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r>
        <w:rPr>
          <w:rFonts w:hint="default" w:ascii="Times New Roman" w:hAnsi="Times New Roman" w:cs="Times New Roman"/>
          <w:sz w:val="20"/>
          <w:szCs w:val="20"/>
          <w:highlight w:val="none"/>
        </w:rPr>
        <w:drawing>
          <wp:inline distT="0" distB="0" distL="114300" distR="114300">
            <wp:extent cx="5995670" cy="1857375"/>
            <wp:effectExtent l="0" t="0" r="5080" b="0"/>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11"/>
                    <a:stretch>
                      <a:fillRect/>
                    </a:stretch>
                  </pic:blipFill>
                  <pic:spPr>
                    <a:xfrm>
                      <a:off x="0" y="0"/>
                      <a:ext cx="5995670" cy="1857375"/>
                    </a:xfrm>
                    <a:prstGeom prst="rect">
                      <a:avLst/>
                    </a:prstGeom>
                    <a:noFill/>
                    <a:ln w="9525">
                      <a:noFill/>
                    </a:ln>
                  </pic:spPr>
                </pic:pic>
              </a:graphicData>
            </a:graphic>
          </wp:inline>
        </w:drawing>
      </w:r>
    </w:p>
    <w:p w14:paraId="738A95DF">
      <w:pPr>
        <w:widowControl/>
        <w:spacing w:line="360" w:lineRule="auto"/>
        <w:jc w:val="left"/>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p>
    <w:p w14:paraId="321FEC30">
      <w:pPr>
        <w:widowControl/>
        <w:spacing w:line="360" w:lineRule="auto"/>
        <w:jc w:val="left"/>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p>
    <w:p w14:paraId="7A8C7A0D">
      <w:pPr>
        <w:widowControl/>
        <w:spacing w:line="360" w:lineRule="auto"/>
        <w:jc w:val="left"/>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p>
    <w:p w14:paraId="1228C420">
      <w:pPr>
        <w:widowControl/>
        <w:spacing w:line="360" w:lineRule="auto"/>
        <w:jc w:val="left"/>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p>
    <w:p w14:paraId="1FC0C329">
      <w:pPr>
        <w:widowControl/>
        <w:spacing w:line="360" w:lineRule="auto"/>
        <w:jc w:val="left"/>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p>
    <w:p w14:paraId="49369A0D">
      <w:pPr>
        <w:widowControl/>
        <w:spacing w:line="360" w:lineRule="auto"/>
        <w:jc w:val="left"/>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p>
    <w:p w14:paraId="2B49AAEF">
      <w:pPr>
        <w:widowControl/>
        <w:spacing w:line="360" w:lineRule="auto"/>
        <w:jc w:val="left"/>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p>
    <w:p w14:paraId="227BB3B3">
      <w:pPr>
        <w:widowControl/>
        <w:spacing w:line="360" w:lineRule="auto"/>
        <w:jc w:val="left"/>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p>
    <w:p w14:paraId="72236D9F">
      <w:pPr>
        <w:widowControl/>
        <w:spacing w:line="360" w:lineRule="auto"/>
        <w:jc w:val="left"/>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p>
    <w:p w14:paraId="28E4E413">
      <w:pPr>
        <w:widowControl/>
        <w:spacing w:line="360" w:lineRule="auto"/>
        <w:jc w:val="left"/>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p>
    <w:p w14:paraId="5FFC97E5">
      <w:pPr>
        <w:widowControl/>
        <w:spacing w:line="360" w:lineRule="auto"/>
        <w:jc w:val="left"/>
        <w:outlineLvl w:val="0"/>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bookmarkStart w:id="16" w:name="_Toc19129"/>
      <w:r>
        <w:rPr>
          <w:rFonts w:hint="default" w:ascii="Times New Roman" w:hAnsi="Times New Roman" w:eastAsia="宋体" w:cs="Times New Roman"/>
          <w:b/>
          <w:bCs/>
          <w:color w:val="000000" w:themeColor="text1"/>
          <w:sz w:val="20"/>
          <w:szCs w:val="20"/>
          <w:highlight w:val="none"/>
          <w:lang w:eastAsia="zh-CN" w:bidi="ar"/>
          <w14:textFill>
            <w14:solidFill>
              <w14:schemeClr w14:val="tx1"/>
            </w14:solidFill>
          </w14:textFill>
        </w:rPr>
        <w:t>Fig.</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 xml:space="preserve"> </w:t>
      </w:r>
      <w:r>
        <w:rPr>
          <w:rFonts w:hint="default" w:ascii="Times New Roman" w:hAnsi="Times New Roman" w:eastAsia="宋体" w:cs="Times New Roman"/>
          <w:b/>
          <w:bCs/>
          <w:color w:val="000000" w:themeColor="text1"/>
          <w:sz w:val="20"/>
          <w:szCs w:val="20"/>
          <w:highlight w:val="none"/>
          <w:lang w:val="en-US" w:eastAsia="zh-CN" w:bidi="ar"/>
          <w14:textFill>
            <w14:solidFill>
              <w14:schemeClr w14:val="tx1"/>
            </w14:solidFill>
          </w14:textFill>
        </w:rPr>
        <w:t>S</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7</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 Sensitivity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A</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nalysis of the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R</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isk of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 xml:space="preserve">DMC </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in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P</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atients with T1DM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B</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ased on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L</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eave-</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o</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ne-</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o</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ut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M</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ethod</w:t>
      </w:r>
      <w:bookmarkEnd w:id="16"/>
    </w:p>
    <w:p w14:paraId="6C481450">
      <w:pPr>
        <w:widowControl/>
        <w:spacing w:line="360" w:lineRule="auto"/>
        <w:jc w:val="left"/>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r>
        <w:rPr>
          <w:rFonts w:hint="default" w:ascii="Times New Roman" w:hAnsi="Times New Roman" w:cs="Times New Roman"/>
          <w:sz w:val="20"/>
          <w:szCs w:val="20"/>
          <w:highlight w:val="none"/>
        </w:rPr>
        <w:drawing>
          <wp:inline distT="0" distB="0" distL="114300" distR="114300">
            <wp:extent cx="5891530" cy="1333500"/>
            <wp:effectExtent l="0" t="0" r="4445" b="0"/>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12"/>
                    <a:stretch>
                      <a:fillRect/>
                    </a:stretch>
                  </pic:blipFill>
                  <pic:spPr>
                    <a:xfrm>
                      <a:off x="0" y="0"/>
                      <a:ext cx="5891530" cy="1333500"/>
                    </a:xfrm>
                    <a:prstGeom prst="rect">
                      <a:avLst/>
                    </a:prstGeom>
                    <a:noFill/>
                    <a:ln w="9525">
                      <a:noFill/>
                    </a:ln>
                  </pic:spPr>
                </pic:pic>
              </a:graphicData>
            </a:graphic>
          </wp:inline>
        </w:drawing>
      </w:r>
    </w:p>
    <w:p w14:paraId="5793A189">
      <w:pPr>
        <w:widowControl/>
        <w:spacing w:line="360" w:lineRule="auto"/>
        <w:jc w:val="left"/>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p>
    <w:p w14:paraId="5FD7032C">
      <w:pPr>
        <w:widowControl/>
        <w:spacing w:line="360" w:lineRule="auto"/>
        <w:jc w:val="left"/>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p>
    <w:p w14:paraId="39C6E152">
      <w:pPr>
        <w:widowControl/>
        <w:spacing w:line="360" w:lineRule="auto"/>
        <w:jc w:val="left"/>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p>
    <w:p w14:paraId="7AC878E5">
      <w:pPr>
        <w:widowControl/>
        <w:spacing w:line="360" w:lineRule="auto"/>
        <w:jc w:val="left"/>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p>
    <w:p w14:paraId="6EF07A01">
      <w:pPr>
        <w:widowControl/>
        <w:spacing w:line="360" w:lineRule="auto"/>
        <w:jc w:val="left"/>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p>
    <w:p w14:paraId="70A91291">
      <w:pPr>
        <w:widowControl/>
        <w:spacing w:line="360" w:lineRule="auto"/>
        <w:jc w:val="left"/>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p>
    <w:p w14:paraId="37193CFF">
      <w:pPr>
        <w:widowControl/>
        <w:spacing w:line="360" w:lineRule="auto"/>
        <w:jc w:val="left"/>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p>
    <w:p w14:paraId="37452193">
      <w:pPr>
        <w:widowControl/>
        <w:spacing w:line="360" w:lineRule="auto"/>
        <w:jc w:val="left"/>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p>
    <w:p w14:paraId="46EFAFCA">
      <w:pPr>
        <w:widowControl/>
        <w:spacing w:line="360" w:lineRule="auto"/>
        <w:jc w:val="left"/>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p>
    <w:p w14:paraId="520E3A35">
      <w:pPr>
        <w:widowControl/>
        <w:spacing w:line="360" w:lineRule="auto"/>
        <w:jc w:val="left"/>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p>
    <w:p w14:paraId="57A6AB82">
      <w:pPr>
        <w:widowControl/>
        <w:spacing w:line="360" w:lineRule="auto"/>
        <w:jc w:val="left"/>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p>
    <w:p w14:paraId="105935EE">
      <w:pPr>
        <w:widowControl/>
        <w:spacing w:line="360" w:lineRule="auto"/>
        <w:jc w:val="left"/>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p>
    <w:p w14:paraId="19229F7A">
      <w:pPr>
        <w:widowControl/>
        <w:spacing w:line="360" w:lineRule="auto"/>
        <w:jc w:val="left"/>
        <w:outlineLvl w:val="0"/>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bookmarkStart w:id="17" w:name="_Toc26534"/>
      <w:r>
        <w:rPr>
          <w:rFonts w:hint="default" w:ascii="Times New Roman" w:hAnsi="Times New Roman" w:eastAsia="宋体" w:cs="Times New Roman"/>
          <w:b/>
          <w:bCs/>
          <w:color w:val="000000" w:themeColor="text1"/>
          <w:sz w:val="20"/>
          <w:szCs w:val="20"/>
          <w:highlight w:val="none"/>
          <w:lang w:eastAsia="zh-CN" w:bidi="ar"/>
          <w14:textFill>
            <w14:solidFill>
              <w14:schemeClr w14:val="tx1"/>
            </w14:solidFill>
          </w14:textFill>
        </w:rPr>
        <w:t>Fig.</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 xml:space="preserve"> </w:t>
      </w:r>
      <w:r>
        <w:rPr>
          <w:rFonts w:hint="default" w:ascii="Times New Roman" w:hAnsi="Times New Roman" w:eastAsia="宋体" w:cs="Times New Roman"/>
          <w:b/>
          <w:bCs/>
          <w:color w:val="000000" w:themeColor="text1"/>
          <w:sz w:val="20"/>
          <w:szCs w:val="20"/>
          <w:highlight w:val="none"/>
          <w:lang w:val="en-US" w:eastAsia="zh-CN" w:bidi="ar"/>
          <w14:textFill>
            <w14:solidFill>
              <w14:schemeClr w14:val="tx1"/>
            </w14:solidFill>
          </w14:textFill>
        </w:rPr>
        <w:t>S</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8</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 Sensitivity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a</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nalysis of the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R</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isk of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 xml:space="preserve">Mortality </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in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P</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atients with T1DM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B</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ased on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L</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eave-</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o</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ne-</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o</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ut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M</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ethod</w:t>
      </w:r>
      <w:bookmarkEnd w:id="17"/>
    </w:p>
    <w:p w14:paraId="21499B94">
      <w:pPr>
        <w:widowControl/>
        <w:spacing w:line="360" w:lineRule="auto"/>
        <w:jc w:val="left"/>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 </w:t>
      </w:r>
      <w:r>
        <w:rPr>
          <w:rFonts w:hint="default" w:ascii="Times New Roman" w:hAnsi="Times New Roman" w:cs="Times New Roman"/>
          <w:sz w:val="20"/>
          <w:szCs w:val="20"/>
          <w:highlight w:val="none"/>
        </w:rPr>
        <w:drawing>
          <wp:inline distT="0" distB="0" distL="114300" distR="114300">
            <wp:extent cx="6187440" cy="1898015"/>
            <wp:effectExtent l="0" t="0" r="3810" b="6985"/>
            <wp:docPr id="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pic:cNvPicPr>
                      <a:picLocks noChangeAspect="1"/>
                    </pic:cNvPicPr>
                  </pic:nvPicPr>
                  <pic:blipFill>
                    <a:blip r:embed="rId13"/>
                    <a:stretch>
                      <a:fillRect/>
                    </a:stretch>
                  </pic:blipFill>
                  <pic:spPr>
                    <a:xfrm>
                      <a:off x="0" y="0"/>
                      <a:ext cx="6187440" cy="1898015"/>
                    </a:xfrm>
                    <a:prstGeom prst="rect">
                      <a:avLst/>
                    </a:prstGeom>
                    <a:noFill/>
                    <a:ln w="9525">
                      <a:noFill/>
                    </a:ln>
                  </pic:spPr>
                </pic:pic>
              </a:graphicData>
            </a:graphic>
          </wp:inline>
        </w:drawing>
      </w:r>
    </w:p>
    <w:p w14:paraId="50B96750">
      <w:pPr>
        <w:widowControl/>
        <w:spacing w:line="360" w:lineRule="auto"/>
        <w:jc w:val="left"/>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p>
    <w:p w14:paraId="151FCD6F">
      <w:pPr>
        <w:widowControl/>
        <w:spacing w:line="360" w:lineRule="auto"/>
        <w:jc w:val="left"/>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p>
    <w:p w14:paraId="5D1CC513">
      <w:pPr>
        <w:widowControl/>
        <w:spacing w:line="360" w:lineRule="auto"/>
        <w:jc w:val="left"/>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p>
    <w:p w14:paraId="49053A4D">
      <w:pPr>
        <w:widowControl/>
        <w:spacing w:line="360" w:lineRule="auto"/>
        <w:jc w:val="left"/>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p>
    <w:p w14:paraId="6934543B">
      <w:pPr>
        <w:widowControl/>
        <w:spacing w:line="360" w:lineRule="auto"/>
        <w:jc w:val="left"/>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p>
    <w:p w14:paraId="1CE7A716">
      <w:pPr>
        <w:widowControl/>
        <w:spacing w:line="360" w:lineRule="auto"/>
        <w:jc w:val="left"/>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p>
    <w:p w14:paraId="6972E600">
      <w:pPr>
        <w:widowControl/>
        <w:spacing w:line="360" w:lineRule="auto"/>
        <w:jc w:val="left"/>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p>
    <w:p w14:paraId="7A196731">
      <w:pPr>
        <w:widowControl/>
        <w:spacing w:line="360" w:lineRule="auto"/>
        <w:jc w:val="left"/>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p>
    <w:p w14:paraId="2796A046">
      <w:pPr>
        <w:widowControl/>
        <w:spacing w:line="360" w:lineRule="auto"/>
        <w:jc w:val="left"/>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p>
    <w:p w14:paraId="05211136">
      <w:pPr>
        <w:widowControl/>
        <w:spacing w:line="360" w:lineRule="auto"/>
        <w:jc w:val="left"/>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p>
    <w:p w14:paraId="6EEA3C3B">
      <w:pPr>
        <w:widowControl/>
        <w:spacing w:line="360" w:lineRule="auto"/>
        <w:jc w:val="left"/>
        <w:outlineLvl w:val="0"/>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bookmarkStart w:id="18" w:name="_Toc3870"/>
      <w:r>
        <w:rPr>
          <w:rFonts w:hint="default" w:ascii="Times New Roman" w:hAnsi="Times New Roman" w:eastAsia="宋体" w:cs="Times New Roman"/>
          <w:b/>
          <w:bCs/>
          <w:color w:val="000000" w:themeColor="text1"/>
          <w:sz w:val="20"/>
          <w:szCs w:val="20"/>
          <w:highlight w:val="none"/>
          <w:lang w:eastAsia="zh-CN" w:bidi="ar"/>
          <w14:textFill>
            <w14:solidFill>
              <w14:schemeClr w14:val="tx1"/>
            </w14:solidFill>
          </w14:textFill>
        </w:rPr>
        <w:t xml:space="preserve">Fig. </w:t>
      </w:r>
      <w:r>
        <w:rPr>
          <w:rFonts w:hint="default" w:ascii="Times New Roman" w:hAnsi="Times New Roman" w:eastAsia="宋体" w:cs="Times New Roman"/>
          <w:b/>
          <w:bCs/>
          <w:color w:val="000000" w:themeColor="text1"/>
          <w:sz w:val="20"/>
          <w:szCs w:val="20"/>
          <w:highlight w:val="none"/>
          <w:lang w:val="en-US" w:eastAsia="zh-CN" w:bidi="ar"/>
          <w14:textFill>
            <w14:solidFill>
              <w14:schemeClr w14:val="tx1"/>
            </w14:solidFill>
          </w14:textFill>
        </w:rPr>
        <w:t>S</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9</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 Sensitivity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A</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nalysis of the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R</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isk of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 xml:space="preserve">Mortality </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in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P</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atients with T</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2</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DM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B</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ased on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L</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eave-</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o</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ne-</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o</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ut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M</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ethod</w:t>
      </w:r>
      <w:bookmarkEnd w:id="18"/>
    </w:p>
    <w:p w14:paraId="002642C9">
      <w:pPr>
        <w:widowControl/>
        <w:spacing w:line="360" w:lineRule="auto"/>
        <w:jc w:val="left"/>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r>
        <w:rPr>
          <w:rFonts w:hint="default" w:ascii="Times New Roman" w:hAnsi="Times New Roman" w:cs="Times New Roman"/>
          <w:sz w:val="20"/>
          <w:szCs w:val="20"/>
          <w:highlight w:val="none"/>
        </w:rPr>
        <w:drawing>
          <wp:inline distT="0" distB="0" distL="114300" distR="114300">
            <wp:extent cx="5422265" cy="1137920"/>
            <wp:effectExtent l="0" t="0" r="6985" b="5080"/>
            <wp:docPr id="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
                    <pic:cNvPicPr>
                      <a:picLocks noChangeAspect="1"/>
                    </pic:cNvPicPr>
                  </pic:nvPicPr>
                  <pic:blipFill>
                    <a:blip r:embed="rId14"/>
                    <a:stretch>
                      <a:fillRect/>
                    </a:stretch>
                  </pic:blipFill>
                  <pic:spPr>
                    <a:xfrm>
                      <a:off x="0" y="0"/>
                      <a:ext cx="5422265" cy="1137920"/>
                    </a:xfrm>
                    <a:prstGeom prst="rect">
                      <a:avLst/>
                    </a:prstGeom>
                    <a:noFill/>
                    <a:ln w="9525">
                      <a:noFill/>
                    </a:ln>
                  </pic:spPr>
                </pic:pic>
              </a:graphicData>
            </a:graphic>
          </wp:inline>
        </w:drawing>
      </w:r>
    </w:p>
    <w:p w14:paraId="09C3A733">
      <w:pPr>
        <w:widowControl/>
        <w:spacing w:line="360" w:lineRule="auto"/>
        <w:jc w:val="left"/>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p>
    <w:p w14:paraId="05F32BC0">
      <w:pPr>
        <w:widowControl/>
        <w:spacing w:line="360" w:lineRule="auto"/>
        <w:jc w:val="left"/>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p>
    <w:p w14:paraId="09BA8183">
      <w:pPr>
        <w:widowControl/>
        <w:spacing w:line="360" w:lineRule="auto"/>
        <w:jc w:val="left"/>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p>
    <w:p w14:paraId="2D493AFA">
      <w:pPr>
        <w:widowControl/>
        <w:spacing w:line="360" w:lineRule="auto"/>
        <w:jc w:val="left"/>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p>
    <w:p w14:paraId="5E8A711E">
      <w:pPr>
        <w:widowControl/>
        <w:spacing w:line="360" w:lineRule="auto"/>
        <w:jc w:val="left"/>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p>
    <w:p w14:paraId="290A680D">
      <w:pPr>
        <w:widowControl/>
        <w:spacing w:line="360" w:lineRule="auto"/>
        <w:jc w:val="left"/>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p>
    <w:p w14:paraId="3FCA5418">
      <w:pPr>
        <w:widowControl/>
        <w:spacing w:line="360" w:lineRule="auto"/>
        <w:jc w:val="left"/>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p>
    <w:p w14:paraId="2426A451">
      <w:pPr>
        <w:widowControl/>
        <w:spacing w:line="360" w:lineRule="auto"/>
        <w:jc w:val="left"/>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p>
    <w:p w14:paraId="42023D98">
      <w:pPr>
        <w:widowControl/>
        <w:spacing w:line="360" w:lineRule="auto"/>
        <w:jc w:val="left"/>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p>
    <w:p w14:paraId="589DDD39">
      <w:pPr>
        <w:widowControl/>
        <w:spacing w:line="360" w:lineRule="auto"/>
        <w:jc w:val="left"/>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p>
    <w:p w14:paraId="008FDCD8">
      <w:pPr>
        <w:widowControl/>
        <w:spacing w:line="360" w:lineRule="auto"/>
        <w:jc w:val="left"/>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p>
    <w:p w14:paraId="492D5397">
      <w:pPr>
        <w:widowControl/>
        <w:spacing w:line="360" w:lineRule="auto"/>
        <w:jc w:val="left"/>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p>
    <w:p w14:paraId="2EFBBC60">
      <w:pPr>
        <w:widowControl/>
        <w:spacing w:line="360" w:lineRule="auto"/>
        <w:jc w:val="left"/>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p>
    <w:p w14:paraId="6A8B9E50">
      <w:pPr>
        <w:widowControl/>
        <w:spacing w:line="360" w:lineRule="auto"/>
        <w:jc w:val="left"/>
        <w:outlineLvl w:val="0"/>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bookmarkStart w:id="19" w:name="_Toc3629"/>
      <w:r>
        <w:rPr>
          <w:rFonts w:hint="default" w:ascii="Times New Roman" w:hAnsi="Times New Roman" w:eastAsia="宋体" w:cs="Times New Roman"/>
          <w:b/>
          <w:bCs/>
          <w:color w:val="000000" w:themeColor="text1"/>
          <w:sz w:val="20"/>
          <w:szCs w:val="20"/>
          <w:highlight w:val="none"/>
          <w:lang w:eastAsia="zh-CN" w:bidi="ar"/>
          <w14:textFill>
            <w14:solidFill>
              <w14:schemeClr w14:val="tx1"/>
            </w14:solidFill>
          </w14:textFill>
        </w:rPr>
        <w:t>Fig.</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 xml:space="preserve"> </w:t>
      </w:r>
      <w:r>
        <w:rPr>
          <w:rFonts w:hint="default" w:ascii="Times New Roman" w:hAnsi="Times New Roman" w:eastAsia="宋体" w:cs="Times New Roman"/>
          <w:b/>
          <w:bCs/>
          <w:color w:val="000000" w:themeColor="text1"/>
          <w:sz w:val="20"/>
          <w:szCs w:val="20"/>
          <w:highlight w:val="none"/>
          <w:lang w:val="en-US" w:eastAsia="zh-CN" w:bidi="ar"/>
          <w14:textFill>
            <w14:solidFill>
              <w14:schemeClr w14:val="tx1"/>
            </w14:solidFill>
          </w14:textFill>
        </w:rPr>
        <w:t>S</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10</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 Sensitivity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A</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nalysis of the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R</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isk of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 xml:space="preserve">Mortality </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in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General Population B</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ased on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L</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eave-</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o</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ne-</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o</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 xml:space="preserve">ut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M</w:t>
      </w:r>
      <w:r>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t>ethod</w:t>
      </w:r>
      <w:bookmarkEnd w:id="19"/>
    </w:p>
    <w:p w14:paraId="36420E12">
      <w:pPr>
        <w:widowControl/>
        <w:spacing w:line="360" w:lineRule="auto"/>
        <w:jc w:val="left"/>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r>
        <w:rPr>
          <w:rFonts w:hint="default" w:ascii="Times New Roman" w:hAnsi="Times New Roman" w:cs="Times New Roman"/>
          <w:sz w:val="20"/>
          <w:szCs w:val="20"/>
          <w:highlight w:val="none"/>
        </w:rPr>
        <w:drawing>
          <wp:inline distT="0" distB="0" distL="114300" distR="114300">
            <wp:extent cx="6566535" cy="1581150"/>
            <wp:effectExtent l="0" t="0" r="5715" b="0"/>
            <wp:docPr id="1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8"/>
                    <pic:cNvPicPr>
                      <a:picLocks noChangeAspect="1"/>
                    </pic:cNvPicPr>
                  </pic:nvPicPr>
                  <pic:blipFill>
                    <a:blip r:embed="rId15"/>
                    <a:stretch>
                      <a:fillRect/>
                    </a:stretch>
                  </pic:blipFill>
                  <pic:spPr>
                    <a:xfrm>
                      <a:off x="0" y="0"/>
                      <a:ext cx="6566535" cy="1581150"/>
                    </a:xfrm>
                    <a:prstGeom prst="rect">
                      <a:avLst/>
                    </a:prstGeom>
                    <a:noFill/>
                    <a:ln w="9525">
                      <a:noFill/>
                    </a:ln>
                  </pic:spPr>
                </pic:pic>
              </a:graphicData>
            </a:graphic>
          </wp:inline>
        </w:drawing>
      </w:r>
    </w:p>
    <w:p w14:paraId="58CA7236">
      <w:pPr>
        <w:widowControl/>
        <w:spacing w:line="360" w:lineRule="auto"/>
        <w:jc w:val="left"/>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p>
    <w:p w14:paraId="5FB718FD">
      <w:pPr>
        <w:widowControl/>
        <w:spacing w:line="360" w:lineRule="auto"/>
        <w:jc w:val="left"/>
        <w:rPr>
          <w:rFonts w:hint="default" w:ascii="Times New Roman" w:hAnsi="Times New Roman" w:eastAsia="Shaker2Lancet-Bold" w:cs="Times New Roman"/>
          <w:b/>
          <w:bCs/>
          <w:color w:val="000000" w:themeColor="text1"/>
          <w:sz w:val="20"/>
          <w:szCs w:val="20"/>
          <w:highlight w:val="none"/>
          <w:lang w:bidi="ar"/>
          <w14:textFill>
            <w14:solidFill>
              <w14:schemeClr w14:val="tx1"/>
            </w14:solidFill>
          </w14:textFill>
        </w:rPr>
      </w:pPr>
    </w:p>
    <w:p w14:paraId="35ADDDA1">
      <w:pPr>
        <w:pStyle w:val="8"/>
        <w:widowControl/>
        <w:shd w:val="clear" w:color="auto" w:fill="FFFFFF"/>
        <w:spacing w:beforeAutospacing="0" w:afterAutospacing="0"/>
        <w:rPr>
          <w:rFonts w:hint="default" w:ascii="Times New Roman" w:hAnsi="Times New Roman" w:eastAsia="宋体" w:cs="Times New Roman"/>
          <w:color w:val="C00000"/>
          <w:sz w:val="20"/>
          <w:szCs w:val="20"/>
          <w:highlight w:val="none"/>
          <w:lang w:bidi="ar"/>
        </w:rPr>
      </w:pPr>
    </w:p>
    <w:p w14:paraId="3FF9DC6E">
      <w:pPr>
        <w:pStyle w:val="8"/>
        <w:widowControl/>
        <w:shd w:val="clear" w:color="auto" w:fill="FFFFFF"/>
        <w:spacing w:beforeAutospacing="0" w:afterAutospacing="0"/>
        <w:rPr>
          <w:rFonts w:hint="default" w:ascii="Times New Roman" w:hAnsi="Times New Roman" w:eastAsia="宋体" w:cs="Times New Roman"/>
          <w:color w:val="C00000"/>
          <w:sz w:val="20"/>
          <w:szCs w:val="20"/>
          <w:highlight w:val="none"/>
          <w:lang w:bidi="ar"/>
        </w:rPr>
      </w:pPr>
    </w:p>
    <w:p w14:paraId="1CFCC77F">
      <w:pPr>
        <w:pStyle w:val="8"/>
        <w:widowControl/>
        <w:shd w:val="clear" w:color="auto" w:fill="FFFFFF"/>
        <w:spacing w:beforeAutospacing="0" w:afterAutospacing="0"/>
        <w:rPr>
          <w:rFonts w:hint="default" w:ascii="Times New Roman" w:hAnsi="Times New Roman" w:eastAsia="宋体" w:cs="Times New Roman"/>
          <w:color w:val="C00000"/>
          <w:sz w:val="20"/>
          <w:szCs w:val="20"/>
          <w:highlight w:val="none"/>
          <w:lang w:bidi="ar"/>
        </w:rPr>
      </w:pPr>
    </w:p>
    <w:p w14:paraId="4BC8ACBD">
      <w:pPr>
        <w:pStyle w:val="8"/>
        <w:widowControl/>
        <w:shd w:val="clear" w:color="auto" w:fill="FFFFFF"/>
        <w:spacing w:beforeAutospacing="0" w:afterAutospacing="0"/>
        <w:rPr>
          <w:rFonts w:hint="default" w:ascii="Times New Roman" w:hAnsi="Times New Roman" w:eastAsia="宋体" w:cs="Times New Roman"/>
          <w:color w:val="C00000"/>
          <w:sz w:val="20"/>
          <w:szCs w:val="20"/>
          <w:highlight w:val="none"/>
          <w:lang w:bidi="ar"/>
        </w:rPr>
      </w:pPr>
    </w:p>
    <w:p w14:paraId="790DF62D">
      <w:pPr>
        <w:pStyle w:val="8"/>
        <w:widowControl/>
        <w:shd w:val="clear" w:color="auto" w:fill="FFFFFF"/>
        <w:spacing w:beforeAutospacing="0" w:afterAutospacing="0"/>
        <w:rPr>
          <w:rFonts w:hint="default" w:ascii="Times New Roman" w:hAnsi="Times New Roman" w:eastAsia="宋体" w:cs="Times New Roman"/>
          <w:color w:val="C00000"/>
          <w:sz w:val="20"/>
          <w:szCs w:val="20"/>
          <w:highlight w:val="none"/>
          <w:lang w:bidi="ar"/>
        </w:rPr>
      </w:pPr>
    </w:p>
    <w:p w14:paraId="4DB7113A">
      <w:pPr>
        <w:pStyle w:val="8"/>
        <w:widowControl/>
        <w:shd w:val="clear" w:color="auto" w:fill="FFFFFF"/>
        <w:spacing w:beforeAutospacing="0" w:afterAutospacing="0"/>
        <w:rPr>
          <w:rFonts w:hint="default" w:ascii="Times New Roman" w:hAnsi="Times New Roman" w:eastAsia="宋体" w:cs="Times New Roman"/>
          <w:color w:val="C00000"/>
          <w:sz w:val="20"/>
          <w:szCs w:val="20"/>
          <w:highlight w:val="none"/>
          <w:lang w:bidi="ar"/>
        </w:rPr>
      </w:pPr>
    </w:p>
    <w:p w14:paraId="1DB41866">
      <w:pPr>
        <w:pStyle w:val="8"/>
        <w:widowControl/>
        <w:shd w:val="clear" w:color="auto" w:fill="FFFFFF"/>
        <w:spacing w:beforeAutospacing="0" w:afterAutospacing="0"/>
        <w:rPr>
          <w:rFonts w:hint="default" w:ascii="Times New Roman" w:hAnsi="Times New Roman" w:eastAsia="宋体" w:cs="Times New Roman"/>
          <w:color w:val="C00000"/>
          <w:sz w:val="20"/>
          <w:szCs w:val="20"/>
          <w:highlight w:val="none"/>
          <w:lang w:bidi="ar"/>
        </w:rPr>
      </w:pPr>
    </w:p>
    <w:p w14:paraId="423DC124">
      <w:pPr>
        <w:pStyle w:val="8"/>
        <w:widowControl/>
        <w:shd w:val="clear" w:color="auto" w:fill="FFFFFF"/>
        <w:spacing w:beforeAutospacing="0" w:afterAutospacing="0"/>
        <w:rPr>
          <w:rFonts w:hint="default" w:ascii="Times New Roman" w:hAnsi="Times New Roman" w:eastAsia="宋体" w:cs="Times New Roman"/>
          <w:color w:val="C00000"/>
          <w:sz w:val="20"/>
          <w:szCs w:val="20"/>
          <w:highlight w:val="none"/>
          <w:lang w:bidi="ar"/>
        </w:rPr>
      </w:pPr>
    </w:p>
    <w:p w14:paraId="4203024F">
      <w:pPr>
        <w:pStyle w:val="8"/>
        <w:widowControl/>
        <w:shd w:val="clear" w:color="auto" w:fill="FFFFFF"/>
        <w:spacing w:beforeAutospacing="0" w:afterAutospacing="0"/>
        <w:rPr>
          <w:rFonts w:hint="default" w:ascii="Times New Roman" w:hAnsi="Times New Roman" w:eastAsia="宋体" w:cs="Times New Roman"/>
          <w:color w:val="C00000"/>
          <w:sz w:val="20"/>
          <w:szCs w:val="20"/>
          <w:highlight w:val="none"/>
          <w:lang w:bidi="ar"/>
        </w:rPr>
      </w:pPr>
    </w:p>
    <w:p w14:paraId="23B331FD">
      <w:pPr>
        <w:pStyle w:val="8"/>
        <w:widowControl/>
        <w:shd w:val="clear" w:color="auto" w:fill="FFFFFF"/>
        <w:spacing w:beforeAutospacing="0" w:afterAutospacing="0"/>
        <w:rPr>
          <w:rFonts w:hint="default" w:ascii="Times New Roman" w:hAnsi="Times New Roman" w:eastAsia="宋体" w:cs="Times New Roman"/>
          <w:color w:val="C00000"/>
          <w:sz w:val="20"/>
          <w:szCs w:val="20"/>
          <w:highlight w:val="none"/>
          <w:lang w:bidi="ar"/>
        </w:rPr>
      </w:pPr>
    </w:p>
    <w:p w14:paraId="7CBE5FAC">
      <w:pPr>
        <w:pStyle w:val="8"/>
        <w:widowControl/>
        <w:shd w:val="clear" w:color="auto" w:fill="FFFFFF"/>
        <w:spacing w:beforeAutospacing="0" w:afterAutospacing="0"/>
        <w:rPr>
          <w:rFonts w:hint="default" w:ascii="Times New Roman" w:hAnsi="Times New Roman" w:eastAsia="宋体" w:cs="Times New Roman"/>
          <w:color w:val="C00000"/>
          <w:sz w:val="20"/>
          <w:szCs w:val="20"/>
          <w:highlight w:val="none"/>
          <w:lang w:bidi="ar"/>
        </w:rPr>
      </w:pPr>
    </w:p>
    <w:p w14:paraId="0F8EC396">
      <w:pPr>
        <w:pStyle w:val="8"/>
        <w:widowControl/>
        <w:shd w:val="clear" w:color="auto" w:fill="FFFFFF"/>
        <w:spacing w:beforeAutospacing="0" w:afterAutospacing="0"/>
        <w:rPr>
          <w:rFonts w:hint="default" w:ascii="Times New Roman" w:hAnsi="Times New Roman" w:eastAsia="宋体" w:cs="Times New Roman"/>
          <w:color w:val="C00000"/>
          <w:sz w:val="20"/>
          <w:szCs w:val="20"/>
          <w:highlight w:val="none"/>
          <w:lang w:bidi="ar"/>
        </w:rPr>
      </w:pPr>
    </w:p>
    <w:p w14:paraId="538650D9">
      <w:pPr>
        <w:pStyle w:val="8"/>
        <w:widowControl/>
        <w:shd w:val="clear" w:color="auto" w:fill="FFFFFF"/>
        <w:spacing w:beforeAutospacing="0" w:afterAutospacing="0"/>
        <w:rPr>
          <w:rFonts w:hint="default" w:ascii="Times New Roman" w:hAnsi="Times New Roman" w:eastAsia="宋体" w:cs="Times New Roman"/>
          <w:color w:val="C00000"/>
          <w:sz w:val="20"/>
          <w:szCs w:val="20"/>
          <w:highlight w:val="none"/>
          <w:lang w:bidi="ar"/>
        </w:rPr>
      </w:pPr>
    </w:p>
    <w:p w14:paraId="1DEC06A7">
      <w:pPr>
        <w:pStyle w:val="8"/>
        <w:widowControl/>
        <w:shd w:val="clear" w:color="auto" w:fill="FFFFFF"/>
        <w:spacing w:beforeAutospacing="0" w:afterAutospacing="0"/>
        <w:rPr>
          <w:rFonts w:hint="default" w:ascii="Times New Roman" w:hAnsi="Times New Roman" w:eastAsia="宋体" w:cs="Times New Roman"/>
          <w:color w:val="C00000"/>
          <w:sz w:val="20"/>
          <w:szCs w:val="20"/>
          <w:highlight w:val="none"/>
          <w:lang w:bidi="ar"/>
        </w:rPr>
      </w:pPr>
    </w:p>
    <w:p w14:paraId="5EFD9C11">
      <w:pPr>
        <w:jc w:val="left"/>
        <w:outlineLvl w:val="0"/>
        <w:rPr>
          <w:rFonts w:hint="default" w:ascii="Times New Roman" w:hAnsi="Times New Roman" w:cs="Times New Roman"/>
          <w:b/>
          <w:bCs/>
          <w:sz w:val="20"/>
          <w:szCs w:val="20"/>
          <w:highlight w:val="none"/>
        </w:rPr>
      </w:pPr>
      <w:bookmarkStart w:id="20" w:name="_Toc8208"/>
      <w:r>
        <w:rPr>
          <w:rFonts w:hint="default" w:ascii="Times New Roman" w:hAnsi="Times New Roman" w:eastAsia="宋体" w:cs="Times New Roman"/>
          <w:b/>
          <w:bCs/>
          <w:color w:val="000000" w:themeColor="text1"/>
          <w:sz w:val="20"/>
          <w:szCs w:val="20"/>
          <w:highlight w:val="none"/>
          <w:lang w:eastAsia="zh-CN" w:bidi="ar"/>
          <w14:textFill>
            <w14:solidFill>
              <w14:schemeClr w14:val="tx1"/>
            </w14:solidFill>
          </w14:textFill>
        </w:rPr>
        <w:t xml:space="preserve">Fig. </w:t>
      </w:r>
      <w:r>
        <w:rPr>
          <w:rFonts w:hint="default" w:ascii="Times New Roman" w:hAnsi="Times New Roman" w:eastAsia="宋体" w:cs="Times New Roman"/>
          <w:b/>
          <w:bCs/>
          <w:color w:val="000000" w:themeColor="text1"/>
          <w:sz w:val="20"/>
          <w:szCs w:val="20"/>
          <w:highlight w:val="none"/>
          <w:lang w:val="en-US" w:eastAsia="zh-CN" w:bidi="ar"/>
          <w14:textFill>
            <w14:solidFill>
              <w14:schemeClr w14:val="tx1"/>
            </w14:solidFill>
          </w14:textFill>
        </w:rPr>
        <w:t>S</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11.</w:t>
      </w:r>
      <w:r>
        <w:rPr>
          <w:rFonts w:hint="default" w:ascii="Times New Roman" w:hAnsi="Times New Roman" w:eastAsia="Shaker2Lancet-BoldItalic" w:cs="Times New Roman"/>
          <w:b/>
          <w:bCs/>
          <w:color w:val="000000" w:themeColor="text1"/>
          <w:sz w:val="20"/>
          <w:szCs w:val="20"/>
          <w:highlight w:val="none"/>
          <w:lang w:bidi="ar"/>
          <w14:textFill>
            <w14:solidFill>
              <w14:schemeClr w14:val="tx1"/>
            </w14:solidFill>
          </w14:textFill>
        </w:rPr>
        <w:t xml:space="preserve"> </w:t>
      </w:r>
      <w:r>
        <w:rPr>
          <w:rFonts w:hint="default" w:ascii="Times New Roman" w:hAnsi="Times New Roman" w:cs="Times New Roman"/>
          <w:b/>
          <w:bCs/>
          <w:color w:val="000000" w:themeColor="text1"/>
          <w:sz w:val="20"/>
          <w:szCs w:val="20"/>
          <w:highlight w:val="none"/>
          <w14:textFill>
            <w14:solidFill>
              <w14:schemeClr w14:val="tx1"/>
            </w14:solidFill>
          </w14:textFill>
        </w:rPr>
        <w:t>Funnel Plot</w:t>
      </w:r>
      <w:r>
        <w:rPr>
          <w:rFonts w:hint="default" w:ascii="Times New Roman" w:hAnsi="Times New Roman" w:eastAsia="CIDFont" w:cs="Times New Roman"/>
          <w:b/>
          <w:bCs/>
          <w:color w:val="000000" w:themeColor="text1"/>
          <w:sz w:val="20"/>
          <w:szCs w:val="20"/>
          <w:highlight w:val="none"/>
          <w:lang w:bidi="ar"/>
          <w14:textFill>
            <w14:solidFill>
              <w14:schemeClr w14:val="tx1"/>
            </w14:solidFill>
          </w14:textFill>
        </w:rPr>
        <w:t xml:space="preserve"> of </w:t>
      </w:r>
      <w:r>
        <w:rPr>
          <w:rFonts w:hint="default" w:ascii="Times New Roman" w:hAnsi="Times New Roman" w:eastAsia="宋体" w:cs="Times New Roman"/>
          <w:b/>
          <w:bCs/>
          <w:color w:val="000000" w:themeColor="text1"/>
          <w:sz w:val="20"/>
          <w:szCs w:val="20"/>
          <w:highlight w:val="none"/>
          <w:lang w:bidi="ar"/>
          <w14:textFill>
            <w14:solidFill>
              <w14:schemeClr w14:val="tx1"/>
            </w14:solidFill>
          </w14:textFill>
        </w:rPr>
        <w:t xml:space="preserve">the </w:t>
      </w:r>
      <w:r>
        <w:rPr>
          <w:rFonts w:hint="default" w:ascii="Times New Roman" w:hAnsi="Times New Roman" w:cs="Times New Roman"/>
          <w:b/>
          <w:bCs/>
          <w:sz w:val="20"/>
          <w:szCs w:val="20"/>
          <w:highlight w:val="none"/>
        </w:rPr>
        <w:t>Overall eGDR Levels in Patients with T1DM</w:t>
      </w:r>
      <w:bookmarkEnd w:id="20"/>
    </w:p>
    <w:p w14:paraId="5A22595F">
      <w:pPr>
        <w:rPr>
          <w:rFonts w:hint="default" w:ascii="Times New Roman" w:hAnsi="Times New Roman" w:cs="Times New Roman"/>
          <w:color w:val="000000" w:themeColor="text1"/>
          <w:sz w:val="20"/>
          <w:szCs w:val="20"/>
          <w:highlight w:val="none"/>
          <w14:textFill>
            <w14:solidFill>
              <w14:schemeClr w14:val="tx1"/>
            </w14:solidFill>
          </w14:textFill>
        </w:rPr>
      </w:pPr>
      <w:r>
        <w:rPr>
          <w:rFonts w:hint="default" w:ascii="Times New Roman" w:hAnsi="Times New Roman" w:cs="Times New Roman"/>
          <w:sz w:val="20"/>
          <w:szCs w:val="20"/>
          <w:highlight w:val="none"/>
        </w:rPr>
        <w:drawing>
          <wp:inline distT="0" distB="0" distL="114300" distR="114300">
            <wp:extent cx="4916805" cy="3801110"/>
            <wp:effectExtent l="0" t="0" r="7620" b="8890"/>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16"/>
                    <a:stretch>
                      <a:fillRect/>
                    </a:stretch>
                  </pic:blipFill>
                  <pic:spPr>
                    <a:xfrm>
                      <a:off x="0" y="0"/>
                      <a:ext cx="4916805" cy="3801110"/>
                    </a:xfrm>
                    <a:prstGeom prst="rect">
                      <a:avLst/>
                    </a:prstGeom>
                    <a:noFill/>
                    <a:ln>
                      <a:noFill/>
                    </a:ln>
                  </pic:spPr>
                </pic:pic>
              </a:graphicData>
            </a:graphic>
          </wp:inline>
        </w:drawing>
      </w:r>
    </w:p>
    <w:p w14:paraId="1718AB48">
      <w:pPr>
        <w:rPr>
          <w:rFonts w:hint="default" w:ascii="Times New Roman" w:hAnsi="Times New Roman" w:cs="Times New Roman"/>
          <w:color w:val="000000" w:themeColor="text1"/>
          <w:sz w:val="20"/>
          <w:szCs w:val="20"/>
          <w:highlight w:val="none"/>
          <w14:textFill>
            <w14:solidFill>
              <w14:schemeClr w14:val="tx1"/>
            </w14:solidFill>
          </w14:textFill>
        </w:rPr>
      </w:pPr>
    </w:p>
    <w:p w14:paraId="44882E16">
      <w:pPr>
        <w:spacing w:line="360" w:lineRule="auto"/>
        <w:rPr>
          <w:rFonts w:hint="default" w:ascii="Times New Roman" w:hAnsi="Times New Roman" w:cs="Times New Roman"/>
          <w:sz w:val="20"/>
          <w:szCs w:val="20"/>
          <w:highlight w:val="none"/>
        </w:rPr>
      </w:pPr>
      <w:r>
        <w:rPr>
          <w:rFonts w:hint="default" w:ascii="Times New Roman" w:hAnsi="Times New Roman" w:eastAsia="CIDFont" w:cs="Times New Roman"/>
          <w:color w:val="000000" w:themeColor="text1"/>
          <w:kern w:val="0"/>
          <w:sz w:val="20"/>
          <w:szCs w:val="20"/>
          <w:highlight w:val="none"/>
          <w:lang w:bidi="ar"/>
          <w14:textFill>
            <w14:solidFill>
              <w14:schemeClr w14:val="tx1"/>
            </w14:solidFill>
          </w14:textFill>
        </w:rPr>
        <w:t xml:space="preserve">               </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TimesLTStd-Roman">
    <w:altName w:val="Times New Roman"/>
    <w:panose1 w:val="020B0604020202020204"/>
    <w:charset w:val="00"/>
    <w:family w:val="roman"/>
    <w:pitch w:val="default"/>
    <w:sig w:usb0="00000000" w:usb1="00000000" w:usb2="00000000" w:usb3="00000000" w:csb0="00000000" w:csb1="00000000"/>
  </w:font>
  <w:font w:name="Arial Narrow">
    <w:panose1 w:val="020B0606020202030204"/>
    <w:charset w:val="00"/>
    <w:family w:val="swiss"/>
    <w:pitch w:val="default"/>
    <w:sig w:usb0="00000287" w:usb1="00000800" w:usb2="00000000" w:usb3="00000000" w:csb0="2000009F" w:csb1="DFD70000"/>
  </w:font>
  <w:font w:name="CIDFont">
    <w:altName w:val="Segoe Print"/>
    <w:panose1 w:val="020B0604020202020204"/>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 w:name="Shaker2Lancet-BoldItalic">
    <w:altName w:val="Segoe Print"/>
    <w:panose1 w:val="020B0604020202020204"/>
    <w:charset w:val="00"/>
    <w:family w:val="auto"/>
    <w:pitch w:val="default"/>
    <w:sig w:usb0="00000000" w:usb1="00000000" w:usb2="00000000" w:usb3="00000000" w:csb0="00000000" w:csb1="00000000"/>
  </w:font>
  <w:font w:name="Shaker2Lancet-Bold">
    <w:altName w:val="Segoe Print"/>
    <w:panose1 w:val="020B0604020202020204"/>
    <w:charset w:val="00"/>
    <w:family w:val="auto"/>
    <w:pitch w:val="default"/>
    <w:sig w:usb0="00000000" w:usb1="00000000" w:usb2="00000000" w:usb3="00000000" w:csb0="00000000" w:csb1="00000000"/>
  </w:font>
  <w:font w:name="URWPalladioL-Roma">
    <w:altName w:val="Segoe Print"/>
    <w:panose1 w:val="020B0604020202020204"/>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MS Mincho">
    <w:altName w:val="Yu Gothic UI"/>
    <w:panose1 w:val="02020609040205080304"/>
    <w:charset w:val="80"/>
    <w:family w:val="modern"/>
    <w:pitch w:val="default"/>
    <w:sig w:usb0="00000000" w:usb1="00000000" w:usb2="08000012" w:usb3="00000000" w:csb0="0002009F" w:csb1="00000000"/>
  </w:font>
  <w:font w:name="ＭＳ 明朝">
    <w:altName w:val="Segoe Print"/>
    <w:panose1 w:val="00000000000000000000"/>
    <w:charset w:val="00"/>
    <w:family w:val="auto"/>
    <w:pitch w:val="default"/>
    <w:sig w:usb0="00000000" w:usb1="00000000" w:usb2="00000000" w:usb3="00000000" w:csb0="00000000" w:csb1="00000000"/>
  </w:font>
  <w:font w:name="Yu Gothic UI">
    <w:panose1 w:val="020B0500000000000000"/>
    <w:charset w:val="80"/>
    <w:family w:val="auto"/>
    <w:pitch w:val="default"/>
    <w:sig w:usb0="E00002FF" w:usb1="2AC7FDFF" w:usb2="00000016" w:usb3="00000000" w:csb0="2002009F"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2"/>
      </w:rPr>
      <w:id w:val="-1"/>
    </w:sdtPr>
    <w:sdtEndPr>
      <w:rPr>
        <w:rStyle w:val="12"/>
      </w:rPr>
    </w:sdtEndPr>
    <w:sdtContent>
      <w:p w14:paraId="200AF374">
        <w:pPr>
          <w:pStyle w:val="4"/>
          <w:framePr w:wrap="auto" w:vAnchor="text" w:hAnchor="margin" w:xAlign="center" w:y="1"/>
          <w:rPr>
            <w:rStyle w:val="12"/>
          </w:rPr>
        </w:pPr>
        <w:r>
          <w:rPr>
            <w:rStyle w:val="12"/>
          </w:rPr>
          <w:fldChar w:fldCharType="begin"/>
        </w:r>
        <w:r>
          <w:rPr>
            <w:rStyle w:val="12"/>
          </w:rPr>
          <w:instrText xml:space="preserve"> PAGE </w:instrText>
        </w:r>
        <w:r>
          <w:rPr>
            <w:rStyle w:val="12"/>
          </w:rPr>
          <w:fldChar w:fldCharType="separate"/>
        </w:r>
        <w:r>
          <w:rPr>
            <w:rStyle w:val="12"/>
          </w:rPr>
          <w:t>5</w:t>
        </w:r>
        <w:r>
          <w:rPr>
            <w:rStyle w:val="12"/>
          </w:rPr>
          <w:fldChar w:fldCharType="end"/>
        </w:r>
      </w:p>
    </w:sdtContent>
  </w:sdt>
  <w:p w14:paraId="7E4103CD">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B7187">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C4D397"/>
    <w:multiLevelType w:val="singleLevel"/>
    <w:tmpl w:val="85C4D397"/>
    <w:lvl w:ilvl="0" w:tentative="0">
      <w:start w:val="1"/>
      <w:numFmt w:val="decimal"/>
      <w:suff w:val="space"/>
      <w:lvlText w:val="[%1]"/>
      <w:lvlJc w:val="left"/>
    </w:lvl>
  </w:abstractNum>
  <w:abstractNum w:abstractNumId="1">
    <w:nsid w:val="D5852310"/>
    <w:multiLevelType w:val="singleLevel"/>
    <w:tmpl w:val="D5852310"/>
    <w:lvl w:ilvl="0" w:tentative="0">
      <w:start w:val="1"/>
      <w:numFmt w:val="lowerLetter"/>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hiNzlmYjBjYTU3OTdmNGNlOGQ4ZjY4YTUyMmU4YmQifQ=="/>
  </w:docVars>
  <w:rsids>
    <w:rsidRoot w:val="45F10D87"/>
    <w:rsid w:val="000B34B8"/>
    <w:rsid w:val="00227981"/>
    <w:rsid w:val="00373C5B"/>
    <w:rsid w:val="004D3D85"/>
    <w:rsid w:val="0066377F"/>
    <w:rsid w:val="00683105"/>
    <w:rsid w:val="00B36CCC"/>
    <w:rsid w:val="00BE0BD0"/>
    <w:rsid w:val="00D13ABB"/>
    <w:rsid w:val="00D229CF"/>
    <w:rsid w:val="00D34685"/>
    <w:rsid w:val="00D978ED"/>
    <w:rsid w:val="00DC1D0A"/>
    <w:rsid w:val="030D0562"/>
    <w:rsid w:val="033C5396"/>
    <w:rsid w:val="0398426E"/>
    <w:rsid w:val="04675D48"/>
    <w:rsid w:val="08297F72"/>
    <w:rsid w:val="086C5D2B"/>
    <w:rsid w:val="09463D02"/>
    <w:rsid w:val="09785A35"/>
    <w:rsid w:val="0A0D0E47"/>
    <w:rsid w:val="0B440899"/>
    <w:rsid w:val="0B445739"/>
    <w:rsid w:val="0E127789"/>
    <w:rsid w:val="10594B9B"/>
    <w:rsid w:val="13BE434A"/>
    <w:rsid w:val="19653941"/>
    <w:rsid w:val="1A3B37AF"/>
    <w:rsid w:val="1AA94FEA"/>
    <w:rsid w:val="1B12117D"/>
    <w:rsid w:val="1C400096"/>
    <w:rsid w:val="1E7B23CC"/>
    <w:rsid w:val="205B4263"/>
    <w:rsid w:val="24457704"/>
    <w:rsid w:val="24D42836"/>
    <w:rsid w:val="27DD0634"/>
    <w:rsid w:val="27FA6A57"/>
    <w:rsid w:val="28E470B6"/>
    <w:rsid w:val="292D69B8"/>
    <w:rsid w:val="29626662"/>
    <w:rsid w:val="2A443FBA"/>
    <w:rsid w:val="2BA74026"/>
    <w:rsid w:val="2D9967F0"/>
    <w:rsid w:val="2E0146C8"/>
    <w:rsid w:val="2E914D2D"/>
    <w:rsid w:val="2F466846"/>
    <w:rsid w:val="2FCA72C2"/>
    <w:rsid w:val="32F04CDF"/>
    <w:rsid w:val="337D5D2A"/>
    <w:rsid w:val="398F0CF0"/>
    <w:rsid w:val="3C4916DE"/>
    <w:rsid w:val="40322C80"/>
    <w:rsid w:val="4140247E"/>
    <w:rsid w:val="42937435"/>
    <w:rsid w:val="45F10D87"/>
    <w:rsid w:val="469B136D"/>
    <w:rsid w:val="46A55C75"/>
    <w:rsid w:val="46C8388C"/>
    <w:rsid w:val="477F1ECC"/>
    <w:rsid w:val="47C3256A"/>
    <w:rsid w:val="4FE70DC0"/>
    <w:rsid w:val="4FEB08B0"/>
    <w:rsid w:val="528168C7"/>
    <w:rsid w:val="53081779"/>
    <w:rsid w:val="545729B8"/>
    <w:rsid w:val="54C60115"/>
    <w:rsid w:val="553C395C"/>
    <w:rsid w:val="561A27D0"/>
    <w:rsid w:val="57883B27"/>
    <w:rsid w:val="5DB466F3"/>
    <w:rsid w:val="6211021E"/>
    <w:rsid w:val="637970C3"/>
    <w:rsid w:val="645B3DFE"/>
    <w:rsid w:val="66C00C96"/>
    <w:rsid w:val="69F16143"/>
    <w:rsid w:val="6B2F38EF"/>
    <w:rsid w:val="6B71209F"/>
    <w:rsid w:val="6B715CB5"/>
    <w:rsid w:val="6C1D7BEB"/>
    <w:rsid w:val="6D8048D6"/>
    <w:rsid w:val="6E8B52E0"/>
    <w:rsid w:val="6E9D5013"/>
    <w:rsid w:val="71A5490B"/>
    <w:rsid w:val="71BE6B57"/>
    <w:rsid w:val="72EA5883"/>
    <w:rsid w:val="74D734FA"/>
    <w:rsid w:val="752E4C17"/>
    <w:rsid w:val="75E04B1D"/>
    <w:rsid w:val="77071BC4"/>
    <w:rsid w:val="77456248"/>
    <w:rsid w:val="77B37656"/>
    <w:rsid w:val="77E7FD10"/>
    <w:rsid w:val="78F341E7"/>
    <w:rsid w:val="7AF16FF7"/>
    <w:rsid w:val="7B3D7E48"/>
    <w:rsid w:val="7BCE0F02"/>
    <w:rsid w:val="7F9F6E3D"/>
    <w:rsid w:val="7FBE3BB1"/>
    <w:rsid w:val="FEFB141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3">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footer"/>
    <w:basedOn w:val="1"/>
    <w:qFormat/>
    <w:uiPriority w:val="99"/>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toc 1"/>
    <w:basedOn w:val="1"/>
    <w:next w:val="1"/>
    <w:qFormat/>
    <w:uiPriority w:val="0"/>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8">
    <w:name w:val="Normal (Web)"/>
    <w:basedOn w:val="1"/>
    <w:qFormat/>
    <w:uiPriority w:val="0"/>
    <w:pPr>
      <w:spacing w:beforeAutospacing="1" w:afterAutospacing="1"/>
      <w:jc w:val="left"/>
    </w:pPr>
    <w:rPr>
      <w:rFonts w:cs="Times New Roman"/>
      <w:kern w:val="0"/>
      <w:sz w:val="24"/>
    </w:rPr>
  </w:style>
  <w:style w:type="table" w:styleId="10">
    <w:name w:val="Table Grid"/>
    <w:basedOn w:val="9"/>
    <w:qFormat/>
    <w:uiPriority w:val="39"/>
    <w:rPr>
      <w:lang w:val="en-A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paragraph" w:customStyle="1" w:styleId="13">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character" w:customStyle="1" w:styleId="14">
    <w:name w:val="font01"/>
    <w:basedOn w:val="11"/>
    <w:qFormat/>
    <w:uiPriority w:val="0"/>
    <w:rPr>
      <w:rFonts w:hint="eastAsia" w:ascii="宋体" w:hAnsi="宋体" w:eastAsia="宋体" w:cs="宋体"/>
      <w:color w:val="000000"/>
      <w:sz w:val="24"/>
      <w:szCs w:val="24"/>
      <w:u w:val="none"/>
    </w:rPr>
  </w:style>
  <w:style w:type="character" w:customStyle="1" w:styleId="15">
    <w:name w:val="font61"/>
    <w:basedOn w:val="11"/>
    <w:qFormat/>
    <w:uiPriority w:val="0"/>
    <w:rPr>
      <w:rFonts w:hint="eastAsia" w:ascii="宋体" w:hAnsi="宋体" w:eastAsia="宋体" w:cs="宋体"/>
      <w:color w:val="000000"/>
      <w:sz w:val="22"/>
      <w:szCs w:val="22"/>
      <w:u w:val="none"/>
    </w:rPr>
  </w:style>
  <w:style w:type="character" w:customStyle="1" w:styleId="16">
    <w:name w:val="font11"/>
    <w:basedOn w:val="11"/>
    <w:qFormat/>
    <w:uiPriority w:val="0"/>
    <w:rPr>
      <w:rFonts w:hint="default" w:ascii="Times New Roman" w:hAnsi="Times New Roman" w:cs="Times New Roman"/>
      <w:color w:val="000000"/>
      <w:sz w:val="22"/>
      <w:szCs w:val="22"/>
      <w:u w:val="none"/>
    </w:rPr>
  </w:style>
  <w:style w:type="character" w:customStyle="1" w:styleId="17">
    <w:name w:val="fontstyle01"/>
    <w:basedOn w:val="11"/>
    <w:qFormat/>
    <w:uiPriority w:val="0"/>
    <w:rPr>
      <w:rFonts w:hint="default" w:ascii="TimesLTStd-Roman" w:hAnsi="TimesLTStd-Roman"/>
      <w:color w:val="000000"/>
      <w:sz w:val="20"/>
      <w:szCs w:val="20"/>
    </w:rPr>
  </w:style>
  <w:style w:type="character" w:customStyle="1" w:styleId="18">
    <w:name w:val="font41"/>
    <w:basedOn w:val="11"/>
    <w:qFormat/>
    <w:uiPriority w:val="0"/>
    <w:rPr>
      <w:rFonts w:hint="default" w:ascii="Times New Roman" w:hAnsi="Times New Roman" w:cs="Times New Roman"/>
      <w:color w:val="000000"/>
      <w:sz w:val="24"/>
      <w:szCs w:val="24"/>
      <w:u w:val="none"/>
    </w:rPr>
  </w:style>
  <w:style w:type="character" w:customStyle="1" w:styleId="19">
    <w:name w:val="font71"/>
    <w:basedOn w:val="11"/>
    <w:qFormat/>
    <w:uiPriority w:val="0"/>
    <w:rPr>
      <w:rFonts w:hint="eastAsia" w:ascii="宋体" w:hAnsi="宋体" w:eastAsia="宋体" w:cs="宋体"/>
      <w:color w:val="000000"/>
      <w:sz w:val="24"/>
      <w:szCs w:val="24"/>
      <w:u w:val="none"/>
    </w:rPr>
  </w:style>
  <w:style w:type="character" w:customStyle="1" w:styleId="20">
    <w:name w:val="font51"/>
    <w:basedOn w:val="11"/>
    <w:qFormat/>
    <w:uiPriority w:val="0"/>
    <w:rPr>
      <w:rFonts w:ascii="Arial" w:hAnsi="Arial" w:cs="Arial"/>
      <w:color w:val="000000"/>
      <w:sz w:val="20"/>
      <w:szCs w:val="20"/>
      <w:u w:val="none"/>
    </w:rPr>
  </w:style>
  <w:style w:type="character" w:customStyle="1" w:styleId="21">
    <w:name w:val="font81"/>
    <w:basedOn w:val="11"/>
    <w:qFormat/>
    <w:uiPriority w:val="0"/>
    <w:rPr>
      <w:rFonts w:hint="default" w:ascii="Arial Narrow" w:hAnsi="Arial Narrow" w:eastAsia="Arial Narrow" w:cs="Arial Narrow"/>
      <w:color w:val="000000"/>
      <w:sz w:val="20"/>
      <w:szCs w:val="20"/>
      <w:u w:val="none"/>
      <w:vertAlign w:val="superscript"/>
    </w:rPr>
  </w:style>
  <w:style w:type="character" w:customStyle="1" w:styleId="22">
    <w:name w:val="quality-sign"/>
    <w:basedOn w:val="11"/>
    <w:qFormat/>
    <w:uiPriority w:val="0"/>
  </w:style>
  <w:style w:type="character" w:customStyle="1" w:styleId="23">
    <w:name w:val="quality-text"/>
    <w:basedOn w:val="11"/>
    <w:qFormat/>
    <w:uiPriority w:val="0"/>
  </w:style>
  <w:style w:type="character" w:customStyle="1" w:styleId="24">
    <w:name w:val="font91"/>
    <w:basedOn w:val="11"/>
    <w:qFormat/>
    <w:uiPriority w:val="0"/>
    <w:rPr>
      <w:rFonts w:hint="eastAsia" w:ascii="宋体" w:hAnsi="宋体" w:eastAsia="宋体" w:cs="宋体"/>
      <w:b/>
      <w:bCs/>
      <w:color w:val="000000"/>
      <w:sz w:val="20"/>
      <w:szCs w:val="20"/>
      <w:u w:val="none"/>
    </w:rPr>
  </w:style>
  <w:style w:type="paragraph" w:customStyle="1" w:styleId="25">
    <w:name w:val="WPSOffice手动目录 1"/>
    <w:qFormat/>
    <w:uiPriority w:val="0"/>
    <w:rPr>
      <w:rFonts w:ascii="Times New Roman" w:hAnsi="Times New Roman" w:eastAsia="宋体" w:cs="Times New Roman"/>
      <w:lang w:val="zh-CN"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39</Pages>
  <Words>8540</Words>
  <Characters>43073</Characters>
  <Lines>383</Lines>
  <Paragraphs>108</Paragraphs>
  <TotalTime>3</TotalTime>
  <ScaleCrop>false</ScaleCrop>
  <LinksUpToDate>false</LinksUpToDate>
  <CharactersWithSpaces>51514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2024-04-17T00:07:00Z</dcterms:created>
  <dc:creator>Grey</dc:creator>
  <cp:lastModifiedBy>Grey</cp:lastModifiedBy>
  <dcterms:modified xsi:type="dcterms:W3CDTF">2025-03-09T14:56:21Z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68CC4032F16240AFB0CADDC806D430FE_13</vt:lpwstr>
  </property>
  <property fmtid="{D5CDD505-2E9C-101B-9397-08002B2CF9AE}" pid="4" name="KSOTemplateDocerSaveRecord">
    <vt:lpwstr>eyJoZGlkIjoiYzhiNzlmYjBjYTU3OTdmNGNlOGQ4ZjY4YTUyMmU4YmQiLCJ1c2VySWQiOiIxNTk5MDUyNyJ9</vt:lpwstr>
  </property>
</Properties>
</file>