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6B037" w14:textId="1EDD8DB3" w:rsidR="00072EBD" w:rsidRPr="005D5784" w:rsidRDefault="00072EBD" w:rsidP="002D4A46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5D5784">
        <w:rPr>
          <w:rFonts w:ascii="Times New Roman" w:hAnsi="Times New Roman" w:cs="Times New Roman"/>
          <w:b/>
          <w:bCs/>
          <w:color w:val="000000" w:themeColor="text1"/>
          <w:sz w:val="22"/>
        </w:rPr>
        <w:t>Table S1</w:t>
      </w:r>
      <w:r w:rsidR="002D4A46" w:rsidRPr="005D5784">
        <w:rPr>
          <w:rFonts w:ascii="Times New Roman" w:hAnsi="Times New Roman" w:cs="Times New Roman"/>
          <w:b/>
          <w:bCs/>
          <w:color w:val="000000" w:themeColor="text1"/>
          <w:sz w:val="22"/>
        </w:rPr>
        <w:t>.</w:t>
      </w:r>
      <w:r w:rsidRPr="005D5784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CT </w:t>
      </w:r>
      <w:r w:rsidR="00FD7329" w:rsidRPr="005D5784">
        <w:rPr>
          <w:rFonts w:ascii="Times New Roman" w:hAnsi="Times New Roman" w:cs="Times New Roman"/>
          <w:b/>
          <w:bCs/>
          <w:color w:val="000000" w:themeColor="text1"/>
          <w:sz w:val="22"/>
        </w:rPr>
        <w:t>acquisition parameters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2"/>
        <w:gridCol w:w="2772"/>
        <w:gridCol w:w="2772"/>
      </w:tblGrid>
      <w:tr w:rsidR="00072EBD" w:rsidRPr="005D5784" w14:paraId="057897D4" w14:textId="77777777" w:rsidTr="001C56F8"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</w:tcPr>
          <w:p w14:paraId="5DF2DA69" w14:textId="4C4C0FFE" w:rsidR="00072EBD" w:rsidRPr="005D5784" w:rsidRDefault="008F61A6" w:rsidP="002D4A4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D5784">
              <w:rPr>
                <w:rFonts w:ascii="Times New Roman" w:hAnsi="Times New Roman" w:cs="Times New Roman"/>
                <w:b/>
                <w:bCs/>
                <w:sz w:val="22"/>
              </w:rPr>
              <w:t>P</w:t>
            </w:r>
            <w:r w:rsidR="00072EBD" w:rsidRPr="005D5784">
              <w:rPr>
                <w:rFonts w:ascii="Times New Roman" w:hAnsi="Times New Roman" w:cs="Times New Roman"/>
                <w:b/>
                <w:bCs/>
                <w:sz w:val="22"/>
              </w:rPr>
              <w:t>arameters</w:t>
            </w: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</w:tcPr>
          <w:p w14:paraId="48B1E355" w14:textId="552752B0" w:rsidR="00072EBD" w:rsidRPr="005D5784" w:rsidRDefault="00B37B06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T</w:t>
            </w:r>
            <w:r w:rsidRPr="00B37B06">
              <w:rPr>
                <w:rFonts w:ascii="Times New Roman" w:hAnsi="Times New Roman" w:cs="Times New Roman"/>
                <w:b/>
                <w:bCs/>
                <w:sz w:val="22"/>
              </w:rPr>
              <w:t>raining cohort</w:t>
            </w:r>
          </w:p>
        </w:tc>
        <w:tc>
          <w:tcPr>
            <w:tcW w:w="2772" w:type="dxa"/>
            <w:tcBorders>
              <w:top w:val="single" w:sz="4" w:space="0" w:color="auto"/>
              <w:bottom w:val="single" w:sz="4" w:space="0" w:color="auto"/>
            </w:tcBorders>
          </w:tcPr>
          <w:p w14:paraId="6B6B1103" w14:textId="3261CC25" w:rsidR="00072EBD" w:rsidRPr="005D5784" w:rsidRDefault="00B37B06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E</w:t>
            </w:r>
            <w:r w:rsidRPr="00B37B06">
              <w:rPr>
                <w:rFonts w:ascii="Times New Roman" w:hAnsi="Times New Roman" w:cs="Times New Roman"/>
                <w:b/>
                <w:bCs/>
                <w:sz w:val="22"/>
              </w:rPr>
              <w:t>xternal validation cohort</w:t>
            </w:r>
          </w:p>
        </w:tc>
      </w:tr>
      <w:tr w:rsidR="00072EBD" w:rsidRPr="005D5784" w14:paraId="70CCA860" w14:textId="77777777" w:rsidTr="001C56F8">
        <w:tc>
          <w:tcPr>
            <w:tcW w:w="2762" w:type="dxa"/>
            <w:tcBorders>
              <w:top w:val="single" w:sz="4" w:space="0" w:color="auto"/>
            </w:tcBorders>
          </w:tcPr>
          <w:p w14:paraId="7E655DAE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5D5784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CT equipment</w:t>
            </w:r>
          </w:p>
        </w:tc>
        <w:tc>
          <w:tcPr>
            <w:tcW w:w="2772" w:type="dxa"/>
            <w:tcBorders>
              <w:top w:val="single" w:sz="4" w:space="0" w:color="auto"/>
            </w:tcBorders>
          </w:tcPr>
          <w:p w14:paraId="11C7C8DC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>BrightSpeed</w:t>
            </w:r>
            <w:proofErr w:type="spellEnd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RT 16 Elite; </w:t>
            </w:r>
            <w:proofErr w:type="spellStart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>Aquilion</w:t>
            </w:r>
            <w:proofErr w:type="spellEnd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ONE 640, TOSHIBA; LightSpeed CT750 HD, GE Healthcare; SOMATOM CT, Siemens Healthcare; </w:t>
            </w:r>
            <w:proofErr w:type="spellStart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>Somatom</w:t>
            </w:r>
            <w:proofErr w:type="spellEnd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Sensation Cardiac 64, Siemens Healthcare; Brilliance </w:t>
            </w:r>
            <w:proofErr w:type="spellStart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>iCT</w:t>
            </w:r>
            <w:proofErr w:type="spellEnd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>, Philips Healthcare;</w:t>
            </w:r>
          </w:p>
        </w:tc>
        <w:tc>
          <w:tcPr>
            <w:tcW w:w="2772" w:type="dxa"/>
            <w:tcBorders>
              <w:top w:val="single" w:sz="4" w:space="0" w:color="auto"/>
            </w:tcBorders>
          </w:tcPr>
          <w:p w14:paraId="38716216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Discovery 750, GE Healthcare;</w:t>
            </w:r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>Somatom</w:t>
            </w:r>
            <w:proofErr w:type="spellEnd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Definition Flash, Siemens Healthcare; </w:t>
            </w:r>
            <w:proofErr w:type="spellStart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>Aquilion</w:t>
            </w:r>
            <w:proofErr w:type="spellEnd"/>
            <w:r w:rsidRPr="005D5784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ONE, TOSHIBA</w:t>
            </w:r>
          </w:p>
        </w:tc>
      </w:tr>
      <w:tr w:rsidR="00072EBD" w:rsidRPr="005D5784" w14:paraId="496D95DC" w14:textId="77777777" w:rsidTr="001C56F8">
        <w:tc>
          <w:tcPr>
            <w:tcW w:w="2762" w:type="dxa"/>
          </w:tcPr>
          <w:p w14:paraId="76646887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D5784">
              <w:rPr>
                <w:rFonts w:ascii="Times New Roman" w:hAnsi="Times New Roman" w:cs="Times New Roman"/>
                <w:b/>
                <w:bCs/>
                <w:sz w:val="22"/>
              </w:rPr>
              <w:t>Matrix size</w:t>
            </w:r>
          </w:p>
        </w:tc>
        <w:tc>
          <w:tcPr>
            <w:tcW w:w="2772" w:type="dxa"/>
          </w:tcPr>
          <w:p w14:paraId="050AF46A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512 × 512</w:t>
            </w:r>
          </w:p>
        </w:tc>
        <w:tc>
          <w:tcPr>
            <w:tcW w:w="2772" w:type="dxa"/>
          </w:tcPr>
          <w:p w14:paraId="104F333E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512 × 512</w:t>
            </w:r>
          </w:p>
        </w:tc>
      </w:tr>
      <w:tr w:rsidR="00072EBD" w:rsidRPr="005D5784" w14:paraId="316A394E" w14:textId="77777777" w:rsidTr="001C56F8">
        <w:tc>
          <w:tcPr>
            <w:tcW w:w="2762" w:type="dxa"/>
          </w:tcPr>
          <w:p w14:paraId="4D4FC3D3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D5784">
              <w:rPr>
                <w:rFonts w:ascii="Times New Roman" w:hAnsi="Times New Roman" w:cs="Times New Roman"/>
                <w:b/>
                <w:bCs/>
                <w:sz w:val="22"/>
              </w:rPr>
              <w:t>Pitch</w:t>
            </w:r>
          </w:p>
        </w:tc>
        <w:tc>
          <w:tcPr>
            <w:tcW w:w="2772" w:type="dxa"/>
          </w:tcPr>
          <w:p w14:paraId="081851E5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0.8</w:t>
            </w:r>
          </w:p>
        </w:tc>
        <w:tc>
          <w:tcPr>
            <w:tcW w:w="2772" w:type="dxa"/>
          </w:tcPr>
          <w:p w14:paraId="280A624F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0.8</w:t>
            </w:r>
          </w:p>
        </w:tc>
      </w:tr>
      <w:tr w:rsidR="00072EBD" w:rsidRPr="005D5784" w14:paraId="4DD7307E" w14:textId="77777777" w:rsidTr="001C56F8">
        <w:tc>
          <w:tcPr>
            <w:tcW w:w="2762" w:type="dxa"/>
          </w:tcPr>
          <w:p w14:paraId="53253F8C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D5784">
              <w:rPr>
                <w:rFonts w:ascii="Times New Roman" w:hAnsi="Times New Roman" w:cs="Times New Roman"/>
                <w:b/>
                <w:bCs/>
                <w:sz w:val="22"/>
              </w:rPr>
              <w:t>Tube voltage</w:t>
            </w:r>
          </w:p>
        </w:tc>
        <w:tc>
          <w:tcPr>
            <w:tcW w:w="2772" w:type="dxa"/>
          </w:tcPr>
          <w:p w14:paraId="5703D25F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120 kV</w:t>
            </w:r>
          </w:p>
        </w:tc>
        <w:tc>
          <w:tcPr>
            <w:tcW w:w="2772" w:type="dxa"/>
          </w:tcPr>
          <w:p w14:paraId="48AA71A9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120 kV</w:t>
            </w:r>
          </w:p>
        </w:tc>
      </w:tr>
      <w:tr w:rsidR="00072EBD" w:rsidRPr="005D5784" w14:paraId="6D4B9FDC" w14:textId="77777777" w:rsidTr="001C56F8">
        <w:tc>
          <w:tcPr>
            <w:tcW w:w="2762" w:type="dxa"/>
          </w:tcPr>
          <w:p w14:paraId="536C3248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D5784">
              <w:rPr>
                <w:rFonts w:ascii="Times New Roman" w:hAnsi="Times New Roman" w:cs="Times New Roman"/>
                <w:b/>
                <w:bCs/>
                <w:sz w:val="22"/>
              </w:rPr>
              <w:t>Slice thickness</w:t>
            </w:r>
          </w:p>
        </w:tc>
        <w:tc>
          <w:tcPr>
            <w:tcW w:w="2772" w:type="dxa"/>
          </w:tcPr>
          <w:p w14:paraId="78D1CC32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5mm</w:t>
            </w:r>
          </w:p>
        </w:tc>
        <w:tc>
          <w:tcPr>
            <w:tcW w:w="2772" w:type="dxa"/>
          </w:tcPr>
          <w:p w14:paraId="2393846A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5mm</w:t>
            </w:r>
          </w:p>
        </w:tc>
      </w:tr>
      <w:tr w:rsidR="00072EBD" w:rsidRPr="005D5784" w14:paraId="29291DB2" w14:textId="77777777" w:rsidTr="001C56F8">
        <w:tc>
          <w:tcPr>
            <w:tcW w:w="2762" w:type="dxa"/>
          </w:tcPr>
          <w:p w14:paraId="0940B476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D5784">
              <w:rPr>
                <w:rFonts w:ascii="Times New Roman" w:hAnsi="Times New Roman" w:cs="Times New Roman"/>
                <w:b/>
                <w:bCs/>
                <w:sz w:val="22"/>
              </w:rPr>
              <w:t>Detector collimation</w:t>
            </w:r>
          </w:p>
        </w:tc>
        <w:tc>
          <w:tcPr>
            <w:tcW w:w="2772" w:type="dxa"/>
          </w:tcPr>
          <w:p w14:paraId="1257B7F6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64×0.6mm</w:t>
            </w:r>
          </w:p>
          <w:p w14:paraId="4A390879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or 64×0.625mm</w:t>
            </w:r>
          </w:p>
        </w:tc>
        <w:tc>
          <w:tcPr>
            <w:tcW w:w="2772" w:type="dxa"/>
          </w:tcPr>
          <w:p w14:paraId="0906D4F7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64×0.6mm</w:t>
            </w:r>
          </w:p>
          <w:p w14:paraId="6624B463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or 64×0.625mm</w:t>
            </w:r>
          </w:p>
        </w:tc>
      </w:tr>
      <w:tr w:rsidR="00072EBD" w:rsidRPr="005D5784" w14:paraId="3BAD125E" w14:textId="77777777" w:rsidTr="001C56F8">
        <w:tc>
          <w:tcPr>
            <w:tcW w:w="2762" w:type="dxa"/>
          </w:tcPr>
          <w:p w14:paraId="29650670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D5784">
              <w:rPr>
                <w:rFonts w:ascii="Times New Roman" w:hAnsi="Times New Roman" w:cs="Times New Roman"/>
                <w:b/>
                <w:bCs/>
                <w:sz w:val="22"/>
              </w:rPr>
              <w:t>Contrast agent</w:t>
            </w:r>
          </w:p>
        </w:tc>
        <w:tc>
          <w:tcPr>
            <w:tcW w:w="2772" w:type="dxa"/>
          </w:tcPr>
          <w:p w14:paraId="6996E963" w14:textId="3C28D36C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5D5784">
              <w:rPr>
                <w:rFonts w:ascii="Times New Roman" w:hAnsi="Times New Roman" w:cs="Times New Roman"/>
                <w:sz w:val="22"/>
              </w:rPr>
              <w:t>Ultravist</w:t>
            </w:r>
            <w:proofErr w:type="spellEnd"/>
            <w:r w:rsidRPr="005D5784">
              <w:rPr>
                <w:rFonts w:ascii="Times New Roman" w:hAnsi="Times New Roman" w:cs="Times New Roman"/>
                <w:sz w:val="22"/>
              </w:rPr>
              <w:t xml:space="preserve"> 370</w:t>
            </w:r>
            <w:r w:rsidR="000277CF" w:rsidRPr="005D5784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5D5784">
              <w:rPr>
                <w:rFonts w:ascii="Times New Roman" w:hAnsi="Times New Roman" w:cs="Times New Roman"/>
                <w:sz w:val="22"/>
              </w:rPr>
              <w:t xml:space="preserve">or </w:t>
            </w:r>
            <w:proofErr w:type="spellStart"/>
            <w:r w:rsidRPr="005D5784">
              <w:rPr>
                <w:rFonts w:ascii="Times New Roman" w:hAnsi="Times New Roman" w:cs="Times New Roman"/>
                <w:sz w:val="22"/>
              </w:rPr>
              <w:t>Omnipaque</w:t>
            </w:r>
            <w:proofErr w:type="spellEnd"/>
            <w:r w:rsidRPr="005D5784">
              <w:rPr>
                <w:rFonts w:ascii="Times New Roman" w:hAnsi="Times New Roman" w:cs="Times New Roman"/>
                <w:sz w:val="22"/>
              </w:rPr>
              <w:t xml:space="preserve"> 350</w:t>
            </w:r>
          </w:p>
        </w:tc>
        <w:tc>
          <w:tcPr>
            <w:tcW w:w="2772" w:type="dxa"/>
          </w:tcPr>
          <w:p w14:paraId="5D846895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5D5784">
              <w:rPr>
                <w:rFonts w:ascii="Times New Roman" w:hAnsi="Times New Roman" w:cs="Times New Roman"/>
                <w:sz w:val="22"/>
              </w:rPr>
              <w:t>Omnipaque</w:t>
            </w:r>
            <w:proofErr w:type="spellEnd"/>
            <w:r w:rsidRPr="005D5784">
              <w:rPr>
                <w:rFonts w:ascii="Times New Roman" w:hAnsi="Times New Roman" w:cs="Times New Roman"/>
                <w:sz w:val="22"/>
              </w:rPr>
              <w:t xml:space="preserve"> 350</w:t>
            </w:r>
          </w:p>
        </w:tc>
      </w:tr>
      <w:tr w:rsidR="00072EBD" w:rsidRPr="005D5784" w14:paraId="3A9EBF05" w14:textId="77777777" w:rsidTr="001C56F8">
        <w:tc>
          <w:tcPr>
            <w:tcW w:w="2762" w:type="dxa"/>
          </w:tcPr>
          <w:p w14:paraId="79A66BBF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D5784">
              <w:rPr>
                <w:rFonts w:ascii="Times New Roman" w:hAnsi="Times New Roman" w:cs="Times New Roman"/>
                <w:b/>
                <w:bCs/>
                <w:sz w:val="22"/>
              </w:rPr>
              <w:t>Injection rate</w:t>
            </w:r>
          </w:p>
        </w:tc>
        <w:tc>
          <w:tcPr>
            <w:tcW w:w="2772" w:type="dxa"/>
          </w:tcPr>
          <w:p w14:paraId="00808928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3.0ml/s</w:t>
            </w:r>
          </w:p>
        </w:tc>
        <w:tc>
          <w:tcPr>
            <w:tcW w:w="2772" w:type="dxa"/>
          </w:tcPr>
          <w:p w14:paraId="5E1A864A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3.0ml/s</w:t>
            </w:r>
          </w:p>
        </w:tc>
      </w:tr>
      <w:tr w:rsidR="00072EBD" w:rsidRPr="005D5784" w14:paraId="7AB9B9A9" w14:textId="77777777" w:rsidTr="001C56F8">
        <w:tc>
          <w:tcPr>
            <w:tcW w:w="2762" w:type="dxa"/>
            <w:tcBorders>
              <w:bottom w:val="single" w:sz="4" w:space="0" w:color="auto"/>
            </w:tcBorders>
          </w:tcPr>
          <w:p w14:paraId="7712E49A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D5784">
              <w:rPr>
                <w:rFonts w:ascii="Times New Roman" w:hAnsi="Times New Roman" w:cs="Times New Roman"/>
                <w:b/>
                <w:bCs/>
                <w:sz w:val="22"/>
              </w:rPr>
              <w:t>Contrast medium dose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2AD8D438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80~90ml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5B522DF3" w14:textId="77777777" w:rsidR="00072EBD" w:rsidRPr="005D5784" w:rsidRDefault="00072EBD" w:rsidP="002D4A4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D5784">
              <w:rPr>
                <w:rFonts w:ascii="Times New Roman" w:hAnsi="Times New Roman" w:cs="Times New Roman"/>
                <w:sz w:val="22"/>
              </w:rPr>
              <w:t>80~90ml</w:t>
            </w:r>
          </w:p>
        </w:tc>
      </w:tr>
    </w:tbl>
    <w:p w14:paraId="50C9D509" w14:textId="6CF07C49" w:rsidR="00B145F1" w:rsidRDefault="00B145F1" w:rsidP="002D4A46">
      <w:pPr>
        <w:spacing w:line="360" w:lineRule="auto"/>
        <w:rPr>
          <w:rFonts w:ascii="Arial" w:hAnsi="Arial" w:cs="Arial"/>
          <w:sz w:val="22"/>
        </w:rPr>
      </w:pPr>
    </w:p>
    <w:p w14:paraId="60DCF899" w14:textId="77777777" w:rsidR="00B145F1" w:rsidRDefault="00B145F1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524FF56F" w14:textId="24FC6645" w:rsidR="00004BB5" w:rsidRDefault="00004BB5" w:rsidP="002D4A46">
      <w:pPr>
        <w:spacing w:line="360" w:lineRule="auto"/>
        <w:rPr>
          <w:rFonts w:ascii="Arial" w:hAnsi="Arial" w:cs="Arial"/>
          <w:sz w:val="22"/>
        </w:rPr>
      </w:pPr>
      <w:r w:rsidRPr="00004BB5">
        <w:rPr>
          <w:rFonts w:ascii="Arial" w:hAnsi="Arial" w:cs="Arial"/>
          <w:sz w:val="22"/>
        </w:rPr>
        <w:lastRenderedPageBreak/>
        <w:drawing>
          <wp:inline distT="0" distB="0" distL="0" distR="0" wp14:anchorId="01EC29DB" wp14:editId="3846EFC0">
            <wp:extent cx="5274310" cy="2966720"/>
            <wp:effectExtent l="0" t="0" r="0" b="5080"/>
            <wp:docPr id="714780919" name="图片 1" descr="日程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80919" name="图片 1" descr="日程表&#10;&#10;AI 生成的内容可能不正确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A7449" w14:textId="7ACA3130" w:rsidR="00004BB5" w:rsidRPr="00FD18AD" w:rsidRDefault="00FD18AD" w:rsidP="002D4A46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FD18AD">
        <w:rPr>
          <w:rFonts w:ascii="Times New Roman" w:hAnsi="Times New Roman" w:cs="Times New Roman"/>
          <w:b/>
          <w:bCs/>
          <w:color w:val="000000" w:themeColor="text1"/>
          <w:sz w:val="22"/>
        </w:rPr>
        <w:t>Figure S1.</w:t>
      </w:r>
      <w:r w:rsidRPr="00FD18AD">
        <w:rPr>
          <w:rFonts w:ascii="Times New Roman" w:hAnsi="Times New Roman" w:cs="Times New Roman"/>
          <w:color w:val="000000" w:themeColor="text1"/>
          <w:sz w:val="22"/>
        </w:rPr>
        <w:t xml:space="preserve"> Schematic representation of the CT image preprocessing and radiomic feature extraction pipeline. The raw images were initially resampled using the </w:t>
      </w:r>
      <w:proofErr w:type="spellStart"/>
      <w:r w:rsidRPr="00FD18AD">
        <w:rPr>
          <w:rFonts w:ascii="Times New Roman" w:hAnsi="Times New Roman" w:cs="Times New Roman"/>
          <w:color w:val="000000" w:themeColor="text1"/>
          <w:sz w:val="22"/>
        </w:rPr>
        <w:t>SimpleITK</w:t>
      </w:r>
      <w:proofErr w:type="spellEnd"/>
      <w:r w:rsidRPr="00FD18AD">
        <w:rPr>
          <w:rFonts w:ascii="Times New Roman" w:hAnsi="Times New Roman" w:cs="Times New Roman"/>
          <w:color w:val="000000" w:themeColor="text1"/>
          <w:sz w:val="22"/>
        </w:rPr>
        <w:t xml:space="preserve"> open-source toolkit to standardize voxel dimensions. Tumor subregion segmentation was subsequently performed through clustering analysis implemented with the Scikit-learn library. Radiomic features were then extracted from each distinct subregion using the </w:t>
      </w:r>
      <w:proofErr w:type="spellStart"/>
      <w:r w:rsidRPr="00FD18AD">
        <w:rPr>
          <w:rFonts w:ascii="Times New Roman" w:hAnsi="Times New Roman" w:cs="Times New Roman"/>
          <w:color w:val="000000" w:themeColor="text1"/>
          <w:sz w:val="22"/>
        </w:rPr>
        <w:t>PyRadiomics</w:t>
      </w:r>
      <w:proofErr w:type="spellEnd"/>
      <w:r w:rsidRPr="00FD18AD">
        <w:rPr>
          <w:rFonts w:ascii="Times New Roman" w:hAnsi="Times New Roman" w:cs="Times New Roman"/>
          <w:color w:val="000000" w:themeColor="text1"/>
          <w:sz w:val="22"/>
        </w:rPr>
        <w:t xml:space="preserve"> package, employing three filter configurations: original (unfiltered) images, Laplacian of Gaussian (</w:t>
      </w:r>
      <w:proofErr w:type="spellStart"/>
      <w:r w:rsidRPr="00FD18AD">
        <w:rPr>
          <w:rFonts w:ascii="Times New Roman" w:hAnsi="Times New Roman" w:cs="Times New Roman"/>
          <w:color w:val="000000" w:themeColor="text1"/>
          <w:sz w:val="22"/>
        </w:rPr>
        <w:t>LoG</w:t>
      </w:r>
      <w:proofErr w:type="spellEnd"/>
      <w:r w:rsidRPr="00FD18AD">
        <w:rPr>
          <w:rFonts w:ascii="Times New Roman" w:hAnsi="Times New Roman" w:cs="Times New Roman"/>
          <w:color w:val="000000" w:themeColor="text1"/>
          <w:sz w:val="22"/>
        </w:rPr>
        <w:t>) filters with σ values ranging from 1 to 5, and wavelet transforms incorporating eight scale combinations. The comprehensive feature set included 14 shape features, 18 first-order statistical features, 22 gray-level co-occurrence matrix (GLCM) features, 14 gray-level dependence matrix (GLDM) features, 16 gray-level size zone matrix (GLSZM) features, and 16 gray-level run length matrix (GLRLM) features.</w:t>
      </w:r>
    </w:p>
    <w:p w14:paraId="3E5E610B" w14:textId="77777777" w:rsidR="00FD18AD" w:rsidRDefault="00FD18AD" w:rsidP="002D4A46">
      <w:pPr>
        <w:spacing w:line="360" w:lineRule="auto"/>
        <w:rPr>
          <w:rFonts w:ascii="Arial" w:hAnsi="Arial" w:cs="Arial"/>
          <w:sz w:val="22"/>
        </w:rPr>
      </w:pPr>
    </w:p>
    <w:p w14:paraId="6526179F" w14:textId="144FBE9B" w:rsidR="006F5703" w:rsidRDefault="006F5703" w:rsidP="002D4A46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7A67E848" wp14:editId="6910CF75">
            <wp:extent cx="5274310" cy="2615565"/>
            <wp:effectExtent l="0" t="0" r="0" b="635"/>
            <wp:docPr id="3988097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809753" name="图片 39880975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1C769" w14:textId="6BCA54B4" w:rsidR="006F5703" w:rsidRPr="00B145F1" w:rsidRDefault="006F5703" w:rsidP="002D4A4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F5703">
        <w:rPr>
          <w:rFonts w:ascii="Times New Roman" w:hAnsi="Times New Roman" w:cs="Times New Roman"/>
          <w:b/>
          <w:bCs/>
          <w:color w:val="000000" w:themeColor="text1"/>
          <w:sz w:val="22"/>
        </w:rPr>
        <w:t>Figure S</w:t>
      </w:r>
      <w:r w:rsidR="00FD18AD">
        <w:rPr>
          <w:rFonts w:ascii="Times New Roman" w:hAnsi="Times New Roman" w:cs="Times New Roman"/>
          <w:b/>
          <w:bCs/>
          <w:color w:val="000000" w:themeColor="text1"/>
          <w:sz w:val="22"/>
        </w:rPr>
        <w:t>2</w:t>
      </w:r>
      <w:r w:rsidRPr="006F5703">
        <w:rPr>
          <w:rFonts w:ascii="Times New Roman" w:hAnsi="Times New Roman" w:cs="Times New Roman"/>
          <w:b/>
          <w:bCs/>
          <w:color w:val="000000" w:themeColor="text1"/>
          <w:sz w:val="22"/>
        </w:rPr>
        <w:t>.</w:t>
      </w:r>
      <w:r w:rsidR="00B145F1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="00B145F1" w:rsidRPr="00B145F1">
        <w:rPr>
          <w:rFonts w:ascii="Times New Roman" w:hAnsi="Times New Roman" w:cs="Times New Roman"/>
          <w:color w:val="000000" w:themeColor="text1"/>
          <w:sz w:val="22"/>
        </w:rPr>
        <w:t>Subgroup analysis was performed based on optimal clinicopathologic characteristics to determine whether differences between the two cohorts could affect the validation process. For the muscle</w:t>
      </w:r>
      <w:r w:rsidR="00B145F1" w:rsidRPr="00B145F1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B145F1" w:rsidRPr="00B145F1">
        <w:rPr>
          <w:rFonts w:ascii="Times New Roman" w:hAnsi="Times New Roman" w:cs="Times New Roman"/>
          <w:color w:val="000000" w:themeColor="text1"/>
          <w:sz w:val="22"/>
        </w:rPr>
        <w:t>invasive task, the most relevant clinicopathologic variables were CK20, GATA3, hematuria, and stalk. For the AJCC task, the most relevant clinicopathologic variables were age, lymphocytes, GATA3, hematuria, proteinuria, and stalk.</w:t>
      </w:r>
    </w:p>
    <w:sectPr w:rsidR="006F5703" w:rsidRPr="00B145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D4EDB" w14:textId="77777777" w:rsidR="00A71ADB" w:rsidRDefault="00A71ADB" w:rsidP="008F61A6">
      <w:r>
        <w:separator/>
      </w:r>
    </w:p>
  </w:endnote>
  <w:endnote w:type="continuationSeparator" w:id="0">
    <w:p w14:paraId="299B4C0C" w14:textId="77777777" w:rsidR="00A71ADB" w:rsidRDefault="00A71ADB" w:rsidP="008F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E02A8" w14:textId="77777777" w:rsidR="00A71ADB" w:rsidRDefault="00A71ADB" w:rsidP="008F61A6">
      <w:r>
        <w:separator/>
      </w:r>
    </w:p>
  </w:footnote>
  <w:footnote w:type="continuationSeparator" w:id="0">
    <w:p w14:paraId="4D4BE3A1" w14:textId="77777777" w:rsidR="00A71ADB" w:rsidRDefault="00A71ADB" w:rsidP="008F6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BD"/>
    <w:rsid w:val="00004BB5"/>
    <w:rsid w:val="000277CF"/>
    <w:rsid w:val="00072EBD"/>
    <w:rsid w:val="002D4A46"/>
    <w:rsid w:val="005D5784"/>
    <w:rsid w:val="006F5703"/>
    <w:rsid w:val="007D6FCA"/>
    <w:rsid w:val="00802A72"/>
    <w:rsid w:val="00867247"/>
    <w:rsid w:val="008F61A6"/>
    <w:rsid w:val="00906AFD"/>
    <w:rsid w:val="00A71ADB"/>
    <w:rsid w:val="00B145F1"/>
    <w:rsid w:val="00B37B06"/>
    <w:rsid w:val="00BE4F04"/>
    <w:rsid w:val="00C322BF"/>
    <w:rsid w:val="00CC7557"/>
    <w:rsid w:val="00DD69E0"/>
    <w:rsid w:val="00DE1B85"/>
    <w:rsid w:val="00DF7A3E"/>
    <w:rsid w:val="00E05918"/>
    <w:rsid w:val="00ED0F2C"/>
    <w:rsid w:val="00F16C35"/>
    <w:rsid w:val="00F271C8"/>
    <w:rsid w:val="00FD18AD"/>
    <w:rsid w:val="00FD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13AAB"/>
  <w15:chartTrackingRefBased/>
  <w15:docId w15:val="{A8F478F2-8BEC-45E1-8AFF-A30B2058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E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2EB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F61A6"/>
    <w:pPr>
      <w:tabs>
        <w:tab w:val="center" w:pos="4513"/>
        <w:tab w:val="right" w:pos="9026"/>
      </w:tabs>
    </w:pPr>
  </w:style>
  <w:style w:type="character" w:customStyle="1" w:styleId="a5">
    <w:name w:val="页眉 字符"/>
    <w:basedOn w:val="a0"/>
    <w:link w:val="a4"/>
    <w:uiPriority w:val="99"/>
    <w:rsid w:val="008F61A6"/>
  </w:style>
  <w:style w:type="paragraph" w:styleId="a6">
    <w:name w:val="footer"/>
    <w:basedOn w:val="a"/>
    <w:link w:val="a7"/>
    <w:uiPriority w:val="99"/>
    <w:unhideWhenUsed/>
    <w:rsid w:val="008F61A6"/>
    <w:pPr>
      <w:tabs>
        <w:tab w:val="center" w:pos="4513"/>
        <w:tab w:val="right" w:pos="9026"/>
      </w:tabs>
    </w:pPr>
  </w:style>
  <w:style w:type="character" w:customStyle="1" w:styleId="a7">
    <w:name w:val="页脚 字符"/>
    <w:basedOn w:val="a0"/>
    <w:link w:val="a6"/>
    <w:uiPriority w:val="99"/>
    <w:rsid w:val="008F6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RUI</dc:creator>
  <cp:keywords/>
  <dc:description/>
  <cp:lastModifiedBy>WY</cp:lastModifiedBy>
  <cp:revision>6</cp:revision>
  <dcterms:created xsi:type="dcterms:W3CDTF">2024-05-17T16:44:00Z</dcterms:created>
  <dcterms:modified xsi:type="dcterms:W3CDTF">2025-05-13T09:12:00Z</dcterms:modified>
</cp:coreProperties>
</file>