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17C49AE" w14:textId="5C59C943" w:rsidR="00E37CD1" w:rsidRPr="007E5648" w:rsidRDefault="008A2EAE" w:rsidP="007E5648">
      <w:pPr>
        <w:pStyle w:val="1"/>
        <w:spacing w:line="480" w:lineRule="auto"/>
        <w:ind w:firstLineChars="0" w:firstLine="0"/>
        <w:rPr>
          <w:rFonts w:ascii="Times New Roman" w:hAnsi="Times New Roman"/>
          <w:b/>
          <w:bCs/>
          <w:sz w:val="24"/>
          <w:szCs w:val="24"/>
        </w:rPr>
      </w:pPr>
      <w:r>
        <w:rPr>
          <w:rFonts w:ascii="Times New Roman" w:hAnsi="Times New Roman"/>
          <w:b/>
          <w:bCs/>
          <w:sz w:val="24"/>
          <w:szCs w:val="24"/>
        </w:rPr>
        <w:t>Additional file</w:t>
      </w:r>
      <w:r w:rsidR="00DD2823">
        <w:rPr>
          <w:rFonts w:ascii="Times New Roman" w:hAnsi="Times New Roman"/>
          <w:b/>
          <w:bCs/>
          <w:sz w:val="24"/>
          <w:szCs w:val="24"/>
        </w:rPr>
        <w:t xml:space="preserve"> 1</w:t>
      </w:r>
      <w:r w:rsidR="008B57DE" w:rsidRPr="007E5648">
        <w:rPr>
          <w:rFonts w:ascii="Times New Roman" w:hAnsi="Times New Roman"/>
          <w:b/>
          <w:bCs/>
          <w:sz w:val="24"/>
          <w:szCs w:val="24"/>
        </w:rPr>
        <w:t xml:space="preserve">. </w:t>
      </w:r>
      <w:r w:rsidR="001B0381">
        <w:rPr>
          <w:rFonts w:ascii="Times New Roman" w:hAnsi="Times New Roman"/>
          <w:b/>
          <w:bCs/>
          <w:sz w:val="24"/>
          <w:szCs w:val="24"/>
        </w:rPr>
        <w:t>Supplementary</w:t>
      </w:r>
      <w:r w:rsidR="00E37CD1" w:rsidRPr="007E5648">
        <w:rPr>
          <w:rFonts w:ascii="Times New Roman" w:hAnsi="Times New Roman"/>
          <w:b/>
          <w:bCs/>
          <w:sz w:val="24"/>
          <w:szCs w:val="24"/>
        </w:rPr>
        <w:t xml:space="preserve"> Methods</w:t>
      </w:r>
    </w:p>
    <w:p w14:paraId="0883E989" w14:textId="1CE4D2EB" w:rsidR="00E37CD1" w:rsidRPr="007E5648" w:rsidRDefault="00E37CD1" w:rsidP="007E5648">
      <w:pPr>
        <w:pStyle w:val="1"/>
        <w:spacing w:line="480" w:lineRule="auto"/>
        <w:ind w:firstLineChars="0" w:firstLine="0"/>
        <w:rPr>
          <w:rFonts w:ascii="Times New Roman" w:hAnsi="Times New Roman"/>
          <w:b/>
          <w:bCs/>
          <w:sz w:val="24"/>
          <w:szCs w:val="24"/>
        </w:rPr>
      </w:pPr>
      <w:r w:rsidRPr="007E5648">
        <w:rPr>
          <w:rFonts w:ascii="Times New Roman" w:hAnsi="Times New Roman"/>
          <w:b/>
          <w:bCs/>
          <w:sz w:val="24"/>
          <w:szCs w:val="24"/>
        </w:rPr>
        <w:t>Serologic cytokines detection</w:t>
      </w:r>
    </w:p>
    <w:p w14:paraId="61574462" w14:textId="77777777" w:rsidR="001D3C41" w:rsidRDefault="00E37CD1" w:rsidP="001D3C41">
      <w:pPr>
        <w:pStyle w:val="1"/>
        <w:spacing w:line="480" w:lineRule="auto"/>
        <w:ind w:firstLine="480"/>
        <w:rPr>
          <w:rFonts w:ascii="Times New Roman" w:hAnsi="Times New Roman"/>
          <w:sz w:val="24"/>
          <w:szCs w:val="24"/>
        </w:rPr>
      </w:pPr>
      <w:r w:rsidRPr="007E5648">
        <w:rPr>
          <w:rFonts w:ascii="Times New Roman" w:hAnsi="Times New Roman"/>
          <w:sz w:val="24"/>
          <w:szCs w:val="24"/>
        </w:rPr>
        <w:t xml:space="preserve">Mice were anesthetized with isoflurane and their orbital venous blood were collected. The blood samples were centrifuged at 3000 rpm for 15 min to separate serum. Serum level of cytokines including IL-1β, IL-6, IL-4, IL-5, IL-10, IL-13, IL-17, TNF-α and INF-γ were detected with </w:t>
      </w:r>
      <w:proofErr w:type="spellStart"/>
      <w:r w:rsidRPr="007E5648">
        <w:rPr>
          <w:rFonts w:ascii="Times New Roman" w:hAnsi="Times New Roman"/>
          <w:sz w:val="24"/>
          <w:szCs w:val="24"/>
        </w:rPr>
        <w:t>liquichip</w:t>
      </w:r>
      <w:proofErr w:type="spellEnd"/>
      <w:r w:rsidRPr="007E5648">
        <w:rPr>
          <w:rFonts w:ascii="Times New Roman" w:hAnsi="Times New Roman"/>
          <w:sz w:val="24"/>
          <w:szCs w:val="24"/>
        </w:rPr>
        <w:t xml:space="preserve"> technique according to the manufacturer’s instructions (L138072, R&amp;D). Besides, the level of ICAM-1 was detected using ELISA kit (E-UNEL-H0066, </w:t>
      </w:r>
      <w:proofErr w:type="spellStart"/>
      <w:r w:rsidRPr="007E5648">
        <w:rPr>
          <w:rFonts w:ascii="Times New Roman" w:hAnsi="Times New Roman"/>
          <w:sz w:val="24"/>
          <w:szCs w:val="24"/>
        </w:rPr>
        <w:t>Elabscience</w:t>
      </w:r>
      <w:proofErr w:type="spellEnd"/>
      <w:r w:rsidRPr="007E5648">
        <w:rPr>
          <w:rFonts w:ascii="Times New Roman" w:hAnsi="Times New Roman"/>
          <w:sz w:val="24"/>
          <w:szCs w:val="24"/>
        </w:rPr>
        <w:t>), according to the manufacturer’s guidelines</w:t>
      </w:r>
    </w:p>
    <w:p w14:paraId="13625AE4" w14:textId="13348822" w:rsidR="00E37CD1" w:rsidRPr="001D3C41" w:rsidRDefault="00E37CD1" w:rsidP="001D3C41">
      <w:pPr>
        <w:pStyle w:val="1"/>
        <w:spacing w:line="480" w:lineRule="auto"/>
        <w:ind w:firstLineChars="0" w:firstLine="0"/>
        <w:rPr>
          <w:rFonts w:ascii="Times New Roman" w:hAnsi="Times New Roman"/>
          <w:sz w:val="24"/>
          <w:szCs w:val="24"/>
        </w:rPr>
      </w:pPr>
      <w:r w:rsidRPr="007E5648">
        <w:rPr>
          <w:rFonts w:ascii="Times New Roman" w:hAnsi="Times New Roman"/>
          <w:b/>
          <w:bCs/>
          <w:sz w:val="24"/>
          <w:szCs w:val="24"/>
        </w:rPr>
        <w:t>Histological Analysis</w:t>
      </w:r>
    </w:p>
    <w:p w14:paraId="3F45A942" w14:textId="77777777" w:rsidR="00E37CD1" w:rsidRPr="007E5648" w:rsidRDefault="00E37CD1" w:rsidP="007E5648">
      <w:pPr>
        <w:pStyle w:val="1"/>
        <w:spacing w:line="480" w:lineRule="auto"/>
        <w:ind w:firstLineChars="0"/>
        <w:rPr>
          <w:rFonts w:ascii="Times New Roman" w:hAnsi="Times New Roman"/>
          <w:sz w:val="24"/>
          <w:szCs w:val="24"/>
        </w:rPr>
      </w:pPr>
      <w:r w:rsidRPr="007E5648">
        <w:rPr>
          <w:rFonts w:ascii="Times New Roman" w:hAnsi="Times New Roman"/>
          <w:sz w:val="24"/>
          <w:szCs w:val="24"/>
        </w:rPr>
        <w:t>For hematoxylin–eosin (HE) staining, intestinal tissues were fixed in 4% (w/v) PFA and embedded in paraffin. Thereafter, 4-mm sections were cut and stained with HE.</w:t>
      </w:r>
    </w:p>
    <w:p w14:paraId="6E7B154F" w14:textId="77777777" w:rsidR="00E37CD1" w:rsidRPr="007E5648" w:rsidRDefault="00E37CD1" w:rsidP="007E5648">
      <w:pPr>
        <w:pStyle w:val="1"/>
        <w:spacing w:line="480" w:lineRule="auto"/>
        <w:ind w:firstLineChars="0"/>
        <w:rPr>
          <w:rFonts w:ascii="Times New Roman" w:hAnsi="Times New Roman"/>
          <w:sz w:val="24"/>
          <w:szCs w:val="24"/>
        </w:rPr>
      </w:pPr>
      <w:r w:rsidRPr="007E5648">
        <w:rPr>
          <w:rFonts w:ascii="Times New Roman" w:hAnsi="Times New Roman"/>
          <w:sz w:val="24"/>
          <w:szCs w:val="24"/>
        </w:rPr>
        <w:t xml:space="preserve">For goblet cell counting, the deparaffinized tissue sections were incubated in a 3% (v/v) glacial acetic acid solution for 3 min, in an alcian blue (AB) solution (G1207, </w:t>
      </w:r>
      <w:proofErr w:type="spellStart"/>
      <w:r w:rsidRPr="007E5648">
        <w:rPr>
          <w:rFonts w:ascii="Times New Roman" w:hAnsi="Times New Roman"/>
          <w:sz w:val="24"/>
          <w:szCs w:val="24"/>
        </w:rPr>
        <w:t>Servicebio</w:t>
      </w:r>
      <w:proofErr w:type="spellEnd"/>
      <w:r w:rsidRPr="007E5648">
        <w:rPr>
          <w:rFonts w:ascii="Times New Roman" w:hAnsi="Times New Roman"/>
          <w:sz w:val="24"/>
          <w:szCs w:val="24"/>
        </w:rPr>
        <w:t xml:space="preserve">) for 15 min, and then stained with Nuclear Fast Red for 5 min. </w:t>
      </w:r>
    </w:p>
    <w:p w14:paraId="43621FFA" w14:textId="77777777" w:rsidR="001D3C41" w:rsidRDefault="00E37CD1" w:rsidP="001D3C41">
      <w:pPr>
        <w:spacing w:line="480" w:lineRule="auto"/>
        <w:ind w:firstLine="420"/>
        <w:jc w:val="both"/>
        <w:rPr>
          <w:rFonts w:ascii="Times New Roman" w:hAnsi="Times New Roman" w:cs="Times New Roman"/>
          <w:sz w:val="24"/>
        </w:rPr>
      </w:pPr>
      <w:r w:rsidRPr="007E5648">
        <w:rPr>
          <w:rFonts w:ascii="Times New Roman" w:hAnsi="Times New Roman" w:cs="Times New Roman"/>
          <w:sz w:val="24"/>
        </w:rPr>
        <w:t xml:space="preserve">For immunofluorescence staining (IF), mice intestinal tissues were fixed for 24 h in 4% paraformaldehyde, dehydrated in 70%-100% ethanol, embedded in paraffin and sectioned at 5-μm thickness. Antigen retrieval was performed using tris-EDTA buffer in a microwave oven for 20 min, followed by blocking nonspecific binding with 5% BSA for 30 min. After blocking in 5% BSA, tissue sections were incubated with primary antibodies overnight at 4°C and then incubated with corresponding fluorescent-conjugated secondary antibodies for 30 min at 37°C. </w:t>
      </w:r>
      <w:proofErr w:type="spellStart"/>
      <w:r w:rsidRPr="007E5648">
        <w:rPr>
          <w:rFonts w:ascii="Times New Roman" w:hAnsi="Times New Roman" w:cs="Times New Roman"/>
          <w:sz w:val="24"/>
        </w:rPr>
        <w:t>Tunel</w:t>
      </w:r>
      <w:proofErr w:type="spellEnd"/>
      <w:r w:rsidRPr="007E5648">
        <w:rPr>
          <w:rFonts w:ascii="Times New Roman" w:hAnsi="Times New Roman" w:cs="Times New Roman"/>
          <w:sz w:val="24"/>
        </w:rPr>
        <w:t xml:space="preserve"> staining (G1502, </w:t>
      </w:r>
      <w:proofErr w:type="spellStart"/>
      <w:r w:rsidRPr="007E5648">
        <w:rPr>
          <w:rFonts w:ascii="Times New Roman" w:hAnsi="Times New Roman" w:cs="Times New Roman"/>
          <w:sz w:val="24"/>
        </w:rPr>
        <w:t>Servicebio</w:t>
      </w:r>
      <w:proofErr w:type="spellEnd"/>
      <w:r w:rsidRPr="007E5648">
        <w:rPr>
          <w:rFonts w:ascii="Times New Roman" w:hAnsi="Times New Roman" w:cs="Times New Roman"/>
          <w:sz w:val="24"/>
        </w:rPr>
        <w:t xml:space="preserve">) was performed according to the manufacturer's instructions. Finally, mounting medium </w:t>
      </w:r>
      <w:r w:rsidRPr="007E5648">
        <w:rPr>
          <w:rFonts w:ascii="Times New Roman" w:hAnsi="Times New Roman" w:cs="Times New Roman"/>
          <w:sz w:val="24"/>
        </w:rPr>
        <w:lastRenderedPageBreak/>
        <w:t>with DAPI</w:t>
      </w:r>
      <w:r w:rsidRPr="007E5648">
        <w:rPr>
          <w:rFonts w:ascii="Times New Roman" w:hAnsi="Times New Roman" w:cs="Times New Roman"/>
          <w:color w:val="FF0000"/>
          <w:sz w:val="24"/>
        </w:rPr>
        <w:t xml:space="preserve"> </w:t>
      </w:r>
      <w:r w:rsidRPr="007E5648">
        <w:rPr>
          <w:rFonts w:ascii="Times New Roman" w:hAnsi="Times New Roman" w:cs="Times New Roman"/>
          <w:sz w:val="24"/>
        </w:rPr>
        <w:t>was used for nuclear counterstaining.</w:t>
      </w:r>
    </w:p>
    <w:p w14:paraId="6712D938" w14:textId="38CD9F39" w:rsidR="00E37CD1" w:rsidRPr="007E5648" w:rsidRDefault="00E37CD1" w:rsidP="001D3C41">
      <w:pPr>
        <w:spacing w:line="480" w:lineRule="auto"/>
        <w:ind w:firstLine="420"/>
        <w:jc w:val="both"/>
        <w:rPr>
          <w:rFonts w:ascii="Times New Roman" w:hAnsi="Times New Roman" w:cs="Times New Roman"/>
          <w:sz w:val="24"/>
        </w:rPr>
      </w:pPr>
      <w:r w:rsidRPr="007E5648">
        <w:rPr>
          <w:rFonts w:ascii="Times New Roman" w:hAnsi="Times New Roman" w:cs="Times New Roman"/>
          <w:sz w:val="24"/>
        </w:rPr>
        <w:t xml:space="preserve">For Immunohistochemistry staining, the steps before secondary antibody incubation were identical to those of tissue IF. After incubation with primary antibodies, biotinylated secondary antibodies were used for subsequent incubation. Staining was visualized using 3,3′-diaminobenzidine substrates. </w:t>
      </w:r>
    </w:p>
    <w:p w14:paraId="5924337A" w14:textId="77777777" w:rsidR="00E37CD1" w:rsidRPr="007E5648" w:rsidRDefault="00E37CD1" w:rsidP="007E5648">
      <w:pPr>
        <w:spacing w:line="480" w:lineRule="auto"/>
        <w:ind w:firstLine="420"/>
        <w:jc w:val="both"/>
        <w:rPr>
          <w:rFonts w:ascii="Times New Roman" w:hAnsi="Times New Roman" w:cs="Times New Roman"/>
          <w:sz w:val="24"/>
        </w:rPr>
      </w:pPr>
      <w:r w:rsidRPr="007E5648">
        <w:rPr>
          <w:rFonts w:ascii="Times New Roman" w:hAnsi="Times New Roman" w:cs="Times New Roman"/>
          <w:sz w:val="24"/>
        </w:rPr>
        <w:t>Slides with different staining were observed with a fluorescence microscope (OLYYMPUS™ BX53P).</w:t>
      </w:r>
    </w:p>
    <w:p w14:paraId="5CD7C302" w14:textId="77777777" w:rsidR="00E37CD1" w:rsidRPr="007E5648" w:rsidRDefault="00E37CD1" w:rsidP="007E5648">
      <w:pPr>
        <w:spacing w:line="480" w:lineRule="auto"/>
        <w:jc w:val="both"/>
        <w:rPr>
          <w:rFonts w:ascii="Times New Roman" w:hAnsi="Times New Roman" w:cs="Times New Roman"/>
          <w:b/>
          <w:bCs/>
          <w:sz w:val="24"/>
        </w:rPr>
      </w:pPr>
      <w:r w:rsidRPr="007E5648">
        <w:rPr>
          <w:rFonts w:ascii="Times New Roman" w:hAnsi="Times New Roman" w:cs="Times New Roman"/>
          <w:b/>
          <w:bCs/>
          <w:sz w:val="24"/>
        </w:rPr>
        <w:t>Western blot</w:t>
      </w:r>
    </w:p>
    <w:p w14:paraId="5C610EF3" w14:textId="77777777" w:rsidR="00E37CD1" w:rsidRPr="007E5648" w:rsidRDefault="00E37CD1" w:rsidP="007E5648">
      <w:pPr>
        <w:adjustRightInd w:val="0"/>
        <w:snapToGrid w:val="0"/>
        <w:spacing w:line="480" w:lineRule="auto"/>
        <w:ind w:firstLine="420"/>
        <w:jc w:val="both"/>
        <w:rPr>
          <w:rFonts w:ascii="Times New Roman" w:hAnsi="Times New Roman" w:cs="Times New Roman"/>
          <w:sz w:val="24"/>
        </w:rPr>
      </w:pPr>
      <w:r w:rsidRPr="007E5648">
        <w:rPr>
          <w:rFonts w:ascii="Times New Roman" w:hAnsi="Times New Roman" w:cs="Times New Roman"/>
          <w:sz w:val="24"/>
        </w:rPr>
        <w:t xml:space="preserve">Proteins were isolated by RIPA buffer containing 1 mM PMSF on ice, and their concentrations were determined using a BCA protein assay kit (P0009, </w:t>
      </w:r>
      <w:proofErr w:type="spellStart"/>
      <w:r w:rsidRPr="007E5648">
        <w:rPr>
          <w:rFonts w:ascii="Times New Roman" w:hAnsi="Times New Roman" w:cs="Times New Roman"/>
          <w:sz w:val="24"/>
        </w:rPr>
        <w:t>Beyotime</w:t>
      </w:r>
      <w:proofErr w:type="spellEnd"/>
      <w:r w:rsidRPr="007E5648">
        <w:rPr>
          <w:rFonts w:ascii="Times New Roman" w:hAnsi="Times New Roman" w:cs="Times New Roman"/>
          <w:sz w:val="24"/>
        </w:rPr>
        <w:t xml:space="preserve">). After adding loading buffer and denaturing at 95 °C, equal amounts of protein samples were separated in SDS-PAGE gels and transferred to PVDF membranes. The membrane was blocked with 5% nonfat milk in TBST buffer for 1 h at room temperature, incubated with appropriate primary antibodies overnight at 4 °C and then with HRP-conjugated secondary antibody for 1h. Protein bands were detected on a </w:t>
      </w:r>
      <w:proofErr w:type="spellStart"/>
      <w:r w:rsidRPr="007E5648">
        <w:rPr>
          <w:rFonts w:ascii="Times New Roman" w:hAnsi="Times New Roman" w:cs="Times New Roman"/>
          <w:sz w:val="24"/>
        </w:rPr>
        <w:t>ChemiDoc</w:t>
      </w:r>
      <w:proofErr w:type="spellEnd"/>
      <w:r w:rsidRPr="007E5648">
        <w:rPr>
          <w:rFonts w:ascii="Times New Roman" w:hAnsi="Times New Roman" w:cs="Times New Roman"/>
          <w:sz w:val="24"/>
        </w:rPr>
        <w:t xml:space="preserve">-It system using an Immobilon® ECL kit (S36968, Invitrogen). Each test was performed in triplicate. Densitometry analysis was performed using Image J software. </w:t>
      </w:r>
    </w:p>
    <w:p w14:paraId="7BD5DFC7" w14:textId="6D3814CC" w:rsidR="00E37CD1" w:rsidRPr="007E5648" w:rsidRDefault="00E37CD1" w:rsidP="007E5648">
      <w:pPr>
        <w:adjustRightInd w:val="0"/>
        <w:snapToGrid w:val="0"/>
        <w:spacing w:line="480" w:lineRule="auto"/>
        <w:jc w:val="both"/>
        <w:rPr>
          <w:rFonts w:ascii="Times New Roman" w:hAnsi="Times New Roman" w:cs="Times New Roman"/>
          <w:b/>
          <w:bCs/>
          <w:sz w:val="24"/>
        </w:rPr>
      </w:pPr>
      <w:r w:rsidRPr="007E5648">
        <w:rPr>
          <w:rFonts w:ascii="Times New Roman" w:hAnsi="Times New Roman" w:cs="Times New Roman"/>
          <w:b/>
          <w:bCs/>
          <w:sz w:val="24"/>
        </w:rPr>
        <w:t>Transmission electron microscopy</w:t>
      </w:r>
      <w:r w:rsidR="003E1F53">
        <w:rPr>
          <w:rFonts w:ascii="Times New Roman" w:hAnsi="Times New Roman" w:cs="Times New Roman" w:hint="eastAsia"/>
          <w:b/>
          <w:bCs/>
          <w:sz w:val="24"/>
        </w:rPr>
        <w:t xml:space="preserve"> (TEM)</w:t>
      </w:r>
    </w:p>
    <w:p w14:paraId="434EB6DC" w14:textId="77777777" w:rsidR="001D3C41" w:rsidRDefault="00E37CD1" w:rsidP="001D3C41">
      <w:pPr>
        <w:adjustRightInd w:val="0"/>
        <w:snapToGrid w:val="0"/>
        <w:spacing w:line="480" w:lineRule="auto"/>
        <w:ind w:firstLine="420"/>
        <w:jc w:val="both"/>
        <w:rPr>
          <w:rFonts w:ascii="Times New Roman" w:hAnsi="Times New Roman" w:cs="Times New Roman"/>
          <w:sz w:val="24"/>
        </w:rPr>
      </w:pPr>
      <w:r w:rsidRPr="007E5648">
        <w:rPr>
          <w:rFonts w:ascii="Times New Roman" w:hAnsi="Times New Roman" w:cs="Times New Roman"/>
          <w:sz w:val="24"/>
        </w:rPr>
        <w:t xml:space="preserve">Mice ileal tissue and intestinal organoids were treated with precooled glutaraldehyde (2.5%) for 1h, and then fixed in osmium tetroxide for embedding in </w:t>
      </w:r>
      <w:proofErr w:type="spellStart"/>
      <w:r w:rsidRPr="007E5648">
        <w:rPr>
          <w:rFonts w:ascii="Times New Roman" w:hAnsi="Times New Roman" w:cs="Times New Roman"/>
          <w:sz w:val="24"/>
        </w:rPr>
        <w:t>Spurr's</w:t>
      </w:r>
      <w:proofErr w:type="spellEnd"/>
      <w:r w:rsidRPr="007E5648">
        <w:rPr>
          <w:rFonts w:ascii="Times New Roman" w:hAnsi="Times New Roman" w:cs="Times New Roman"/>
          <w:sz w:val="24"/>
        </w:rPr>
        <w:t xml:space="preserve"> </w:t>
      </w:r>
      <w:proofErr w:type="spellStart"/>
      <w:r w:rsidRPr="007E5648">
        <w:rPr>
          <w:rFonts w:ascii="Times New Roman" w:hAnsi="Times New Roman" w:cs="Times New Roman"/>
          <w:sz w:val="24"/>
        </w:rPr>
        <w:t>Epon</w:t>
      </w:r>
      <w:proofErr w:type="spellEnd"/>
      <w:r w:rsidRPr="007E5648">
        <w:rPr>
          <w:rFonts w:ascii="Times New Roman" w:hAnsi="Times New Roman" w:cs="Times New Roman"/>
          <w:sz w:val="24"/>
        </w:rPr>
        <w:t>. The ultrathin sections were obtained to observe mitochondrial structure and organoids ultrastructure respectively using a Hitachi 7500 electron microscope.</w:t>
      </w:r>
    </w:p>
    <w:p w14:paraId="5947E560" w14:textId="77777777" w:rsidR="001D3C41" w:rsidRDefault="00E37CD1" w:rsidP="001D3C41">
      <w:pPr>
        <w:adjustRightInd w:val="0"/>
        <w:snapToGrid w:val="0"/>
        <w:spacing w:line="480" w:lineRule="auto"/>
        <w:jc w:val="both"/>
        <w:rPr>
          <w:rFonts w:ascii="Times New Roman" w:hAnsi="Times New Roman" w:cs="Times New Roman"/>
          <w:b/>
          <w:bCs/>
          <w:sz w:val="24"/>
        </w:rPr>
      </w:pPr>
      <w:r w:rsidRPr="007E5648">
        <w:rPr>
          <w:rFonts w:ascii="Times New Roman" w:hAnsi="Times New Roman" w:cs="Times New Roman"/>
          <w:b/>
          <w:bCs/>
          <w:sz w:val="24"/>
        </w:rPr>
        <w:lastRenderedPageBreak/>
        <w:t>Scanning electronic microscope (SEM)</w:t>
      </w:r>
    </w:p>
    <w:p w14:paraId="7AFFF53F" w14:textId="77777777" w:rsidR="001D3C41" w:rsidRDefault="00E37CD1" w:rsidP="001D3C41">
      <w:pPr>
        <w:adjustRightInd w:val="0"/>
        <w:snapToGrid w:val="0"/>
        <w:spacing w:line="480" w:lineRule="auto"/>
        <w:ind w:firstLine="420"/>
        <w:jc w:val="both"/>
        <w:rPr>
          <w:rFonts w:ascii="Times New Roman" w:eastAsia="宋体" w:hAnsi="Times New Roman"/>
          <w:kern w:val="0"/>
          <w:sz w:val="24"/>
        </w:rPr>
      </w:pPr>
      <w:r w:rsidRPr="007E5648">
        <w:rPr>
          <w:rFonts w:ascii="Times New Roman" w:eastAsia="宋体" w:hAnsi="Times New Roman"/>
          <w:kern w:val="0"/>
          <w:sz w:val="24"/>
        </w:rPr>
        <w:t>SEM was applied to examine the cell surface structure of IECs under different conditions. The treated specimens were fixed in 2.5% glutaraldehyde overnight at 4℃, rinsed with 0.1 M phosphate-buffered saline for glutaraldehyde removal, and air-dried. Then, they were dehydrated in a series of alcohol solutions (30%, 50%, 70%, 80%, 95%, 100%; 5 minutes and 3 times for each), dried with critical point drier, sputter-coated with a layer of gold, and observed under a scanning electron microscope (S-3000 N, Hitachi Ltd) at different magnification.</w:t>
      </w:r>
    </w:p>
    <w:p w14:paraId="25F180D9" w14:textId="77777777" w:rsidR="001D3C41" w:rsidRDefault="00E37CD1" w:rsidP="001D3C41">
      <w:pPr>
        <w:adjustRightInd w:val="0"/>
        <w:snapToGrid w:val="0"/>
        <w:spacing w:line="480" w:lineRule="auto"/>
        <w:jc w:val="both"/>
        <w:rPr>
          <w:rFonts w:ascii="Times New Roman" w:hAnsi="Times New Roman" w:cs="Times New Roman"/>
          <w:b/>
          <w:bCs/>
          <w:sz w:val="24"/>
        </w:rPr>
      </w:pPr>
      <w:r w:rsidRPr="007E5648">
        <w:rPr>
          <w:rFonts w:ascii="Times New Roman" w:hAnsi="Times New Roman" w:cs="Times New Roman"/>
          <w:b/>
          <w:bCs/>
          <w:sz w:val="24"/>
        </w:rPr>
        <w:t>ATP concentration determination</w:t>
      </w:r>
    </w:p>
    <w:p w14:paraId="5822F9E2" w14:textId="61B4C528" w:rsidR="001D3C41" w:rsidRDefault="00E37CD1" w:rsidP="001D3C41">
      <w:pPr>
        <w:adjustRightInd w:val="0"/>
        <w:snapToGrid w:val="0"/>
        <w:spacing w:line="480" w:lineRule="auto"/>
        <w:ind w:firstLine="420"/>
        <w:jc w:val="both"/>
        <w:rPr>
          <w:rFonts w:ascii="Times New Roman" w:hAnsi="Times New Roman"/>
          <w:sz w:val="24"/>
        </w:rPr>
      </w:pPr>
      <w:r w:rsidRPr="007E5648">
        <w:rPr>
          <w:rFonts w:ascii="Times New Roman" w:hAnsi="Times New Roman"/>
          <w:sz w:val="24"/>
        </w:rPr>
        <w:t xml:space="preserve">Mice ileal tissue was cut into 3mm segment. The homogenate of ileal tissue was then centrifuged, and the supernatant was obtained for determining ATP level. Detecting solution (S0027, </w:t>
      </w:r>
      <w:proofErr w:type="spellStart"/>
      <w:r w:rsidRPr="007E5648">
        <w:rPr>
          <w:rFonts w:ascii="Times New Roman" w:hAnsi="Times New Roman"/>
          <w:sz w:val="24"/>
        </w:rPr>
        <w:t>Beyotime</w:t>
      </w:r>
      <w:proofErr w:type="spellEnd"/>
      <w:r w:rsidRPr="007E5648">
        <w:rPr>
          <w:rFonts w:ascii="Times New Roman" w:hAnsi="Times New Roman"/>
          <w:sz w:val="24"/>
        </w:rPr>
        <w:t xml:space="preserve">) was added to a 96-well plate and incubated at room temperature for 5 min. The supernatants were then added to the wells and mixed fast before determining the luminescence signals using the Microplate reader. Total ATP levels were calculated </w:t>
      </w:r>
      <w:r w:rsidR="00435BB0" w:rsidRPr="007E5648">
        <w:rPr>
          <w:rFonts w:ascii="Times New Roman" w:hAnsi="Times New Roman"/>
          <w:sz w:val="24"/>
        </w:rPr>
        <w:t>based on</w:t>
      </w:r>
      <w:r w:rsidRPr="007E5648">
        <w:rPr>
          <w:rFonts w:ascii="Times New Roman" w:hAnsi="Times New Roman"/>
          <w:sz w:val="24"/>
        </w:rPr>
        <w:t xml:space="preserve"> the luminescence signals accordingly. </w:t>
      </w:r>
      <w:r w:rsidR="00435BB0" w:rsidRPr="007E5648">
        <w:rPr>
          <w:rFonts w:ascii="Times New Roman" w:hAnsi="Times New Roman"/>
          <w:sz w:val="24"/>
        </w:rPr>
        <w:t>Results</w:t>
      </w:r>
      <w:r w:rsidRPr="007E5648">
        <w:rPr>
          <w:rFonts w:ascii="Times New Roman" w:hAnsi="Times New Roman"/>
          <w:sz w:val="24"/>
        </w:rPr>
        <w:t xml:space="preserve"> were adjusted to total protein concentrations detected by BCA assay.</w:t>
      </w:r>
    </w:p>
    <w:p w14:paraId="67046E1E" w14:textId="77777777" w:rsidR="001D3C41" w:rsidRDefault="00E37CD1" w:rsidP="001D3C41">
      <w:pPr>
        <w:adjustRightInd w:val="0"/>
        <w:snapToGrid w:val="0"/>
        <w:spacing w:line="480" w:lineRule="auto"/>
        <w:jc w:val="both"/>
        <w:rPr>
          <w:rFonts w:ascii="Times New Roman" w:hAnsi="Times New Roman" w:cs="Times New Roman"/>
          <w:sz w:val="24"/>
        </w:rPr>
      </w:pPr>
      <w:r w:rsidRPr="007E5648">
        <w:rPr>
          <w:rFonts w:ascii="Times New Roman" w:hAnsi="Times New Roman"/>
          <w:b/>
          <w:bCs/>
          <w:sz w:val="24"/>
        </w:rPr>
        <w:t>Cell Counting Kit-8 (CCK-8) Assay</w:t>
      </w:r>
    </w:p>
    <w:p w14:paraId="3289E9A6" w14:textId="77777777" w:rsidR="001D3C41" w:rsidRDefault="00E37CD1" w:rsidP="001D3C41">
      <w:pPr>
        <w:adjustRightInd w:val="0"/>
        <w:snapToGrid w:val="0"/>
        <w:spacing w:line="480" w:lineRule="auto"/>
        <w:ind w:firstLine="420"/>
        <w:jc w:val="both"/>
        <w:rPr>
          <w:rFonts w:ascii="Times New Roman" w:hAnsi="Times New Roman" w:cs="Times New Roman"/>
          <w:sz w:val="24"/>
        </w:rPr>
      </w:pPr>
      <w:r w:rsidRPr="007E5648">
        <w:rPr>
          <w:rFonts w:ascii="Times New Roman" w:hAnsi="Times New Roman" w:cs="Times New Roman"/>
          <w:sz w:val="24"/>
        </w:rPr>
        <w:t xml:space="preserve">CCK-8 assay (K1018, </w:t>
      </w:r>
      <w:proofErr w:type="spellStart"/>
      <w:r w:rsidRPr="007E5648">
        <w:rPr>
          <w:rFonts w:ascii="Times New Roman" w:hAnsi="Times New Roman" w:cs="Times New Roman"/>
          <w:sz w:val="24"/>
        </w:rPr>
        <w:t>APExBIO</w:t>
      </w:r>
      <w:proofErr w:type="spellEnd"/>
      <w:r w:rsidRPr="007E5648">
        <w:rPr>
          <w:rFonts w:ascii="Times New Roman" w:hAnsi="Times New Roman" w:cs="Times New Roman"/>
          <w:sz w:val="24"/>
        </w:rPr>
        <w:t>) was applied for in vitro assessment of IEC-6 cells viability. IEC-6 cells (5 × 10</w:t>
      </w:r>
      <w:r w:rsidRPr="007E5648">
        <w:rPr>
          <w:rFonts w:ascii="Times New Roman" w:hAnsi="Times New Roman" w:cs="Times New Roman"/>
          <w:sz w:val="24"/>
          <w:vertAlign w:val="superscript"/>
        </w:rPr>
        <w:t>3</w:t>
      </w:r>
      <w:r w:rsidRPr="007E5648">
        <w:rPr>
          <w:rFonts w:ascii="Times New Roman" w:hAnsi="Times New Roman" w:cs="Times New Roman"/>
          <w:sz w:val="24"/>
        </w:rPr>
        <w:t xml:space="preserve"> cells/well) were seeded into 96-well plate. Cells in different experimental groups were incubated with DMEM with 10% FBS (100μL/well) for 24h at first to fully attaching to the wall. Fresh medium with different reagents were used to replace the culture medium in different groups. The whole incubation time would last for 3 days. Once the treatment is completed, cells in each well will be incubated with fresh DMEM containing 10% CCK-8 reagent for 2h under same </w:t>
      </w:r>
      <w:r w:rsidRPr="007E5648">
        <w:rPr>
          <w:rFonts w:ascii="Times New Roman" w:hAnsi="Times New Roman" w:cs="Times New Roman"/>
          <w:sz w:val="24"/>
        </w:rPr>
        <w:lastRenderedPageBreak/>
        <w:t xml:space="preserve">incubating conditions. The absorbance of each group at λ = 450nm was measured by microplate reader (Molecular Devices™ </w:t>
      </w:r>
      <w:proofErr w:type="spellStart"/>
      <w:r w:rsidRPr="007E5648">
        <w:rPr>
          <w:rFonts w:ascii="Times New Roman" w:hAnsi="Times New Roman" w:cs="Times New Roman"/>
          <w:sz w:val="24"/>
        </w:rPr>
        <w:t>SpectraMax</w:t>
      </w:r>
      <w:proofErr w:type="spellEnd"/>
      <w:r w:rsidRPr="007E5648">
        <w:rPr>
          <w:rFonts w:ascii="Times New Roman" w:hAnsi="Times New Roman" w:cs="Times New Roman"/>
          <w:sz w:val="24"/>
        </w:rPr>
        <w:t xml:space="preserve"> M4). </w:t>
      </w:r>
    </w:p>
    <w:p w14:paraId="4D3BDADF" w14:textId="77777777" w:rsidR="001D3C41" w:rsidRDefault="00E37CD1" w:rsidP="001D3C41">
      <w:pPr>
        <w:adjustRightInd w:val="0"/>
        <w:snapToGrid w:val="0"/>
        <w:spacing w:line="480" w:lineRule="auto"/>
        <w:jc w:val="both"/>
        <w:rPr>
          <w:rFonts w:ascii="Times New Roman" w:hAnsi="Times New Roman"/>
          <w:b/>
          <w:bCs/>
          <w:sz w:val="24"/>
        </w:rPr>
      </w:pPr>
      <w:r w:rsidRPr="007E5648">
        <w:rPr>
          <w:rFonts w:ascii="Times New Roman" w:hAnsi="Times New Roman"/>
          <w:b/>
          <w:bCs/>
          <w:sz w:val="24"/>
        </w:rPr>
        <w:t xml:space="preserve">Cell Permeability </w:t>
      </w:r>
    </w:p>
    <w:p w14:paraId="2E1E446A" w14:textId="7A6DCE72" w:rsidR="001D3C41" w:rsidRDefault="00E37CD1" w:rsidP="001D3C41">
      <w:pPr>
        <w:adjustRightInd w:val="0"/>
        <w:snapToGrid w:val="0"/>
        <w:spacing w:line="480" w:lineRule="auto"/>
        <w:ind w:firstLine="420"/>
        <w:jc w:val="both"/>
        <w:rPr>
          <w:rFonts w:ascii="Times New Roman" w:hAnsi="Times New Roman" w:cs="Times New Roman"/>
          <w:sz w:val="24"/>
        </w:rPr>
      </w:pPr>
      <w:r w:rsidRPr="007E5648">
        <w:rPr>
          <w:rFonts w:ascii="Times New Roman" w:hAnsi="Times New Roman"/>
          <w:sz w:val="24"/>
        </w:rPr>
        <w:t xml:space="preserve">Trans-epithelial elective resistance (TEER) was used to test cell permeability in IEC-6 cell line under </w:t>
      </w:r>
      <w:r w:rsidRPr="007E5648">
        <w:rPr>
          <w:rFonts w:ascii="Times New Roman" w:hAnsi="Times New Roman"/>
          <w:sz w:val="24"/>
          <w:lang w:eastAsia="zh-Hans"/>
        </w:rPr>
        <w:t>different</w:t>
      </w:r>
      <w:r w:rsidRPr="007E5648">
        <w:rPr>
          <w:rFonts w:ascii="Times New Roman" w:hAnsi="Times New Roman"/>
          <w:sz w:val="24"/>
        </w:rPr>
        <w:t xml:space="preserve"> conditions as previously </w:t>
      </w:r>
      <w:proofErr w:type="gramStart"/>
      <w:r w:rsidRPr="007E5648">
        <w:rPr>
          <w:rFonts w:ascii="Times New Roman" w:hAnsi="Times New Roman"/>
          <w:sz w:val="24"/>
        </w:rPr>
        <w:t>described</w:t>
      </w:r>
      <w:r w:rsidR="00C31F17">
        <w:rPr>
          <w:rFonts w:ascii="Times New Roman" w:hAnsi="Times New Roman"/>
          <w:sz w:val="24"/>
        </w:rPr>
        <w:t>[</w:t>
      </w:r>
      <w:proofErr w:type="gramEnd"/>
      <w:r w:rsidR="00C31F17">
        <w:rPr>
          <w:rFonts w:ascii="Times New Roman" w:hAnsi="Times New Roman"/>
          <w:sz w:val="24"/>
        </w:rPr>
        <w:t>31]</w:t>
      </w:r>
      <w:r w:rsidRPr="007E5648">
        <w:rPr>
          <w:rFonts w:ascii="Times New Roman" w:hAnsi="Times New Roman"/>
          <w:sz w:val="24"/>
        </w:rPr>
        <w:t>. Briefly, cells (2 x 10</w:t>
      </w:r>
      <w:r w:rsidRPr="007E5648">
        <w:rPr>
          <w:rFonts w:ascii="Times New Roman" w:hAnsi="Times New Roman"/>
          <w:sz w:val="24"/>
          <w:vertAlign w:val="superscript"/>
        </w:rPr>
        <w:t>4</w:t>
      </w:r>
      <w:r w:rsidRPr="007E5648">
        <w:rPr>
          <w:rFonts w:ascii="Times New Roman" w:hAnsi="Times New Roman"/>
          <w:sz w:val="24"/>
        </w:rPr>
        <w:t xml:space="preserve"> cells/well) were seeded into a </w:t>
      </w:r>
      <w:proofErr w:type="spellStart"/>
      <w:r w:rsidRPr="007E5648">
        <w:rPr>
          <w:rFonts w:ascii="Times New Roman" w:hAnsi="Times New Roman"/>
          <w:sz w:val="24"/>
        </w:rPr>
        <w:t>transwell</w:t>
      </w:r>
      <w:proofErr w:type="spellEnd"/>
      <w:r w:rsidRPr="007E5648">
        <w:rPr>
          <w:rFonts w:ascii="Times New Roman" w:hAnsi="Times New Roman"/>
          <w:sz w:val="24"/>
        </w:rPr>
        <w:t xml:space="preserve"> membrane insert (6.5mm diameter, 0.4μm pore size, polyester, Corning). The cells grew until the TEER value reached 50 Ω·cm</w:t>
      </w:r>
      <w:r w:rsidRPr="007E5648">
        <w:rPr>
          <w:rFonts w:ascii="Times New Roman" w:hAnsi="Times New Roman"/>
          <w:sz w:val="24"/>
          <w:vertAlign w:val="superscript"/>
        </w:rPr>
        <w:t xml:space="preserve">2 </w:t>
      </w:r>
      <w:r w:rsidRPr="007E5648">
        <w:rPr>
          <w:rFonts w:ascii="Times New Roman" w:hAnsi="Times New Roman"/>
          <w:sz w:val="24"/>
        </w:rPr>
        <w:t xml:space="preserve">and were treated in serum-free medium for 6h. Then, 5-FU (5μmol/L) were added into the apical </w:t>
      </w:r>
      <w:proofErr w:type="spellStart"/>
      <w:r w:rsidRPr="007E5648">
        <w:rPr>
          <w:rFonts w:ascii="Times New Roman" w:hAnsi="Times New Roman"/>
          <w:sz w:val="24"/>
        </w:rPr>
        <w:t>transwell</w:t>
      </w:r>
      <w:proofErr w:type="spellEnd"/>
      <w:r w:rsidRPr="007E5648">
        <w:rPr>
          <w:rFonts w:ascii="Times New Roman" w:hAnsi="Times New Roman"/>
          <w:sz w:val="24"/>
        </w:rPr>
        <w:t xml:space="preserve"> compartment for 24h, and further incubated with SK10 for another 24h. The incubation medium for each experimental group was DMEM medium with 10% FBS. TEER in different experimental conditions were calculated by the following formula: Unit Area Resistance (Ω·cm</w:t>
      </w:r>
      <w:r w:rsidRPr="007E5648">
        <w:rPr>
          <w:rFonts w:ascii="Times New Roman" w:hAnsi="Times New Roman"/>
          <w:sz w:val="24"/>
          <w:vertAlign w:val="superscript"/>
        </w:rPr>
        <w:t>2</w:t>
      </w:r>
      <w:r w:rsidRPr="007E5648">
        <w:rPr>
          <w:rFonts w:ascii="Times New Roman" w:hAnsi="Times New Roman"/>
          <w:sz w:val="24"/>
        </w:rPr>
        <w:t>) = Resistance (Ω) x Effective membrane Area(cm</w:t>
      </w:r>
      <w:r w:rsidRPr="007E5648">
        <w:rPr>
          <w:rFonts w:ascii="Times New Roman" w:hAnsi="Times New Roman"/>
          <w:sz w:val="24"/>
          <w:vertAlign w:val="superscript"/>
        </w:rPr>
        <w:t>2</w:t>
      </w:r>
      <w:r w:rsidRPr="007E5648">
        <w:rPr>
          <w:rFonts w:ascii="Times New Roman" w:hAnsi="Times New Roman"/>
          <w:sz w:val="24"/>
        </w:rPr>
        <w:t>). For 24-well inserts, the effective membrane area is 0.33 cm</w:t>
      </w:r>
      <w:r w:rsidRPr="007E5648">
        <w:rPr>
          <w:rFonts w:ascii="Times New Roman" w:hAnsi="Times New Roman"/>
          <w:sz w:val="24"/>
          <w:vertAlign w:val="superscript"/>
        </w:rPr>
        <w:t>2</w:t>
      </w:r>
      <w:r w:rsidRPr="007E5648">
        <w:rPr>
          <w:rFonts w:ascii="Times New Roman" w:hAnsi="Times New Roman"/>
          <w:sz w:val="24"/>
        </w:rPr>
        <w:t>.</w:t>
      </w:r>
    </w:p>
    <w:p w14:paraId="45EBA091" w14:textId="77777777" w:rsidR="001D3C41" w:rsidRDefault="00E37CD1" w:rsidP="001D3C41">
      <w:pPr>
        <w:adjustRightInd w:val="0"/>
        <w:snapToGrid w:val="0"/>
        <w:spacing w:line="480" w:lineRule="auto"/>
        <w:jc w:val="both"/>
        <w:rPr>
          <w:rFonts w:ascii="Times New Roman" w:hAnsi="Times New Roman" w:cs="Times New Roman"/>
          <w:sz w:val="24"/>
        </w:rPr>
      </w:pPr>
      <w:r w:rsidRPr="007E5648">
        <w:rPr>
          <w:rFonts w:ascii="Times New Roman" w:hAnsi="Times New Roman" w:cs="Times New Roman"/>
          <w:b/>
          <w:bCs/>
          <w:sz w:val="24"/>
        </w:rPr>
        <w:t>Apoptosis assay</w:t>
      </w:r>
    </w:p>
    <w:p w14:paraId="71B77B5C" w14:textId="77777777" w:rsidR="001D3C41" w:rsidRDefault="00E37CD1" w:rsidP="001D3C41">
      <w:pPr>
        <w:adjustRightInd w:val="0"/>
        <w:snapToGrid w:val="0"/>
        <w:spacing w:line="480" w:lineRule="auto"/>
        <w:ind w:firstLine="420"/>
        <w:jc w:val="both"/>
        <w:rPr>
          <w:rFonts w:ascii="Times New Roman" w:hAnsi="Times New Roman" w:cs="Times New Roman"/>
          <w:sz w:val="24"/>
        </w:rPr>
      </w:pPr>
      <w:r w:rsidRPr="007E5648">
        <w:rPr>
          <w:rFonts w:ascii="Times New Roman" w:hAnsi="Times New Roman" w:cs="Times New Roman"/>
          <w:sz w:val="24"/>
        </w:rPr>
        <w:t xml:space="preserve">Propidium iodide (PI) and Annexin V-FITC-flow cytometry assay (556547, BD Pharmingen) was used to detect the apoptosis in the cells. Cells were treated with different conditions and harvested in PBS. Then the cells were re-suspended in binding buffer and stained with FITC-conjugated annexin V and PI. After staining, the cells were analyzed by flow cytometry </w:t>
      </w:r>
      <w:r w:rsidRPr="007E5648">
        <w:rPr>
          <w:rFonts w:ascii="Times New Roman" w:hAnsi="Times New Roman" w:cs="Times New Roman"/>
          <w:color w:val="000000" w:themeColor="text1"/>
          <w:sz w:val="24"/>
        </w:rPr>
        <w:t xml:space="preserve">(FACS </w:t>
      </w:r>
      <w:proofErr w:type="spellStart"/>
      <w:r w:rsidRPr="007E5648">
        <w:rPr>
          <w:rFonts w:ascii="Times New Roman" w:hAnsi="Times New Roman" w:cs="Times New Roman"/>
          <w:color w:val="000000" w:themeColor="text1"/>
          <w:sz w:val="24"/>
        </w:rPr>
        <w:t>Calibar</w:t>
      </w:r>
      <w:proofErr w:type="spellEnd"/>
      <w:r w:rsidRPr="007E5648">
        <w:rPr>
          <w:rFonts w:ascii="Times New Roman" w:hAnsi="Times New Roman" w:cs="Times New Roman"/>
          <w:color w:val="000000" w:themeColor="text1"/>
          <w:sz w:val="24"/>
        </w:rPr>
        <w:t>)</w:t>
      </w:r>
      <w:r w:rsidRPr="007E5648">
        <w:rPr>
          <w:rFonts w:ascii="Times New Roman" w:hAnsi="Times New Roman" w:cs="Times New Roman"/>
          <w:sz w:val="24"/>
        </w:rPr>
        <w:t xml:space="preserve">. Apoptosis data were further processed by </w:t>
      </w:r>
      <w:proofErr w:type="spellStart"/>
      <w:r w:rsidRPr="007E5648">
        <w:rPr>
          <w:rFonts w:ascii="Times New Roman" w:hAnsi="Times New Roman" w:cs="Times New Roman"/>
          <w:sz w:val="24"/>
        </w:rPr>
        <w:t>FlowJo</w:t>
      </w:r>
      <w:proofErr w:type="spellEnd"/>
      <w:r w:rsidRPr="007E5648">
        <w:rPr>
          <w:rFonts w:ascii="Times New Roman" w:hAnsi="Times New Roman" w:cs="Times New Roman"/>
          <w:sz w:val="24"/>
        </w:rPr>
        <w:t xml:space="preserve"> software.</w:t>
      </w:r>
    </w:p>
    <w:p w14:paraId="303AB0D5" w14:textId="77777777" w:rsidR="003D6026" w:rsidRPr="006B25CE" w:rsidRDefault="003D6026" w:rsidP="003E1F53">
      <w:pPr>
        <w:adjustRightInd w:val="0"/>
        <w:snapToGrid w:val="0"/>
        <w:spacing w:line="480" w:lineRule="auto"/>
        <w:jc w:val="both"/>
        <w:rPr>
          <w:rFonts w:ascii="Times New Roman" w:hAnsi="Times New Roman" w:cs="Times New Roman"/>
          <w:b/>
          <w:bCs/>
          <w:color w:val="000000" w:themeColor="text1"/>
          <w:sz w:val="24"/>
        </w:rPr>
      </w:pPr>
      <w:r w:rsidRPr="006B25CE">
        <w:rPr>
          <w:rFonts w:ascii="Times New Roman" w:hAnsi="Times New Roman" w:cs="Times New Roman"/>
          <w:b/>
          <w:bCs/>
          <w:color w:val="000000" w:themeColor="text1"/>
          <w:sz w:val="24"/>
        </w:rPr>
        <w:t>16srRNA analysis</w:t>
      </w:r>
    </w:p>
    <w:p w14:paraId="19DF8D41" w14:textId="569EBA63" w:rsidR="003D6026" w:rsidRDefault="003D6026" w:rsidP="003D6026">
      <w:pPr>
        <w:adjustRightInd w:val="0"/>
        <w:snapToGrid w:val="0"/>
        <w:spacing w:line="480" w:lineRule="auto"/>
        <w:ind w:firstLine="420"/>
        <w:jc w:val="both"/>
        <w:rPr>
          <w:rFonts w:ascii="Times New Roman" w:hAnsi="Times New Roman" w:cs="Times New Roman"/>
          <w:color w:val="000000" w:themeColor="text1"/>
          <w:sz w:val="24"/>
        </w:rPr>
      </w:pPr>
      <w:r w:rsidRPr="006B25CE">
        <w:rPr>
          <w:rFonts w:ascii="Times New Roman" w:hAnsi="Times New Roman" w:cs="Times New Roman"/>
          <w:color w:val="000000" w:themeColor="text1"/>
          <w:sz w:val="24"/>
        </w:rPr>
        <w:t xml:space="preserve">The bacterial DNA was extracted from fecal samples with a </w:t>
      </w:r>
      <w:proofErr w:type="spellStart"/>
      <w:r w:rsidRPr="006B25CE">
        <w:rPr>
          <w:rFonts w:ascii="Times New Roman" w:hAnsi="Times New Roman" w:cs="Times New Roman"/>
          <w:color w:val="000000" w:themeColor="text1"/>
          <w:sz w:val="24"/>
        </w:rPr>
        <w:t>QIAamp</w:t>
      </w:r>
      <w:proofErr w:type="spellEnd"/>
      <w:r w:rsidRPr="006B25CE">
        <w:rPr>
          <w:rFonts w:ascii="Times New Roman" w:hAnsi="Times New Roman" w:cs="Times New Roman"/>
          <w:color w:val="000000" w:themeColor="text1"/>
          <w:sz w:val="24"/>
        </w:rPr>
        <w:t xml:space="preserve"> Fast DNA stool Mini Kit</w:t>
      </w:r>
      <w:r w:rsidRPr="006B25CE">
        <w:rPr>
          <w:rFonts w:ascii="Times New Roman" w:hAnsi="Times New Roman" w:cs="Times New Roman" w:hint="eastAsia"/>
          <w:color w:val="000000" w:themeColor="text1"/>
          <w:sz w:val="24"/>
        </w:rPr>
        <w:t xml:space="preserve"> </w:t>
      </w:r>
      <w:r w:rsidRPr="006B25CE">
        <w:rPr>
          <w:rFonts w:ascii="Times New Roman" w:hAnsi="Times New Roman" w:cs="Times New Roman"/>
          <w:color w:val="000000" w:themeColor="text1"/>
          <w:sz w:val="24"/>
        </w:rPr>
        <w:t>(Qiagen, Cat# 51604) and PCR amplification was conducted with barcoded specific bacterial</w:t>
      </w:r>
      <w:r w:rsidRPr="006B25CE">
        <w:rPr>
          <w:rFonts w:ascii="Times New Roman" w:hAnsi="Times New Roman" w:cs="Times New Roman" w:hint="eastAsia"/>
          <w:color w:val="000000" w:themeColor="text1"/>
          <w:sz w:val="24"/>
        </w:rPr>
        <w:t xml:space="preserve"> </w:t>
      </w:r>
      <w:r w:rsidRPr="006B25CE">
        <w:rPr>
          <w:rFonts w:ascii="Times New Roman" w:hAnsi="Times New Roman" w:cs="Times New Roman"/>
          <w:color w:val="000000" w:themeColor="text1"/>
          <w:sz w:val="24"/>
        </w:rPr>
        <w:t xml:space="preserve">primers targeting the variable region 3–4 (V3–V4) of the </w:t>
      </w:r>
      <w:r w:rsidRPr="006B25CE">
        <w:rPr>
          <w:rFonts w:ascii="Times New Roman" w:hAnsi="Times New Roman" w:cs="Times New Roman"/>
          <w:color w:val="000000" w:themeColor="text1"/>
          <w:sz w:val="24"/>
        </w:rPr>
        <w:lastRenderedPageBreak/>
        <w:t>16S rRNA gene: forward primer 338F:</w:t>
      </w:r>
      <w:r w:rsidRPr="006B25CE">
        <w:rPr>
          <w:rFonts w:ascii="Times New Roman" w:hAnsi="Times New Roman" w:cs="Times New Roman" w:hint="eastAsia"/>
          <w:color w:val="000000" w:themeColor="text1"/>
          <w:sz w:val="24"/>
        </w:rPr>
        <w:t xml:space="preserve"> </w:t>
      </w:r>
      <w:r w:rsidRPr="006B25CE">
        <w:rPr>
          <w:rFonts w:ascii="Times New Roman" w:hAnsi="Times New Roman" w:cs="Times New Roman"/>
          <w:color w:val="000000" w:themeColor="text1"/>
          <w:sz w:val="24"/>
        </w:rPr>
        <w:t>5′- ACTCCTACGGGAGGCAGCA-3′ and reverse primer 806R: 5′-</w:t>
      </w:r>
      <w:r w:rsidRPr="006B25CE">
        <w:rPr>
          <w:rFonts w:ascii="Times New Roman" w:hAnsi="Times New Roman" w:cs="Times New Roman" w:hint="eastAsia"/>
          <w:color w:val="000000" w:themeColor="text1"/>
          <w:sz w:val="24"/>
        </w:rPr>
        <w:t xml:space="preserve"> </w:t>
      </w:r>
      <w:r w:rsidRPr="006B25CE">
        <w:rPr>
          <w:rFonts w:ascii="Times New Roman" w:hAnsi="Times New Roman" w:cs="Times New Roman"/>
          <w:color w:val="000000" w:themeColor="text1"/>
          <w:sz w:val="24"/>
        </w:rPr>
        <w:t>GGACTACHVGGGTWTCTAAT-3′. Construction of sequencing libraries and paired</w:t>
      </w:r>
      <w:r w:rsidRPr="006B25CE">
        <w:rPr>
          <w:rFonts w:ascii="Times New Roman" w:hAnsi="Times New Roman" w:cs="Times New Roman" w:hint="eastAsia"/>
          <w:color w:val="000000" w:themeColor="text1"/>
          <w:sz w:val="24"/>
        </w:rPr>
        <w:t>-</w:t>
      </w:r>
      <w:r w:rsidRPr="006B25CE">
        <w:rPr>
          <w:rFonts w:ascii="Times New Roman" w:hAnsi="Times New Roman" w:cs="Times New Roman"/>
          <w:color w:val="000000" w:themeColor="text1"/>
          <w:sz w:val="24"/>
        </w:rPr>
        <w:t>end sequencing was performed on an Illumina NovaSeq6000 platform at Biomarker</w:t>
      </w:r>
      <w:r w:rsidRPr="006B25CE">
        <w:rPr>
          <w:rFonts w:ascii="Times New Roman" w:hAnsi="Times New Roman" w:cs="Times New Roman" w:hint="eastAsia"/>
          <w:color w:val="000000" w:themeColor="text1"/>
          <w:sz w:val="24"/>
        </w:rPr>
        <w:t xml:space="preserve"> </w:t>
      </w:r>
      <w:r w:rsidRPr="006B25CE">
        <w:rPr>
          <w:rFonts w:ascii="Times New Roman" w:hAnsi="Times New Roman" w:cs="Times New Roman"/>
          <w:color w:val="000000" w:themeColor="text1"/>
          <w:sz w:val="24"/>
        </w:rPr>
        <w:t>Technologies Co, Ltd. (Beijing, China) according to standard protocols. Paired-end reads</w:t>
      </w:r>
      <w:r w:rsidRPr="006B25CE">
        <w:rPr>
          <w:rFonts w:ascii="Times New Roman" w:hAnsi="Times New Roman" w:cs="Times New Roman" w:hint="eastAsia"/>
          <w:color w:val="000000" w:themeColor="text1"/>
          <w:sz w:val="24"/>
        </w:rPr>
        <w:t xml:space="preserve"> </w:t>
      </w:r>
      <w:r w:rsidRPr="006B25CE">
        <w:rPr>
          <w:rFonts w:ascii="Times New Roman" w:hAnsi="Times New Roman" w:cs="Times New Roman"/>
          <w:color w:val="000000" w:themeColor="text1"/>
          <w:sz w:val="24"/>
        </w:rPr>
        <w:t>were merged using FLASH v1.2.7, and tags with more than six mismatches were</w:t>
      </w:r>
      <w:r w:rsidRPr="006B25CE">
        <w:rPr>
          <w:rFonts w:ascii="Times New Roman" w:hAnsi="Times New Roman" w:cs="Times New Roman" w:hint="eastAsia"/>
          <w:color w:val="000000" w:themeColor="text1"/>
          <w:sz w:val="24"/>
        </w:rPr>
        <w:t xml:space="preserve"> </w:t>
      </w:r>
      <w:r w:rsidRPr="006B25CE">
        <w:rPr>
          <w:rFonts w:ascii="Times New Roman" w:hAnsi="Times New Roman" w:cs="Times New Roman"/>
          <w:color w:val="000000" w:themeColor="text1"/>
          <w:sz w:val="24"/>
        </w:rPr>
        <w:t>discarded. The merged tags with an average quality score &lt;20 in a 50 bp sliding window</w:t>
      </w:r>
      <w:r w:rsidRPr="006B25CE">
        <w:rPr>
          <w:rFonts w:ascii="Times New Roman" w:hAnsi="Times New Roman" w:cs="Times New Roman" w:hint="eastAsia"/>
          <w:color w:val="000000" w:themeColor="text1"/>
          <w:sz w:val="24"/>
        </w:rPr>
        <w:t xml:space="preserve"> </w:t>
      </w:r>
      <w:r w:rsidRPr="006B25CE">
        <w:rPr>
          <w:rFonts w:ascii="Times New Roman" w:hAnsi="Times New Roman" w:cs="Times New Roman"/>
          <w:color w:val="000000" w:themeColor="text1"/>
          <w:sz w:val="24"/>
        </w:rPr>
        <w:t xml:space="preserve">were determined using </w:t>
      </w:r>
      <w:proofErr w:type="spellStart"/>
      <w:r w:rsidRPr="006B25CE">
        <w:rPr>
          <w:rFonts w:ascii="Times New Roman" w:hAnsi="Times New Roman" w:cs="Times New Roman"/>
          <w:color w:val="000000" w:themeColor="text1"/>
          <w:sz w:val="24"/>
        </w:rPr>
        <w:t>Trimmomatic</w:t>
      </w:r>
      <w:proofErr w:type="spellEnd"/>
      <w:r w:rsidRPr="006B25CE">
        <w:rPr>
          <w:rFonts w:ascii="Times New Roman" w:hAnsi="Times New Roman" w:cs="Times New Roman"/>
          <w:color w:val="000000" w:themeColor="text1"/>
          <w:sz w:val="24"/>
        </w:rPr>
        <w:t xml:space="preserve"> and those shorter than 350 bps were removed.</w:t>
      </w:r>
      <w:r w:rsidRPr="006B25CE">
        <w:rPr>
          <w:rFonts w:ascii="Times New Roman" w:hAnsi="Times New Roman" w:cs="Times New Roman" w:hint="eastAsia"/>
          <w:color w:val="000000" w:themeColor="text1"/>
          <w:sz w:val="24"/>
        </w:rPr>
        <w:t xml:space="preserve"> </w:t>
      </w:r>
      <w:r w:rsidRPr="006B25CE">
        <w:rPr>
          <w:rFonts w:ascii="Times New Roman" w:hAnsi="Times New Roman" w:cs="Times New Roman"/>
          <w:color w:val="000000" w:themeColor="text1"/>
          <w:sz w:val="24"/>
        </w:rPr>
        <w:t>Possible chimeras were further removed and the denoised sequences were clustered into</w:t>
      </w:r>
      <w:r w:rsidRPr="006B25CE">
        <w:rPr>
          <w:rFonts w:ascii="Times New Roman" w:hAnsi="Times New Roman" w:cs="Times New Roman" w:hint="eastAsia"/>
          <w:color w:val="000000" w:themeColor="text1"/>
          <w:sz w:val="24"/>
        </w:rPr>
        <w:t xml:space="preserve"> </w:t>
      </w:r>
      <w:r w:rsidRPr="006B25CE">
        <w:rPr>
          <w:rFonts w:ascii="Times New Roman" w:hAnsi="Times New Roman" w:cs="Times New Roman"/>
          <w:color w:val="000000" w:themeColor="text1"/>
          <w:sz w:val="24"/>
        </w:rPr>
        <w:t>operational taxonomic units (OTUs) with 97% similarity using USEARCH (version 10.0).</w:t>
      </w:r>
      <w:r w:rsidRPr="006B25CE">
        <w:rPr>
          <w:rFonts w:ascii="Times New Roman" w:hAnsi="Times New Roman" w:cs="Times New Roman" w:hint="eastAsia"/>
          <w:color w:val="000000" w:themeColor="text1"/>
          <w:sz w:val="24"/>
        </w:rPr>
        <w:t xml:space="preserve"> </w:t>
      </w:r>
      <w:r w:rsidRPr="006B25CE">
        <w:rPr>
          <w:rFonts w:ascii="Times New Roman" w:hAnsi="Times New Roman" w:cs="Times New Roman"/>
          <w:color w:val="000000" w:themeColor="text1"/>
          <w:sz w:val="24"/>
        </w:rPr>
        <w:t>Taxonomy was assigned to all OTUs by searching against the Silva databases</w:t>
      </w:r>
      <w:r w:rsidRPr="006B25CE">
        <w:rPr>
          <w:rFonts w:ascii="Times New Roman" w:hAnsi="Times New Roman" w:cs="Times New Roman" w:hint="eastAsia"/>
          <w:color w:val="000000" w:themeColor="text1"/>
          <w:sz w:val="24"/>
        </w:rPr>
        <w:t xml:space="preserve"> </w:t>
      </w:r>
      <w:r w:rsidRPr="006B25CE">
        <w:rPr>
          <w:rFonts w:ascii="Times New Roman" w:hAnsi="Times New Roman" w:cs="Times New Roman"/>
          <w:color w:val="000000" w:themeColor="text1"/>
          <w:sz w:val="24"/>
        </w:rPr>
        <w:t>(Release128) using QIIME software.</w:t>
      </w:r>
    </w:p>
    <w:p w14:paraId="27446222" w14:textId="219A56CF" w:rsidR="001D3C41" w:rsidRPr="00727C19" w:rsidRDefault="001D3C41" w:rsidP="00727C19">
      <w:pPr>
        <w:adjustRightInd w:val="0"/>
        <w:snapToGrid w:val="0"/>
        <w:spacing w:line="480" w:lineRule="auto"/>
        <w:jc w:val="both"/>
        <w:rPr>
          <w:rFonts w:ascii="Times New Roman" w:hAnsi="Times New Roman" w:cs="Times New Roman"/>
          <w:b/>
          <w:bCs/>
          <w:sz w:val="24"/>
        </w:rPr>
      </w:pPr>
    </w:p>
    <w:p w14:paraId="3794FBB3" w14:textId="50C4374F" w:rsidR="00E37CD1" w:rsidRPr="007E5648" w:rsidRDefault="00E37CD1" w:rsidP="00C31F17">
      <w:pPr>
        <w:rPr>
          <w:rFonts w:ascii="Times New Roman" w:hAnsi="Times New Roman" w:cs="Times New Roman"/>
          <w:sz w:val="24"/>
        </w:rPr>
      </w:pPr>
      <w:r w:rsidRPr="00727C19">
        <w:rPr>
          <w:rFonts w:ascii="Times New Roman" w:eastAsia="DengXian" w:hAnsi="Times New Roman" w:cs="Times New Roman"/>
          <w:sz w:val="24"/>
        </w:rPr>
        <w:fldChar w:fldCharType="begin"/>
      </w:r>
      <w:r w:rsidRPr="00727C19">
        <w:rPr>
          <w:rFonts w:ascii="Times New Roman" w:hAnsi="Times New Roman" w:cs="Times New Roman"/>
          <w:sz w:val="24"/>
        </w:rPr>
        <w:instrText xml:space="preserve"> ADDIN EN.REFLIST </w:instrText>
      </w:r>
      <w:r w:rsidRPr="00727C19">
        <w:rPr>
          <w:rFonts w:ascii="Times New Roman" w:eastAsia="DengXian" w:hAnsi="Times New Roman" w:cs="Times New Roman"/>
          <w:sz w:val="24"/>
        </w:rPr>
        <w:fldChar w:fldCharType="separate"/>
      </w:r>
      <w:r w:rsidRPr="00727C19">
        <w:rPr>
          <w:rFonts w:ascii="Times New Roman" w:hAnsi="Times New Roman" w:cs="Times New Roman"/>
          <w:sz w:val="24"/>
        </w:rPr>
        <w:fldChar w:fldCharType="end"/>
      </w:r>
    </w:p>
    <w:sectPr w:rsidR="00E37CD1" w:rsidRPr="007E564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2C24FA2" w14:textId="77777777" w:rsidR="00A7159E" w:rsidRDefault="00A7159E" w:rsidP="008B766D">
      <w:pPr>
        <w:spacing w:after="0" w:line="240" w:lineRule="auto"/>
      </w:pPr>
      <w:r>
        <w:separator/>
      </w:r>
    </w:p>
  </w:endnote>
  <w:endnote w:type="continuationSeparator" w:id="0">
    <w:p w14:paraId="47CBBB8E" w14:textId="77777777" w:rsidR="00A7159E" w:rsidRDefault="00A7159E" w:rsidP="008B76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1EAA01A" w14:textId="77777777" w:rsidR="00A7159E" w:rsidRDefault="00A7159E" w:rsidP="008B766D">
      <w:pPr>
        <w:spacing w:after="0" w:line="240" w:lineRule="auto"/>
      </w:pPr>
      <w:r>
        <w:separator/>
      </w:r>
    </w:p>
  </w:footnote>
  <w:footnote w:type="continuationSeparator" w:id="0">
    <w:p w14:paraId="77F56D35" w14:textId="77777777" w:rsidR="00A7159E" w:rsidRDefault="00A7159E" w:rsidP="008B766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8"/>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DengXian&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pwp5sp9kez0dne5tsuv0arnzaxeewrx9ap5&quot;&gt;CID manuscript(1)&lt;record-ids&gt;&lt;item&gt;40&lt;/item&gt;&lt;/record-ids&gt;&lt;/item&gt;&lt;/Libraries&gt;"/>
  </w:docVars>
  <w:rsids>
    <w:rsidRoot w:val="00E37CD1"/>
    <w:rsid w:val="00030D4A"/>
    <w:rsid w:val="000560E8"/>
    <w:rsid w:val="00081953"/>
    <w:rsid w:val="00171ED5"/>
    <w:rsid w:val="001B0381"/>
    <w:rsid w:val="001D188A"/>
    <w:rsid w:val="001D3C41"/>
    <w:rsid w:val="002E6873"/>
    <w:rsid w:val="0035047E"/>
    <w:rsid w:val="003D5259"/>
    <w:rsid w:val="003D6026"/>
    <w:rsid w:val="003E1F53"/>
    <w:rsid w:val="00435BB0"/>
    <w:rsid w:val="00473497"/>
    <w:rsid w:val="00535CF8"/>
    <w:rsid w:val="005E0FFA"/>
    <w:rsid w:val="005F5CFD"/>
    <w:rsid w:val="006335AD"/>
    <w:rsid w:val="006B25CE"/>
    <w:rsid w:val="006E4296"/>
    <w:rsid w:val="00727C19"/>
    <w:rsid w:val="00753FAA"/>
    <w:rsid w:val="007E5648"/>
    <w:rsid w:val="007F6EDC"/>
    <w:rsid w:val="0088377A"/>
    <w:rsid w:val="008A2EAE"/>
    <w:rsid w:val="008B57DE"/>
    <w:rsid w:val="008B766D"/>
    <w:rsid w:val="008C2B67"/>
    <w:rsid w:val="00A7159E"/>
    <w:rsid w:val="00C31F17"/>
    <w:rsid w:val="00C70DDF"/>
    <w:rsid w:val="00CD747C"/>
    <w:rsid w:val="00D9498C"/>
    <w:rsid w:val="00DD2823"/>
    <w:rsid w:val="00E07D36"/>
    <w:rsid w:val="00E37CD1"/>
    <w:rsid w:val="00ED2DE0"/>
    <w:rsid w:val="00F02571"/>
    <w:rsid w:val="00FD52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E0C1667"/>
  <w15:chartTrackingRefBased/>
  <w15:docId w15:val="{98D8C4C7-980D-4442-A4B7-F0424A4A7A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列表段落1"/>
    <w:basedOn w:val="a"/>
    <w:link w:val="10"/>
    <w:qFormat/>
    <w:rsid w:val="00E37CD1"/>
    <w:pPr>
      <w:spacing w:after="0" w:line="240" w:lineRule="auto"/>
      <w:ind w:firstLineChars="200" w:firstLine="420"/>
      <w:jc w:val="both"/>
    </w:pPr>
    <w:rPr>
      <w:rFonts w:ascii="DengXian" w:eastAsia="DengXian" w:hAnsi="DengXian" w:cs="Times New Roman"/>
      <w:sz w:val="21"/>
      <w:szCs w:val="21"/>
      <w14:ligatures w14:val="none"/>
    </w:rPr>
  </w:style>
  <w:style w:type="paragraph" w:customStyle="1" w:styleId="EndNoteBibliographyTitle">
    <w:name w:val="EndNote Bibliography Title"/>
    <w:basedOn w:val="a"/>
    <w:link w:val="EndNoteBibliographyTitle0"/>
    <w:rsid w:val="00E37CD1"/>
    <w:pPr>
      <w:spacing w:after="0"/>
      <w:jc w:val="center"/>
    </w:pPr>
    <w:rPr>
      <w:rFonts w:ascii="DengXian" w:eastAsia="DengXian" w:hAnsi="DengXian"/>
    </w:rPr>
  </w:style>
  <w:style w:type="character" w:customStyle="1" w:styleId="10">
    <w:name w:val="列表段落1 字符"/>
    <w:basedOn w:val="a0"/>
    <w:link w:val="1"/>
    <w:rsid w:val="00E37CD1"/>
    <w:rPr>
      <w:rFonts w:ascii="DengXian" w:eastAsia="DengXian" w:hAnsi="DengXian" w:cs="Times New Roman"/>
      <w:sz w:val="21"/>
      <w:szCs w:val="21"/>
      <w14:ligatures w14:val="none"/>
    </w:rPr>
  </w:style>
  <w:style w:type="character" w:customStyle="1" w:styleId="EndNoteBibliographyTitle0">
    <w:name w:val="EndNote Bibliography Title 字符"/>
    <w:basedOn w:val="10"/>
    <w:link w:val="EndNoteBibliographyTitle"/>
    <w:rsid w:val="00E37CD1"/>
    <w:rPr>
      <w:rFonts w:ascii="DengXian" w:eastAsia="DengXian" w:hAnsi="DengXian" w:cs="Times New Roman"/>
      <w:sz w:val="21"/>
      <w:szCs w:val="21"/>
      <w14:ligatures w14:val="none"/>
    </w:rPr>
  </w:style>
  <w:style w:type="paragraph" w:customStyle="1" w:styleId="EndNoteBibliography">
    <w:name w:val="EndNote Bibliography"/>
    <w:basedOn w:val="a"/>
    <w:link w:val="EndNoteBibliography0"/>
    <w:rsid w:val="00E37CD1"/>
    <w:pPr>
      <w:spacing w:line="240" w:lineRule="auto"/>
    </w:pPr>
    <w:rPr>
      <w:rFonts w:ascii="DengXian" w:eastAsia="DengXian" w:hAnsi="DengXian"/>
    </w:rPr>
  </w:style>
  <w:style w:type="character" w:customStyle="1" w:styleId="EndNoteBibliography0">
    <w:name w:val="EndNote Bibliography 字符"/>
    <w:basedOn w:val="10"/>
    <w:link w:val="EndNoteBibliography"/>
    <w:rsid w:val="00E37CD1"/>
    <w:rPr>
      <w:rFonts w:ascii="DengXian" w:eastAsia="DengXian" w:hAnsi="DengXian" w:cs="Times New Roman"/>
      <w:sz w:val="21"/>
      <w:szCs w:val="21"/>
      <w14:ligatures w14:val="none"/>
    </w:rPr>
  </w:style>
  <w:style w:type="character" w:styleId="a3">
    <w:name w:val="Hyperlink"/>
    <w:basedOn w:val="a0"/>
    <w:uiPriority w:val="99"/>
    <w:unhideWhenUsed/>
    <w:rsid w:val="00E37CD1"/>
    <w:rPr>
      <w:color w:val="467886" w:themeColor="hyperlink"/>
      <w:u w:val="single"/>
    </w:rPr>
  </w:style>
  <w:style w:type="character" w:styleId="a4">
    <w:name w:val="Unresolved Mention"/>
    <w:basedOn w:val="a0"/>
    <w:uiPriority w:val="99"/>
    <w:semiHidden/>
    <w:unhideWhenUsed/>
    <w:rsid w:val="00E37CD1"/>
    <w:rPr>
      <w:color w:val="605E5C"/>
      <w:shd w:val="clear" w:color="auto" w:fill="E1DFDD"/>
    </w:rPr>
  </w:style>
  <w:style w:type="paragraph" w:styleId="a5">
    <w:name w:val="header"/>
    <w:basedOn w:val="a"/>
    <w:link w:val="a6"/>
    <w:uiPriority w:val="99"/>
    <w:unhideWhenUsed/>
    <w:rsid w:val="008B766D"/>
    <w:pPr>
      <w:tabs>
        <w:tab w:val="center" w:pos="4153"/>
        <w:tab w:val="right" w:pos="8306"/>
      </w:tabs>
      <w:snapToGrid w:val="0"/>
      <w:spacing w:line="240" w:lineRule="auto"/>
      <w:jc w:val="center"/>
    </w:pPr>
    <w:rPr>
      <w:sz w:val="18"/>
      <w:szCs w:val="18"/>
    </w:rPr>
  </w:style>
  <w:style w:type="character" w:customStyle="1" w:styleId="a6">
    <w:name w:val="页眉 字符"/>
    <w:basedOn w:val="a0"/>
    <w:link w:val="a5"/>
    <w:uiPriority w:val="99"/>
    <w:rsid w:val="008B766D"/>
    <w:rPr>
      <w:sz w:val="18"/>
      <w:szCs w:val="18"/>
    </w:rPr>
  </w:style>
  <w:style w:type="paragraph" w:styleId="a7">
    <w:name w:val="footer"/>
    <w:basedOn w:val="a"/>
    <w:link w:val="a8"/>
    <w:uiPriority w:val="99"/>
    <w:unhideWhenUsed/>
    <w:rsid w:val="008B766D"/>
    <w:pPr>
      <w:tabs>
        <w:tab w:val="center" w:pos="4153"/>
        <w:tab w:val="right" w:pos="8306"/>
      </w:tabs>
      <w:snapToGrid w:val="0"/>
      <w:spacing w:line="240" w:lineRule="auto"/>
    </w:pPr>
    <w:rPr>
      <w:sz w:val="18"/>
      <w:szCs w:val="18"/>
    </w:rPr>
  </w:style>
  <w:style w:type="character" w:customStyle="1" w:styleId="a8">
    <w:name w:val="页脚 字符"/>
    <w:basedOn w:val="a0"/>
    <w:link w:val="a7"/>
    <w:uiPriority w:val="99"/>
    <w:rsid w:val="008B766D"/>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.~WRD0001</Template>
  <TotalTime>13</TotalTime>
  <Pages>5</Pages>
  <Words>1124</Words>
  <Characters>6411</Characters>
  <Application>Microsoft Office Word</Application>
  <DocSecurity>0</DocSecurity>
  <Lines>53</Lines>
  <Paragraphs>15</Paragraphs>
  <ScaleCrop>false</ScaleCrop>
  <Company/>
  <LinksUpToDate>false</LinksUpToDate>
  <CharactersWithSpaces>7520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闫馨文</dc:creator>
  <cp:keywords/>
  <dc:description/>
  <cp:lastModifiedBy>a36427</cp:lastModifiedBy>
  <cp:revision>9</cp:revision>
  <dcterms:created xsi:type="dcterms:W3CDTF">2025-04-27T15:38:00Z</dcterms:created>
  <dcterms:modified xsi:type="dcterms:W3CDTF">2025-06-12T09:38:00Z</dcterms:modified>
</cp:coreProperties>
</file>