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533BB" w14:textId="59CC2F5D" w:rsidR="00666AE0" w:rsidRPr="00220141" w:rsidRDefault="00666AE0" w:rsidP="00666AE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lang w:val="en-US"/>
        </w:rPr>
        <w:t xml:space="preserve">Table </w:t>
      </w:r>
      <w:r w:rsidR="00187072">
        <w:rPr>
          <w:rFonts w:ascii="Times New Roman" w:hAnsi="Times New Roman"/>
          <w:b/>
          <w:bCs/>
          <w:lang w:val="en-US"/>
        </w:rPr>
        <w:t>S</w:t>
      </w:r>
      <w:r>
        <w:rPr>
          <w:rFonts w:ascii="Times New Roman" w:hAnsi="Times New Roman" w:hint="eastAsia"/>
          <w:b/>
          <w:bCs/>
          <w:lang w:val="en-US"/>
        </w:rPr>
        <w:t>1</w:t>
      </w:r>
      <w:r>
        <w:rPr>
          <w:rFonts w:ascii="Times New Roman" w:hAnsi="Times New Roman"/>
          <w:b/>
          <w:bCs/>
          <w:lang w:val="en-US"/>
        </w:rPr>
        <w:t xml:space="preserve"> </w:t>
      </w:r>
      <w:r>
        <w:rPr>
          <w:rFonts w:ascii="Times New Roman" w:hAnsi="Times New Roman"/>
          <w:lang w:val="en-US"/>
        </w:rPr>
        <w:t>List of maternal plasma biomarkers assessed in the GDM case-control study nested within the NICHD Fetal Growth Studies-Singleton Cohort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7"/>
        <w:gridCol w:w="3606"/>
        <w:gridCol w:w="2018"/>
        <w:gridCol w:w="1609"/>
      </w:tblGrid>
      <w:tr w:rsidR="00666AE0" w:rsidRPr="001A3EAF" w14:paraId="07F617B4" w14:textId="77777777" w:rsidTr="00981207">
        <w:tc>
          <w:tcPr>
            <w:tcW w:w="2547" w:type="dxa"/>
          </w:tcPr>
          <w:p w14:paraId="0E1E4967" w14:textId="77777777" w:rsidR="00666AE0" w:rsidRPr="001A3EAF" w:rsidRDefault="00666AE0" w:rsidP="00981207">
            <w:pPr>
              <w:rPr>
                <w:b/>
                <w:sz w:val="24"/>
                <w:szCs w:val="24"/>
              </w:rPr>
            </w:pPr>
            <w:r w:rsidRPr="001A3EAF">
              <w:rPr>
                <w:b/>
                <w:sz w:val="24"/>
                <w:szCs w:val="24"/>
              </w:rPr>
              <w:t>Plasma biomarker</w:t>
            </w:r>
          </w:p>
        </w:tc>
        <w:tc>
          <w:tcPr>
            <w:tcW w:w="5812" w:type="dxa"/>
          </w:tcPr>
          <w:p w14:paraId="3AF2BE4C" w14:textId="77777777" w:rsidR="00666AE0" w:rsidRPr="001A3EAF" w:rsidRDefault="00666AE0" w:rsidP="00981207">
            <w:pPr>
              <w:rPr>
                <w:b/>
                <w:sz w:val="24"/>
                <w:szCs w:val="24"/>
              </w:rPr>
            </w:pPr>
            <w:r w:rsidRPr="001A3EAF">
              <w:rPr>
                <w:b/>
                <w:sz w:val="24"/>
                <w:szCs w:val="24"/>
              </w:rPr>
              <w:t>Kit</w:t>
            </w:r>
          </w:p>
        </w:tc>
        <w:tc>
          <w:tcPr>
            <w:tcW w:w="2976" w:type="dxa"/>
          </w:tcPr>
          <w:p w14:paraId="0D7B4733" w14:textId="77777777" w:rsidR="00666AE0" w:rsidRPr="001A3EAF" w:rsidRDefault="00666AE0" w:rsidP="00981207">
            <w:pPr>
              <w:rPr>
                <w:b/>
                <w:sz w:val="24"/>
                <w:szCs w:val="24"/>
              </w:rPr>
            </w:pPr>
            <w:r w:rsidRPr="001A3EAF">
              <w:rPr>
                <w:b/>
                <w:sz w:val="24"/>
                <w:szCs w:val="24"/>
              </w:rPr>
              <w:t>Manufacturer</w:t>
            </w:r>
          </w:p>
        </w:tc>
        <w:tc>
          <w:tcPr>
            <w:tcW w:w="2613" w:type="dxa"/>
          </w:tcPr>
          <w:p w14:paraId="4D671DFB" w14:textId="77777777" w:rsidR="00666AE0" w:rsidRPr="001A3EAF" w:rsidRDefault="00666AE0" w:rsidP="00981207">
            <w:pPr>
              <w:rPr>
                <w:b/>
                <w:sz w:val="24"/>
                <w:szCs w:val="24"/>
              </w:rPr>
            </w:pPr>
            <w:r w:rsidRPr="001A3EAF">
              <w:rPr>
                <w:b/>
                <w:sz w:val="24"/>
                <w:szCs w:val="24"/>
              </w:rPr>
              <w:t>Inter-/Intra-Assay CVs</w:t>
            </w:r>
          </w:p>
        </w:tc>
      </w:tr>
      <w:tr w:rsidR="00666AE0" w:rsidRPr="001A3EAF" w14:paraId="4C6CF8FF" w14:textId="77777777" w:rsidTr="00981207">
        <w:tc>
          <w:tcPr>
            <w:tcW w:w="2547" w:type="dxa"/>
          </w:tcPr>
          <w:p w14:paraId="06F80EFD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Glucose</w:t>
            </w:r>
          </w:p>
        </w:tc>
        <w:tc>
          <w:tcPr>
            <w:tcW w:w="5812" w:type="dxa"/>
          </w:tcPr>
          <w:p w14:paraId="7563B508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Enzymatic assays with use of the Roche Modular P Chemistry analyzer</w:t>
            </w:r>
          </w:p>
        </w:tc>
        <w:tc>
          <w:tcPr>
            <w:tcW w:w="2976" w:type="dxa"/>
          </w:tcPr>
          <w:p w14:paraId="0D24EBCC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Roche Diagnostics</w:t>
            </w:r>
          </w:p>
        </w:tc>
        <w:tc>
          <w:tcPr>
            <w:tcW w:w="2613" w:type="dxa"/>
          </w:tcPr>
          <w:p w14:paraId="5C769633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1.3%-1.8%</w:t>
            </w:r>
          </w:p>
        </w:tc>
      </w:tr>
      <w:tr w:rsidR="00666AE0" w:rsidRPr="001A3EAF" w14:paraId="5380DD3D" w14:textId="77777777" w:rsidTr="00981207">
        <w:tc>
          <w:tcPr>
            <w:tcW w:w="2547" w:type="dxa"/>
          </w:tcPr>
          <w:p w14:paraId="0B9919A5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  <w:lang w:eastAsia="zh-CN"/>
              </w:rPr>
              <w:t>h</w:t>
            </w:r>
            <w:r w:rsidRPr="001A3EAF">
              <w:rPr>
                <w:sz w:val="24"/>
                <w:szCs w:val="24"/>
              </w:rPr>
              <w:t>sCRP</w:t>
            </w:r>
          </w:p>
        </w:tc>
        <w:tc>
          <w:tcPr>
            <w:tcW w:w="5812" w:type="dxa"/>
          </w:tcPr>
          <w:p w14:paraId="0B797B9A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Enzymatic assays with use of the Roche Modular P Chemistry analyzer</w:t>
            </w:r>
          </w:p>
        </w:tc>
        <w:tc>
          <w:tcPr>
            <w:tcW w:w="2976" w:type="dxa"/>
          </w:tcPr>
          <w:p w14:paraId="4E878050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Roche Diagnostics</w:t>
            </w:r>
          </w:p>
        </w:tc>
        <w:tc>
          <w:tcPr>
            <w:tcW w:w="2613" w:type="dxa"/>
          </w:tcPr>
          <w:p w14:paraId="3F524DD6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2.1%-4.3%</w:t>
            </w:r>
          </w:p>
        </w:tc>
      </w:tr>
      <w:tr w:rsidR="00666AE0" w:rsidRPr="001A3EAF" w14:paraId="4EAD621D" w14:textId="77777777" w:rsidTr="00981207">
        <w:tc>
          <w:tcPr>
            <w:tcW w:w="2547" w:type="dxa"/>
          </w:tcPr>
          <w:p w14:paraId="11B4467A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HbA1c</w:t>
            </w:r>
          </w:p>
        </w:tc>
        <w:tc>
          <w:tcPr>
            <w:tcW w:w="5812" w:type="dxa"/>
          </w:tcPr>
          <w:p w14:paraId="4C007D94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Non-porous ion Exchange High Performance Liquid Chromatography, Tosoh Automated Analyzer HLC-723G8</w:t>
            </w:r>
          </w:p>
        </w:tc>
        <w:tc>
          <w:tcPr>
            <w:tcW w:w="2976" w:type="dxa"/>
          </w:tcPr>
          <w:p w14:paraId="49DE66A4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Tosoh Bioscience, Inc</w:t>
            </w:r>
          </w:p>
        </w:tc>
        <w:tc>
          <w:tcPr>
            <w:tcW w:w="2613" w:type="dxa"/>
          </w:tcPr>
          <w:p w14:paraId="74146D2E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1.2%</w:t>
            </w:r>
          </w:p>
        </w:tc>
      </w:tr>
      <w:tr w:rsidR="00666AE0" w:rsidRPr="001A3EAF" w14:paraId="2F4A6859" w14:textId="77777777" w:rsidTr="00981207">
        <w:tc>
          <w:tcPr>
            <w:tcW w:w="2547" w:type="dxa"/>
          </w:tcPr>
          <w:p w14:paraId="6C99DBA8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 xml:space="preserve">Insulin </w:t>
            </w:r>
          </w:p>
        </w:tc>
        <w:tc>
          <w:tcPr>
            <w:tcW w:w="5812" w:type="dxa"/>
          </w:tcPr>
          <w:p w14:paraId="658CB62A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Roche Elecsys 2010 Analyzer</w:t>
            </w:r>
          </w:p>
        </w:tc>
        <w:tc>
          <w:tcPr>
            <w:tcW w:w="2976" w:type="dxa"/>
          </w:tcPr>
          <w:p w14:paraId="623545F1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Roche Diagnostics</w:t>
            </w:r>
          </w:p>
        </w:tc>
        <w:tc>
          <w:tcPr>
            <w:tcW w:w="2613" w:type="dxa"/>
          </w:tcPr>
          <w:p w14:paraId="30C922D7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3.3%</w:t>
            </w:r>
          </w:p>
        </w:tc>
      </w:tr>
      <w:tr w:rsidR="00666AE0" w:rsidRPr="001A3EAF" w14:paraId="09D7108A" w14:textId="77777777" w:rsidTr="00981207">
        <w:tc>
          <w:tcPr>
            <w:tcW w:w="2547" w:type="dxa"/>
          </w:tcPr>
          <w:p w14:paraId="5491FACB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Lipids</w:t>
            </w:r>
          </w:p>
        </w:tc>
        <w:tc>
          <w:tcPr>
            <w:tcW w:w="5812" w:type="dxa"/>
          </w:tcPr>
          <w:p w14:paraId="7F4F1D20" w14:textId="77777777" w:rsidR="00666AE0" w:rsidRPr="001A3EAF" w:rsidRDefault="00666AE0" w:rsidP="00981207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191D5D99" w14:textId="77777777" w:rsidR="00666AE0" w:rsidRPr="001A3EAF" w:rsidRDefault="00666AE0" w:rsidP="00981207">
            <w:pPr>
              <w:rPr>
                <w:sz w:val="24"/>
                <w:szCs w:val="24"/>
              </w:rPr>
            </w:pPr>
          </w:p>
        </w:tc>
        <w:tc>
          <w:tcPr>
            <w:tcW w:w="2613" w:type="dxa"/>
          </w:tcPr>
          <w:p w14:paraId="169C6B8F" w14:textId="77777777" w:rsidR="00666AE0" w:rsidRPr="001A3EAF" w:rsidRDefault="00666AE0" w:rsidP="00981207">
            <w:pPr>
              <w:rPr>
                <w:sz w:val="24"/>
                <w:szCs w:val="24"/>
              </w:rPr>
            </w:pPr>
          </w:p>
        </w:tc>
      </w:tr>
      <w:tr w:rsidR="00666AE0" w:rsidRPr="001A3EAF" w14:paraId="22AF96CD" w14:textId="77777777" w:rsidTr="00981207">
        <w:tc>
          <w:tcPr>
            <w:tcW w:w="2547" w:type="dxa"/>
          </w:tcPr>
          <w:p w14:paraId="1AA22B78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HDL-C</w:t>
            </w:r>
          </w:p>
        </w:tc>
        <w:tc>
          <w:tcPr>
            <w:tcW w:w="5812" w:type="dxa"/>
          </w:tcPr>
          <w:p w14:paraId="5A6A49F2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Roche COBAS 6000 Chemistry Analyzer</w:t>
            </w:r>
          </w:p>
        </w:tc>
        <w:tc>
          <w:tcPr>
            <w:tcW w:w="2976" w:type="dxa"/>
          </w:tcPr>
          <w:p w14:paraId="3AA3C153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Roche Diagnostics</w:t>
            </w:r>
          </w:p>
        </w:tc>
        <w:tc>
          <w:tcPr>
            <w:tcW w:w="2613" w:type="dxa"/>
          </w:tcPr>
          <w:p w14:paraId="373C6305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1.9%-3.2%</w:t>
            </w:r>
          </w:p>
        </w:tc>
      </w:tr>
      <w:tr w:rsidR="00666AE0" w:rsidRPr="001A3EAF" w14:paraId="1311AEDE" w14:textId="77777777" w:rsidTr="00981207">
        <w:tc>
          <w:tcPr>
            <w:tcW w:w="2547" w:type="dxa"/>
          </w:tcPr>
          <w:p w14:paraId="45390419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Triglycerides</w:t>
            </w:r>
          </w:p>
        </w:tc>
        <w:tc>
          <w:tcPr>
            <w:tcW w:w="5812" w:type="dxa"/>
          </w:tcPr>
          <w:p w14:paraId="375F13D1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Roche COBAS 6000 Chemistry Analyzer</w:t>
            </w:r>
          </w:p>
        </w:tc>
        <w:tc>
          <w:tcPr>
            <w:tcW w:w="2976" w:type="dxa"/>
          </w:tcPr>
          <w:p w14:paraId="5587FF82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Roche Diagnostics</w:t>
            </w:r>
          </w:p>
        </w:tc>
        <w:tc>
          <w:tcPr>
            <w:tcW w:w="2613" w:type="dxa"/>
          </w:tcPr>
          <w:p w14:paraId="5D61FC1C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2.0%-2.3%</w:t>
            </w:r>
          </w:p>
        </w:tc>
      </w:tr>
      <w:tr w:rsidR="00666AE0" w:rsidRPr="001A3EAF" w14:paraId="47279A3F" w14:textId="77777777" w:rsidTr="00981207">
        <w:tc>
          <w:tcPr>
            <w:tcW w:w="2547" w:type="dxa"/>
          </w:tcPr>
          <w:p w14:paraId="286E3552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Thyroid function</w:t>
            </w:r>
          </w:p>
        </w:tc>
        <w:tc>
          <w:tcPr>
            <w:tcW w:w="5812" w:type="dxa"/>
          </w:tcPr>
          <w:p w14:paraId="270046E2" w14:textId="77777777" w:rsidR="00666AE0" w:rsidRPr="001A3EAF" w:rsidRDefault="00666AE0" w:rsidP="00981207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50AC1980" w14:textId="77777777" w:rsidR="00666AE0" w:rsidRPr="001A3EAF" w:rsidRDefault="00666AE0" w:rsidP="00981207">
            <w:pPr>
              <w:rPr>
                <w:sz w:val="24"/>
                <w:szCs w:val="24"/>
              </w:rPr>
            </w:pPr>
          </w:p>
        </w:tc>
        <w:tc>
          <w:tcPr>
            <w:tcW w:w="2613" w:type="dxa"/>
          </w:tcPr>
          <w:p w14:paraId="755B35B0" w14:textId="77777777" w:rsidR="00666AE0" w:rsidRPr="001A3EAF" w:rsidRDefault="00666AE0" w:rsidP="00981207">
            <w:pPr>
              <w:rPr>
                <w:sz w:val="24"/>
                <w:szCs w:val="24"/>
              </w:rPr>
            </w:pPr>
          </w:p>
        </w:tc>
      </w:tr>
      <w:tr w:rsidR="00666AE0" w:rsidRPr="001A3EAF" w14:paraId="03BB5F50" w14:textId="77777777" w:rsidTr="00981207">
        <w:tc>
          <w:tcPr>
            <w:tcW w:w="2547" w:type="dxa"/>
            <w:shd w:val="clear" w:color="auto" w:fill="auto"/>
          </w:tcPr>
          <w:p w14:paraId="55553FB9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Free T3</w:t>
            </w:r>
          </w:p>
        </w:tc>
        <w:tc>
          <w:tcPr>
            <w:tcW w:w="5812" w:type="dxa"/>
          </w:tcPr>
          <w:p w14:paraId="427A7812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Electrochemiluminescence immunoassay</w:t>
            </w:r>
          </w:p>
        </w:tc>
        <w:tc>
          <w:tcPr>
            <w:tcW w:w="2976" w:type="dxa"/>
          </w:tcPr>
          <w:p w14:paraId="6F5D1889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Roche Diagnostics</w:t>
            </w:r>
          </w:p>
        </w:tc>
        <w:tc>
          <w:tcPr>
            <w:tcW w:w="2613" w:type="dxa"/>
          </w:tcPr>
          <w:p w14:paraId="61834358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&lt;5.0%</w:t>
            </w:r>
          </w:p>
        </w:tc>
      </w:tr>
      <w:tr w:rsidR="00666AE0" w:rsidRPr="001A3EAF" w14:paraId="20A15E84" w14:textId="77777777" w:rsidTr="00981207">
        <w:tc>
          <w:tcPr>
            <w:tcW w:w="2547" w:type="dxa"/>
            <w:shd w:val="clear" w:color="auto" w:fill="auto"/>
          </w:tcPr>
          <w:p w14:paraId="46443975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Free T4</w:t>
            </w:r>
          </w:p>
        </w:tc>
        <w:tc>
          <w:tcPr>
            <w:tcW w:w="5812" w:type="dxa"/>
          </w:tcPr>
          <w:p w14:paraId="425D1C97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Electrochemiluminescence immunoassay</w:t>
            </w:r>
          </w:p>
        </w:tc>
        <w:tc>
          <w:tcPr>
            <w:tcW w:w="2976" w:type="dxa"/>
          </w:tcPr>
          <w:p w14:paraId="091E9397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Roche Diagnostics</w:t>
            </w:r>
          </w:p>
        </w:tc>
        <w:tc>
          <w:tcPr>
            <w:tcW w:w="2613" w:type="dxa"/>
          </w:tcPr>
          <w:p w14:paraId="7510CD50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&lt;5.0%</w:t>
            </w:r>
          </w:p>
        </w:tc>
      </w:tr>
      <w:tr w:rsidR="00666AE0" w:rsidRPr="001A3EAF" w14:paraId="2547889E" w14:textId="77777777" w:rsidTr="00981207">
        <w:tc>
          <w:tcPr>
            <w:tcW w:w="2547" w:type="dxa"/>
          </w:tcPr>
          <w:p w14:paraId="69B3A95E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IGF markers</w:t>
            </w:r>
          </w:p>
        </w:tc>
        <w:tc>
          <w:tcPr>
            <w:tcW w:w="5812" w:type="dxa"/>
          </w:tcPr>
          <w:p w14:paraId="2C757CED" w14:textId="77777777" w:rsidR="00666AE0" w:rsidRPr="001A3EAF" w:rsidRDefault="00666AE0" w:rsidP="00981207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32465AA7" w14:textId="77777777" w:rsidR="00666AE0" w:rsidRPr="001A3EAF" w:rsidRDefault="00666AE0" w:rsidP="00981207">
            <w:pPr>
              <w:rPr>
                <w:sz w:val="24"/>
                <w:szCs w:val="24"/>
              </w:rPr>
            </w:pPr>
          </w:p>
        </w:tc>
        <w:tc>
          <w:tcPr>
            <w:tcW w:w="2613" w:type="dxa"/>
          </w:tcPr>
          <w:p w14:paraId="5010883E" w14:textId="77777777" w:rsidR="00666AE0" w:rsidRPr="001A3EAF" w:rsidRDefault="00666AE0" w:rsidP="00981207">
            <w:pPr>
              <w:rPr>
                <w:sz w:val="24"/>
                <w:szCs w:val="24"/>
              </w:rPr>
            </w:pPr>
          </w:p>
        </w:tc>
      </w:tr>
      <w:tr w:rsidR="00666AE0" w:rsidRPr="001A3EAF" w14:paraId="4BEA21C8" w14:textId="77777777" w:rsidTr="00981207">
        <w:tc>
          <w:tcPr>
            <w:tcW w:w="2547" w:type="dxa"/>
          </w:tcPr>
          <w:p w14:paraId="4450E3EC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IGF-I</w:t>
            </w:r>
          </w:p>
        </w:tc>
        <w:tc>
          <w:tcPr>
            <w:tcW w:w="5812" w:type="dxa"/>
          </w:tcPr>
          <w:p w14:paraId="6E44BC5C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ELISA</w:t>
            </w:r>
          </w:p>
        </w:tc>
        <w:tc>
          <w:tcPr>
            <w:tcW w:w="2976" w:type="dxa"/>
          </w:tcPr>
          <w:p w14:paraId="5DFAF747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ALPCO Diagnostics</w:t>
            </w:r>
          </w:p>
        </w:tc>
        <w:tc>
          <w:tcPr>
            <w:tcW w:w="2613" w:type="dxa"/>
          </w:tcPr>
          <w:p w14:paraId="7FED412C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&lt;6.7%</w:t>
            </w:r>
          </w:p>
        </w:tc>
      </w:tr>
      <w:tr w:rsidR="00666AE0" w:rsidRPr="001A3EAF" w14:paraId="3B68C1AD" w14:textId="77777777" w:rsidTr="00981207">
        <w:tc>
          <w:tcPr>
            <w:tcW w:w="2547" w:type="dxa"/>
          </w:tcPr>
          <w:p w14:paraId="701EC59A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IGFBP-2</w:t>
            </w:r>
          </w:p>
        </w:tc>
        <w:tc>
          <w:tcPr>
            <w:tcW w:w="5812" w:type="dxa"/>
          </w:tcPr>
          <w:p w14:paraId="678F9DE1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ELISA</w:t>
            </w:r>
          </w:p>
        </w:tc>
        <w:tc>
          <w:tcPr>
            <w:tcW w:w="2976" w:type="dxa"/>
          </w:tcPr>
          <w:p w14:paraId="0BA8A106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ALPCO Diagnostics</w:t>
            </w:r>
          </w:p>
        </w:tc>
        <w:tc>
          <w:tcPr>
            <w:tcW w:w="2613" w:type="dxa"/>
          </w:tcPr>
          <w:p w14:paraId="5F362650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&lt;6.7%</w:t>
            </w:r>
          </w:p>
        </w:tc>
      </w:tr>
      <w:tr w:rsidR="00666AE0" w:rsidRPr="001A3EAF" w14:paraId="0BBC9F03" w14:textId="77777777" w:rsidTr="00981207">
        <w:tc>
          <w:tcPr>
            <w:tcW w:w="2547" w:type="dxa"/>
          </w:tcPr>
          <w:p w14:paraId="3CDAD1EE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Adipokines</w:t>
            </w:r>
          </w:p>
        </w:tc>
        <w:tc>
          <w:tcPr>
            <w:tcW w:w="5812" w:type="dxa"/>
          </w:tcPr>
          <w:p w14:paraId="31B46743" w14:textId="77777777" w:rsidR="00666AE0" w:rsidRPr="001A3EAF" w:rsidRDefault="00666AE0" w:rsidP="00981207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70EA39F9" w14:textId="77777777" w:rsidR="00666AE0" w:rsidRPr="001A3EAF" w:rsidRDefault="00666AE0" w:rsidP="00981207">
            <w:pPr>
              <w:rPr>
                <w:sz w:val="24"/>
                <w:szCs w:val="24"/>
              </w:rPr>
            </w:pPr>
          </w:p>
        </w:tc>
        <w:tc>
          <w:tcPr>
            <w:tcW w:w="2613" w:type="dxa"/>
          </w:tcPr>
          <w:p w14:paraId="64BEEDFB" w14:textId="77777777" w:rsidR="00666AE0" w:rsidRPr="001A3EAF" w:rsidRDefault="00666AE0" w:rsidP="00981207">
            <w:pPr>
              <w:rPr>
                <w:sz w:val="24"/>
                <w:szCs w:val="24"/>
              </w:rPr>
            </w:pPr>
          </w:p>
        </w:tc>
      </w:tr>
      <w:tr w:rsidR="00666AE0" w:rsidRPr="001A3EAF" w14:paraId="2EA9F7EC" w14:textId="77777777" w:rsidTr="00981207">
        <w:tc>
          <w:tcPr>
            <w:tcW w:w="2547" w:type="dxa"/>
          </w:tcPr>
          <w:p w14:paraId="5E2CEDFC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FABP4</w:t>
            </w:r>
          </w:p>
        </w:tc>
        <w:tc>
          <w:tcPr>
            <w:tcW w:w="5812" w:type="dxa"/>
          </w:tcPr>
          <w:p w14:paraId="7CB2C9B7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Human FABP4 ELISA</w:t>
            </w:r>
          </w:p>
        </w:tc>
        <w:tc>
          <w:tcPr>
            <w:tcW w:w="2976" w:type="dxa"/>
          </w:tcPr>
          <w:p w14:paraId="71F16445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BioVendor</w:t>
            </w:r>
          </w:p>
        </w:tc>
        <w:tc>
          <w:tcPr>
            <w:tcW w:w="2613" w:type="dxa"/>
          </w:tcPr>
          <w:p w14:paraId="54A08F65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8.1%-10.2%</w:t>
            </w:r>
          </w:p>
        </w:tc>
      </w:tr>
      <w:tr w:rsidR="00666AE0" w:rsidRPr="001A3EAF" w14:paraId="5FC3DB6E" w14:textId="77777777" w:rsidTr="00981207">
        <w:tc>
          <w:tcPr>
            <w:tcW w:w="2547" w:type="dxa"/>
          </w:tcPr>
          <w:p w14:paraId="4998F798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Chemerin</w:t>
            </w:r>
          </w:p>
        </w:tc>
        <w:tc>
          <w:tcPr>
            <w:tcW w:w="5812" w:type="dxa"/>
          </w:tcPr>
          <w:p w14:paraId="0C5F5A6A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Quantikine Human Chemerin Immunoassay</w:t>
            </w:r>
          </w:p>
        </w:tc>
        <w:tc>
          <w:tcPr>
            <w:tcW w:w="2976" w:type="dxa"/>
          </w:tcPr>
          <w:p w14:paraId="411C3FF7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R&amp;D System</w:t>
            </w:r>
          </w:p>
        </w:tc>
        <w:tc>
          <w:tcPr>
            <w:tcW w:w="2613" w:type="dxa"/>
          </w:tcPr>
          <w:p w14:paraId="73CECE0E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6.2%-18.0%</w:t>
            </w:r>
          </w:p>
        </w:tc>
      </w:tr>
      <w:tr w:rsidR="00666AE0" w:rsidRPr="001A3EAF" w14:paraId="65EB9DCE" w14:textId="77777777" w:rsidTr="00981207">
        <w:tc>
          <w:tcPr>
            <w:tcW w:w="2547" w:type="dxa"/>
          </w:tcPr>
          <w:p w14:paraId="77C5FDD3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IL-6</w:t>
            </w:r>
          </w:p>
        </w:tc>
        <w:tc>
          <w:tcPr>
            <w:tcW w:w="5812" w:type="dxa"/>
          </w:tcPr>
          <w:p w14:paraId="01A772F4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Quantikine HS Human IL-6 Immunoassay</w:t>
            </w:r>
          </w:p>
        </w:tc>
        <w:tc>
          <w:tcPr>
            <w:tcW w:w="2976" w:type="dxa"/>
          </w:tcPr>
          <w:p w14:paraId="0FF1B251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R&amp;D System</w:t>
            </w:r>
          </w:p>
        </w:tc>
        <w:tc>
          <w:tcPr>
            <w:tcW w:w="2613" w:type="dxa"/>
          </w:tcPr>
          <w:p w14:paraId="46527F54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8.1%-14.4%</w:t>
            </w:r>
          </w:p>
        </w:tc>
      </w:tr>
      <w:tr w:rsidR="00666AE0" w:rsidRPr="001A3EAF" w14:paraId="728E1562" w14:textId="77777777" w:rsidTr="00981207">
        <w:tc>
          <w:tcPr>
            <w:tcW w:w="2547" w:type="dxa"/>
          </w:tcPr>
          <w:p w14:paraId="1B11D9BB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Leptin</w:t>
            </w:r>
          </w:p>
        </w:tc>
        <w:tc>
          <w:tcPr>
            <w:tcW w:w="5812" w:type="dxa"/>
          </w:tcPr>
          <w:p w14:paraId="16DA9202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Quantitative direct sandwich enzyme immunoassay</w:t>
            </w:r>
          </w:p>
        </w:tc>
        <w:tc>
          <w:tcPr>
            <w:tcW w:w="2976" w:type="dxa"/>
          </w:tcPr>
          <w:p w14:paraId="5A201D9C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Mercodia</w:t>
            </w:r>
          </w:p>
        </w:tc>
        <w:tc>
          <w:tcPr>
            <w:tcW w:w="2613" w:type="dxa"/>
          </w:tcPr>
          <w:p w14:paraId="1D1CBD12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3.7%-6.0%</w:t>
            </w:r>
          </w:p>
        </w:tc>
      </w:tr>
      <w:tr w:rsidR="00666AE0" w:rsidRPr="001A3EAF" w14:paraId="03DF52F6" w14:textId="77777777" w:rsidTr="00981207">
        <w:tc>
          <w:tcPr>
            <w:tcW w:w="2547" w:type="dxa"/>
          </w:tcPr>
          <w:p w14:paraId="4FD73322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sOb-R</w:t>
            </w:r>
          </w:p>
        </w:tc>
        <w:tc>
          <w:tcPr>
            <w:tcW w:w="5812" w:type="dxa"/>
          </w:tcPr>
          <w:p w14:paraId="0DD173CD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Quantitative Human Leptin sR</w:t>
            </w:r>
          </w:p>
        </w:tc>
        <w:tc>
          <w:tcPr>
            <w:tcW w:w="2976" w:type="dxa"/>
          </w:tcPr>
          <w:p w14:paraId="375427C9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R&amp;D System</w:t>
            </w:r>
          </w:p>
        </w:tc>
        <w:tc>
          <w:tcPr>
            <w:tcW w:w="2613" w:type="dxa"/>
          </w:tcPr>
          <w:p w14:paraId="32871938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3.5%-10.2%</w:t>
            </w:r>
          </w:p>
        </w:tc>
      </w:tr>
      <w:tr w:rsidR="00666AE0" w:rsidRPr="001A3EAF" w14:paraId="13F492AC" w14:textId="77777777" w:rsidTr="00981207">
        <w:tc>
          <w:tcPr>
            <w:tcW w:w="2547" w:type="dxa"/>
          </w:tcPr>
          <w:p w14:paraId="297E6423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HMW-adiponectin</w:t>
            </w:r>
          </w:p>
        </w:tc>
        <w:tc>
          <w:tcPr>
            <w:tcW w:w="5812" w:type="dxa"/>
          </w:tcPr>
          <w:p w14:paraId="70D4521A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Human Adiponectin/Acrp30 Immunoassay</w:t>
            </w:r>
          </w:p>
        </w:tc>
        <w:tc>
          <w:tcPr>
            <w:tcW w:w="2976" w:type="dxa"/>
          </w:tcPr>
          <w:p w14:paraId="1C5EA2EA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R&amp;D System</w:t>
            </w:r>
          </w:p>
        </w:tc>
        <w:tc>
          <w:tcPr>
            <w:tcW w:w="2613" w:type="dxa"/>
          </w:tcPr>
          <w:p w14:paraId="759C9B09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9.2%-10.9%</w:t>
            </w:r>
          </w:p>
        </w:tc>
      </w:tr>
      <w:tr w:rsidR="00666AE0" w:rsidRPr="001A3EAF" w14:paraId="7194BB3F" w14:textId="77777777" w:rsidTr="00981207">
        <w:tc>
          <w:tcPr>
            <w:tcW w:w="2547" w:type="dxa"/>
          </w:tcPr>
          <w:p w14:paraId="28AB8144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Iron markers</w:t>
            </w:r>
          </w:p>
        </w:tc>
        <w:tc>
          <w:tcPr>
            <w:tcW w:w="5812" w:type="dxa"/>
          </w:tcPr>
          <w:p w14:paraId="568ACAB2" w14:textId="77777777" w:rsidR="00666AE0" w:rsidRPr="001A3EAF" w:rsidRDefault="00666AE0" w:rsidP="00981207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258EE2F6" w14:textId="77777777" w:rsidR="00666AE0" w:rsidRPr="001A3EAF" w:rsidRDefault="00666AE0" w:rsidP="00981207">
            <w:pPr>
              <w:rPr>
                <w:sz w:val="24"/>
                <w:szCs w:val="24"/>
              </w:rPr>
            </w:pPr>
          </w:p>
        </w:tc>
        <w:tc>
          <w:tcPr>
            <w:tcW w:w="2613" w:type="dxa"/>
          </w:tcPr>
          <w:p w14:paraId="75A5B81A" w14:textId="77777777" w:rsidR="00666AE0" w:rsidRPr="001A3EAF" w:rsidRDefault="00666AE0" w:rsidP="00981207">
            <w:pPr>
              <w:rPr>
                <w:sz w:val="24"/>
                <w:szCs w:val="24"/>
              </w:rPr>
            </w:pPr>
          </w:p>
        </w:tc>
      </w:tr>
      <w:tr w:rsidR="00666AE0" w:rsidRPr="001A3EAF" w14:paraId="3794A424" w14:textId="77777777" w:rsidTr="00981207">
        <w:tc>
          <w:tcPr>
            <w:tcW w:w="2547" w:type="dxa"/>
          </w:tcPr>
          <w:p w14:paraId="71E05F30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Ferritin</w:t>
            </w:r>
          </w:p>
        </w:tc>
        <w:tc>
          <w:tcPr>
            <w:tcW w:w="5812" w:type="dxa"/>
          </w:tcPr>
          <w:p w14:paraId="47B0A5A7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Roche Modular P Chemistry Analyzer</w:t>
            </w:r>
          </w:p>
        </w:tc>
        <w:tc>
          <w:tcPr>
            <w:tcW w:w="2976" w:type="dxa"/>
          </w:tcPr>
          <w:p w14:paraId="5ECFE330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Roche Diagnostics</w:t>
            </w:r>
          </w:p>
        </w:tc>
        <w:tc>
          <w:tcPr>
            <w:tcW w:w="2613" w:type="dxa"/>
          </w:tcPr>
          <w:p w14:paraId="684B9B60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&lt;13.0%</w:t>
            </w:r>
          </w:p>
        </w:tc>
      </w:tr>
      <w:tr w:rsidR="00666AE0" w:rsidRPr="001A3EAF" w14:paraId="0816E4ED" w14:textId="77777777" w:rsidTr="00981207">
        <w:tc>
          <w:tcPr>
            <w:tcW w:w="2547" w:type="dxa"/>
          </w:tcPr>
          <w:p w14:paraId="5C69D2FE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Hepcidin</w:t>
            </w:r>
          </w:p>
        </w:tc>
        <w:tc>
          <w:tcPr>
            <w:tcW w:w="5812" w:type="dxa"/>
          </w:tcPr>
          <w:p w14:paraId="62D032E9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Human Hepcidin-25 [bioactive] ELISA</w:t>
            </w:r>
          </w:p>
        </w:tc>
        <w:tc>
          <w:tcPr>
            <w:tcW w:w="2976" w:type="dxa"/>
          </w:tcPr>
          <w:p w14:paraId="683E1046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DRG Diagnostics</w:t>
            </w:r>
          </w:p>
        </w:tc>
        <w:tc>
          <w:tcPr>
            <w:tcW w:w="2613" w:type="dxa"/>
          </w:tcPr>
          <w:p w14:paraId="30034265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&lt;13.0%</w:t>
            </w:r>
          </w:p>
        </w:tc>
      </w:tr>
      <w:tr w:rsidR="00666AE0" w:rsidRPr="001A3EAF" w14:paraId="5A3AB16F" w14:textId="77777777" w:rsidTr="00981207">
        <w:tc>
          <w:tcPr>
            <w:tcW w:w="2547" w:type="dxa"/>
          </w:tcPr>
          <w:p w14:paraId="71590F78" w14:textId="6305C875" w:rsidR="00666AE0" w:rsidRPr="001A3EAF" w:rsidRDefault="00666AE0" w:rsidP="00981207">
            <w:pPr>
              <w:rPr>
                <w:sz w:val="24"/>
                <w:szCs w:val="24"/>
                <w:vertAlign w:val="superscript"/>
              </w:rPr>
            </w:pPr>
            <w:r w:rsidRPr="001A3EAF">
              <w:rPr>
                <w:sz w:val="24"/>
                <w:szCs w:val="24"/>
              </w:rPr>
              <w:lastRenderedPageBreak/>
              <w:t>Saturated fatty acids, SFAs</w:t>
            </w:r>
            <w:r w:rsidR="00B63B27" w:rsidRPr="001A3EAF">
              <w:rPr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5812" w:type="dxa"/>
          </w:tcPr>
          <w:p w14:paraId="00B3515A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Hewlett Packard 5890 gas chromatography system</w:t>
            </w:r>
          </w:p>
        </w:tc>
        <w:tc>
          <w:tcPr>
            <w:tcW w:w="2976" w:type="dxa"/>
          </w:tcPr>
          <w:p w14:paraId="7A44AC9A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bCs/>
                <w:sz w:val="24"/>
                <w:szCs w:val="24"/>
              </w:rPr>
              <w:t>Hewlett</w:t>
            </w:r>
            <w:r w:rsidRPr="001A3EAF">
              <w:rPr>
                <w:sz w:val="24"/>
                <w:szCs w:val="24"/>
              </w:rPr>
              <w:t>-</w:t>
            </w:r>
            <w:r w:rsidRPr="001A3EAF">
              <w:rPr>
                <w:bCs/>
                <w:sz w:val="24"/>
                <w:szCs w:val="24"/>
              </w:rPr>
              <w:t>Packard</w:t>
            </w:r>
          </w:p>
        </w:tc>
        <w:tc>
          <w:tcPr>
            <w:tcW w:w="2613" w:type="dxa"/>
          </w:tcPr>
          <w:p w14:paraId="379E9804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&lt;9.0%</w:t>
            </w:r>
          </w:p>
        </w:tc>
      </w:tr>
      <w:tr w:rsidR="00666AE0" w:rsidRPr="001A3EAF" w14:paraId="24330BC5" w14:textId="77777777" w:rsidTr="00981207">
        <w:tc>
          <w:tcPr>
            <w:tcW w:w="2547" w:type="dxa"/>
          </w:tcPr>
          <w:p w14:paraId="18B5E351" w14:textId="33DEC3C5" w:rsidR="00666AE0" w:rsidRPr="001A3EAF" w:rsidRDefault="00666AE0" w:rsidP="00981207">
            <w:pPr>
              <w:rPr>
                <w:sz w:val="24"/>
                <w:szCs w:val="24"/>
                <w:vertAlign w:val="superscript"/>
              </w:rPr>
            </w:pPr>
            <w:r w:rsidRPr="001A3EAF">
              <w:rPr>
                <w:sz w:val="24"/>
                <w:szCs w:val="24"/>
              </w:rPr>
              <w:t>MUFAs</w:t>
            </w:r>
            <w:r w:rsidR="00B63B27" w:rsidRPr="001A3EAF">
              <w:rPr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5812" w:type="dxa"/>
          </w:tcPr>
          <w:p w14:paraId="14DE54CC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Hewlett Packard 5890 gas chromatography system</w:t>
            </w:r>
          </w:p>
        </w:tc>
        <w:tc>
          <w:tcPr>
            <w:tcW w:w="2976" w:type="dxa"/>
          </w:tcPr>
          <w:p w14:paraId="3067DCB1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bCs/>
                <w:sz w:val="24"/>
                <w:szCs w:val="24"/>
              </w:rPr>
              <w:t>Hewlett</w:t>
            </w:r>
            <w:r w:rsidRPr="001A3EAF">
              <w:rPr>
                <w:sz w:val="24"/>
                <w:szCs w:val="24"/>
              </w:rPr>
              <w:t>-</w:t>
            </w:r>
            <w:r w:rsidRPr="001A3EAF">
              <w:rPr>
                <w:bCs/>
                <w:sz w:val="24"/>
                <w:szCs w:val="24"/>
              </w:rPr>
              <w:t>Packard</w:t>
            </w:r>
          </w:p>
        </w:tc>
        <w:tc>
          <w:tcPr>
            <w:tcW w:w="2613" w:type="dxa"/>
          </w:tcPr>
          <w:p w14:paraId="1B8A5030" w14:textId="77777777" w:rsidR="00666AE0" w:rsidRPr="001A3EAF" w:rsidRDefault="00666AE0" w:rsidP="00981207">
            <w:pPr>
              <w:rPr>
                <w:sz w:val="24"/>
                <w:szCs w:val="24"/>
                <w:highlight w:val="yellow"/>
              </w:rPr>
            </w:pPr>
            <w:r w:rsidRPr="001A3EAF">
              <w:rPr>
                <w:sz w:val="24"/>
                <w:szCs w:val="24"/>
              </w:rPr>
              <w:t>&lt; 10.0%</w:t>
            </w:r>
          </w:p>
        </w:tc>
      </w:tr>
      <w:tr w:rsidR="00666AE0" w:rsidRPr="001A3EAF" w14:paraId="6F464019" w14:textId="77777777" w:rsidTr="00981207">
        <w:trPr>
          <w:trHeight w:val="1109"/>
        </w:trPr>
        <w:tc>
          <w:tcPr>
            <w:tcW w:w="2547" w:type="dxa"/>
          </w:tcPr>
          <w:p w14:paraId="55573F3C" w14:textId="7108BEFC" w:rsidR="00666AE0" w:rsidRPr="001A3EAF" w:rsidRDefault="00666AE0" w:rsidP="00981207">
            <w:pPr>
              <w:rPr>
                <w:sz w:val="24"/>
                <w:szCs w:val="24"/>
                <w:vertAlign w:val="superscript"/>
              </w:rPr>
            </w:pPr>
            <w:r w:rsidRPr="001A3EAF">
              <w:rPr>
                <w:sz w:val="24"/>
                <w:szCs w:val="24"/>
              </w:rPr>
              <w:t>PUFAs</w:t>
            </w:r>
            <w:r w:rsidR="00B63B27" w:rsidRPr="001A3EAF">
              <w:rPr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5812" w:type="dxa"/>
          </w:tcPr>
          <w:p w14:paraId="0F21C342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Hewlett Packard 5890 gas chromatography system</w:t>
            </w:r>
          </w:p>
        </w:tc>
        <w:tc>
          <w:tcPr>
            <w:tcW w:w="2976" w:type="dxa"/>
          </w:tcPr>
          <w:p w14:paraId="1D4C6204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bCs/>
                <w:sz w:val="24"/>
                <w:szCs w:val="24"/>
              </w:rPr>
              <w:t>Hewlett</w:t>
            </w:r>
            <w:r w:rsidRPr="001A3EAF">
              <w:rPr>
                <w:sz w:val="24"/>
                <w:szCs w:val="24"/>
              </w:rPr>
              <w:t>-</w:t>
            </w:r>
            <w:r w:rsidRPr="001A3EAF">
              <w:rPr>
                <w:bCs/>
                <w:sz w:val="24"/>
                <w:szCs w:val="24"/>
              </w:rPr>
              <w:t>Packard</w:t>
            </w:r>
          </w:p>
        </w:tc>
        <w:tc>
          <w:tcPr>
            <w:tcW w:w="2613" w:type="dxa"/>
          </w:tcPr>
          <w:p w14:paraId="1658FF49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&lt;10.7% except DTA (29.9%) due to low abundance in pregnancy</w:t>
            </w:r>
          </w:p>
        </w:tc>
      </w:tr>
      <w:tr w:rsidR="00666AE0" w:rsidRPr="001A3EAF" w14:paraId="67675193" w14:textId="77777777" w:rsidTr="00981207">
        <w:tc>
          <w:tcPr>
            <w:tcW w:w="2547" w:type="dxa"/>
          </w:tcPr>
          <w:p w14:paraId="75160234" w14:textId="79E74581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Amino acids</w:t>
            </w:r>
            <w:r w:rsidR="00266BAD" w:rsidRPr="001A3EAF">
              <w:rPr>
                <w:sz w:val="24"/>
                <w:szCs w:val="24"/>
                <w:vertAlign w:val="superscript"/>
              </w:rPr>
              <w:t>d</w:t>
            </w:r>
            <w:r w:rsidRPr="001A3EA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</w:tcPr>
          <w:p w14:paraId="685F8025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Hitachi L-8900 Amino Acid analyzer</w:t>
            </w:r>
          </w:p>
        </w:tc>
        <w:tc>
          <w:tcPr>
            <w:tcW w:w="2976" w:type="dxa"/>
          </w:tcPr>
          <w:p w14:paraId="32C40401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Hitachi High-Technologies Corporation</w:t>
            </w:r>
          </w:p>
        </w:tc>
        <w:tc>
          <w:tcPr>
            <w:tcW w:w="2613" w:type="dxa"/>
          </w:tcPr>
          <w:p w14:paraId="24DA57CE" w14:textId="77777777" w:rsidR="00666AE0" w:rsidRPr="001A3EAF" w:rsidRDefault="00666AE0" w:rsidP="00981207">
            <w:pPr>
              <w:rPr>
                <w:sz w:val="24"/>
                <w:szCs w:val="24"/>
              </w:rPr>
            </w:pPr>
            <w:r w:rsidRPr="001A3EAF">
              <w:rPr>
                <w:sz w:val="24"/>
                <w:szCs w:val="24"/>
              </w:rPr>
              <w:t>&lt;5.0%</w:t>
            </w:r>
          </w:p>
        </w:tc>
      </w:tr>
    </w:tbl>
    <w:p w14:paraId="01B16925" w14:textId="77777777" w:rsidR="00666AE0" w:rsidRPr="00D16CEE" w:rsidRDefault="00666AE0" w:rsidP="00666AE0">
      <w:pPr>
        <w:pStyle w:val="NoSpacing"/>
        <w:rPr>
          <w:rFonts w:ascii="Times New Roman" w:hAnsi="Times New Roman" w:cs="Times New Roman"/>
        </w:rPr>
      </w:pPr>
      <w:r w:rsidRPr="00D16CEE">
        <w:rPr>
          <w:rFonts w:ascii="Times New Roman" w:hAnsi="Times New Roman" w:cs="Times New Roman"/>
        </w:rPr>
        <w:t>Abbreviations: FABP4: fatty acid binding protein-4, fT3-to-fT4 ratio: free T3-to-free T4 ratio, GDM: gestational diabetes mellitus, HbA1c: hemoglobin A1c, HDL-C: high-density lipoprotein cholesterol, HMW-adiponectin: high-molecular-weight adiponectin, hsCRP: high-sensitivity C-reactive protein, IGF-I: insulin-like growth factor I, IGFBP-2: insulin-like growth factor binding protein 2, IL-6: interlukin-6, MUFA: mono-unsaturated fatty acid, sOb-R: soluble leptin receptor, PUFA: poly-unsaturated fatty acid, SFA: saturated fatty acid</w:t>
      </w:r>
    </w:p>
    <w:p w14:paraId="0E1B63C5" w14:textId="4A445466" w:rsidR="00666AE0" w:rsidRPr="00D16CEE" w:rsidRDefault="00A41898" w:rsidP="00666AE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a</w:t>
      </w:r>
      <w:r w:rsidR="00666AE0" w:rsidRPr="00D16CEE">
        <w:rPr>
          <w:rFonts w:ascii="Times New Roman" w:hAnsi="Times New Roman" w:cs="Times New Roman"/>
        </w:rPr>
        <w:t xml:space="preserve"> Even- and odd-chain SFAs with relative concentrations &gt;0.05% included myristic acid (14:0), pentadecanoic acid (15:0), palmitic acid (16:0), heptadecanoic acid (17:0), and stearic acid (18:0).</w:t>
      </w:r>
    </w:p>
    <w:p w14:paraId="4BCF404E" w14:textId="10EC3C0C" w:rsidR="00666AE0" w:rsidRPr="00D16CEE" w:rsidRDefault="00A41898" w:rsidP="00666AE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b</w:t>
      </w:r>
      <w:r w:rsidR="00666AE0" w:rsidRPr="00D16CEE">
        <w:rPr>
          <w:rFonts w:ascii="Times New Roman" w:hAnsi="Times New Roman" w:cs="Times New Roman"/>
        </w:rPr>
        <w:t xml:space="preserve"> Six individual MUFAs included palmitoleic acid (POA) (16:1n-7), petroselinic acid (18:1n-12), vaccenic acid (VA) (18:1n-7), oleic acid (18:1n-9), gondoic acid (20:1n-9), and nervonic acid (24:1n-9).</w:t>
      </w:r>
    </w:p>
    <w:p w14:paraId="68E2C29B" w14:textId="5D9162AD" w:rsidR="00666AE0" w:rsidRPr="00D16CEE" w:rsidRDefault="00A41898" w:rsidP="00666AE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c</w:t>
      </w:r>
      <w:r w:rsidR="00666AE0" w:rsidRPr="00D16CEE">
        <w:rPr>
          <w:rFonts w:ascii="Times New Roman" w:hAnsi="Times New Roman" w:cs="Times New Roman"/>
        </w:rPr>
        <w:t xml:space="preserve"> </w:t>
      </w:r>
      <w:r w:rsidR="00666AE0">
        <w:rPr>
          <w:rFonts w:ascii="Times New Roman" w:hAnsi="Times New Roman" w:cs="Times New Roman"/>
        </w:rPr>
        <w:t>Eleven</w:t>
      </w:r>
      <w:r w:rsidR="00666AE0" w:rsidRPr="00D16CEE">
        <w:rPr>
          <w:rFonts w:ascii="Times New Roman" w:hAnsi="Times New Roman" w:cs="Times New Roman"/>
        </w:rPr>
        <w:t xml:space="preserve"> PUFAs </w:t>
      </w:r>
      <w:r w:rsidR="00666AE0" w:rsidRPr="00DE7E04">
        <w:rPr>
          <w:rFonts w:ascii="Times New Roman" w:hAnsi="Times New Roman" w:cs="Times New Roman"/>
        </w:rPr>
        <w:t>with relative percentage above 0.05%</w:t>
      </w:r>
      <w:r w:rsidR="00666AE0">
        <w:rPr>
          <w:rFonts w:ascii="Times New Roman" w:hAnsi="Times New Roman" w:cs="Times New Roman"/>
        </w:rPr>
        <w:t xml:space="preserve"> </w:t>
      </w:r>
      <w:r w:rsidR="00666AE0" w:rsidRPr="00D16CEE">
        <w:rPr>
          <w:rFonts w:ascii="Times New Roman" w:hAnsi="Times New Roman" w:cs="Times New Roman"/>
        </w:rPr>
        <w:t>were included in analysis</w:t>
      </w:r>
      <w:r w:rsidR="00666AE0">
        <w:rPr>
          <w:rFonts w:ascii="Times New Roman" w:hAnsi="Times New Roman" w:cs="Times New Roman"/>
        </w:rPr>
        <w:t>:</w:t>
      </w:r>
      <w:r w:rsidR="00666AE0" w:rsidRPr="00D16CEE">
        <w:rPr>
          <w:rFonts w:ascii="Times New Roman" w:hAnsi="Times New Roman" w:cs="Times New Roman"/>
        </w:rPr>
        <w:t xml:space="preserve"> four n-3 PUFAs: 18:3n-3 (ALA), 20:5n-3 (eicosapentaenoic acid [EPA]), 22:5n-3 (n-3 docosapentaenoic acid [DPA]), and 22:6n-3 (docosahexaenoic acid [DHA]); and seven n-6 PUFAs: 18:2n-6 (LA), 18:3n-6 (gamma-linolenic acid [GLA]), 20:2n-6 (eicosadie-noic acid [EDA]), 20:3n-6 (dihomo-gamma-linolenic acid [DGLA]), 20:4n-6 (arachidonic acid [AA]), 22:4n-6 (docosatetraenoic acid [DTA]), and 22:5n-6 (n-6 DPA)</w:t>
      </w:r>
    </w:p>
    <w:p w14:paraId="2D9EDC42" w14:textId="4D1192C8" w:rsidR="00984C5E" w:rsidRPr="001654BC" w:rsidRDefault="00A41898" w:rsidP="001654BC">
      <w:pPr>
        <w:pStyle w:val="NoSpacing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vertAlign w:val="superscript"/>
        </w:rPr>
        <w:t>d</w:t>
      </w:r>
      <w:r w:rsidR="00666AE0" w:rsidRPr="00D16CEE">
        <w:rPr>
          <w:rFonts w:ascii="Times New Roman" w:hAnsi="Times New Roman" w:cs="Times New Roman"/>
        </w:rPr>
        <w:t xml:space="preserve"> </w:t>
      </w:r>
      <w:r w:rsidR="009C72C4">
        <w:rPr>
          <w:rStyle w:val="normaltextrun"/>
          <w:rFonts w:ascii="Times New Roman" w:hAnsi="Times New Roman" w:cs="Times New Roman"/>
          <w:shd w:val="clear" w:color="auto" w:fill="FFFFFF"/>
        </w:rPr>
        <w:t>Twenty-four</w:t>
      </w:r>
      <w:r w:rsidR="00666AE0" w:rsidRPr="00D16CEE">
        <w:rPr>
          <w:rStyle w:val="normaltextrun"/>
          <w:rFonts w:ascii="Times New Roman" w:hAnsi="Times New Roman" w:cs="Times New Roman"/>
          <w:shd w:val="clear" w:color="auto" w:fill="FFFFFF"/>
        </w:rPr>
        <w:t xml:space="preserve"> individual AAs assessed in the study included 18 standard AAs: glycine, alanine, aspartic acid, asparagine, arginine, glutamine, glutamic acid, threonine, serine, valine, leucine, isoleucine, phenylalanine, tyrosine, methionine, histidine, lysine, proline; and 6 non-standard AAs: taurine, citrulline, ornithine, hydroxyproline, alpha-aminobutyric acid, and cystine. </w:t>
      </w:r>
    </w:p>
    <w:sectPr w:rsidR="00984C5E" w:rsidRPr="001654BC" w:rsidSect="00666AE0">
      <w:headerReference w:type="default" r:id="rId7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5113" w14:textId="77777777" w:rsidR="007868AA" w:rsidRDefault="007868AA">
      <w:r>
        <w:separator/>
      </w:r>
    </w:p>
  </w:endnote>
  <w:endnote w:type="continuationSeparator" w:id="0">
    <w:p w14:paraId="60D978E3" w14:textId="77777777" w:rsidR="007868AA" w:rsidRDefault="00786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4DB97" w14:textId="77777777" w:rsidR="007868AA" w:rsidRDefault="007868AA">
      <w:r>
        <w:separator/>
      </w:r>
    </w:p>
  </w:footnote>
  <w:footnote w:type="continuationSeparator" w:id="0">
    <w:p w14:paraId="29C148F9" w14:textId="77777777" w:rsidR="007868AA" w:rsidRDefault="00786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BC28E" w14:textId="77777777" w:rsidR="00DA53D7" w:rsidRDefault="00DA53D7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2723"/>
    <w:multiLevelType w:val="hybridMultilevel"/>
    <w:tmpl w:val="9F7008BE"/>
    <w:lvl w:ilvl="0" w:tplc="417229A8">
      <w:start w:val="1"/>
      <w:numFmt w:val="bullet"/>
      <w:lvlText w:val=""/>
      <w:lvlJc w:val="left"/>
      <w:pPr>
        <w:ind w:left="1080" w:hanging="360"/>
      </w:pPr>
      <w:rPr>
        <w:rFonts w:ascii="Symbol" w:eastAsia="Arial Unicode MS" w:hAnsi="Symbol" w:cs="Arial Unicode MS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8F1C73"/>
    <w:multiLevelType w:val="hybridMultilevel"/>
    <w:tmpl w:val="1F182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7151D"/>
    <w:multiLevelType w:val="hybridMultilevel"/>
    <w:tmpl w:val="DC60E5E8"/>
    <w:lvl w:ilvl="0" w:tplc="480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E5A52"/>
    <w:multiLevelType w:val="hybridMultilevel"/>
    <w:tmpl w:val="80827F5E"/>
    <w:lvl w:ilvl="0" w:tplc="79BA6530">
      <w:start w:val="1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AB742B"/>
    <w:multiLevelType w:val="hybridMultilevel"/>
    <w:tmpl w:val="72F46FAA"/>
    <w:lvl w:ilvl="0" w:tplc="E9142EB0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B48C3"/>
    <w:multiLevelType w:val="hybridMultilevel"/>
    <w:tmpl w:val="A168BBF8"/>
    <w:lvl w:ilvl="0" w:tplc="477249E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B566E4"/>
    <w:multiLevelType w:val="hybridMultilevel"/>
    <w:tmpl w:val="F9F0146C"/>
    <w:lvl w:ilvl="0" w:tplc="F056CBC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DA400A"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7A674C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7641A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1C4612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727BAE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CA465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0EBB88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7EAFA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76E23"/>
    <w:multiLevelType w:val="hybridMultilevel"/>
    <w:tmpl w:val="142E6CCC"/>
    <w:lvl w:ilvl="0" w:tplc="27B0FD1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380EC8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C0CB88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5A90C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42E15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D83CB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62DD1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1005A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C4F5C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1B2EBF"/>
    <w:multiLevelType w:val="hybridMultilevel"/>
    <w:tmpl w:val="984AD79E"/>
    <w:lvl w:ilvl="0" w:tplc="5420E5DA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E7486"/>
    <w:multiLevelType w:val="hybridMultilevel"/>
    <w:tmpl w:val="564E6E22"/>
    <w:lvl w:ilvl="0" w:tplc="03A09212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E160A4"/>
    <w:multiLevelType w:val="hybridMultilevel"/>
    <w:tmpl w:val="7C1A6DA6"/>
    <w:lvl w:ilvl="0" w:tplc="44A012B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45533"/>
    <w:multiLevelType w:val="hybridMultilevel"/>
    <w:tmpl w:val="E3BADD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3B366F"/>
    <w:multiLevelType w:val="hybridMultilevel"/>
    <w:tmpl w:val="5DBC530A"/>
    <w:lvl w:ilvl="0" w:tplc="C370359E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314358">
    <w:abstractNumId w:val="4"/>
  </w:num>
  <w:num w:numId="2" w16cid:durableId="217254797">
    <w:abstractNumId w:val="5"/>
  </w:num>
  <w:num w:numId="3" w16cid:durableId="1838382271">
    <w:abstractNumId w:val="6"/>
  </w:num>
  <w:num w:numId="4" w16cid:durableId="236944034">
    <w:abstractNumId w:val="7"/>
  </w:num>
  <w:num w:numId="5" w16cid:durableId="122040163">
    <w:abstractNumId w:val="2"/>
  </w:num>
  <w:num w:numId="6" w16cid:durableId="2110007309">
    <w:abstractNumId w:val="9"/>
  </w:num>
  <w:num w:numId="7" w16cid:durableId="1733843009">
    <w:abstractNumId w:val="10"/>
  </w:num>
  <w:num w:numId="8" w16cid:durableId="907544172">
    <w:abstractNumId w:val="3"/>
  </w:num>
  <w:num w:numId="9" w16cid:durableId="837039368">
    <w:abstractNumId w:val="0"/>
  </w:num>
  <w:num w:numId="10" w16cid:durableId="342629490">
    <w:abstractNumId w:val="12"/>
  </w:num>
  <w:num w:numId="11" w16cid:durableId="1316491827">
    <w:abstractNumId w:val="8"/>
  </w:num>
  <w:num w:numId="12" w16cid:durableId="171726873">
    <w:abstractNumId w:val="11"/>
  </w:num>
  <w:num w:numId="13" w16cid:durableId="280961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E0"/>
    <w:rsid w:val="000047D1"/>
    <w:rsid w:val="0000501E"/>
    <w:rsid w:val="0000638D"/>
    <w:rsid w:val="0001495D"/>
    <w:rsid w:val="00014AF5"/>
    <w:rsid w:val="000250B6"/>
    <w:rsid w:val="0002648C"/>
    <w:rsid w:val="00046B7D"/>
    <w:rsid w:val="000475D5"/>
    <w:rsid w:val="00047C7D"/>
    <w:rsid w:val="00050B7B"/>
    <w:rsid w:val="0005768C"/>
    <w:rsid w:val="00065E98"/>
    <w:rsid w:val="00073919"/>
    <w:rsid w:val="000751D6"/>
    <w:rsid w:val="00081229"/>
    <w:rsid w:val="00090F65"/>
    <w:rsid w:val="000B0817"/>
    <w:rsid w:val="000B31D5"/>
    <w:rsid w:val="000B7AD7"/>
    <w:rsid w:val="000C3855"/>
    <w:rsid w:val="000D0AFD"/>
    <w:rsid w:val="000D5CDE"/>
    <w:rsid w:val="000E2101"/>
    <w:rsid w:val="000E5A60"/>
    <w:rsid w:val="000E665D"/>
    <w:rsid w:val="0010300D"/>
    <w:rsid w:val="00105F1E"/>
    <w:rsid w:val="001130A4"/>
    <w:rsid w:val="001166A4"/>
    <w:rsid w:val="001178BF"/>
    <w:rsid w:val="00124B96"/>
    <w:rsid w:val="00127FD0"/>
    <w:rsid w:val="00143144"/>
    <w:rsid w:val="0014352E"/>
    <w:rsid w:val="001654BC"/>
    <w:rsid w:val="0017365C"/>
    <w:rsid w:val="001742E2"/>
    <w:rsid w:val="00184AA0"/>
    <w:rsid w:val="00187072"/>
    <w:rsid w:val="00192627"/>
    <w:rsid w:val="001A3EAF"/>
    <w:rsid w:val="001A76C8"/>
    <w:rsid w:val="001B36BD"/>
    <w:rsid w:val="001C7FC6"/>
    <w:rsid w:val="001D080B"/>
    <w:rsid w:val="001D12E8"/>
    <w:rsid w:val="001E08DA"/>
    <w:rsid w:val="001E556B"/>
    <w:rsid w:val="001F1D5E"/>
    <w:rsid w:val="001F3C81"/>
    <w:rsid w:val="001F4F96"/>
    <w:rsid w:val="002112D0"/>
    <w:rsid w:val="00212885"/>
    <w:rsid w:val="002151FE"/>
    <w:rsid w:val="002169DC"/>
    <w:rsid w:val="0023192A"/>
    <w:rsid w:val="002432C2"/>
    <w:rsid w:val="00245430"/>
    <w:rsid w:val="002614F2"/>
    <w:rsid w:val="00266BAD"/>
    <w:rsid w:val="00282B19"/>
    <w:rsid w:val="002912E8"/>
    <w:rsid w:val="00294C3E"/>
    <w:rsid w:val="002B04FA"/>
    <w:rsid w:val="002B1255"/>
    <w:rsid w:val="002B26C1"/>
    <w:rsid w:val="002B7787"/>
    <w:rsid w:val="002C2716"/>
    <w:rsid w:val="002C27C0"/>
    <w:rsid w:val="002C4060"/>
    <w:rsid w:val="002C5913"/>
    <w:rsid w:val="002D6E09"/>
    <w:rsid w:val="002E2038"/>
    <w:rsid w:val="002E56F3"/>
    <w:rsid w:val="002F7240"/>
    <w:rsid w:val="00304FC2"/>
    <w:rsid w:val="00305961"/>
    <w:rsid w:val="003075DE"/>
    <w:rsid w:val="0031233F"/>
    <w:rsid w:val="00320A34"/>
    <w:rsid w:val="00337795"/>
    <w:rsid w:val="00345950"/>
    <w:rsid w:val="00361B4E"/>
    <w:rsid w:val="0036509B"/>
    <w:rsid w:val="00375393"/>
    <w:rsid w:val="00380E62"/>
    <w:rsid w:val="00385605"/>
    <w:rsid w:val="003879F1"/>
    <w:rsid w:val="00391273"/>
    <w:rsid w:val="00392959"/>
    <w:rsid w:val="00397A00"/>
    <w:rsid w:val="003A5636"/>
    <w:rsid w:val="003A788D"/>
    <w:rsid w:val="003B12D1"/>
    <w:rsid w:val="003B6477"/>
    <w:rsid w:val="003C74F4"/>
    <w:rsid w:val="003C7E62"/>
    <w:rsid w:val="003D2155"/>
    <w:rsid w:val="003D65C2"/>
    <w:rsid w:val="003E28C6"/>
    <w:rsid w:val="003E4AF3"/>
    <w:rsid w:val="003F79F6"/>
    <w:rsid w:val="00415BCB"/>
    <w:rsid w:val="004168D1"/>
    <w:rsid w:val="0043502B"/>
    <w:rsid w:val="00440F60"/>
    <w:rsid w:val="0045006E"/>
    <w:rsid w:val="00456A5A"/>
    <w:rsid w:val="004662B6"/>
    <w:rsid w:val="004702A4"/>
    <w:rsid w:val="00470EA9"/>
    <w:rsid w:val="00471895"/>
    <w:rsid w:val="004744F1"/>
    <w:rsid w:val="0047644E"/>
    <w:rsid w:val="00480B05"/>
    <w:rsid w:val="004825BE"/>
    <w:rsid w:val="00487FAA"/>
    <w:rsid w:val="00496D7F"/>
    <w:rsid w:val="004A77A6"/>
    <w:rsid w:val="004D04EF"/>
    <w:rsid w:val="004E6496"/>
    <w:rsid w:val="004F29F0"/>
    <w:rsid w:val="00500DDF"/>
    <w:rsid w:val="00500E89"/>
    <w:rsid w:val="00502E3E"/>
    <w:rsid w:val="00505070"/>
    <w:rsid w:val="00506DF2"/>
    <w:rsid w:val="00507D60"/>
    <w:rsid w:val="00510567"/>
    <w:rsid w:val="00514ABE"/>
    <w:rsid w:val="00522333"/>
    <w:rsid w:val="00543576"/>
    <w:rsid w:val="0054679A"/>
    <w:rsid w:val="005469AD"/>
    <w:rsid w:val="005475F4"/>
    <w:rsid w:val="0056554A"/>
    <w:rsid w:val="00576A33"/>
    <w:rsid w:val="005809AF"/>
    <w:rsid w:val="00580B30"/>
    <w:rsid w:val="00590521"/>
    <w:rsid w:val="005A38CE"/>
    <w:rsid w:val="005A3D47"/>
    <w:rsid w:val="005C62A0"/>
    <w:rsid w:val="005E1064"/>
    <w:rsid w:val="005E3483"/>
    <w:rsid w:val="005E38B5"/>
    <w:rsid w:val="005E3BC8"/>
    <w:rsid w:val="005E4D3C"/>
    <w:rsid w:val="005F23DF"/>
    <w:rsid w:val="005F7684"/>
    <w:rsid w:val="006076EE"/>
    <w:rsid w:val="0061622C"/>
    <w:rsid w:val="0061690D"/>
    <w:rsid w:val="00617426"/>
    <w:rsid w:val="006175D3"/>
    <w:rsid w:val="00620277"/>
    <w:rsid w:val="006232C7"/>
    <w:rsid w:val="00623682"/>
    <w:rsid w:val="00631809"/>
    <w:rsid w:val="0063355F"/>
    <w:rsid w:val="00633755"/>
    <w:rsid w:val="006513C4"/>
    <w:rsid w:val="0066657C"/>
    <w:rsid w:val="00666AE0"/>
    <w:rsid w:val="006746E8"/>
    <w:rsid w:val="00682C26"/>
    <w:rsid w:val="00694CE1"/>
    <w:rsid w:val="00696C54"/>
    <w:rsid w:val="006A0940"/>
    <w:rsid w:val="006A16D6"/>
    <w:rsid w:val="006B0062"/>
    <w:rsid w:val="006B1CC2"/>
    <w:rsid w:val="006C2B13"/>
    <w:rsid w:val="006C3203"/>
    <w:rsid w:val="006D5277"/>
    <w:rsid w:val="006D5C9A"/>
    <w:rsid w:val="006E6493"/>
    <w:rsid w:val="006E7128"/>
    <w:rsid w:val="006F12DB"/>
    <w:rsid w:val="006F2E56"/>
    <w:rsid w:val="00702036"/>
    <w:rsid w:val="00704372"/>
    <w:rsid w:val="0070745E"/>
    <w:rsid w:val="00714CC1"/>
    <w:rsid w:val="0073719D"/>
    <w:rsid w:val="00742EC2"/>
    <w:rsid w:val="00752AF5"/>
    <w:rsid w:val="00766329"/>
    <w:rsid w:val="00772065"/>
    <w:rsid w:val="007818A0"/>
    <w:rsid w:val="00783626"/>
    <w:rsid w:val="007868AA"/>
    <w:rsid w:val="007900CF"/>
    <w:rsid w:val="007951AF"/>
    <w:rsid w:val="007A1142"/>
    <w:rsid w:val="007A576E"/>
    <w:rsid w:val="007B34BF"/>
    <w:rsid w:val="007C174E"/>
    <w:rsid w:val="007C4E45"/>
    <w:rsid w:val="007E0AD8"/>
    <w:rsid w:val="007F0F71"/>
    <w:rsid w:val="00800D70"/>
    <w:rsid w:val="00802E9C"/>
    <w:rsid w:val="00820281"/>
    <w:rsid w:val="00821983"/>
    <w:rsid w:val="00824D7F"/>
    <w:rsid w:val="00827BF8"/>
    <w:rsid w:val="00833020"/>
    <w:rsid w:val="00836A85"/>
    <w:rsid w:val="00836CF8"/>
    <w:rsid w:val="00842858"/>
    <w:rsid w:val="00864754"/>
    <w:rsid w:val="0087069B"/>
    <w:rsid w:val="008707E4"/>
    <w:rsid w:val="0087268F"/>
    <w:rsid w:val="00877A86"/>
    <w:rsid w:val="0089172F"/>
    <w:rsid w:val="008A5341"/>
    <w:rsid w:val="008A7EB0"/>
    <w:rsid w:val="008B29D5"/>
    <w:rsid w:val="008C1FE5"/>
    <w:rsid w:val="008C268C"/>
    <w:rsid w:val="008D123C"/>
    <w:rsid w:val="008D125E"/>
    <w:rsid w:val="008E2E4F"/>
    <w:rsid w:val="008E3726"/>
    <w:rsid w:val="008E5D94"/>
    <w:rsid w:val="008F0387"/>
    <w:rsid w:val="008F3D70"/>
    <w:rsid w:val="00920BAD"/>
    <w:rsid w:val="0093193E"/>
    <w:rsid w:val="00931E92"/>
    <w:rsid w:val="00932DF2"/>
    <w:rsid w:val="0093314B"/>
    <w:rsid w:val="00945033"/>
    <w:rsid w:val="009619AE"/>
    <w:rsid w:val="00963A41"/>
    <w:rsid w:val="009658FA"/>
    <w:rsid w:val="009661E6"/>
    <w:rsid w:val="009717A7"/>
    <w:rsid w:val="00973708"/>
    <w:rsid w:val="0097421F"/>
    <w:rsid w:val="009760D8"/>
    <w:rsid w:val="00983171"/>
    <w:rsid w:val="00984C23"/>
    <w:rsid w:val="00984C5E"/>
    <w:rsid w:val="009859C1"/>
    <w:rsid w:val="0098683A"/>
    <w:rsid w:val="00993EE0"/>
    <w:rsid w:val="009A7256"/>
    <w:rsid w:val="009B2DA1"/>
    <w:rsid w:val="009B33C5"/>
    <w:rsid w:val="009C1433"/>
    <w:rsid w:val="009C72C4"/>
    <w:rsid w:val="009D1B3B"/>
    <w:rsid w:val="009D206C"/>
    <w:rsid w:val="009D240F"/>
    <w:rsid w:val="009D5715"/>
    <w:rsid w:val="00A01DDF"/>
    <w:rsid w:val="00A067E2"/>
    <w:rsid w:val="00A0687C"/>
    <w:rsid w:val="00A07CEA"/>
    <w:rsid w:val="00A1713E"/>
    <w:rsid w:val="00A241EC"/>
    <w:rsid w:val="00A25581"/>
    <w:rsid w:val="00A41898"/>
    <w:rsid w:val="00A44FDC"/>
    <w:rsid w:val="00A539BB"/>
    <w:rsid w:val="00A668E0"/>
    <w:rsid w:val="00A7048C"/>
    <w:rsid w:val="00A704A5"/>
    <w:rsid w:val="00A71E89"/>
    <w:rsid w:val="00A7591B"/>
    <w:rsid w:val="00A81993"/>
    <w:rsid w:val="00A821E0"/>
    <w:rsid w:val="00A82C8B"/>
    <w:rsid w:val="00A853D9"/>
    <w:rsid w:val="00A87CF9"/>
    <w:rsid w:val="00A90FD5"/>
    <w:rsid w:val="00A92ABA"/>
    <w:rsid w:val="00A934D0"/>
    <w:rsid w:val="00AA0123"/>
    <w:rsid w:val="00AB114E"/>
    <w:rsid w:val="00AB1BE1"/>
    <w:rsid w:val="00AB3F80"/>
    <w:rsid w:val="00AB559A"/>
    <w:rsid w:val="00AC679F"/>
    <w:rsid w:val="00AD6E33"/>
    <w:rsid w:val="00AD7E56"/>
    <w:rsid w:val="00AE3107"/>
    <w:rsid w:val="00AF0022"/>
    <w:rsid w:val="00AF07D5"/>
    <w:rsid w:val="00AF2DA6"/>
    <w:rsid w:val="00AF6E3B"/>
    <w:rsid w:val="00B00A8C"/>
    <w:rsid w:val="00B038F0"/>
    <w:rsid w:val="00B1402A"/>
    <w:rsid w:val="00B14EEF"/>
    <w:rsid w:val="00B170F1"/>
    <w:rsid w:val="00B20147"/>
    <w:rsid w:val="00B20907"/>
    <w:rsid w:val="00B20A74"/>
    <w:rsid w:val="00B233DD"/>
    <w:rsid w:val="00B25530"/>
    <w:rsid w:val="00B325A4"/>
    <w:rsid w:val="00B3322B"/>
    <w:rsid w:val="00B41A9F"/>
    <w:rsid w:val="00B43D87"/>
    <w:rsid w:val="00B44509"/>
    <w:rsid w:val="00B46256"/>
    <w:rsid w:val="00B47169"/>
    <w:rsid w:val="00B47CD7"/>
    <w:rsid w:val="00B518D6"/>
    <w:rsid w:val="00B52049"/>
    <w:rsid w:val="00B571CB"/>
    <w:rsid w:val="00B63B27"/>
    <w:rsid w:val="00B657FE"/>
    <w:rsid w:val="00B76A5D"/>
    <w:rsid w:val="00B82F51"/>
    <w:rsid w:val="00B85CE6"/>
    <w:rsid w:val="00BA528B"/>
    <w:rsid w:val="00BB08E4"/>
    <w:rsid w:val="00BB5E1F"/>
    <w:rsid w:val="00BD69FE"/>
    <w:rsid w:val="00BD7083"/>
    <w:rsid w:val="00BE2F5D"/>
    <w:rsid w:val="00BE4A69"/>
    <w:rsid w:val="00BE5793"/>
    <w:rsid w:val="00C1239C"/>
    <w:rsid w:val="00C16F9F"/>
    <w:rsid w:val="00C4046F"/>
    <w:rsid w:val="00C43817"/>
    <w:rsid w:val="00C566F7"/>
    <w:rsid w:val="00C57092"/>
    <w:rsid w:val="00C6116B"/>
    <w:rsid w:val="00C625FE"/>
    <w:rsid w:val="00C6290A"/>
    <w:rsid w:val="00C639C1"/>
    <w:rsid w:val="00C77B91"/>
    <w:rsid w:val="00C77D61"/>
    <w:rsid w:val="00C85B7D"/>
    <w:rsid w:val="00C93F33"/>
    <w:rsid w:val="00C95E54"/>
    <w:rsid w:val="00CA05D2"/>
    <w:rsid w:val="00CA40D2"/>
    <w:rsid w:val="00CA7A5C"/>
    <w:rsid w:val="00CA7AD7"/>
    <w:rsid w:val="00CA7D79"/>
    <w:rsid w:val="00CB0CCB"/>
    <w:rsid w:val="00CB218D"/>
    <w:rsid w:val="00CB2C2E"/>
    <w:rsid w:val="00CC0732"/>
    <w:rsid w:val="00CC65CC"/>
    <w:rsid w:val="00CC6A6F"/>
    <w:rsid w:val="00CC6F56"/>
    <w:rsid w:val="00CD30D6"/>
    <w:rsid w:val="00CD55AC"/>
    <w:rsid w:val="00CE2956"/>
    <w:rsid w:val="00CE3326"/>
    <w:rsid w:val="00CE436D"/>
    <w:rsid w:val="00CE66A7"/>
    <w:rsid w:val="00CF38BF"/>
    <w:rsid w:val="00CF3A5E"/>
    <w:rsid w:val="00CF73B2"/>
    <w:rsid w:val="00D0007F"/>
    <w:rsid w:val="00D025B2"/>
    <w:rsid w:val="00D03C10"/>
    <w:rsid w:val="00D05320"/>
    <w:rsid w:val="00D14939"/>
    <w:rsid w:val="00D14C8B"/>
    <w:rsid w:val="00D31649"/>
    <w:rsid w:val="00D46F9E"/>
    <w:rsid w:val="00D63EF5"/>
    <w:rsid w:val="00D63F3C"/>
    <w:rsid w:val="00D658E6"/>
    <w:rsid w:val="00D72377"/>
    <w:rsid w:val="00D773DB"/>
    <w:rsid w:val="00D84A9E"/>
    <w:rsid w:val="00DA2186"/>
    <w:rsid w:val="00DA53D7"/>
    <w:rsid w:val="00DB1273"/>
    <w:rsid w:val="00DB2BB3"/>
    <w:rsid w:val="00DC1933"/>
    <w:rsid w:val="00DC2E8F"/>
    <w:rsid w:val="00DD017A"/>
    <w:rsid w:val="00DD6754"/>
    <w:rsid w:val="00DF00E8"/>
    <w:rsid w:val="00DF0973"/>
    <w:rsid w:val="00DF25FA"/>
    <w:rsid w:val="00DF321A"/>
    <w:rsid w:val="00E008AD"/>
    <w:rsid w:val="00E073E1"/>
    <w:rsid w:val="00E13C3F"/>
    <w:rsid w:val="00E14366"/>
    <w:rsid w:val="00E212E0"/>
    <w:rsid w:val="00E234BE"/>
    <w:rsid w:val="00E40ABD"/>
    <w:rsid w:val="00E50173"/>
    <w:rsid w:val="00E57878"/>
    <w:rsid w:val="00E6791B"/>
    <w:rsid w:val="00E74210"/>
    <w:rsid w:val="00E938FB"/>
    <w:rsid w:val="00EA1BDD"/>
    <w:rsid w:val="00EA4091"/>
    <w:rsid w:val="00EA554B"/>
    <w:rsid w:val="00EB0596"/>
    <w:rsid w:val="00EB0E94"/>
    <w:rsid w:val="00EB112E"/>
    <w:rsid w:val="00EC0B69"/>
    <w:rsid w:val="00EC175B"/>
    <w:rsid w:val="00ED1753"/>
    <w:rsid w:val="00EE23DF"/>
    <w:rsid w:val="00EE3B18"/>
    <w:rsid w:val="00EF23F9"/>
    <w:rsid w:val="00EF2552"/>
    <w:rsid w:val="00F259E8"/>
    <w:rsid w:val="00F308D9"/>
    <w:rsid w:val="00F407F6"/>
    <w:rsid w:val="00F40DF8"/>
    <w:rsid w:val="00F53380"/>
    <w:rsid w:val="00F64A96"/>
    <w:rsid w:val="00F65F55"/>
    <w:rsid w:val="00F83BA8"/>
    <w:rsid w:val="00F9457A"/>
    <w:rsid w:val="00F95CA4"/>
    <w:rsid w:val="00FA3F23"/>
    <w:rsid w:val="00FC4D33"/>
    <w:rsid w:val="00FC7E1D"/>
    <w:rsid w:val="00FD14B3"/>
    <w:rsid w:val="00FD2F58"/>
    <w:rsid w:val="00FE110D"/>
    <w:rsid w:val="00FE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209EB7"/>
  <w15:chartTrackingRefBased/>
  <w15:docId w15:val="{946B8906-D0AF-5A49-8E95-655EF1C0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A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bdr w:val="nil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6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A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A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A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A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A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A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AE0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AE0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AE0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AE0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AE0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AE0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AE0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AE0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AE0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A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AE0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AE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AE0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A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AE0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A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A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A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AE0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AE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666AE0"/>
    <w:rPr>
      <w:u w:val="single"/>
    </w:rPr>
  </w:style>
  <w:style w:type="paragraph" w:styleId="Header">
    <w:name w:val="header"/>
    <w:link w:val="HeaderChar"/>
    <w:uiPriority w:val="99"/>
    <w:rsid w:val="00666AE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ascii="Arial" w:eastAsia="Arial Unicode MS" w:hAnsi="Arial" w:cs="Arial Unicode MS"/>
      <w:color w:val="000000"/>
      <w:kern w:val="0"/>
      <w:u w:color="000000"/>
      <w:bdr w:val="nil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666AE0"/>
    <w:rPr>
      <w:rFonts w:ascii="Arial" w:eastAsia="Arial Unicode MS" w:hAnsi="Arial" w:cs="Arial Unicode MS"/>
      <w:color w:val="000000"/>
      <w:kern w:val="0"/>
      <w:u w:color="000000"/>
      <w:bdr w:val="nil"/>
      <w14:ligatures w14:val="none"/>
    </w:rPr>
  </w:style>
  <w:style w:type="paragraph" w:styleId="Footer">
    <w:name w:val="footer"/>
    <w:link w:val="FooterChar"/>
    <w:rsid w:val="00666AE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ascii="Arial" w:eastAsia="Arial" w:hAnsi="Arial" w:cs="Arial"/>
      <w:color w:val="000000"/>
      <w:kern w:val="0"/>
      <w:u w:color="000000"/>
      <w:bdr w:val="nil"/>
      <w14:ligatures w14:val="none"/>
    </w:rPr>
  </w:style>
  <w:style w:type="character" w:customStyle="1" w:styleId="FooterChar">
    <w:name w:val="Footer Char"/>
    <w:basedOn w:val="DefaultParagraphFont"/>
    <w:link w:val="Footer"/>
    <w:rsid w:val="00666AE0"/>
    <w:rPr>
      <w:rFonts w:ascii="Arial" w:eastAsia="Arial" w:hAnsi="Arial" w:cs="Arial"/>
      <w:color w:val="000000"/>
      <w:kern w:val="0"/>
      <w:u w:color="000000"/>
      <w:bdr w:val="nil"/>
      <w14:ligatures w14:val="none"/>
    </w:rPr>
  </w:style>
  <w:style w:type="paragraph" w:customStyle="1" w:styleId="Body">
    <w:name w:val="Body"/>
    <w:link w:val="BodyChar"/>
    <w:rsid w:val="00666AE0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Arial" w:eastAsia="Arial Unicode MS" w:hAnsi="Arial" w:cs="Arial Unicode MS"/>
      <w:color w:val="000000"/>
      <w:kern w:val="0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Default">
    <w:name w:val="Default"/>
    <w:rsid w:val="00666AE0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Helvetica Neue" w:hAnsi="Helvetica Neue" w:cs="Helvetica Neue"/>
      <w:color w:val="000000"/>
      <w:kern w:val="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HeaderFooter">
    <w:name w:val="Header &amp; Footer"/>
    <w:rsid w:val="00666AE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kern w:val="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EndNoteBibliography">
    <w:name w:val="EndNote Bibliography"/>
    <w:rsid w:val="00666AE0"/>
    <w:pPr>
      <w:pBdr>
        <w:top w:val="nil"/>
        <w:left w:val="nil"/>
        <w:bottom w:val="nil"/>
        <w:right w:val="nil"/>
        <w:between w:val="nil"/>
        <w:bar w:val="nil"/>
      </w:pBdr>
      <w:spacing w:after="160"/>
    </w:pPr>
    <w:rPr>
      <w:rFonts w:ascii="Arial" w:eastAsia="Arial" w:hAnsi="Arial" w:cs="Arial"/>
      <w:color w:val="000000"/>
      <w:kern w:val="0"/>
      <w:u w:color="000000"/>
      <w:bdr w:val="nil"/>
      <w14:ligatures w14:val="none"/>
    </w:rPr>
  </w:style>
  <w:style w:type="paragraph" w:styleId="NoSpacing">
    <w:name w:val="No Spacing"/>
    <w:uiPriority w:val="1"/>
    <w:qFormat/>
    <w:rsid w:val="00666A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kern w:val="0"/>
      <w:u w:color="000000"/>
      <w:bdr w:val="nil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6A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6AE0"/>
    <w:rPr>
      <w:rFonts w:ascii="Times New Roman" w:eastAsia="Arial Unicode MS" w:hAnsi="Times New Roman" w:cs="Times New Roman"/>
      <w:kern w:val="0"/>
      <w:sz w:val="20"/>
      <w:szCs w:val="20"/>
      <w:bdr w:val="nil"/>
      <w:lang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66AE0"/>
    <w:rPr>
      <w:sz w:val="16"/>
      <w:szCs w:val="16"/>
    </w:rPr>
  </w:style>
  <w:style w:type="paragraph" w:styleId="Revision">
    <w:name w:val="Revision"/>
    <w:hidden/>
    <w:uiPriority w:val="99"/>
    <w:semiHidden/>
    <w:rsid w:val="00666AE0"/>
    <w:rPr>
      <w:rFonts w:ascii="Times New Roman" w:eastAsia="Arial Unicode MS" w:hAnsi="Times New Roman" w:cs="Times New Roman"/>
      <w:kern w:val="0"/>
      <w:bdr w:val="nil"/>
      <w:lang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A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AE0"/>
    <w:rPr>
      <w:rFonts w:ascii="Times New Roman" w:eastAsia="Arial Unicode MS" w:hAnsi="Times New Roman" w:cs="Times New Roman"/>
      <w:b/>
      <w:bCs/>
      <w:kern w:val="0"/>
      <w:sz w:val="20"/>
      <w:szCs w:val="20"/>
      <w:bdr w:val="nil"/>
      <w:lang w:eastAsia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A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AE0"/>
    <w:rPr>
      <w:rFonts w:ascii="Segoe UI" w:eastAsia="Arial Unicode MS" w:hAnsi="Segoe UI" w:cs="Segoe UI"/>
      <w:kern w:val="0"/>
      <w:sz w:val="18"/>
      <w:szCs w:val="18"/>
      <w:bdr w:val="nil"/>
      <w:lang w:eastAsia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666AE0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666AE0"/>
    <w:pPr>
      <w:jc w:val="center"/>
    </w:pPr>
    <w:rPr>
      <w:rFonts w:ascii="Arial" w:hAnsi="Arial" w:cs="Arial"/>
      <w:color w:val="000000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BodyChar">
    <w:name w:val="Body Char"/>
    <w:basedOn w:val="DefaultParagraphFont"/>
    <w:link w:val="Body"/>
    <w:rsid w:val="00666AE0"/>
    <w:rPr>
      <w:rFonts w:ascii="Arial" w:eastAsia="Arial Unicode MS" w:hAnsi="Arial" w:cs="Arial Unicode MS"/>
      <w:color w:val="000000"/>
      <w:kern w:val="0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EndNoteBibliographyTitleChar">
    <w:name w:val="EndNote Bibliography Title Char"/>
    <w:basedOn w:val="BodyChar"/>
    <w:link w:val="EndNoteBibliographyTitle"/>
    <w:rsid w:val="00666AE0"/>
    <w:rPr>
      <w:rFonts w:ascii="Arial" w:eastAsia="Arial Unicode MS" w:hAnsi="Arial" w:cs="Arial"/>
      <w:color w:val="000000"/>
      <w:kern w:val="0"/>
      <w:u w:color="000000"/>
      <w:bdr w:val="nil"/>
      <w:lang w:val="de-DE" w:eastAsia="en-US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styleId="TableGrid">
    <w:name w:val="Table Grid"/>
    <w:basedOn w:val="TableNormal"/>
    <w:uiPriority w:val="39"/>
    <w:rsid w:val="00666AE0"/>
    <w:rPr>
      <w:kern w:val="0"/>
      <w:sz w:val="22"/>
      <w:szCs w:val="22"/>
      <w:lang w:val="en-S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666AE0"/>
  </w:style>
  <w:style w:type="character" w:styleId="LineNumber">
    <w:name w:val="line number"/>
    <w:basedOn w:val="DefaultParagraphFont"/>
    <w:uiPriority w:val="99"/>
    <w:semiHidden/>
    <w:unhideWhenUsed/>
    <w:rsid w:val="00666AE0"/>
  </w:style>
  <w:style w:type="paragraph" w:customStyle="1" w:styleId="EndNoteBibliographyTitle0">
    <w:name w:val="EndNoteBibliographyTitle"/>
    <w:rsid w:val="00666A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</w:style>
  <w:style w:type="paragraph" w:customStyle="1" w:styleId="EndNoteBibliography0">
    <w:name w:val="EndNoteBibliography"/>
    <w:rsid w:val="00666A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66A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SG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Jiaxi Yang</dc:creator>
  <cp:keywords/>
  <dc:description/>
  <cp:lastModifiedBy>Jiaxi Yang</cp:lastModifiedBy>
  <cp:revision>37</cp:revision>
  <dcterms:created xsi:type="dcterms:W3CDTF">2024-09-14T05:58:00Z</dcterms:created>
  <dcterms:modified xsi:type="dcterms:W3CDTF">2025-06-30T06:37:00Z</dcterms:modified>
</cp:coreProperties>
</file>