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0193860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651137528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noProof/>
          <w:sz w:val="20"/>
          <w:szCs w:val="20"/>
        </w:rPr>
      </w:sdtEndPr>
      <w:sdtContent>
        <w:p w:rsidR="00891CB6" w:rsidRDefault="00891CB6" w:rsidP="00891CB6">
          <w:pPr>
            <w:pStyle w:val="Heading1"/>
          </w:pPr>
          <w:r>
            <w:t>Additional Files for:</w:t>
          </w:r>
          <w:bookmarkEnd w:id="0"/>
          <w:r>
            <w:br/>
          </w:r>
        </w:p>
        <w:p w:rsidR="00891CB6" w:rsidRPr="000F5BD1" w:rsidRDefault="00891CB6" w:rsidP="00891CB6">
          <w:pPr>
            <w:jc w:val="center"/>
            <w:rPr>
              <w:b/>
              <w:bCs/>
              <w:lang w:val="en-US"/>
            </w:rPr>
          </w:pPr>
          <w:r w:rsidRPr="000F5BD1">
            <w:rPr>
              <w:b/>
              <w:bCs/>
              <w:lang w:val="en-US"/>
            </w:rPr>
            <w:t xml:space="preserve">Age-targeted vaccination for reducing </w:t>
          </w:r>
          <w:proofErr w:type="spellStart"/>
          <w:r w:rsidRPr="005D6DC4">
            <w:rPr>
              <w:b/>
              <w:bCs/>
              <w:i/>
              <w:iCs/>
              <w:lang w:val="en-US"/>
            </w:rPr>
            <w:t>Clostridioides</w:t>
          </w:r>
          <w:proofErr w:type="spellEnd"/>
          <w:r w:rsidRPr="005D6DC4">
            <w:rPr>
              <w:b/>
              <w:bCs/>
              <w:i/>
              <w:iCs/>
              <w:lang w:val="en-US"/>
            </w:rPr>
            <w:t xml:space="preserve"> difficile</w:t>
          </w:r>
          <w:r w:rsidRPr="000F5BD1">
            <w:rPr>
              <w:b/>
              <w:bCs/>
              <w:lang w:val="en-US"/>
            </w:rPr>
            <w:t xml:space="preserve"> </w:t>
          </w:r>
          <w:r>
            <w:rPr>
              <w:b/>
              <w:bCs/>
              <w:lang w:val="en-US"/>
            </w:rPr>
            <w:t xml:space="preserve">infection </w:t>
          </w:r>
          <w:r w:rsidRPr="000F5BD1">
            <w:rPr>
              <w:b/>
              <w:bCs/>
              <w:lang w:val="en-US"/>
            </w:rPr>
            <w:t>in England:</w:t>
          </w:r>
        </w:p>
        <w:p w:rsidR="00891CB6" w:rsidRPr="000F5BD1" w:rsidRDefault="00891CB6" w:rsidP="00891CB6">
          <w:pPr>
            <w:jc w:val="center"/>
            <w:rPr>
              <w:b/>
              <w:bCs/>
              <w:lang w:val="en-US"/>
            </w:rPr>
          </w:pPr>
          <w:proofErr w:type="gramStart"/>
          <w:r w:rsidRPr="000F5BD1">
            <w:rPr>
              <w:b/>
              <w:bCs/>
              <w:lang w:val="en-US"/>
            </w:rPr>
            <w:t>a</w:t>
          </w:r>
          <w:proofErr w:type="gramEnd"/>
          <w:r w:rsidRPr="000F5BD1">
            <w:rPr>
              <w:b/>
              <w:bCs/>
              <w:lang w:val="en-US"/>
            </w:rPr>
            <w:t xml:space="preserve"> coupled mathematical-economic modelling analysis</w:t>
          </w:r>
        </w:p>
        <w:p w:rsidR="00891CB6" w:rsidRPr="000F5BD1" w:rsidRDefault="00891CB6" w:rsidP="00891CB6">
          <w:pPr>
            <w:rPr>
              <w:lang w:val="en-US"/>
            </w:rPr>
          </w:pPr>
          <w:proofErr w:type="spellStart"/>
          <w:r>
            <w:rPr>
              <w:lang w:val="en-US"/>
            </w:rPr>
            <w:t>Laith</w:t>
          </w:r>
          <w:proofErr w:type="spellEnd"/>
          <w:r>
            <w:rPr>
              <w:lang w:val="en-US"/>
            </w:rPr>
            <w:t xml:space="preserve"> </w:t>
          </w:r>
          <w:proofErr w:type="spellStart"/>
          <w:r>
            <w:rPr>
              <w:lang w:val="en-US"/>
            </w:rPr>
            <w:t>Yakob</w:t>
          </w:r>
          <w:proofErr w:type="spellEnd"/>
          <w:r>
            <w:rPr>
              <w:lang w:val="en-US"/>
            </w:rPr>
            <w:t xml:space="preserve">, </w:t>
          </w:r>
          <w:proofErr w:type="spellStart"/>
          <w:r w:rsidRPr="000F5BD1">
            <w:rPr>
              <w:lang w:val="en-US"/>
            </w:rPr>
            <w:t>Kasim</w:t>
          </w:r>
          <w:proofErr w:type="spellEnd"/>
          <w:r w:rsidRPr="000F5BD1">
            <w:rPr>
              <w:lang w:val="en-US"/>
            </w:rPr>
            <w:t xml:space="preserve"> </w:t>
          </w:r>
          <w:proofErr w:type="spellStart"/>
          <w:r w:rsidRPr="000F5BD1">
            <w:rPr>
              <w:lang w:val="en-US"/>
            </w:rPr>
            <w:t>Allel</w:t>
          </w:r>
          <w:proofErr w:type="spellEnd"/>
          <w:r w:rsidRPr="000F5BD1">
            <w:rPr>
              <w:lang w:val="en-US"/>
            </w:rPr>
            <w:t xml:space="preserve">, </w:t>
          </w:r>
          <w:proofErr w:type="spellStart"/>
          <w:r w:rsidRPr="000F5BD1">
            <w:rPr>
              <w:lang w:val="en-US"/>
            </w:rPr>
            <w:t>Aiman</w:t>
          </w:r>
          <w:proofErr w:type="spellEnd"/>
          <w:r w:rsidRPr="000F5BD1">
            <w:rPr>
              <w:lang w:val="en-US"/>
            </w:rPr>
            <w:t xml:space="preserve"> </w:t>
          </w:r>
          <w:proofErr w:type="spellStart"/>
          <w:r w:rsidRPr="000F5BD1">
            <w:rPr>
              <w:lang w:val="en-US"/>
            </w:rPr>
            <w:t>Elragig</w:t>
          </w:r>
          <w:proofErr w:type="spellEnd"/>
          <w:r w:rsidRPr="000F5BD1">
            <w:rPr>
              <w:lang w:val="en-US"/>
            </w:rPr>
            <w:t xml:space="preserve">, Tim </w:t>
          </w:r>
          <w:proofErr w:type="spellStart"/>
          <w:r w:rsidRPr="000F5BD1">
            <w:rPr>
              <w:lang w:val="en-US"/>
            </w:rPr>
            <w:t>Planche</w:t>
          </w:r>
          <w:proofErr w:type="spellEnd"/>
          <w:r w:rsidRPr="000F5BD1">
            <w:rPr>
              <w:lang w:val="en-US"/>
            </w:rPr>
            <w:t xml:space="preserve">, Jennifer </w:t>
          </w:r>
          <w:proofErr w:type="spellStart"/>
          <w:r w:rsidRPr="000F5BD1">
            <w:rPr>
              <w:lang w:val="en-US"/>
            </w:rPr>
            <w:t>Mo</w:t>
          </w:r>
          <w:r>
            <w:rPr>
              <w:lang w:val="en-US"/>
            </w:rPr>
            <w:t>ï</w:t>
          </w:r>
          <w:r w:rsidRPr="000F5BD1">
            <w:rPr>
              <w:lang w:val="en-US"/>
            </w:rPr>
            <w:t>si</w:t>
          </w:r>
          <w:proofErr w:type="spellEnd"/>
          <w:r w:rsidRPr="000F5BD1">
            <w:rPr>
              <w:lang w:val="en-US"/>
            </w:rPr>
            <w:t xml:space="preserve">, </w:t>
          </w:r>
          <w:proofErr w:type="spellStart"/>
          <w:r w:rsidRPr="000F5BD1">
            <w:rPr>
              <w:lang w:val="en-US"/>
            </w:rPr>
            <w:t>Tendai</w:t>
          </w:r>
          <w:proofErr w:type="spellEnd"/>
          <w:r w:rsidRPr="000F5BD1">
            <w:rPr>
              <w:lang w:val="en-US"/>
            </w:rPr>
            <w:t xml:space="preserve"> </w:t>
          </w:r>
          <w:proofErr w:type="spellStart"/>
          <w:r w:rsidRPr="000F5BD1">
            <w:rPr>
              <w:lang w:val="en-US"/>
            </w:rPr>
            <w:t>Mugwagwa</w:t>
          </w:r>
          <w:proofErr w:type="spellEnd"/>
          <w:r w:rsidRPr="000F5BD1">
            <w:rPr>
              <w:lang w:val="en-US"/>
            </w:rPr>
            <w:t>, Holly Yu</w:t>
          </w:r>
        </w:p>
        <w:p w:rsidR="00891CB6" w:rsidRPr="000F5BD1" w:rsidRDefault="00891CB6" w:rsidP="00891CB6">
          <w:pPr>
            <w:rPr>
              <w:lang w:val="en-US"/>
            </w:rPr>
          </w:pPr>
        </w:p>
        <w:p w:rsidR="00891CB6" w:rsidRDefault="00891CB6" w:rsidP="00891CB6">
          <w:pPr>
            <w:pStyle w:val="TOCHeading"/>
          </w:pPr>
        </w:p>
        <w:p w:rsidR="00891CB6" w:rsidRDefault="00891CB6" w:rsidP="00891CB6">
          <w:pPr>
            <w:pStyle w:val="TOCHeading"/>
          </w:pPr>
          <w:r>
            <w:t>Contents</w:t>
          </w:r>
        </w:p>
        <w:p w:rsidR="00891CB6" w:rsidRDefault="00891CB6" w:rsidP="00891CB6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938600" w:history="1">
            <w:r w:rsidRPr="00BA1EA9">
              <w:rPr>
                <w:rStyle w:val="Hyperlink"/>
                <w:noProof/>
              </w:rPr>
              <w:t>Additional Files for: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1" w:history="1">
            <w:r w:rsidRPr="00BA1EA9">
              <w:rPr>
                <w:rStyle w:val="Hyperlink"/>
                <w:noProof/>
              </w:rPr>
              <w:t>Additional File 1: Setting the epidemiological proportions of new hospital admissions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2" w:history="1">
            <w:r w:rsidRPr="00BA1EA9">
              <w:rPr>
                <w:rStyle w:val="Hyperlink"/>
                <w:rFonts w:eastAsiaTheme="minorHAnsi"/>
                <w:noProof/>
              </w:rPr>
              <w:t>Figure S1. Setting the epidemiological proportions of new hospital admissions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3" w:history="1">
            <w:r w:rsidRPr="00BA1EA9">
              <w:rPr>
                <w:rStyle w:val="Hyperlink"/>
                <w:noProof/>
                <w:lang w:val="en-US"/>
              </w:rPr>
              <w:t>Additional File 2: Global sensitivity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4" w:history="1">
            <w:r w:rsidRPr="00BA1EA9">
              <w:rPr>
                <w:rStyle w:val="Hyperlink"/>
                <w:noProof/>
              </w:rPr>
              <w:t xml:space="preserve">Figure S2. </w:t>
            </w:r>
            <w:r w:rsidRPr="00BA1EA9">
              <w:rPr>
                <w:rStyle w:val="Hyperlink"/>
                <w:rFonts w:eastAsiaTheme="minorHAnsi"/>
                <w:noProof/>
                <w:lang w:val="en-US"/>
              </w:rPr>
              <w:t>Global sensitivity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5" w:history="1">
            <w:r w:rsidRPr="00BA1EA9">
              <w:rPr>
                <w:rStyle w:val="Hyperlink"/>
                <w:noProof/>
              </w:rPr>
              <w:t>Additional File 3: Vaccine efficacy sensitivity analysis (health outcomes)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6" w:history="1">
            <w:r w:rsidRPr="00BA1EA9">
              <w:rPr>
                <w:rStyle w:val="Hyperlink"/>
                <w:rFonts w:eastAsiaTheme="minorHAnsi"/>
                <w:noProof/>
              </w:rPr>
              <w:t>Figure S3. Simulated impacts of different vaccine (60% efficacy) coverage levels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7" w:history="1">
            <w:r w:rsidRPr="00BA1EA9">
              <w:rPr>
                <w:rStyle w:val="Hyperlink"/>
                <w:rFonts w:eastAsiaTheme="minorHAnsi"/>
                <w:noProof/>
              </w:rPr>
              <w:t>Figure S4. Simulated impacts of different vaccine (100% efficacy) coverage levels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8" w:history="1">
            <w:r w:rsidRPr="00BA1EA9">
              <w:rPr>
                <w:rStyle w:val="Hyperlink"/>
                <w:noProof/>
              </w:rPr>
              <w:t>Additional File 4: Vaccine efficacy sensitivity analysis (economic outcomes)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09" w:history="1">
            <w:r w:rsidRPr="00BA1EA9">
              <w:rPr>
                <w:rStyle w:val="Hyperlink"/>
                <w:rFonts w:eastAsiaTheme="minorHAnsi"/>
                <w:noProof/>
              </w:rPr>
              <w:t>Figure S5. Economic analysis for 60% vaccine efficacy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0" w:history="1">
            <w:r w:rsidRPr="00BA1EA9">
              <w:rPr>
                <w:rStyle w:val="Hyperlink"/>
                <w:rFonts w:eastAsiaTheme="minorHAnsi"/>
                <w:noProof/>
              </w:rPr>
              <w:t>Figure S6. Economic analysis for 100% vaccine efficacy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1" w:history="1">
            <w:r w:rsidRPr="00BA1EA9">
              <w:rPr>
                <w:rStyle w:val="Hyperlink"/>
                <w:noProof/>
                <w:lang w:val="en-US"/>
              </w:rPr>
              <w:t>Additional File 5: Vaccination schedules under alternative waning scenarios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2" w:history="1">
            <w:r w:rsidRPr="00BA1EA9">
              <w:rPr>
                <w:rStyle w:val="Hyperlink"/>
                <w:noProof/>
              </w:rPr>
              <w:t>Figure S7. Alternative scenarios for vaccine waning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2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3" w:history="1">
            <w:r w:rsidRPr="00BA1EA9">
              <w:rPr>
                <w:rStyle w:val="Hyperlink"/>
                <w:noProof/>
              </w:rPr>
              <w:t>Additional File 6: Economic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4" w:history="1">
            <w:r w:rsidRPr="00BA1EA9">
              <w:rPr>
                <w:rStyle w:val="Hyperlink"/>
                <w:rFonts w:eastAsiaTheme="minorHAnsi"/>
                <w:noProof/>
              </w:rPr>
              <w:t>Table S1. Total bed costs per patient and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5" w:history="1">
            <w:r w:rsidRPr="00BA1EA9">
              <w:rPr>
                <w:rStyle w:val="Hyperlink"/>
                <w:rFonts w:eastAsiaTheme="minorHAnsi"/>
                <w:noProof/>
              </w:rPr>
              <w:t>Table S2. Treatment costs per patient and by severity levels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6" w:history="1">
            <w:r w:rsidRPr="00BA1EA9">
              <w:rPr>
                <w:rStyle w:val="Hyperlink"/>
                <w:rFonts w:eastAsiaTheme="minorHAnsi"/>
                <w:noProof/>
              </w:rPr>
              <w:t>Table S3. Utilities scores per patient with CDI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7" w:history="1">
            <w:r w:rsidRPr="00BA1EA9">
              <w:rPr>
                <w:rStyle w:val="Hyperlink"/>
                <w:rFonts w:cstheme="minorHAnsi"/>
                <w:i/>
                <w:iCs/>
                <w:noProof/>
              </w:rPr>
              <w:t>Hospitalisation cost for general ward bed-days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8" w:history="1">
            <w:r w:rsidRPr="00BA1EA9">
              <w:rPr>
                <w:rStyle w:val="Hyperlink"/>
                <w:rFonts w:eastAsiaTheme="minorHAnsi"/>
                <w:noProof/>
              </w:rPr>
              <w:t>Table S4. Derivation of hospitalisation</w:t>
            </w:r>
            <w:r w:rsidRPr="00BA1EA9">
              <w:rPr>
                <w:rStyle w:val="Hyperlink"/>
                <w:rFonts w:cstheme="minorHAnsi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19" w:history="1">
            <w:r w:rsidRPr="00BA1EA9">
              <w:rPr>
                <w:rStyle w:val="Hyperlink"/>
                <w:rFonts w:eastAsiaTheme="minorHAnsi"/>
                <w:noProof/>
              </w:rPr>
              <w:t>Table S5. Derivation of hospitalisation costs</w:t>
            </w:r>
            <w:r w:rsidRPr="00BA1EA9">
              <w:rPr>
                <w:rStyle w:val="Hyperlink"/>
                <w:rFonts w:cstheme="minorHAnsi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20" w:history="1">
            <w:r w:rsidRPr="00BA1EA9">
              <w:rPr>
                <w:rStyle w:val="Hyperlink"/>
                <w:rFonts w:eastAsiaTheme="minorHAnsi"/>
                <w:noProof/>
              </w:rPr>
              <w:t>Table S6. Summary of the total hospital costs per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pPr>
            <w:pStyle w:val="TOC3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01938621" w:history="1">
            <w:r w:rsidRPr="00BA1EA9">
              <w:rPr>
                <w:rStyle w:val="Hyperlink"/>
                <w:rFonts w:eastAsiaTheme="minorHAnsi"/>
                <w:noProof/>
              </w:rPr>
              <w:t>Table S7. Summary of the costs associated with years lost due to premature mortality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_Toc201938621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1CB6" w:rsidRDefault="00891CB6" w:rsidP="00891CB6">
          <w:r>
            <w:rPr>
              <w:b/>
              <w:bCs/>
              <w:noProof/>
            </w:rPr>
            <w:fldChar w:fldCharType="end"/>
          </w:r>
        </w:p>
      </w:sdtContent>
    </w:sdt>
    <w:p w:rsidR="00891CB6" w:rsidRDefault="00891CB6" w:rsidP="00891CB6">
      <w:pPr>
        <w:pStyle w:val="Heading2"/>
        <w:rPr>
          <w:rFonts w:eastAsiaTheme="minorEastAsia"/>
        </w:rPr>
      </w:pPr>
    </w:p>
    <w:p w:rsidR="00891CB6" w:rsidRDefault="00891CB6" w:rsidP="00891CB6"/>
    <w:p w:rsidR="00891CB6" w:rsidRDefault="00891CB6" w:rsidP="00891CB6"/>
    <w:p w:rsidR="00891CB6" w:rsidRDefault="00891CB6" w:rsidP="00891CB6"/>
    <w:p w:rsidR="00891CB6" w:rsidRPr="00C24AAE" w:rsidRDefault="00891CB6" w:rsidP="00891CB6">
      <w:pPr>
        <w:pStyle w:val="Heading2"/>
        <w:rPr>
          <w:rFonts w:eastAsiaTheme="minorEastAsia"/>
        </w:rPr>
      </w:pPr>
      <w:bookmarkStart w:id="1" w:name="_Toc201938601"/>
      <w:r w:rsidRPr="00C24AAE">
        <w:rPr>
          <w:rFonts w:eastAsiaTheme="minorEastAsia"/>
        </w:rPr>
        <w:t>A</w:t>
      </w:r>
      <w:r>
        <w:rPr>
          <w:rFonts w:eastAsiaTheme="minorEastAsia"/>
        </w:rPr>
        <w:t xml:space="preserve">dditional File 1: </w:t>
      </w:r>
      <w:r w:rsidRPr="00727218">
        <w:rPr>
          <w:rFonts w:eastAsiaTheme="minorEastAsia"/>
        </w:rPr>
        <w:t>Setting the epidemiological proportions of new hospital admissions</w:t>
      </w:r>
      <w:bookmarkEnd w:id="1"/>
    </w:p>
    <w:p w:rsidR="00891CB6" w:rsidRPr="00063CCC" w:rsidRDefault="00891CB6" w:rsidP="00891CB6">
      <w:r>
        <w:t xml:space="preserve">At endemic equilibrium, approximately 0.05% of new admissions have CDI </w:t>
      </w:r>
      <w:r>
        <w:fldChar w:fldCharType="begin"/>
      </w:r>
      <w:r>
        <w:instrText xml:space="preserve"> ADDIN EN.CITE &lt;EndNote&gt;&lt;Cite&gt;&lt;Author&gt;NHS Digital&lt;/Author&gt;&lt;Year&gt;2022&lt;/Year&gt;&lt;RecNum&gt;31&lt;/RecNum&gt;&lt;DisplayText&gt;&lt;style face="superscript"&gt;1&lt;/style&gt;&lt;/DisplayText&gt;&lt;record&gt;&lt;rec-number&gt;31&lt;/rec-number&gt;&lt;foreign-keys&gt;&lt;key app="EN" db-id="0rttzfsa8tzvshed5ts5vtxkzx5t5r9ewwtx" timestamp="1679322460"&gt;31&lt;/key&gt;&lt;/foreign-keys&gt;&lt;ref-type name="Online Database"&gt;45&lt;/ref-type&gt;&lt;contributors&gt;&lt;authors&gt;&lt;author&gt;NHS Digital,&lt;/author&gt;&lt;/authors&gt;&lt;/contributors&gt;&lt;titles&gt;&lt;title&gt;Hospital Admitted Patient Care Activity 2020-21&lt;/title&gt;&lt;/titles&gt;&lt;dates&gt;&lt;year&gt;2022&lt;/year&gt;&lt;/dates&gt;&lt;urls&gt;&lt;related-urls&gt;&lt;url&gt;https://digital.nhs.uk/data-and-information/publications/statistical/hospital-admitted-patient-care-activity/2020-21&lt;/url&gt;&lt;/related-urls&gt;&lt;/urls&gt;&lt;/record&gt;&lt;/Cite&gt;&lt;/EndNote&gt;</w:instrText>
      </w:r>
      <w:r>
        <w:fldChar w:fldCharType="separate"/>
      </w:r>
      <w:r w:rsidRPr="00035EA0">
        <w:rPr>
          <w:noProof/>
          <w:vertAlign w:val="superscript"/>
        </w:rPr>
        <w:t>1</w:t>
      </w:r>
      <w:r>
        <w:fldChar w:fldCharType="end"/>
      </w:r>
      <w:r>
        <w:t xml:space="preserve"> and 5% of new admissions are colonized (all colonized-but-not-diseased categories sum to 5-0.05=4.95%). </w:t>
      </w:r>
      <w:r w:rsidRPr="002072DC">
        <w:t xml:space="preserve">10% of those discharged are re-admitted within 30 days </w:t>
      </w:r>
      <w:r>
        <w:fldChar w:fldCharType="begin"/>
      </w:r>
      <w:r>
        <w:instrText xml:space="preserve"> ADDIN EN.CITE &lt;EndNote&gt;&lt;Cite&gt;&lt;Author&gt;Budgell&lt;/Author&gt;&lt;Year&gt;2022&lt;/Year&gt;&lt;RecNum&gt;32&lt;/RecNum&gt;&lt;DisplayText&gt;&lt;style face="superscript"&gt;2&lt;/style&gt;&lt;/DisplayText&gt;&lt;record&gt;&lt;rec-number&gt;32&lt;/rec-number&gt;&lt;foreign-keys&gt;&lt;key app="EN" db-id="0rttzfsa8tzvshed5ts5vtxkzx5t5r9ewwtx" timestamp="1679322775"&gt;32&lt;/key&gt;&lt;/foreign-keys&gt;&lt;ref-type name="Journal Article"&gt;17&lt;/ref-type&gt;&lt;contributors&gt;&lt;authors&gt;&lt;author&gt;Budgell, Eric P.&lt;/author&gt;&lt;author&gt;Davies, Timothy J.&lt;/author&gt;&lt;author&gt;Donker, Tjibbe&lt;/author&gt;&lt;author&gt;Hopkins, Susan&lt;/author&gt;&lt;author&gt;Wyllie, David H.&lt;/author&gt;&lt;author&gt;Peto, Tim E. A.&lt;/author&gt;&lt;author&gt;Gill, Martin J.&lt;/author&gt;&lt;author&gt;Llewelyn, Martin J.&lt;/author&gt;&lt;author&gt;Walker, A. Sarah&lt;/author&gt;&lt;/authors&gt;&lt;/contributors&gt;&lt;titles&gt;&lt;title&gt;Impact of antibiotic use on patient-level risk of death in 36 million hospital admissions in England&lt;/title&gt;&lt;secondary-title&gt;Journal of Infection&lt;/secondary-title&gt;&lt;/titles&gt;&lt;periodical&gt;&lt;full-title&gt;Journal of Infection&lt;/full-title&gt;&lt;/periodical&gt;&lt;pages&gt;311-320&lt;/pages&gt;&lt;volume&gt;84&lt;/volume&gt;&lt;number&gt;3&lt;/number&gt;&lt;dates&gt;&lt;year&gt;2022&lt;/year&gt;&lt;/dates&gt;&lt;publisher&gt;Elsevier&lt;/publisher&gt;&lt;isbn&gt;0163-4453&lt;/isbn&gt;&lt;urls&gt;&lt;related-urls&gt;&lt;url&gt;https://doi.org/10.1016/j.jinf.2021.12.029&lt;/url&gt;&lt;/related-urls&gt;&lt;/urls&gt;&lt;electronic-resource-num&gt;10.1016/j.jinf.2021.12.029&lt;/electronic-resource-num&gt;&lt;access-date&gt;2023/03/20&lt;/access-date&gt;&lt;/record&gt;&lt;/Cite&gt;&lt;/EndNote&gt;</w:instrText>
      </w:r>
      <w:r>
        <w:fldChar w:fldCharType="separate"/>
      </w:r>
      <w:r w:rsidRPr="00035EA0">
        <w:rPr>
          <w:noProof/>
          <w:vertAlign w:val="superscript"/>
        </w:rPr>
        <w:t>2</w:t>
      </w:r>
      <w:r>
        <w:fldChar w:fldCharType="end"/>
      </w:r>
      <w:r w:rsidRPr="002072DC">
        <w:t xml:space="preserve">. This means that 10% of the </w:t>
      </w:r>
      <w:r>
        <w:t xml:space="preserve">newly admitted patients have been exposed to a healthcare setting within past 30 days (because new admissions and discharges are balanced). Among those with CDI, approximately one-third experience first recurrence </w:t>
      </w:r>
      <w:r>
        <w:fldChar w:fldCharType="begin">
          <w:fldData xml:space="preserve">PEVuZE5vdGU+PENpdGU+PEF1dGhvcj5FeXJlPC9BdXRob3I+PFllYXI+MjAxMjwvWWVhcj48UmVj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PEVuZE5vdGU+PENpdGU+PEF1dGhvcj5FeXJlPC9BdXRob3I+PFllYXI+MjAxMjwvWWVhcj48UmVj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 w:rsidRPr="00035EA0">
        <w:rPr>
          <w:noProof/>
          <w:vertAlign w:val="superscript"/>
        </w:rPr>
        <w:t>3,4</w:t>
      </w:r>
      <w:r>
        <w:fldChar w:fldCharType="end"/>
      </w:r>
      <w:r>
        <w:t xml:space="preserve">, and, among those who have recovered from their first recurrence, recurrence rates double </w:t>
      </w:r>
      <w:r>
        <w:fldChar w:fldCharType="begin"/>
      </w:r>
      <w:r>
        <w:instrText xml:space="preserve"> ADDIN EN.CITE &lt;EndNote&gt;&lt;Cite&gt;&lt;Author&gt;Song&lt;/Author&gt;&lt;Year&gt;2019&lt;/Year&gt;&lt;RecNum&gt;36&lt;/RecNum&gt;&lt;DisplayText&gt;&lt;style face="superscript"&gt;5&lt;/style&gt;&lt;/DisplayText&gt;&lt;record&gt;&lt;rec-number&gt;36&lt;/rec-number&gt;&lt;foreign-keys&gt;&lt;key app="EN" db-id="0rttzfsa8tzvshed5ts5vtxkzx5t5r9ewwtx" timestamp="1679325662"&gt;36&lt;/key&gt;&lt;/foreign-keys&gt;&lt;ref-type name="Journal Article"&gt;17&lt;/ref-type&gt;&lt;contributors&gt;&lt;authors&gt;&lt;author&gt;Song, Jung Hoon&lt;/author&gt;&lt;author&gt;Kim, You Sun&lt;/author&gt;&lt;/authors&gt;&lt;/contributors&gt;&lt;titles&gt;&lt;title&gt;Recurrent &amp;amp;lt;italic&amp;amp;gt;Clostridium difficile&amp;amp;lt;/italic&amp;amp;gt; Infection: Risk Factors, Treatment, and Prevention&lt;/title&gt;&lt;secondary-title&gt;Gut and Liver&lt;/secondary-title&gt;&lt;alt-title&gt;Gut and Liver&lt;/alt-title&gt;&lt;/titles&gt;&lt;periodical&gt;&lt;full-title&gt;Gut and liver&lt;/full-title&gt;&lt;abbr-1&gt;Gut Liver&lt;/abbr-1&gt;&lt;/periodical&gt;&lt;alt-periodical&gt;&lt;full-title&gt;Gut and liver&lt;/full-title&gt;&lt;abbr-1&gt;Gut Liver&lt;/abbr-1&gt;&lt;/alt-periodical&gt;&lt;pages&gt;16-24&lt;/pages&gt;&lt;volume&gt;13&lt;/volume&gt;&lt;number&gt;1&lt;/number&gt;&lt;edition&gt;2019/01/31&lt;/edition&gt;&lt;keywords&gt;&lt;keyword&gt;&amp;amp;lt&lt;/keyword&gt;&lt;keyword&gt;italic&amp;amp;gt&lt;/keyword&gt;&lt;keyword&gt;Clostridium difficile&amp;amp;lt&lt;/keyword&gt;&lt;keyword&gt;/italic&amp;amp;gt&lt;/keyword&gt;&lt;keyword&gt;Recurrence&lt;/keyword&gt;&lt;keyword&gt;Risk factors&lt;/keyword&gt;&lt;keyword&gt;Therapeutics&lt;/keyword&gt;&lt;keyword&gt;Prevention&lt;/keyword&gt;&lt;/keywords&gt;&lt;dates&gt;&lt;year&gt;2019&lt;/year&gt;&lt;/dates&gt;&lt;publisher&gt;Gut and Liver&lt;/publisher&gt;&lt;isbn&gt;1976-2283&amp;#xD;2005-1212&lt;/isbn&gt;&lt;urls&gt;&lt;related-urls&gt;&lt;url&gt;http://www.gutnliver.org/journal/view.html?doi=10.5009/gnl18071&lt;/url&gt;&lt;/related-urls&gt;&lt;/urls&gt;&lt;electronic-resource-num&gt;10.5009/gnl18071&lt;/electronic-resource-num&gt;&lt;language&gt;eng&lt;/language&gt;&lt;/record&gt;&lt;/Cite&gt;&lt;/EndNote&gt;</w:instrText>
      </w:r>
      <w:r>
        <w:fldChar w:fldCharType="separate"/>
      </w:r>
      <w:r w:rsidRPr="00035EA0">
        <w:rPr>
          <w:noProof/>
          <w:vertAlign w:val="superscript"/>
        </w:rPr>
        <w:t>5</w:t>
      </w:r>
      <w:r>
        <w:fldChar w:fldCharType="end"/>
      </w:r>
      <w:r>
        <w:t xml:space="preserve">. </w:t>
      </w:r>
    </w:p>
    <w:p w:rsidR="00891CB6" w:rsidRPr="00063CCC" w:rsidRDefault="00891CB6" w:rsidP="00891CB6">
      <w:pPr>
        <w:jc w:val="center"/>
        <w:rPr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1644FE46" wp14:editId="6FDB904E">
            <wp:extent cx="3986332" cy="30327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11" cy="3035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1CB6" w:rsidRDefault="00891CB6" w:rsidP="00891CB6">
      <w:pPr>
        <w:rPr>
          <w:lang w:val="en-US"/>
        </w:rPr>
      </w:pPr>
      <w:bookmarkStart w:id="2" w:name="_Toc201938602"/>
      <w:r w:rsidRPr="00270BCA">
        <w:rPr>
          <w:rStyle w:val="Heading3Char"/>
          <w:rFonts w:eastAsiaTheme="minorHAnsi"/>
        </w:rPr>
        <w:t>Figure S</w:t>
      </w:r>
      <w:r>
        <w:rPr>
          <w:rStyle w:val="Heading3Char"/>
          <w:rFonts w:eastAsiaTheme="minorHAnsi"/>
        </w:rPr>
        <w:t>1</w:t>
      </w:r>
      <w:r w:rsidRPr="00270BCA">
        <w:rPr>
          <w:rStyle w:val="Heading3Char"/>
          <w:rFonts w:eastAsiaTheme="minorHAnsi"/>
        </w:rPr>
        <w:t xml:space="preserve">. </w:t>
      </w:r>
      <w:proofErr w:type="gramStart"/>
      <w:r w:rsidRPr="00270BCA">
        <w:rPr>
          <w:rStyle w:val="Heading3Char"/>
          <w:rFonts w:eastAsiaTheme="minorHAnsi"/>
        </w:rPr>
        <w:t>Setting the epidemiological proportions of new hospital admissions</w:t>
      </w:r>
      <w:bookmarkEnd w:id="2"/>
      <w:r>
        <w:rPr>
          <w:lang w:val="en-US"/>
        </w:rPr>
        <w:t>.</w:t>
      </w:r>
      <w:proofErr w:type="gramEnd"/>
    </w:p>
    <w:p w:rsidR="00891CB6" w:rsidRDefault="00891CB6" w:rsidP="00891CB6">
      <w:pPr>
        <w:rPr>
          <w:lang w:val="en-US"/>
        </w:rPr>
      </w:pPr>
    </w:p>
    <w:p w:rsidR="00891CB6" w:rsidRDefault="00891CB6" w:rsidP="00891CB6">
      <w:pPr>
        <w:rPr>
          <w:lang w:val="en-US"/>
        </w:rPr>
      </w:pPr>
      <w:r>
        <w:rPr>
          <w:lang w:val="en-US"/>
        </w:rPr>
        <w:t>An equivalent calibration process was undertaken to ensure a stable ICU population whereby the rate of ICU admissions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&lt;EndNote&gt;&lt;Cite&gt;&lt;Author&gt;NHS&lt;/Author&gt;&lt;Year&gt;2021&lt;/Year&gt;&lt;RecNum&gt;25&lt;/RecNum&gt;&lt;DisplayText&gt;&lt;style face="superscript"&gt;6&lt;/style&gt;&lt;/DisplayText&gt;&lt;record&gt;&lt;rec-number&gt;25&lt;/rec-number&gt;&lt;foreign-keys&gt;&lt;key app="EN" db-id="0sfefppttffr20e5svbpstawdxddffa9e52f" timestamp="1724140372"&gt;25&lt;/key&gt;&lt;/foreign-keys&gt;&lt;ref-type name="Online Database"&gt;45&lt;/ref-type&gt;&lt;contributors&gt;&lt;authors&gt;&lt;author&gt;NHS&lt;/author&gt;&lt;/authors&gt;&lt;/contributors&gt;&lt;titles&gt;&lt;title&gt;Critical Care - Average length of stay by discharge day, 2019-20&lt;/title&gt;&lt;/titles&gt;&lt;dates&gt;&lt;year&gt;2021&lt;/year&gt;&lt;/dates&gt;&lt;urls&gt;&lt;related-urls&gt;&lt;url&gt;https://digital.nhs.uk/data-and-information/publications/statistical/hospital-admitted-patient-care-activity/2019-20/summary-reports---acc---days#:~:text=Like%20in%202018%2D19%2C%20the,1.1%20days%20longer%20than%20Sundays).&lt;/url&gt;&lt;/related-urls&gt;&lt;/urls&gt;&lt;/record&gt;&lt;/Cite&gt;&lt;/EndNote&gt;</w:instrText>
      </w:r>
      <w:r>
        <w:rPr>
          <w:lang w:val="en-US"/>
        </w:rPr>
        <w:fldChar w:fldCharType="separate"/>
      </w:r>
      <w:r w:rsidRPr="004E5122">
        <w:rPr>
          <w:noProof/>
          <w:vertAlign w:val="superscript"/>
          <w:lang w:val="en-US"/>
        </w:rPr>
        <w:t>6</w:t>
      </w:r>
      <w:r>
        <w:rPr>
          <w:lang w:val="en-US"/>
        </w:rPr>
        <w:fldChar w:fldCharType="end"/>
      </w:r>
      <w:r>
        <w:rPr>
          <w:lang w:val="en-US"/>
        </w:rPr>
        <w:t xml:space="preserve"> and the rate of ICU discharge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&lt;EndNote&gt;&lt;Cite&gt;&lt;Author&gt;UKHSA&lt;/Author&gt;&lt;Year&gt;2021&lt;/Year&gt;&lt;RecNum&gt;26&lt;/RecNum&gt;&lt;DisplayText&gt;&lt;style face="superscript"&gt;7&lt;/style&gt;&lt;/DisplayText&gt;&lt;record&gt;&lt;rec-number&gt;26&lt;/rec-number&gt;&lt;foreign-keys&gt;&lt;key app="EN" db-id="0sfefppttffr20e5svbpstawdxddffa9e52f" timestamp="1724140372"&gt;26&lt;/key&gt;&lt;/foreign-keys&gt;&lt;ref-type name="Electronic Article"&gt;43&lt;/ref-type&gt;&lt;contributors&gt;&lt;authors&gt;&lt;author&gt;UKHSA&lt;/author&gt;&lt;/authors&gt;&lt;/contributors&gt;&lt;titles&gt;&lt;title&gt;Thirty-day all-cause mortality following MRSA, MSSA and Gram-negative bacteraemia and C. difficile infections, 2020 to 2021&lt;/title&gt;&lt;/titles&gt;&lt;dates&gt;&lt;year&gt;2021&lt;/year&gt;&lt;/dates&gt;&lt;urls&gt;&lt;related-urls&gt;&lt;url&gt;https://assets.publishing.service.gov.uk/government/uploads/system/uploads/attachment_data/file/1039272/hcai-all-cause-fatality-report-2021.pdf&lt;/url&gt;&lt;/related-urls&gt;&lt;/urls&gt;&lt;/record&gt;&lt;/Cite&gt;&lt;/EndNote&gt;</w:instrText>
      </w:r>
      <w:r>
        <w:rPr>
          <w:lang w:val="en-US"/>
        </w:rPr>
        <w:fldChar w:fldCharType="separate"/>
      </w:r>
      <w:r w:rsidRPr="00D52298">
        <w:rPr>
          <w:noProof/>
          <w:vertAlign w:val="superscript"/>
          <w:lang w:val="en-US"/>
        </w:rPr>
        <w:t>7</w:t>
      </w:r>
      <w:r>
        <w:rPr>
          <w:lang w:val="en-US"/>
        </w:rPr>
        <w:fldChar w:fldCharType="end"/>
      </w:r>
      <w:r>
        <w:rPr>
          <w:lang w:val="en-US"/>
        </w:rPr>
        <w:t xml:space="preserve"> were known and the remaining (non-CDI related) ICU admissions could be inferred.</w:t>
      </w:r>
    </w:p>
    <w:p w:rsidR="00891CB6" w:rsidRDefault="00891CB6" w:rsidP="00891CB6">
      <w:pPr>
        <w:rPr>
          <w:lang w:val="en-US"/>
        </w:rPr>
      </w:pPr>
    </w:p>
    <w:p w:rsidR="00622DD3" w:rsidRDefault="00622DD3">
      <w:bookmarkStart w:id="3" w:name="_GoBack"/>
      <w:bookmarkEnd w:id="3"/>
    </w:p>
    <w:sectPr w:rsidR="00622D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B6"/>
    <w:rsid w:val="00000C69"/>
    <w:rsid w:val="00002601"/>
    <w:rsid w:val="00043BAE"/>
    <w:rsid w:val="00051446"/>
    <w:rsid w:val="00061361"/>
    <w:rsid w:val="00062B24"/>
    <w:rsid w:val="000E331C"/>
    <w:rsid w:val="001005D2"/>
    <w:rsid w:val="00135B48"/>
    <w:rsid w:val="00162060"/>
    <w:rsid w:val="00187FBA"/>
    <w:rsid w:val="0019009A"/>
    <w:rsid w:val="001C32A9"/>
    <w:rsid w:val="001E1A30"/>
    <w:rsid w:val="00200234"/>
    <w:rsid w:val="00207FA4"/>
    <w:rsid w:val="002F689F"/>
    <w:rsid w:val="00305AD7"/>
    <w:rsid w:val="00322ECD"/>
    <w:rsid w:val="00335BA9"/>
    <w:rsid w:val="003C047E"/>
    <w:rsid w:val="003F20C8"/>
    <w:rsid w:val="00410407"/>
    <w:rsid w:val="00462244"/>
    <w:rsid w:val="004977A3"/>
    <w:rsid w:val="004A55D0"/>
    <w:rsid w:val="004A66C5"/>
    <w:rsid w:val="004B2683"/>
    <w:rsid w:val="004C2164"/>
    <w:rsid w:val="004F354C"/>
    <w:rsid w:val="005215F3"/>
    <w:rsid w:val="00527170"/>
    <w:rsid w:val="00535B8B"/>
    <w:rsid w:val="005A67BD"/>
    <w:rsid w:val="005D1BE1"/>
    <w:rsid w:val="00600CA0"/>
    <w:rsid w:val="00622DD3"/>
    <w:rsid w:val="00633505"/>
    <w:rsid w:val="006A40EF"/>
    <w:rsid w:val="006B3F99"/>
    <w:rsid w:val="00735069"/>
    <w:rsid w:val="00737F2F"/>
    <w:rsid w:val="00743385"/>
    <w:rsid w:val="00762ADD"/>
    <w:rsid w:val="00792D37"/>
    <w:rsid w:val="007A23C4"/>
    <w:rsid w:val="007B18D9"/>
    <w:rsid w:val="007C2B3E"/>
    <w:rsid w:val="007D1C21"/>
    <w:rsid w:val="007E0B22"/>
    <w:rsid w:val="007F6301"/>
    <w:rsid w:val="00812EC8"/>
    <w:rsid w:val="0081433E"/>
    <w:rsid w:val="0082533B"/>
    <w:rsid w:val="008602C3"/>
    <w:rsid w:val="00891CB6"/>
    <w:rsid w:val="008978E7"/>
    <w:rsid w:val="008E5A7A"/>
    <w:rsid w:val="00907709"/>
    <w:rsid w:val="00921F52"/>
    <w:rsid w:val="009321C0"/>
    <w:rsid w:val="00940A9E"/>
    <w:rsid w:val="009772FC"/>
    <w:rsid w:val="009C091A"/>
    <w:rsid w:val="009C0934"/>
    <w:rsid w:val="009C5456"/>
    <w:rsid w:val="009D5727"/>
    <w:rsid w:val="00A12CD4"/>
    <w:rsid w:val="00A31F46"/>
    <w:rsid w:val="00A757D3"/>
    <w:rsid w:val="00A75C6C"/>
    <w:rsid w:val="00A96FBC"/>
    <w:rsid w:val="00AA2D29"/>
    <w:rsid w:val="00AA663E"/>
    <w:rsid w:val="00AE6225"/>
    <w:rsid w:val="00B2061E"/>
    <w:rsid w:val="00B600D2"/>
    <w:rsid w:val="00B865FA"/>
    <w:rsid w:val="00B92539"/>
    <w:rsid w:val="00BA1E5C"/>
    <w:rsid w:val="00BC3CD9"/>
    <w:rsid w:val="00BD51B0"/>
    <w:rsid w:val="00BE34A8"/>
    <w:rsid w:val="00C8507A"/>
    <w:rsid w:val="00C90164"/>
    <w:rsid w:val="00C971EA"/>
    <w:rsid w:val="00CA5DF5"/>
    <w:rsid w:val="00CA7674"/>
    <w:rsid w:val="00D5712E"/>
    <w:rsid w:val="00D5792E"/>
    <w:rsid w:val="00D84F91"/>
    <w:rsid w:val="00DA398C"/>
    <w:rsid w:val="00DC3A48"/>
    <w:rsid w:val="00E04E32"/>
    <w:rsid w:val="00E10C2C"/>
    <w:rsid w:val="00E35A25"/>
    <w:rsid w:val="00E65283"/>
    <w:rsid w:val="00E72192"/>
    <w:rsid w:val="00E844C2"/>
    <w:rsid w:val="00E91DF3"/>
    <w:rsid w:val="00EA041D"/>
    <w:rsid w:val="00F45A72"/>
    <w:rsid w:val="00F545C5"/>
    <w:rsid w:val="00F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B6"/>
    <w:pPr>
      <w:spacing w:after="120" w:line="264" w:lineRule="auto"/>
    </w:pPr>
    <w:rPr>
      <w:rFonts w:eastAsiaTheme="minorEastAsia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CB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CB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CB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C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91CB6"/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91CB6"/>
    <w:rPr>
      <w:rFonts w:asciiTheme="majorHAnsi" w:eastAsiaTheme="majorEastAsia" w:hAnsiTheme="majorHAnsi" w:cstheme="majorBidi"/>
      <w:color w:val="1F497D" w:themeColor="text2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91CB6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91CB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91C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1CB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891CB6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B6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CB6"/>
    <w:pPr>
      <w:spacing w:after="120" w:line="264" w:lineRule="auto"/>
    </w:pPr>
    <w:rPr>
      <w:rFonts w:eastAsiaTheme="minorEastAsia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CB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CB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CB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C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91CB6"/>
    <w:rPr>
      <w:rFonts w:asciiTheme="majorHAnsi" w:eastAsiaTheme="majorEastAsia" w:hAnsiTheme="majorHAnsi" w:cstheme="majorBidi"/>
      <w:color w:val="404040" w:themeColor="text1" w:themeTint="BF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91CB6"/>
    <w:rPr>
      <w:rFonts w:asciiTheme="majorHAnsi" w:eastAsiaTheme="majorEastAsia" w:hAnsiTheme="majorHAnsi" w:cstheme="majorBidi"/>
      <w:color w:val="1F497D" w:themeColor="text2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91CB6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91CB6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891C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1CB6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891CB6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CB6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e755675</dc:creator>
  <cp:lastModifiedBy>e755675</cp:lastModifiedBy>
  <cp:revision>1</cp:revision>
  <dcterms:created xsi:type="dcterms:W3CDTF">2025-07-10T13:06:00Z</dcterms:created>
  <dcterms:modified xsi:type="dcterms:W3CDTF">2025-07-10T13:06:00Z</dcterms:modified>
</cp:coreProperties>
</file>