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eastAsiaTheme="minorEastAsia"/>
          <w:color w:val="000000" w:themeColor="text1"/>
          <w:sz w:val="22"/>
          <w:szCs w:val="22"/>
          <w:highlight w:val="none"/>
          <w:lang w:val="zh-CN"/>
          <w14:textFill>
            <w14:solidFill>
              <w14:schemeClr w14:val="tx1"/>
            </w14:solidFill>
          </w14:textFill>
        </w:rPr>
        <w:id w:val="840665724"/>
        <w:docPartObj>
          <w:docPartGallery w:val="Table of Contents"/>
          <w:docPartUnique/>
        </w:docPartObj>
      </w:sdtPr>
      <w:sdtEndPr>
        <w:rPr>
          <w:rFonts w:ascii="Times New Roman" w:hAnsi="Times New Roman" w:cs="Times New Roman" w:eastAsiaTheme="minorEastAsia"/>
          <w:color w:val="000000" w:themeColor="text1"/>
          <w:sz w:val="22"/>
          <w:szCs w:val="22"/>
          <w:highlight w:val="none"/>
          <w:lang w:val="zh-CN"/>
          <w14:textFill>
            <w14:solidFill>
              <w14:schemeClr w14:val="tx1"/>
            </w14:solidFill>
          </w14:textFill>
        </w:rPr>
      </w:sdtEndPr>
      <w:sdtContent>
        <w:p w14:paraId="53559365">
          <w:pPr>
            <w:pStyle w:val="23"/>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CONTENTS</w:t>
          </w:r>
        </w:p>
        <w:p w14:paraId="7E2C1CF7">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TOC \o "1-3" \h \z \u </w:instrText>
          </w:r>
          <w:r>
            <w:rPr>
              <w:rFonts w:ascii="Times New Roman" w:hAnsi="Times New Roman"/>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"_Toc197892769"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shd w:val="clear" w:color="auto" w:fill="FDFDFE"/>
              <w14:textFill>
                <w14:solidFill>
                  <w14:schemeClr w14:val="tx1"/>
                </w14:solidFill>
              </w14:textFill>
            </w:rPr>
            <w:t>Title：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_Toc197892769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D6022E4">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"_Toc197892770"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lang w:bidi="ar"/>
              <w14:textFill>
                <w14:solidFill>
                  <w14:schemeClr w14:val="tx1"/>
                </w14:solidFill>
              </w14:textFill>
            </w:rPr>
            <w:t>1 Introduction</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_Toc197892770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C278C12">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"_Toc197892771"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s="Times New Roman"/>
              <w:color w:val="000000" w:themeColor="text1"/>
              <w:highlight w:val="none"/>
              <w14:textFill>
                <w14:solidFill>
                  <w14:schemeClr w14:val="tx1"/>
                </w14:solidFill>
              </w14:textFill>
            </w:rPr>
            <w:t>1.1</w:t>
          </w:r>
          <w:r>
            <w:rPr>
              <w:rStyle w:val="17"/>
              <w:rFonts w:hint="eastAsia" w:ascii="Times New Roman" w:hAnsi="Times New Roman" w:cs="Times New Roman"/>
              <w:color w:val="000000" w:themeColor="text1"/>
              <w:spacing w:val="-2"/>
              <w:kern w:val="0"/>
              <w:highlight w:val="none"/>
              <w14:textFill>
                <w14:solidFill>
                  <w14:schemeClr w14:val="tx1"/>
                </w14:solidFill>
              </w14:textFill>
            </w:rPr>
            <w:t xml:space="preserve"> </w:t>
          </w:r>
          <w:r>
            <w:rPr>
              <w:rStyle w:val="17"/>
              <w:rFonts w:hint="eastAsia" w:ascii="Times New Roman" w:hAnsi="Times New Roman" w:cs="Times New Roman"/>
              <w:color w:val="000000" w:themeColor="text1"/>
              <w:highlight w:val="none"/>
              <w14:textFill>
                <w14:solidFill>
                  <w14:schemeClr w14:val="tx1"/>
                </w14:solidFill>
              </w14:textFill>
            </w:rPr>
            <w:t>Preface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_Toc197892771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435897F">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"_Toc197892772"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kern w:val="0"/>
              <w:highlight w:val="none"/>
              <w:lang w:bidi="ar"/>
              <w14:textFill>
                <w14:solidFill>
                  <w14:schemeClr w14:val="tx1"/>
                </w14:solidFill>
              </w14:textFill>
            </w:rPr>
            <w:t>1.2 Background</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_Toc197892772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4E8A9D2">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"_Toc197892773"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2 Trial Design</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_Toc197892773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CC7D193">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"_Toc197892774"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2.1 Objective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_Toc197892774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8BFF103">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"_Toc197892775"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2.2 Study timeline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_Toc197892775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68DB644">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"_Toc197892776" </w:instrText>
          </w:r>
          <w:r>
            <w:rPr>
              <w:color w:val="000000" w:themeColor="text1"/>
              <w:highlight w:val="none"/>
              <w14:textFill>
                <w14:solidFill>
                  <w14:schemeClr w14:val="tx1"/>
                </w14:solidFill>
              </w14:textFill>
            </w:rPr>
            <w:fldChar w:fldCharType="separate"/>
          </w:r>
          <w:r>
            <w:rPr>
              <w:rStyle w:val="17"/>
              <w:rFonts w:hint="eastAsia" w:ascii="Times New Roman" w:hAnsi="Times New Roman"/>
              <w:b/>
              <w:bCs/>
              <w:color w:val="000000" w:themeColor="text1"/>
              <w:highlight w:val="none"/>
              <w14:textFill>
                <w14:solidFill>
                  <w14:schemeClr w14:val="tx1"/>
                </w14:solidFill>
              </w14:textFill>
            </w:rPr>
            <w:t>2.3</w:t>
          </w:r>
          <w:r>
            <w:rPr>
              <w:rStyle w:val="17"/>
              <w:rFonts w:hint="eastAsia" w:ascii="Times New Roman" w:hAnsi="Times New Roman" w:eastAsia="宋体"/>
              <w:b/>
              <w:bCs/>
              <w:color w:val="000000" w:themeColor="text1"/>
              <w:highlight w:val="none"/>
              <w14:textFill>
                <w14:solidFill>
                  <w14:schemeClr w14:val="tx1"/>
                </w14:solidFill>
              </w14:textFill>
            </w:rPr>
            <w:t xml:space="preserve"> Inclusion and Exclusion Criteria</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_Toc197892776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5960EB1">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"_Toc197892777"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b/>
              <w:bCs/>
              <w:color w:val="000000" w:themeColor="text1"/>
              <w:highlight w:val="none"/>
              <w:shd w:val="clear" w:color="auto" w:fill="FDFDFE"/>
              <w14:textFill>
                <w14:solidFill>
                  <w14:schemeClr w14:val="tx1"/>
                </w14:solidFill>
              </w14:textFill>
            </w:rPr>
            <w:t xml:space="preserve">2.4 </w:t>
          </w:r>
          <w:r>
            <w:rPr>
              <w:rStyle w:val="17"/>
              <w:rFonts w:hint="eastAsia" w:ascii="Times New Roman" w:hAnsi="Times New Roman" w:eastAsia="Segoe UI" w:cs="Times New Roman"/>
              <w:b/>
              <w:bCs/>
              <w:color w:val="000000" w:themeColor="text1"/>
              <w:highlight w:val="none"/>
              <w:shd w:val="clear" w:color="auto" w:fill="FDFDFE"/>
              <w14:textFill>
                <w14:solidFill>
                  <w14:schemeClr w14:val="tx1"/>
                </w14:solidFill>
              </w14:textFill>
            </w:rPr>
            <w:t>Procedure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_Toc197892777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8BE7AC8">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"_Toc197892778"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kern w:val="0"/>
              <w:highlight w:val="none"/>
              <w:lang w:bidi="ar"/>
              <w14:textFill>
                <w14:solidFill>
                  <w14:schemeClr w14:val="tx1"/>
                </w14:solidFill>
              </w14:textFill>
            </w:rPr>
            <w:t>2.5 Intervention</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_Toc197892778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E794CBB">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"_Toc197892779"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3 Distribution of Devices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_Toc197892779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E81885C">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"_Toc197892780"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 Telephone Follow-Up and Health Education</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_Toc197892780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A5916E0">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"_Toc197892781"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4.1 Telephone Follow-Up</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_Toc197892781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6CF66F8">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"_Toc197892782"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4.2 Health Education &amp; Expert Q&amp;A</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_Toc197892782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DADF887">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"_Toc197892783"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4.3 Outpatient Follow-Up</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_Toc197892783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6245B57">
          <w:pPr>
            <w:pStyle w:val="6"/>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"_Toc197892784"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4.3.1 Follow-Up Schedule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_Toc197892784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BD0DBAB">
          <w:pPr>
            <w:pStyle w:val="6"/>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"_Toc197892785"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4.3.2 Outpatient Blood Pressure Measurement</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_Toc197892785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687F866">
          <w:pPr>
            <w:pStyle w:val="6"/>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"_Toc197892786"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4.3.3 Outpatient Follow-Up Records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_Toc197892786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95153A0">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"_Toc197892787"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highlight w:val="none"/>
              <w14:textFill>
                <w14:solidFill>
                  <w14:schemeClr w14:val="tx1"/>
                </w14:solidFill>
              </w14:textFill>
            </w:rPr>
            <w:t>4.4 Feasibility Questionnaire Survey</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_Toc197892787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001CA30">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"_Toc197892788"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5 Document Preservation, Organization, and Archiving</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_Toc197892788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FB65B98">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"_Toc197892789"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spacing w:val="15"/>
              <w:highlight w:val="none"/>
              <w14:textFill>
                <w14:solidFill>
                  <w14:schemeClr w14:val="tx1"/>
                </w14:solidFill>
              </w14:textFill>
            </w:rPr>
            <w:t>6 Outcome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_Toc197892789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1E4ACFD">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"_Toc197892790"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spacing w:val="15"/>
              <w:highlight w:val="none"/>
              <w14:textFill>
                <w14:solidFill>
                  <w14:schemeClr w14:val="tx1"/>
                </w14:solidFill>
              </w14:textFill>
            </w:rPr>
            <w:t>6.1 Primary outcome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_Toc197892790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CCD266D">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"_Toc197892791"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highlight w:val="none"/>
              <w14:textFill>
                <w14:solidFill>
                  <w14:schemeClr w14:val="tx1"/>
                </w14:solidFill>
              </w14:textFill>
            </w:rPr>
            <w:t xml:space="preserve">6.2 </w:t>
          </w:r>
          <w:r>
            <w:rPr>
              <w:rStyle w:val="17"/>
              <w:rFonts w:hint="eastAsia" w:ascii="Times New Roman" w:hAnsi="Times New Roman" w:cs="Times New Roman"/>
              <w:color w:val="000000" w:themeColor="text1"/>
              <w:highlight w:val="none"/>
              <w14:textFill>
                <w14:solidFill>
                  <w14:schemeClr w14:val="tx1"/>
                </w14:solidFill>
              </w14:textFill>
            </w:rPr>
            <w:t>Secondary Outcome Measures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_Toc197892791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547E623">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"_Toc197892792"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7 Sample Size</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_Toc197892792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19</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254A295">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"_Toc197892793"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8 Randomization Method</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_Toc197892793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3EE0E1D">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"_Toc197892794"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9 Participant Characteristics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_Toc197892794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EA03C2A">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"_Toc197892795"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highlight w:val="none"/>
              <w14:textFill>
                <w14:solidFill>
                  <w14:schemeClr w14:val="tx1"/>
                </w14:solidFill>
              </w14:textFill>
            </w:rPr>
            <w:t>10 Definition</w:t>
          </w:r>
          <w:r>
            <w:rPr>
              <w:rStyle w:val="17"/>
              <w:rFonts w:hint="eastAsia" w:ascii="Times New Roman" w:hAnsi="Times New Roman"/>
              <w:color w:val="000000" w:themeColor="text1"/>
              <w:spacing w:val="-5"/>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of</w:t>
          </w:r>
          <w:r>
            <w:rPr>
              <w:rStyle w:val="17"/>
              <w:rFonts w:hint="eastAsia" w:ascii="Times New Roman" w:hAnsi="Times New Roman"/>
              <w:color w:val="000000" w:themeColor="text1"/>
              <w:spacing w:val="-5"/>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population</w:t>
          </w:r>
          <w:r>
            <w:rPr>
              <w:rStyle w:val="17"/>
              <w:rFonts w:hint="eastAsia" w:ascii="Times New Roman" w:hAnsi="Times New Roman"/>
              <w:color w:val="000000" w:themeColor="text1"/>
              <w:spacing w:val="-5"/>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for</w:t>
          </w:r>
          <w:r>
            <w:rPr>
              <w:rStyle w:val="17"/>
              <w:rFonts w:hint="eastAsia" w:ascii="Times New Roman" w:hAnsi="Times New Roman"/>
              <w:color w:val="000000" w:themeColor="text1"/>
              <w:spacing w:val="-5"/>
              <w:highlight w:val="none"/>
              <w14:textFill>
                <w14:solidFill>
                  <w14:schemeClr w14:val="tx1"/>
                </w14:solidFill>
              </w14:textFill>
            </w:rPr>
            <w:t xml:space="preserve"> </w:t>
          </w:r>
          <w:r>
            <w:rPr>
              <w:rStyle w:val="17"/>
              <w:rFonts w:hint="eastAsia" w:ascii="Times New Roman" w:hAnsi="Times New Roman"/>
              <w:color w:val="000000" w:themeColor="text1"/>
              <w:spacing w:val="-2"/>
              <w:highlight w:val="none"/>
              <w14:textFill>
                <w14:solidFill>
                  <w14:schemeClr w14:val="tx1"/>
                </w14:solidFill>
              </w14:textFill>
            </w:rPr>
            <w:t>analysis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_Toc197892795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21</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430D1A0">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"_Toc197892796" </w:instrText>
          </w:r>
          <w:r>
            <w:rPr>
              <w:color w:val="000000" w:themeColor="text1"/>
              <w:highlight w:val="none"/>
              <w14:textFill>
                <w14:solidFill>
                  <w14:schemeClr w14:val="tx1"/>
                </w14:solidFill>
              </w14:textFill>
            </w:rPr>
            <w:fldChar w:fldCharType="separate"/>
          </w:r>
          <w:r>
            <w:rPr>
              <w:rStyle w:val="17"/>
              <w:rFonts w:hint="eastAsia" w:ascii="Times New Roman" w:hAnsi="Times New Roman"/>
              <w:color w:val="000000" w:themeColor="text1"/>
              <w:spacing w:val="-2"/>
              <w:highlight w:val="none"/>
              <w14:textFill>
                <w14:solidFill>
                  <w14:schemeClr w14:val="tx1"/>
                </w14:solidFill>
              </w14:textFill>
            </w:rPr>
            <w:t>11 Data Monitoring Committee And Interim Analyses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_Toc197892796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21</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FE6D411">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"_Toc197892797"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shd w:val="clear" w:color="auto" w:fill="FDFDFE"/>
              <w14:textFill>
                <w14:solidFill>
                  <w14:schemeClr w14:val="tx1"/>
                </w14:solidFill>
              </w14:textFill>
            </w:rPr>
            <w:t xml:space="preserve">12 </w:t>
          </w:r>
          <w:r>
            <w:rPr>
              <w:rStyle w:val="17"/>
              <w:rFonts w:hint="eastAsia" w:ascii="Times New Roman" w:hAnsi="Times New Roman" w:eastAsia="Segoe UI"/>
              <w:color w:val="000000" w:themeColor="text1"/>
              <w:highlight w:val="none"/>
              <w:shd w:val="clear" w:color="auto" w:fill="FDFDFE"/>
              <w14:textFill>
                <w14:solidFill>
                  <w14:schemeClr w14:val="tx1"/>
                </w14:solidFill>
              </w14:textFill>
            </w:rPr>
            <w:t>Statistical analysis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_Toc197892797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22</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562946E">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"_Toc197892798"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highlight w:val="none"/>
              <w14:textFill>
                <w14:solidFill>
                  <w14:schemeClr w14:val="tx1"/>
                </w14:solidFill>
              </w14:textFill>
            </w:rPr>
            <w:t>12.1</w:t>
          </w:r>
          <w:r>
            <w:rPr>
              <w:rStyle w:val="17"/>
              <w:rFonts w:hint="eastAsia" w:ascii="Times New Roman" w:hAnsi="Times New Roman" w:cs="Times New Roman"/>
              <w:color w:val="000000" w:themeColor="text1"/>
              <w:highlight w:val="none"/>
              <w14:textFill>
                <w14:solidFill>
                  <w14:schemeClr w14:val="tx1"/>
                </w14:solidFill>
              </w14:textFill>
            </w:rPr>
            <w:t>Primary</w:t>
          </w:r>
          <w:r>
            <w:rPr>
              <w:rStyle w:val="17"/>
              <w:rFonts w:hint="eastAsia" w:ascii="Times New Roman" w:hAnsi="Times New Roman" w:cs="Times New Roman"/>
              <w:color w:val="000000" w:themeColor="text1"/>
              <w:spacing w:val="-11"/>
              <w:highlight w:val="none"/>
              <w14:textFill>
                <w14:solidFill>
                  <w14:schemeClr w14:val="tx1"/>
                </w14:solidFill>
              </w14:textFill>
            </w:rPr>
            <w:t xml:space="preserve"> </w:t>
          </w:r>
          <w:r>
            <w:rPr>
              <w:rStyle w:val="17"/>
              <w:rFonts w:hint="eastAsia" w:ascii="Times New Roman" w:hAnsi="Times New Roman" w:cs="Times New Roman"/>
              <w:color w:val="000000" w:themeColor="text1"/>
              <w:spacing w:val="-2"/>
              <w:highlight w:val="none"/>
              <w14:textFill>
                <w14:solidFill>
                  <w14:schemeClr w14:val="tx1"/>
                </w14:solidFill>
              </w14:textFill>
            </w:rPr>
            <w:t>Analysis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_Toc197892798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22</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1E4E401">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"_Toc197892799"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highlight w:val="none"/>
              <w14:textFill>
                <w14:solidFill>
                  <w14:schemeClr w14:val="tx1"/>
                </w14:solidFill>
              </w14:textFill>
            </w:rPr>
            <w:t xml:space="preserve">12.2 Secondary </w:t>
          </w:r>
          <w:r>
            <w:rPr>
              <w:rStyle w:val="17"/>
              <w:rFonts w:hint="eastAsia" w:ascii="Times New Roman" w:hAnsi="Times New Roman" w:cs="Times New Roman"/>
              <w:color w:val="000000" w:themeColor="text1"/>
              <w:highlight w:val="none"/>
              <w14:textFill>
                <w14:solidFill>
                  <w14:schemeClr w14:val="tx1"/>
                </w14:solidFill>
              </w14:textFill>
            </w:rPr>
            <w:t>analysed</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_Toc197892799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50BBC00">
          <w:pPr>
            <w:pStyle w:val="10"/>
            <w:tabs>
              <w:tab w:val="right" w:leader="dot" w:pos="8290"/>
            </w:tabs>
            <w:rPr>
              <w:rFonts w:hint="eastAsia"/>
              <w:color w:val="000000" w:themeColor="text1"/>
              <w:sz w:val="2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"_Toc197892800"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s="Times New Roman"/>
              <w:color w:val="000000" w:themeColor="text1"/>
              <w:spacing w:val="-2"/>
              <w:highlight w:val="none"/>
              <w14:textFill>
                <w14:solidFill>
                  <w14:schemeClr w14:val="tx1"/>
                </w14:solidFill>
              </w14:textFill>
            </w:rPr>
            <w:t xml:space="preserve">12.3 </w:t>
          </w:r>
          <w:r>
            <w:rPr>
              <w:rStyle w:val="17"/>
              <w:rFonts w:hint="eastAsia" w:ascii="Times New Roman" w:hAnsi="Times New Roman" w:cs="Times New Roman"/>
              <w:color w:val="000000" w:themeColor="text1"/>
              <w:spacing w:val="-2"/>
              <w:highlight w:val="none"/>
              <w14:textFill>
                <w14:solidFill>
                  <w14:schemeClr w14:val="tx1"/>
                </w14:solidFill>
              </w14:textFill>
            </w:rPr>
            <w:t>Subgroup</w:t>
          </w:r>
          <w:r>
            <w:rPr>
              <w:rStyle w:val="17"/>
              <w:rFonts w:hint="eastAsia" w:ascii="Times New Roman" w:hAnsi="Times New Roman" w:cs="Times New Roman"/>
              <w:color w:val="000000" w:themeColor="text1"/>
              <w:highlight w:val="none"/>
              <w14:textFill>
                <w14:solidFill>
                  <w14:schemeClr w14:val="tx1"/>
                </w14:solidFill>
              </w14:textFill>
            </w:rPr>
            <w:t xml:space="preserve"> </w:t>
          </w:r>
          <w:r>
            <w:rPr>
              <w:rStyle w:val="17"/>
              <w:rFonts w:hint="eastAsia" w:ascii="Times New Roman" w:hAnsi="Times New Roman" w:cs="Times New Roman"/>
              <w:color w:val="000000" w:themeColor="text1"/>
              <w:spacing w:val="-2"/>
              <w:highlight w:val="none"/>
              <w14:textFill>
                <w14:solidFill>
                  <w14:schemeClr w14:val="tx1"/>
                </w14:solidFill>
              </w14:textFill>
            </w:rPr>
            <w:t>Analyses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_Toc197892800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23</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E382A56">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"_Toc197892801"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 xml:space="preserve">13 </w:t>
          </w:r>
          <w:r>
            <w:rPr>
              <w:rStyle w:val="17"/>
              <w:rFonts w:hint="eastAsia" w:ascii="Times New Roman" w:hAnsi="Times New Roman"/>
              <w:color w:val="000000" w:themeColor="text1"/>
              <w:highlight w:val="none"/>
              <w14:textFill>
                <w14:solidFill>
                  <w14:schemeClr w14:val="tx1"/>
                </w14:solidFill>
              </w14:textFill>
            </w:rPr>
            <w:t>Safety</w:t>
          </w:r>
          <w:r>
            <w:rPr>
              <w:rStyle w:val="17"/>
              <w:rFonts w:hint="eastAsia" w:ascii="Times New Roman" w:hAnsi="Times New Roman"/>
              <w:color w:val="000000" w:themeColor="text1"/>
              <w:spacing w:val="-12"/>
              <w:highlight w:val="none"/>
              <w14:textFill>
                <w14:solidFill>
                  <w14:schemeClr w14:val="tx1"/>
                </w14:solidFill>
              </w14:textFill>
            </w:rPr>
            <w:t xml:space="preserve"> </w:t>
          </w:r>
          <w:r>
            <w:rPr>
              <w:rStyle w:val="17"/>
              <w:rFonts w:hint="eastAsia" w:ascii="Times New Roman" w:hAnsi="Times New Roman"/>
              <w:color w:val="000000" w:themeColor="text1"/>
              <w:spacing w:val="-2"/>
              <w:highlight w:val="none"/>
              <w14:textFill>
                <w14:solidFill>
                  <w14:schemeClr w14:val="tx1"/>
                </w14:solidFill>
              </w14:textFill>
            </w:rPr>
            <w:t>Analysis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_Toc197892801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24</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BBCF304">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"_Toc197892802"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14 Ethical considerations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_Toc197892802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24</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AC3CF1F">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"_Toc197892803"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14:textFill>
                <w14:solidFill>
                  <w14:schemeClr w14:val="tx1"/>
                </w14:solidFill>
              </w14:textFill>
            </w:rPr>
            <w:t xml:space="preserve">15 </w:t>
          </w:r>
          <w:r>
            <w:rPr>
              <w:rStyle w:val="17"/>
              <w:rFonts w:hint="eastAsia" w:ascii="Times New Roman" w:hAnsi="Times New Roman"/>
              <w:color w:val="000000" w:themeColor="text1"/>
              <w:highlight w:val="none"/>
              <w14:textFill>
                <w14:solidFill>
                  <w14:schemeClr w14:val="tx1"/>
                </w14:solidFill>
              </w14:textFill>
            </w:rPr>
            <w:t>Changes</w:t>
          </w:r>
          <w:r>
            <w:rPr>
              <w:rStyle w:val="17"/>
              <w:rFonts w:hint="eastAsia" w:ascii="Times New Roman" w:hAnsi="Times New Roman"/>
              <w:color w:val="000000" w:themeColor="text1"/>
              <w:spacing w:val="-8"/>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to</w:t>
          </w:r>
          <w:r>
            <w:rPr>
              <w:rStyle w:val="17"/>
              <w:rFonts w:hint="eastAsia" w:ascii="Times New Roman" w:hAnsi="Times New Roman"/>
              <w:color w:val="000000" w:themeColor="text1"/>
              <w:spacing w:val="-6"/>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protocol</w:t>
          </w:r>
          <w:r>
            <w:rPr>
              <w:rStyle w:val="17"/>
              <w:rFonts w:hint="eastAsia" w:ascii="Times New Roman" w:hAnsi="Times New Roman"/>
              <w:color w:val="000000" w:themeColor="text1"/>
              <w:spacing w:val="-7"/>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or</w:t>
          </w:r>
          <w:r>
            <w:rPr>
              <w:rStyle w:val="17"/>
              <w:rFonts w:hint="eastAsia" w:ascii="Times New Roman" w:hAnsi="Times New Roman"/>
              <w:color w:val="000000" w:themeColor="text1"/>
              <w:spacing w:val="-7"/>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previous</w:t>
          </w:r>
          <w:r>
            <w:rPr>
              <w:rStyle w:val="17"/>
              <w:rFonts w:hint="eastAsia" w:ascii="Times New Roman" w:hAnsi="Times New Roman"/>
              <w:color w:val="000000" w:themeColor="text1"/>
              <w:spacing w:val="-8"/>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versions</w:t>
          </w:r>
          <w:r>
            <w:rPr>
              <w:rStyle w:val="17"/>
              <w:rFonts w:hint="eastAsia" w:ascii="Times New Roman" w:hAnsi="Times New Roman"/>
              <w:color w:val="000000" w:themeColor="text1"/>
              <w:spacing w:val="-8"/>
              <w:highlight w:val="none"/>
              <w14:textFill>
                <w14:solidFill>
                  <w14:schemeClr w14:val="tx1"/>
                </w14:solidFill>
              </w14:textFill>
            </w:rPr>
            <w:t xml:space="preserve"> </w:t>
          </w:r>
          <w:r>
            <w:rPr>
              <w:rStyle w:val="17"/>
              <w:rFonts w:hint="eastAsia" w:ascii="Times New Roman" w:hAnsi="Times New Roman"/>
              <w:color w:val="000000" w:themeColor="text1"/>
              <w:highlight w:val="none"/>
              <w14:textFill>
                <w14:solidFill>
                  <w14:schemeClr w14:val="tx1"/>
                </w14:solidFill>
              </w14:textFill>
            </w:rPr>
            <w:t>of</w:t>
          </w:r>
          <w:r>
            <w:rPr>
              <w:rStyle w:val="17"/>
              <w:rFonts w:hint="eastAsia" w:ascii="Times New Roman" w:hAnsi="Times New Roman"/>
              <w:color w:val="000000" w:themeColor="text1"/>
              <w:spacing w:val="-5"/>
              <w:highlight w:val="none"/>
              <w14:textFill>
                <w14:solidFill>
                  <w14:schemeClr w14:val="tx1"/>
                </w14:solidFill>
              </w14:textFill>
            </w:rPr>
            <w:t xml:space="preserve"> SAP</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_Toc197892803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4EDBD0A">
          <w:pPr>
            <w:pStyle w:val="9"/>
            <w:tabs>
              <w:tab w:val="right" w:leader="dot" w:pos="8290"/>
            </w:tabs>
            <w:rPr>
              <w:rFonts w:hint="eastAsia" w:cstheme="minorBidi"/>
              <w:color w:val="000000" w:themeColor="text1"/>
              <w:kern w:val="2"/>
              <w:szCs w:val="24"/>
              <w:highlight w:val="none"/>
              <w14:textFill>
                <w14:solidFill>
                  <w14:schemeClr w14:val="tx1"/>
                </w14:solidFill>
              </w14:textFill>
              <w14:ligatures w14:val="standardContextua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"_Toc197892804" </w:instrText>
          </w:r>
          <w:r>
            <w:rPr>
              <w:color w:val="000000" w:themeColor="text1"/>
              <w:highlight w:val="none"/>
              <w14:textFill>
                <w14:solidFill>
                  <w14:schemeClr w14:val="tx1"/>
                </w14:solidFill>
              </w14:textFill>
            </w:rPr>
            <w:fldChar w:fldCharType="separate"/>
          </w:r>
          <w:r>
            <w:rPr>
              <w:rStyle w:val="17"/>
              <w:rFonts w:hint="eastAsia" w:ascii="Times New Roman" w:hAnsi="Times New Roman" w:eastAsia="宋体"/>
              <w:color w:val="000000" w:themeColor="text1"/>
              <w:highlight w:val="none"/>
              <w:shd w:val="clear" w:color="auto" w:fill="FDFDFE"/>
              <w14:textFill>
                <w14:solidFill>
                  <w14:schemeClr w14:val="tx1"/>
                </w14:solidFill>
              </w14:textFill>
            </w:rPr>
            <w:t xml:space="preserve">16 </w:t>
          </w:r>
          <w:r>
            <w:rPr>
              <w:rStyle w:val="17"/>
              <w:rFonts w:hint="eastAsia" w:ascii="Times New Roman" w:hAnsi="Times New Roman" w:eastAsia="Segoe UI"/>
              <w:color w:val="000000" w:themeColor="text1"/>
              <w:highlight w:val="none"/>
              <w:shd w:val="clear" w:color="auto" w:fill="FDFDFE"/>
              <w14:textFill>
                <w14:solidFill>
                  <w14:schemeClr w14:val="tx1"/>
                </w14:solidFill>
              </w14:textFill>
            </w:rPr>
            <w:t>Appendices</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w:instrText>
          </w:r>
          <w:r>
            <w:rPr>
              <w:color w:val="000000" w:themeColor="text1"/>
              <w:highlight w:val="none"/>
              <w14:textFill>
                <w14:solidFill>
                  <w14:schemeClr w14:val="tx1"/>
                </w14:solidFill>
              </w14:textFill>
            </w:rPr>
            <w:instrText xml:space="preserve">PAGEREF _Toc197892804 \h</w:instrText>
          </w:r>
          <w:r>
            <w:rPr>
              <w:rFonts w:hint="eastAsia"/>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26</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3AB6A49">
          <w:pPr>
            <w:pStyle w:val="9"/>
            <w:tabs>
              <w:tab w:val="left" w:pos="440"/>
              <w:tab w:val="right" w:leader="dot" w:pos="8296"/>
            </w:tabs>
            <w:rPr>
              <w:rFonts w:ascii="Times New Roman" w:hAnsi="Times New Roman" w:eastAsia="宋体"/>
              <w:color w:val="000000" w:themeColor="text1"/>
              <w:sz w:val="24"/>
              <w:highlight w:val="none"/>
              <w:shd w:val="clear" w:color="auto" w:fill="FDFDFE"/>
              <w14:textFill>
                <w14:solidFill>
                  <w14:schemeClr w14:val="tx1"/>
                </w14:solidFill>
              </w14:textFill>
            </w:rPr>
          </w:pPr>
          <w:r>
            <w:rPr>
              <w:rFonts w:ascii="Times New Roman" w:hAnsi="Times New Roman"/>
              <w:color w:val="000000" w:themeColor="text1"/>
              <w:highlight w:val="none"/>
              <w:lang w:val="zh-CN"/>
              <w14:textFill>
                <w14:solidFill>
                  <w14:schemeClr w14:val="tx1"/>
                </w14:solidFill>
              </w14:textFill>
            </w:rPr>
            <w:fldChar w:fldCharType="end"/>
          </w:r>
        </w:p>
      </w:sdtContent>
    </w:sdt>
    <w:p w14:paraId="4219556D">
      <w:pPr>
        <w:pStyle w:val="2"/>
        <w:rPr>
          <w:rFonts w:ascii="Times New Roman" w:hAnsi="Times New Roman" w:eastAsia="宋体" w:cs="Times New Roman"/>
          <w:color w:val="000000" w:themeColor="text1"/>
          <w:sz w:val="24"/>
          <w:szCs w:val="24"/>
          <w:highlight w:val="none"/>
          <w:shd w:val="clear" w:color="auto" w:fill="FDFDFE"/>
          <w14:textFill>
            <w14:solidFill>
              <w14:schemeClr w14:val="tx1"/>
            </w14:solidFill>
          </w14:textFill>
        </w:rPr>
      </w:pPr>
      <w:bookmarkStart w:id="0" w:name="_Toc197892769"/>
      <w:r>
        <w:rPr>
          <w:rFonts w:ascii="Times New Roman" w:hAnsi="Times New Roman" w:eastAsia="宋体" w:cs="Times New Roman"/>
          <w:color w:val="000000" w:themeColor="text1"/>
          <w:sz w:val="24"/>
          <w:szCs w:val="24"/>
          <w:highlight w:val="none"/>
          <w:shd w:val="clear" w:color="auto" w:fill="FDFDFE"/>
          <w14:textFill>
            <w14:solidFill>
              <w14:schemeClr w14:val="tx1"/>
            </w14:solidFill>
          </w14:textFill>
        </w:rPr>
        <w:t>Title：</w:t>
      </w:r>
      <w:bookmarkEnd w:id="0"/>
    </w:p>
    <w:p w14:paraId="60EF0772">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r>
        <w:rPr>
          <w:rFonts w:ascii="Times New Roman" w:hAnsi="Times New Roman" w:cs="Times New Roman"/>
          <w:color w:val="000000" w:themeColor="text1"/>
          <w:sz w:val="24"/>
          <w:highlight w:val="none"/>
          <w:shd w:val="clear" w:color="auto" w:fill="FDFDFE"/>
          <w14:textFill>
            <w14:solidFill>
              <w14:schemeClr w14:val="tx1"/>
            </w14:solidFill>
          </w14:textFill>
        </w:rPr>
        <w:t>Efficiency of Remote Monitoring and Guidance in Blood Pressure Management: A Randomized Controlled Trial</w:t>
      </w:r>
    </w:p>
    <w:p w14:paraId="44D0825D">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p>
    <w:p w14:paraId="64E54A96">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r>
        <w:rPr>
          <w:rFonts w:hint="eastAsia" w:ascii="Times New Roman" w:hAnsi="Times New Roman" w:cs="Times New Roman"/>
          <w:color w:val="000000" w:themeColor="text1"/>
          <w:sz w:val="24"/>
          <w:highlight w:val="none"/>
          <w:shd w:val="clear" w:color="auto" w:fill="FDFDFE"/>
          <w14:textFill>
            <w14:solidFill>
              <w14:schemeClr w14:val="tx1"/>
            </w14:solidFill>
          </w14:textFill>
        </w:rPr>
        <w:t>Protocol</w:t>
      </w:r>
    </w:p>
    <w:p w14:paraId="4CFD79E1">
      <w:pPr>
        <w:widowControl/>
        <w:spacing w:line="480" w:lineRule="auto"/>
        <w:jc w:val="left"/>
        <w:rPr>
          <w:rFonts w:ascii="Times New Roman" w:hAnsi="Times New Roman" w:cs="Times New Roman"/>
          <w:color w:val="000000" w:themeColor="text1"/>
          <w:sz w:val="28"/>
          <w:szCs w:val="28"/>
          <w:highlight w:val="none"/>
          <w:shd w:val="clear" w:color="auto" w:fill="FDFDFE"/>
          <w14:textFill>
            <w14:solidFill>
              <w14:schemeClr w14:val="tx1"/>
            </w14:solidFill>
          </w14:textFill>
        </w:rPr>
      </w:pPr>
    </w:p>
    <w:p w14:paraId="333981EF">
      <w:pPr>
        <w:spacing w:line="480" w:lineRule="auto"/>
        <w:jc w:val="left"/>
        <w:rPr>
          <w:rFonts w:ascii="Times New Roman" w:hAnsi="Times New Roman" w:cs="Times New Roman"/>
          <w:color w:val="000000" w:themeColor="text1"/>
          <w:sz w:val="24"/>
          <w:highlight w:val="none"/>
          <w:shd w:val="clear" w:color="auto" w:fill="FDFDFE"/>
          <w14:textFill>
            <w14:solidFill>
              <w14:schemeClr w14:val="tx1"/>
            </w14:solidFill>
          </w14:textFill>
        </w:rPr>
      </w:pP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Trial Registration: </w:t>
      </w:r>
      <w:r>
        <w:rPr>
          <w:rFonts w:ascii="Times New Roman" w:hAnsi="Times New Roman" w:cs="Times New Roman"/>
          <w:color w:val="000000" w:themeColor="text1"/>
          <w:sz w:val="24"/>
          <w:highlight w:val="none"/>
          <w:shd w:val="clear" w:color="auto" w:fill="FDFDFE"/>
          <w14:textFill>
            <w14:solidFill>
              <w14:schemeClr w14:val="tx1"/>
            </w14:solidFill>
          </w14:textFill>
        </w:rPr>
        <w:t>ClincialTrials.gov Identifier: NCT04690478</w:t>
      </w:r>
    </w:p>
    <w:p w14:paraId="403A7575">
      <w:pPr>
        <w:spacing w:line="480" w:lineRule="auto"/>
        <w:rPr>
          <w:rFonts w:ascii="Times New Roman" w:hAnsi="Times New Roman" w:cs="Times New Roman"/>
          <w:color w:val="000000" w:themeColor="text1"/>
          <w:sz w:val="24"/>
          <w:highlight w:val="none"/>
          <w14:textFill>
            <w14:solidFill>
              <w14:schemeClr w14:val="tx1"/>
            </w14:solidFill>
          </w14:textFill>
        </w:rPr>
      </w:pPr>
    </w:p>
    <w:p w14:paraId="1DB8D5DC">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r>
        <w:rPr>
          <w:rFonts w:ascii="Times New Roman" w:hAnsi="Times New Roman" w:cs="Times New Roman"/>
          <w:color w:val="000000" w:themeColor="text1"/>
          <w:sz w:val="24"/>
          <w:highlight w:val="none"/>
          <w:shd w:val="clear" w:color="auto" w:fill="FDFDFE"/>
          <w14:textFill>
            <w14:solidFill>
              <w14:schemeClr w14:val="tx1"/>
            </w14:solidFill>
          </w14:textFill>
        </w:rPr>
        <w:t>Funding: This study is funded by the Qingdao Municipal Science and Technology Bureau. Award Number: 20-3-4-54-nsh.</w:t>
      </w:r>
    </w:p>
    <w:p w14:paraId="78FC90A5">
      <w:pPr>
        <w:spacing w:line="480" w:lineRule="auto"/>
        <w:jc w:val="left"/>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Technology Field: Population and Health</w:t>
      </w:r>
    </w:p>
    <w:p w14:paraId="0C4607D3">
      <w:pPr>
        <w:spacing w:line="480" w:lineRule="auto"/>
        <w:jc w:val="left"/>
        <w:rPr>
          <w:rFonts w:ascii="Times New Roman" w:hAnsi="Times New Roman" w:cs="Times New Roman"/>
          <w:color w:val="000000" w:themeColor="text1"/>
          <w:sz w:val="24"/>
          <w:highlight w:val="none"/>
          <w14:textFill>
            <w14:solidFill>
              <w14:schemeClr w14:val="tx1"/>
            </w14:solidFill>
          </w14:textFill>
        </w:rPr>
      </w:pPr>
    </w:p>
    <w:p w14:paraId="75A6E31F">
      <w:pPr>
        <w:spacing w:line="480" w:lineRule="auto"/>
        <w:jc w:val="left"/>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Project leader: Haichu Yu       Email: haichuyu@163.com</w:t>
      </w:r>
    </w:p>
    <w:p w14:paraId="1E640251">
      <w:pPr>
        <w:spacing w:line="480" w:lineRule="auto"/>
        <w:jc w:val="left"/>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Undertaking Unit: The Affiliated Cardiovascular Hospital of Qingdao University</w:t>
      </w:r>
    </w:p>
    <w:p w14:paraId="7DB9A02F">
      <w:pPr>
        <w:spacing w:line="480" w:lineRule="auto"/>
        <w:jc w:val="left"/>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Supervisor: Cardiovascular Hospital of Qingdao University</w:t>
      </w:r>
    </w:p>
    <w:p w14:paraId="55432535">
      <w:pPr>
        <w:spacing w:line="480" w:lineRule="auto"/>
        <w:jc w:val="left"/>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Unit Address: No. 5 Zhiquan Road, Shinan District, Qingdao</w:t>
      </w:r>
    </w:p>
    <w:p w14:paraId="0BF73F18">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p>
    <w:p w14:paraId="273C3138">
      <w:pPr>
        <w:spacing w:line="480" w:lineRule="auto"/>
        <w:rPr>
          <w:rFonts w:ascii="Times New Roman" w:hAnsi="Times New Roman" w:cs="Times New Roman"/>
          <w:color w:val="000000" w:themeColor="text1"/>
          <w:sz w:val="24"/>
          <w:highlight w:val="none"/>
          <w:shd w:val="clear" w:color="auto" w:fill="FDFDFE"/>
          <w14:textFill>
            <w14:solidFill>
              <w14:schemeClr w14:val="tx1"/>
            </w14:solidFill>
          </w14:textFill>
        </w:rPr>
      </w:pPr>
    </w:p>
    <w:p w14:paraId="4B38FF58">
      <w:pPr>
        <w:pStyle w:val="2"/>
        <w:ind w:firstLine="240" w:firstLineChars="100"/>
        <w:rPr>
          <w:rFonts w:ascii="Times New Roman" w:hAnsi="Times New Roman" w:eastAsia="宋体" w:cs="Times New Roman"/>
          <w:b w:val="0"/>
          <w:bCs w:val="0"/>
          <w:color w:val="000000" w:themeColor="text1"/>
          <w:kern w:val="0"/>
          <w:sz w:val="24"/>
          <w:szCs w:val="24"/>
          <w:highlight w:val="none"/>
          <w:lang w:bidi="ar"/>
          <w14:textFill>
            <w14:solidFill>
              <w14:schemeClr w14:val="tx1"/>
            </w14:solidFill>
          </w14:textFill>
        </w:rPr>
      </w:pPr>
      <w:bookmarkStart w:id="1" w:name="_Toc197892770"/>
      <w:r>
        <w:rPr>
          <w:rFonts w:ascii="Times New Roman" w:hAnsi="Times New Roman" w:eastAsia="宋体" w:cs="Times New Roman"/>
          <w:b w:val="0"/>
          <w:bCs w:val="0"/>
          <w:color w:val="000000" w:themeColor="text1"/>
          <w:kern w:val="0"/>
          <w:sz w:val="24"/>
          <w:szCs w:val="24"/>
          <w:highlight w:val="none"/>
          <w:lang w:bidi="ar"/>
          <w14:textFill>
            <w14:solidFill>
              <w14:schemeClr w14:val="tx1"/>
            </w14:solidFill>
          </w14:textFill>
        </w:rPr>
        <w:t>1 Introduction</w:t>
      </w:r>
      <w:bookmarkEnd w:id="1"/>
    </w:p>
    <w:p w14:paraId="64A8B02D">
      <w:pPr>
        <w:pStyle w:val="3"/>
        <w:rPr>
          <w:rFonts w:ascii="Times New Roman" w:hAnsi="Times New Roman" w:cs="Times New Roman"/>
          <w:color w:val="000000" w:themeColor="text1"/>
          <w:sz w:val="24"/>
          <w:szCs w:val="24"/>
          <w:highlight w:val="none"/>
          <w14:textFill>
            <w14:solidFill>
              <w14:schemeClr w14:val="tx1"/>
            </w14:solidFill>
          </w14:textFill>
        </w:rPr>
      </w:pPr>
      <w:bookmarkStart w:id="2" w:name="_Toc197892771"/>
      <w:r>
        <w:rPr>
          <w:rFonts w:ascii="Times New Roman" w:hAnsi="Times New Roman" w:cs="Times New Roman"/>
          <w:color w:val="000000" w:themeColor="text1"/>
          <w:sz w:val="24"/>
          <w:szCs w:val="24"/>
          <w:highlight w:val="none"/>
          <w:lang w:eastAsia="zh-CN"/>
          <w14:textFill>
            <w14:solidFill>
              <w14:schemeClr w14:val="tx1"/>
            </w14:solidFill>
          </w14:textFill>
        </w:rPr>
        <w:t>1.1</w:t>
      </w:r>
      <w:r>
        <w:rPr>
          <w:rFonts w:ascii="Times New Roman" w:hAnsi="Times New Roman" w:cs="Times New Roman"/>
          <w:color w:val="000000" w:themeColor="text1"/>
          <w:spacing w:val="-2"/>
          <w:kern w:val="0"/>
          <w:sz w:val="24"/>
          <w:szCs w:val="24"/>
          <w:highlight w:val="none"/>
          <w:lang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Preface</w:t>
      </w:r>
      <w:bookmarkEnd w:id="2"/>
    </w:p>
    <w:p w14:paraId="367BAD0D">
      <w:pPr>
        <w:spacing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This document outlines the planned analysis of the primary paper(s) from a randomized controlled trial assessing hypertension management i</w:t>
      </w:r>
      <w:r>
        <w:rPr>
          <w:rFonts w:ascii="Times New Roman" w:hAnsi="Times New Roman" w:eastAsia="宋体" w:cs="Times New Roman"/>
          <w:color w:val="000000" w:themeColor="text1"/>
          <w:sz w:val="24"/>
          <w:highlight w:val="none"/>
          <w14:textFill>
            <w14:solidFill>
              <w14:schemeClr w14:val="tx1"/>
            </w14:solidFill>
          </w14:textFill>
        </w:rPr>
        <w:t>n primary care. The trial compares self-monitored blood pressure, with or without telemonitoring, to usual care. The reported resu</w:t>
      </w:r>
      <w:r>
        <w:rPr>
          <w:rFonts w:ascii="Times New Roman" w:hAnsi="Times New Roman" w:eastAsia="宋体" w:cs="Times New Roman"/>
          <w:color w:val="000000" w:themeColor="text1"/>
          <w:sz w:val="24"/>
          <w:highlight w:val="none"/>
          <w14:textFill>
            <w14:solidFill>
              <w14:schemeClr w14:val="tx1"/>
            </w14:solidFill>
          </w14:textFill>
        </w:rPr>
        <w:t>lts will adhere to the strategy detailed here, while exploratory analyses may diverge, though still guided by these general principles. These guidelines are not meant to restrict exploratory work, such as determining cut-points for continuous variables or standard data transformations but aim to provide a consistent framework for analyzing and reporting trial findings.</w:t>
      </w:r>
    </w:p>
    <w:p w14:paraId="41AAAB7B">
      <w:pPr>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The analysis strategy will be available upon request when the principal papers are submitted for journal publication. Suggestions for additional analyses by journal editors or referees will be carefully considered and, if conducted, will follow the principles outlined here. Any such contributions will be duly acknowledged. Deviations from the statistical analysis plan will be documented and justified in the trial’s final report. A qualified and experienced statistician will oversee the analysis to ensure data integrity, including implementing quality control procedures.</w:t>
      </w:r>
      <w:r>
        <w:rPr>
          <w:rFonts w:ascii="Times New Roman" w:hAnsi="Times New Roman" w:eastAsia="宋体" w:cs="Times New Roman"/>
          <w:color w:val="000000" w:themeColor="text1"/>
          <w:sz w:val="24"/>
          <w:highlight w:val="none"/>
          <w14:textFill>
            <w14:solidFill>
              <w14:schemeClr w14:val="tx1"/>
            </w14:solidFill>
          </w14:textFill>
        </w:rPr>
        <w:t xml:space="preserve"> </w:t>
      </w:r>
    </w:p>
    <w:p w14:paraId="4B816CC4">
      <w:pPr>
        <w:pStyle w:val="3"/>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bookmarkStart w:id="3" w:name="_Toc197892772"/>
      <w:r>
        <w:rPr>
          <w:rFonts w:ascii="Times New Roman" w:hAnsi="Times New Roman" w:eastAsia="宋体" w:cs="Times New Roman"/>
          <w:color w:val="000000" w:themeColor="text1"/>
          <w:kern w:val="0"/>
          <w:sz w:val="24"/>
          <w:szCs w:val="24"/>
          <w:highlight w:val="none"/>
          <w:lang w:eastAsia="zh-CN" w:bidi="ar"/>
          <w14:textFill>
            <w14:solidFill>
              <w14:schemeClr w14:val="tx1"/>
            </w14:solidFill>
          </w14:textFill>
        </w:rPr>
        <w:t>1.2 Background</w:t>
      </w:r>
      <w:bookmarkEnd w:id="3"/>
    </w:p>
    <w:p w14:paraId="3F36884D">
      <w:pPr>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Currently, hypertension is a major cause of the onset and progression of cardiovascular and cerebrovascular diseases, posing a serious threat to human life and health and significantly affecting quality of life. It has become a pressing health issue that needs urgent attention. Against the backdrop of the "Healthy China 2030" national strategy, the "Mid-to-Long-Term Plan for the Prevention and Control of Chronic Diseases in China (2017-2025)" has been released, making chronic disease prevention and control a key focus of the "Healthy China 2030" strategy. Hypertension, as the most significant risk factor for cardiovascular diseases, is central to this effort. The use of internet technology for remote blood pressure management has emerged as a new trend and model in chronic disease management. With the support of internet-based remote communication technology, systematic, standardized, detailed, and effective management of chronic conditions such as hypertension can be achieved. This includes a wide range of aspects, such as online consultations, remote blood pressure monitoring, remote blood pressure assessments, medication guidance, dietary advice, health education, and follow-up care, forming a new trend and model in community-based chronic disease management. This study focuses on the differences in blood pressure reduction between remote monitoring and guidance, self-monitoring, and usual care treatment, providing new insights for cardiovascular specialists and family doctors in the management of hypertension.</w:t>
      </w:r>
    </w:p>
    <w:p w14:paraId="2A17B76F">
      <w:pPr>
        <w:pStyle w:val="2"/>
        <w:rPr>
          <w:rFonts w:ascii="Times New Roman" w:hAnsi="Times New Roman" w:eastAsia="宋体" w:cs="Times New Roman"/>
          <w:b w:val="0"/>
          <w:bCs w:val="0"/>
          <w:color w:val="000000" w:themeColor="text1"/>
          <w:spacing w:val="15"/>
          <w:sz w:val="24"/>
          <w:szCs w:val="24"/>
          <w:highlight w:val="none"/>
          <w14:textFill>
            <w14:solidFill>
              <w14:schemeClr w14:val="tx1"/>
            </w14:solidFill>
          </w14:textFill>
        </w:rPr>
      </w:pPr>
      <w:bookmarkStart w:id="4" w:name="_Toc197892773"/>
      <w:r>
        <w:rPr>
          <w:rFonts w:ascii="Times New Roman" w:hAnsi="Times New Roman" w:eastAsia="宋体" w:cs="Times New Roman"/>
          <w:b w:val="0"/>
          <w:bCs w:val="0"/>
          <w:color w:val="000000" w:themeColor="text1"/>
          <w:sz w:val="24"/>
          <w:szCs w:val="24"/>
          <w:highlight w:val="none"/>
          <w14:textFill>
            <w14:solidFill>
              <w14:schemeClr w14:val="tx1"/>
            </w14:solidFill>
          </w14:textFill>
        </w:rPr>
        <w:t>2 Trial Design</w:t>
      </w:r>
      <w:bookmarkEnd w:id="4"/>
    </w:p>
    <w:p w14:paraId="6AE4DF69">
      <w:pPr>
        <w:spacing w:line="480" w:lineRule="auto"/>
        <w:rPr>
          <w:rFonts w:ascii="Times New Roman" w:hAnsi="Times New Roman" w:cs="Times New Roman"/>
          <w:color w:val="000000" w:themeColor="text1"/>
          <w:sz w:val="24"/>
          <w:szCs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szCs w:val="24"/>
          <w:highlight w:val="none"/>
          <w:shd w:val="clear" w:color="auto" w:fill="FDFDFE"/>
          <w14:textFill>
            <w14:solidFill>
              <w14:schemeClr w14:val="tx1"/>
            </w14:solidFill>
          </w14:textFill>
        </w:rPr>
        <w:t>This multi-center prospective study enrolled participants from December 2020 to December 2021 and followed them for over 24 months. It involved patients with primary hypertension treated in the cardiology departments of various hospitals in Qingdao, including The Affiliated Hospital of Qingdao University, the Affiliated Cardiovascular Hospital of Qingdao Universityw, Qingdao Beixin Minsheng Hospital, Qingdao Beitai Hospital, and Qingdao Ankang Hospital.</w:t>
      </w:r>
      <w:r>
        <w:rPr>
          <w:rFonts w:ascii="Times New Roman" w:hAnsi="Times New Roman" w:cs="Times New Roman"/>
          <w:color w:val="000000" w:themeColor="text1"/>
          <w:sz w:val="24"/>
          <w:szCs w:val="24"/>
          <w:highlight w:val="none"/>
          <w:shd w:val="clear" w:color="auto" w:fill="FDFDFE"/>
          <w14:textFill>
            <w14:solidFill>
              <w14:schemeClr w14:val="tx1"/>
            </w14:solidFill>
          </w14:textFill>
        </w:rPr>
        <w:t xml:space="preserve"> Invited participants are informed that participation in the trial is entirely voluntary and that declining to participate will not affect the care they receive. Those who agree to participate will be asked to sign an informed consent form covering both trial participation and the use of their data for research purposes. Participants are also informed that they may withdraw from the trial at any time, without providing a reason and without any consequences for their medical care.</w:t>
      </w:r>
    </w:p>
    <w:p w14:paraId="695BA0E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The study was an open-label, randomized controlled trial with automated outcome assessments.</w:t>
      </w:r>
      <w:r>
        <w:rPr>
          <w:rFonts w:ascii="Times New Roman" w:hAnsi="Times New Roman" w:cs="Times New Roman"/>
          <w:color w:val="000000" w:themeColor="text1"/>
          <w:sz w:val="24"/>
          <w:highlight w:val="none"/>
          <w:shd w:val="clear" w:color="auto" w:fill="FDFDFE"/>
          <w14:textFill>
            <w14:solidFill>
              <w14:schemeClr w14:val="tx1"/>
            </w14:solidFill>
          </w14:textFill>
        </w:rPr>
        <w:t xml:space="preserve"> </w:t>
      </w:r>
      <w:r>
        <w:rPr>
          <w:rFonts w:ascii="Times New Roman" w:hAnsi="Times New Roman" w:cs="Times New Roman"/>
          <w:color w:val="000000" w:themeColor="text1"/>
          <w:sz w:val="24"/>
          <w:szCs w:val="24"/>
          <w:highlight w:val="none"/>
          <w:shd w:val="clear" w:color="auto" w:fill="FDFDFE"/>
          <w14:textFill>
            <w14:solidFill>
              <w14:schemeClr w14:val="tx1"/>
            </w14:solidFill>
          </w14:textFill>
        </w:rPr>
        <w:t xml:space="preserve"> </w:t>
      </w:r>
      <w:r>
        <w:rPr>
          <w:rFonts w:ascii="Times New Roman" w:hAnsi="Times New Roman" w:eastAsia="Segoe UI" w:cs="Times New Roman"/>
          <w:color w:val="000000" w:themeColor="text1"/>
          <w:sz w:val="24"/>
          <w:szCs w:val="24"/>
          <w:highlight w:val="none"/>
          <w:shd w:val="clear" w:color="auto" w:fill="FDFDFE"/>
          <w14:textFill>
            <w14:solidFill>
              <w14:schemeClr w14:val="tx1"/>
            </w14:solidFill>
          </w14:textFill>
        </w:rPr>
        <w:t>The study was an open-label, randomized controlled trial with automated outcome assessments.</w:t>
      </w:r>
      <w:r>
        <w:rPr>
          <w:rFonts w:ascii="Times New Roman" w:hAnsi="Times New Roman" w:cs="Times New Roman"/>
          <w:color w:val="000000" w:themeColor="text1"/>
          <w:sz w:val="24"/>
          <w:szCs w:val="24"/>
          <w:highlight w:val="none"/>
          <w:shd w:val="clear" w:color="auto" w:fill="FDFDFE"/>
          <w14:textFill>
            <w14:solidFill>
              <w14:schemeClr w14:val="tx1"/>
            </w14:solidFill>
          </w14:textFill>
        </w:rPr>
        <w:t xml:space="preserve"> </w:t>
      </w:r>
      <w:r>
        <w:rPr>
          <w:rFonts w:ascii="Times New Roman" w:hAnsi="Times New Roman" w:eastAsia="Segoe UI" w:cs="Times New Roman"/>
          <w:color w:val="000000" w:themeColor="text1"/>
          <w:sz w:val="24"/>
          <w:szCs w:val="24"/>
          <w:highlight w:val="none"/>
          <w:shd w:val="clear" w:color="auto" w:fill="FDFDFE"/>
          <w14:textFill>
            <w14:solidFill>
              <w14:schemeClr w14:val="tx1"/>
            </w14:solidFill>
          </w14:textFill>
        </w:rPr>
        <w:t>It compared the effectiveness of remote blood pressure monitoring management with usual care</w:t>
      </w:r>
      <w:r>
        <w:rPr>
          <w:rFonts w:ascii="Times New Roman" w:hAnsi="Times New Roman" w:eastAsia="宋体" w:cs="Times New Roman"/>
          <w:color w:val="000000" w:themeColor="text1"/>
          <w:sz w:val="24"/>
          <w:szCs w:val="24"/>
          <w:highlight w:val="none"/>
          <w:shd w:val="clear" w:color="auto" w:fill="FDFDFE"/>
          <w14:textFill>
            <w14:solidFill>
              <w14:schemeClr w14:val="tx1"/>
            </w14:solidFill>
          </w14:textFill>
        </w:rPr>
        <w:t xml:space="preserve"> and s</w:t>
      </w:r>
      <w:r>
        <w:rPr>
          <w:rFonts w:ascii="Times New Roman" w:hAnsi="Times New Roman" w:eastAsia="Segoe UI" w:cs="Times New Roman"/>
          <w:color w:val="000000" w:themeColor="text1"/>
          <w:sz w:val="24"/>
          <w:szCs w:val="24"/>
          <w:highlight w:val="none"/>
          <w:shd w:val="clear" w:color="auto" w:fill="FDFDFE"/>
          <w14:textFill>
            <w14:solidFill>
              <w14:schemeClr w14:val="tx1"/>
            </w14:solidFill>
          </w14:textFill>
        </w:rPr>
        <w:t>elf-monitoring in hypertensive patients.</w:t>
      </w:r>
    </w:p>
    <w:p w14:paraId="7B397F95">
      <w:pPr>
        <w:pStyle w:val="11"/>
        <w:widowControl/>
        <w:ind w:right="119"/>
        <w:jc w:val="both"/>
        <w:outlineLvl w:val="1"/>
        <w:rPr>
          <w:rFonts w:ascii="Times New Roman" w:hAnsi="Times New Roman" w:eastAsia="宋体"/>
          <w:color w:val="000000" w:themeColor="text1"/>
          <w:highlight w:val="none"/>
          <w14:textFill>
            <w14:solidFill>
              <w14:schemeClr w14:val="tx1"/>
            </w14:solidFill>
          </w14:textFill>
        </w:rPr>
      </w:pPr>
      <w:bookmarkStart w:id="5" w:name="_Toc197892774"/>
      <w:r>
        <w:rPr>
          <w:rFonts w:ascii="Times New Roman" w:hAnsi="Times New Roman" w:eastAsia="宋体"/>
          <w:color w:val="000000" w:themeColor="text1"/>
          <w:highlight w:val="none"/>
          <w14:textFill>
            <w14:solidFill>
              <w14:schemeClr w14:val="tx1"/>
            </w14:solidFill>
          </w14:textFill>
        </w:rPr>
        <w:t>2.1 Objective</w:t>
      </w:r>
      <w:bookmarkEnd w:id="5"/>
    </w:p>
    <w:p w14:paraId="67E06F03">
      <w:pPr>
        <w:pStyle w:val="11"/>
        <w:widowControl/>
        <w:spacing w:line="480" w:lineRule="auto"/>
        <w:ind w:right="119"/>
        <w:jc w:val="both"/>
        <w:rPr>
          <w:rStyle w:val="15"/>
          <w:rFonts w:ascii="Times New Roman" w:hAnsi="Times New Roman"/>
          <w:b w:val="0"/>
          <w:color w:val="000000" w:themeColor="text1"/>
          <w:highlight w:val="none"/>
          <w14:textFill>
            <w14:solidFill>
              <w14:schemeClr w14:val="tx1"/>
            </w14:solidFill>
          </w14:textFill>
        </w:rPr>
      </w:pPr>
      <w:r>
        <w:rPr>
          <w:rFonts w:ascii="Times New Roman" w:hAnsi="Times New Roman"/>
          <w:color w:val="000000" w:themeColor="text1"/>
          <w:szCs w:val="24"/>
          <w:highlight w:val="none"/>
          <w:shd w:val="clear" w:color="auto" w:fill="FDFDFE"/>
          <w14:textFill>
            <w14:solidFill>
              <w14:schemeClr w14:val="tx1"/>
            </w14:solidFill>
          </w14:textFill>
        </w:rPr>
        <w:t>This study aims to compare whether remote monitoring and self-monitoring differ from usual care in terms of their effects on blood pressure reduction over an extended follow-up period, to provide robust data for future clinical decisions.  This study aims to compare whether remote monitoring and self-monitoring differ from usual care in terms of their effects on blood pressure reduction over an extended follow-up period, in order to provide robust data for future clinical decision-making. In addition, it examines whether different monitoring approaches lead to changes in lifestyle and medication use, and whether these changes are consistent across the three groups.</w:t>
      </w:r>
    </w:p>
    <w:p w14:paraId="280FB7E8">
      <w:pPr>
        <w:pStyle w:val="11"/>
        <w:widowControl/>
        <w:spacing w:before="100" w:after="100"/>
        <w:jc w:val="both"/>
        <w:outlineLvl w:val="1"/>
        <w:rPr>
          <w:rFonts w:ascii="Times New Roman" w:hAnsi="Times New Roman"/>
          <w:color w:val="000000" w:themeColor="text1"/>
          <w:highlight w:val="none"/>
          <w14:textFill>
            <w14:solidFill>
              <w14:schemeClr w14:val="tx1"/>
            </w14:solidFill>
          </w14:textFill>
        </w:rPr>
      </w:pPr>
      <w:bookmarkStart w:id="6" w:name="_Toc197892775"/>
      <w:r>
        <w:rPr>
          <w:rFonts w:ascii="Times New Roman" w:hAnsi="Times New Roman"/>
          <w:color w:val="000000" w:themeColor="text1"/>
          <w:highlight w:val="none"/>
          <w14:textFill>
            <w14:solidFill>
              <w14:schemeClr w14:val="tx1"/>
            </w14:solidFill>
          </w14:textFill>
        </w:rPr>
        <w:t>2.2 Study timeline</w:t>
      </w:r>
      <w:bookmarkEnd w:id="6"/>
    </w:p>
    <w:tbl>
      <w:tblPr>
        <w:tblStyle w:val="13"/>
        <w:tblpPr w:leftFromText="180" w:rightFromText="180" w:vertAnchor="text" w:horzAnchor="page" w:tblpX="885" w:tblpY="559"/>
        <w:tblOverlap w:val="never"/>
        <w:tblW w:w="103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498"/>
        <w:gridCol w:w="468"/>
        <w:gridCol w:w="468"/>
        <w:gridCol w:w="427"/>
        <w:gridCol w:w="378"/>
        <w:gridCol w:w="378"/>
        <w:gridCol w:w="378"/>
        <w:gridCol w:w="427"/>
        <w:gridCol w:w="367"/>
        <w:gridCol w:w="367"/>
        <w:gridCol w:w="367"/>
        <w:gridCol w:w="422"/>
        <w:gridCol w:w="365"/>
        <w:gridCol w:w="365"/>
        <w:gridCol w:w="365"/>
        <w:gridCol w:w="423"/>
        <w:gridCol w:w="366"/>
        <w:gridCol w:w="362"/>
        <w:gridCol w:w="362"/>
        <w:gridCol w:w="423"/>
      </w:tblGrid>
      <w:tr w14:paraId="64CB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5" w:type="dxa"/>
          </w:tcPr>
          <w:p w14:paraId="7E0F15B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1861" w:type="dxa"/>
            <w:gridSpan w:val="4"/>
          </w:tcPr>
          <w:p w14:paraId="23C231C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2020</w:t>
            </w:r>
          </w:p>
        </w:tc>
        <w:tc>
          <w:tcPr>
            <w:tcW w:w="1561" w:type="dxa"/>
            <w:gridSpan w:val="4"/>
          </w:tcPr>
          <w:p w14:paraId="6BFB8C3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2021</w:t>
            </w:r>
          </w:p>
        </w:tc>
        <w:tc>
          <w:tcPr>
            <w:tcW w:w="1523" w:type="dxa"/>
            <w:gridSpan w:val="4"/>
          </w:tcPr>
          <w:p w14:paraId="2C3EB7F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2022</w:t>
            </w:r>
          </w:p>
        </w:tc>
        <w:tc>
          <w:tcPr>
            <w:tcW w:w="1518" w:type="dxa"/>
            <w:gridSpan w:val="4"/>
          </w:tcPr>
          <w:p w14:paraId="7D23D84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2023</w:t>
            </w:r>
          </w:p>
        </w:tc>
        <w:tc>
          <w:tcPr>
            <w:tcW w:w="1513" w:type="dxa"/>
            <w:gridSpan w:val="4"/>
          </w:tcPr>
          <w:p w14:paraId="632D881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2024</w:t>
            </w:r>
          </w:p>
        </w:tc>
      </w:tr>
      <w:tr w14:paraId="739E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77186B0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Month</w:t>
            </w:r>
          </w:p>
        </w:tc>
        <w:tc>
          <w:tcPr>
            <w:tcW w:w="498" w:type="dxa"/>
          </w:tcPr>
          <w:p w14:paraId="7ECFE7F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3</w:t>
            </w:r>
          </w:p>
        </w:tc>
        <w:tc>
          <w:tcPr>
            <w:tcW w:w="468" w:type="dxa"/>
          </w:tcPr>
          <w:p w14:paraId="09025CD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6</w:t>
            </w:r>
          </w:p>
        </w:tc>
        <w:tc>
          <w:tcPr>
            <w:tcW w:w="468" w:type="dxa"/>
          </w:tcPr>
          <w:p w14:paraId="3AAFD4C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9</w:t>
            </w:r>
          </w:p>
        </w:tc>
        <w:tc>
          <w:tcPr>
            <w:tcW w:w="427" w:type="dxa"/>
          </w:tcPr>
          <w:p w14:paraId="0681E29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12</w:t>
            </w:r>
          </w:p>
        </w:tc>
        <w:tc>
          <w:tcPr>
            <w:tcW w:w="378" w:type="dxa"/>
          </w:tcPr>
          <w:p w14:paraId="3FDF1CC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3</w:t>
            </w:r>
          </w:p>
        </w:tc>
        <w:tc>
          <w:tcPr>
            <w:tcW w:w="378" w:type="dxa"/>
          </w:tcPr>
          <w:p w14:paraId="6D5F577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6</w:t>
            </w:r>
          </w:p>
        </w:tc>
        <w:tc>
          <w:tcPr>
            <w:tcW w:w="378" w:type="dxa"/>
          </w:tcPr>
          <w:p w14:paraId="7DABE01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9</w:t>
            </w:r>
          </w:p>
        </w:tc>
        <w:tc>
          <w:tcPr>
            <w:tcW w:w="427" w:type="dxa"/>
          </w:tcPr>
          <w:p w14:paraId="45C0236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12</w:t>
            </w:r>
          </w:p>
        </w:tc>
        <w:tc>
          <w:tcPr>
            <w:tcW w:w="367" w:type="dxa"/>
          </w:tcPr>
          <w:p w14:paraId="7719F80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3</w:t>
            </w:r>
          </w:p>
        </w:tc>
        <w:tc>
          <w:tcPr>
            <w:tcW w:w="367" w:type="dxa"/>
          </w:tcPr>
          <w:p w14:paraId="3A4E3DA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6</w:t>
            </w:r>
          </w:p>
        </w:tc>
        <w:tc>
          <w:tcPr>
            <w:tcW w:w="367" w:type="dxa"/>
          </w:tcPr>
          <w:p w14:paraId="66A0003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9</w:t>
            </w:r>
          </w:p>
        </w:tc>
        <w:tc>
          <w:tcPr>
            <w:tcW w:w="422" w:type="dxa"/>
          </w:tcPr>
          <w:p w14:paraId="233521F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12</w:t>
            </w:r>
          </w:p>
        </w:tc>
        <w:tc>
          <w:tcPr>
            <w:tcW w:w="365" w:type="dxa"/>
          </w:tcPr>
          <w:p w14:paraId="4863B38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3</w:t>
            </w:r>
          </w:p>
        </w:tc>
        <w:tc>
          <w:tcPr>
            <w:tcW w:w="365" w:type="dxa"/>
          </w:tcPr>
          <w:p w14:paraId="33EA21F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6</w:t>
            </w:r>
          </w:p>
        </w:tc>
        <w:tc>
          <w:tcPr>
            <w:tcW w:w="365" w:type="dxa"/>
          </w:tcPr>
          <w:p w14:paraId="38270E1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9</w:t>
            </w:r>
          </w:p>
        </w:tc>
        <w:tc>
          <w:tcPr>
            <w:tcW w:w="423" w:type="dxa"/>
          </w:tcPr>
          <w:p w14:paraId="4D53D1F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12</w:t>
            </w:r>
          </w:p>
        </w:tc>
        <w:tc>
          <w:tcPr>
            <w:tcW w:w="366" w:type="dxa"/>
          </w:tcPr>
          <w:p w14:paraId="23AA82C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3</w:t>
            </w:r>
          </w:p>
        </w:tc>
        <w:tc>
          <w:tcPr>
            <w:tcW w:w="362" w:type="dxa"/>
          </w:tcPr>
          <w:p w14:paraId="5F68509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6</w:t>
            </w:r>
          </w:p>
        </w:tc>
        <w:tc>
          <w:tcPr>
            <w:tcW w:w="362" w:type="dxa"/>
          </w:tcPr>
          <w:p w14:paraId="3FE9204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9</w:t>
            </w:r>
          </w:p>
        </w:tc>
        <w:tc>
          <w:tcPr>
            <w:tcW w:w="423" w:type="dxa"/>
          </w:tcPr>
          <w:p w14:paraId="6D871E3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12</w:t>
            </w:r>
          </w:p>
        </w:tc>
      </w:tr>
      <w:tr w14:paraId="522F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21CA55E0">
            <w:pPr>
              <w:widowControl/>
              <w:jc w:val="left"/>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Phase 1 (Study Start-up)</w:t>
            </w:r>
          </w:p>
        </w:tc>
        <w:tc>
          <w:tcPr>
            <w:tcW w:w="498" w:type="dxa"/>
            <w:shd w:val="clear" w:color="auto" w:fill="C2E5F5" w:themeFill="accent1" w:themeFillTint="32"/>
          </w:tcPr>
          <w:p w14:paraId="6A4D3C7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2E5F5" w:themeFill="accent1" w:themeFillTint="32"/>
          </w:tcPr>
          <w:p w14:paraId="301606D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2E5F5" w:themeFill="accent1" w:themeFillTint="32"/>
          </w:tcPr>
          <w:p w14:paraId="5810220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2E5F5" w:themeFill="accent1" w:themeFillTint="32"/>
          </w:tcPr>
          <w:p w14:paraId="7DF5E61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5D88FD1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6B6305A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50DC690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2E5F5" w:themeFill="accent1" w:themeFillTint="32"/>
          </w:tcPr>
          <w:p w14:paraId="32B6F6F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2E5F5" w:themeFill="accent1" w:themeFillTint="32"/>
          </w:tcPr>
          <w:p w14:paraId="302CE9A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2E5F5" w:themeFill="accent1" w:themeFillTint="32"/>
          </w:tcPr>
          <w:p w14:paraId="460D4F1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2E5F5" w:themeFill="accent1" w:themeFillTint="32"/>
          </w:tcPr>
          <w:p w14:paraId="079F020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shd w:val="clear" w:color="auto" w:fill="C2E5F5" w:themeFill="accent1" w:themeFillTint="32"/>
          </w:tcPr>
          <w:p w14:paraId="7A1D07D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2E5F5" w:themeFill="accent1" w:themeFillTint="32"/>
          </w:tcPr>
          <w:p w14:paraId="46C2289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2E5F5" w:themeFill="accent1" w:themeFillTint="32"/>
          </w:tcPr>
          <w:p w14:paraId="219BAA9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2E5F5" w:themeFill="accent1" w:themeFillTint="32"/>
          </w:tcPr>
          <w:p w14:paraId="6BEBD06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C2E5F5" w:themeFill="accent1" w:themeFillTint="32"/>
          </w:tcPr>
          <w:p w14:paraId="50A7A53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C2E5F5" w:themeFill="accent1" w:themeFillTint="32"/>
          </w:tcPr>
          <w:p w14:paraId="4A79EAB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C2E5F5" w:themeFill="accent1" w:themeFillTint="32"/>
          </w:tcPr>
          <w:p w14:paraId="422DA5F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C2E5F5" w:themeFill="accent1" w:themeFillTint="32"/>
          </w:tcPr>
          <w:p w14:paraId="6C443BB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C2E5F5" w:themeFill="accent1" w:themeFillTint="32"/>
          </w:tcPr>
          <w:p w14:paraId="10B3863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5B9B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0EFD06C6">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Finalize extension study MOP</w:t>
            </w:r>
          </w:p>
        </w:tc>
        <w:tc>
          <w:tcPr>
            <w:tcW w:w="498" w:type="dxa"/>
          </w:tcPr>
          <w:p w14:paraId="1BF99A7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51A6C9F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2E5F5" w:themeFill="accent1" w:themeFillTint="32"/>
          </w:tcPr>
          <w:p w14:paraId="069E548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031CC1E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0147FAD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416DB80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2939094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0C25A66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1B6CE34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3B58074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3B1C7C5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4EDA38D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24C3954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7E41AFD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39037AB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5586729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tcPr>
          <w:p w14:paraId="21E74E6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41B83BD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53DD2A5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66AED12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731E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7EAF2AC7">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Obtain IRB approval</w:t>
            </w:r>
          </w:p>
        </w:tc>
        <w:tc>
          <w:tcPr>
            <w:tcW w:w="498" w:type="dxa"/>
          </w:tcPr>
          <w:p w14:paraId="2109179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2E5F5" w:themeFill="accent1" w:themeFillTint="32"/>
          </w:tcPr>
          <w:p w14:paraId="74D9F88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691F5D1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7343B28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0725614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4010BDA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5D495F2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62D3413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5D78C43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7D0CAD3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6A5E60D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41B5D8C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7849CE0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4272329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320CC14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2E5F672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tcPr>
          <w:p w14:paraId="1D05435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6DF6652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2094957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7F36C48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2006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708D81D8">
            <w:pPr>
              <w:widowControl/>
              <w:jc w:val="left"/>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Contact and consent study participants </w:t>
            </w:r>
          </w:p>
        </w:tc>
        <w:tc>
          <w:tcPr>
            <w:tcW w:w="498" w:type="dxa"/>
          </w:tcPr>
          <w:p w14:paraId="7FBB1CC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484CBC8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FFFFFF" w:themeFill="background1"/>
          </w:tcPr>
          <w:p w14:paraId="42E8D7E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2E5F5" w:themeFill="accent1" w:themeFillTint="32"/>
          </w:tcPr>
          <w:p w14:paraId="79AFFC2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6F6A582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5DC5FD6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2E5F5" w:themeFill="accent1" w:themeFillTint="32"/>
          </w:tcPr>
          <w:p w14:paraId="0F9856A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2E5F5" w:themeFill="accent1" w:themeFillTint="32"/>
          </w:tcPr>
          <w:p w14:paraId="6240270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5225BE1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0CF93E1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50CF966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46C9C10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44FF6B6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15C764C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1D71AF1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2D55B5F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tcPr>
          <w:p w14:paraId="4C3233D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3CFCD0D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49E5D33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10E443B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276A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3513CF66">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Phase 2 (Data collection)</w:t>
            </w:r>
          </w:p>
        </w:tc>
        <w:tc>
          <w:tcPr>
            <w:tcW w:w="498" w:type="dxa"/>
            <w:shd w:val="clear" w:color="auto" w:fill="CBEEFB" w:themeFill="accent4" w:themeFillTint="32"/>
          </w:tcPr>
          <w:p w14:paraId="5408488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BEEFB" w:themeFill="accent4" w:themeFillTint="32"/>
          </w:tcPr>
          <w:p w14:paraId="5CD45AE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CBEEFB" w:themeFill="accent4" w:themeFillTint="32"/>
          </w:tcPr>
          <w:p w14:paraId="59AF6E2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BEEFB" w:themeFill="accent4" w:themeFillTint="32"/>
          </w:tcPr>
          <w:p w14:paraId="3A210CF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20FBD1F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77B320A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2DF8E01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BEEFB" w:themeFill="accent4" w:themeFillTint="32"/>
          </w:tcPr>
          <w:p w14:paraId="3FBAA7F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76CA194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42397AC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322751F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shd w:val="clear" w:color="auto" w:fill="CBEEFB" w:themeFill="accent4" w:themeFillTint="32"/>
          </w:tcPr>
          <w:p w14:paraId="297F993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1F25A6D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027DD05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2FAD308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CBEEFB" w:themeFill="accent4" w:themeFillTint="32"/>
          </w:tcPr>
          <w:p w14:paraId="222A9B7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CBEEFB" w:themeFill="accent4" w:themeFillTint="32"/>
          </w:tcPr>
          <w:p w14:paraId="579BADA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CBEEFB" w:themeFill="accent4" w:themeFillTint="32"/>
          </w:tcPr>
          <w:p w14:paraId="0A60BB3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CBEEFB" w:themeFill="accent4" w:themeFillTint="32"/>
          </w:tcPr>
          <w:p w14:paraId="3BFA78D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CBEEFB" w:themeFill="accent4" w:themeFillTint="32"/>
          </w:tcPr>
          <w:p w14:paraId="12FA4D0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5F85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2C98BD76">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Patient follow-up visits </w:t>
            </w:r>
          </w:p>
        </w:tc>
        <w:tc>
          <w:tcPr>
            <w:tcW w:w="498" w:type="dxa"/>
          </w:tcPr>
          <w:p w14:paraId="7AA921E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458639B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FFFFFF" w:themeFill="background1"/>
          </w:tcPr>
          <w:p w14:paraId="4960EE2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BEEFB" w:themeFill="accent4" w:themeFillTint="32"/>
          </w:tcPr>
          <w:p w14:paraId="269C613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584A9D8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4189108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CBEEFB" w:themeFill="accent4" w:themeFillTint="32"/>
          </w:tcPr>
          <w:p w14:paraId="424B69B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CBEEFB" w:themeFill="accent4" w:themeFillTint="32"/>
          </w:tcPr>
          <w:p w14:paraId="6222D86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6DD4181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7CAC36A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CBEEFB" w:themeFill="accent4" w:themeFillTint="32"/>
          </w:tcPr>
          <w:p w14:paraId="75BA069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shd w:val="clear" w:color="auto" w:fill="CBEEFB" w:themeFill="accent4" w:themeFillTint="32"/>
          </w:tcPr>
          <w:p w14:paraId="7C9B281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675EE45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3E6A7E3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CBEEFB" w:themeFill="accent4" w:themeFillTint="32"/>
          </w:tcPr>
          <w:p w14:paraId="167844E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CBEEFB" w:themeFill="accent4" w:themeFillTint="32"/>
          </w:tcPr>
          <w:p w14:paraId="1EF7BAE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CBEEFB" w:themeFill="accent4" w:themeFillTint="32"/>
          </w:tcPr>
          <w:p w14:paraId="20CA85E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148032D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152BD50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4D981C5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6A41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19548595">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Phase 3 (Analysis &amp; Dissemination) </w:t>
            </w:r>
          </w:p>
        </w:tc>
        <w:tc>
          <w:tcPr>
            <w:tcW w:w="498" w:type="dxa"/>
            <w:shd w:val="clear" w:color="auto" w:fill="F2CFEE" w:themeFill="accent5" w:themeFillTint="32"/>
          </w:tcPr>
          <w:p w14:paraId="5A955C2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F2CFEE" w:themeFill="accent5" w:themeFillTint="32"/>
          </w:tcPr>
          <w:p w14:paraId="2EFC1DE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F2CFEE" w:themeFill="accent5" w:themeFillTint="32"/>
          </w:tcPr>
          <w:p w14:paraId="1913FE7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F2CFEE" w:themeFill="accent5" w:themeFillTint="32"/>
          </w:tcPr>
          <w:p w14:paraId="2F14C82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F2CFEE" w:themeFill="accent5" w:themeFillTint="32"/>
          </w:tcPr>
          <w:p w14:paraId="4B4F8C9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F2CFEE" w:themeFill="accent5" w:themeFillTint="32"/>
          </w:tcPr>
          <w:p w14:paraId="45D1191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F2CFEE" w:themeFill="accent5" w:themeFillTint="32"/>
          </w:tcPr>
          <w:p w14:paraId="01BCE6A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F2CFEE" w:themeFill="accent5" w:themeFillTint="32"/>
          </w:tcPr>
          <w:p w14:paraId="46E9068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F2CFEE" w:themeFill="accent5" w:themeFillTint="32"/>
          </w:tcPr>
          <w:p w14:paraId="74AB766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F2CFEE" w:themeFill="accent5" w:themeFillTint="32"/>
          </w:tcPr>
          <w:p w14:paraId="70EA41B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F2CFEE" w:themeFill="accent5" w:themeFillTint="32"/>
          </w:tcPr>
          <w:p w14:paraId="65E792F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shd w:val="clear" w:color="auto" w:fill="F2CFEE" w:themeFill="accent5" w:themeFillTint="32"/>
          </w:tcPr>
          <w:p w14:paraId="7FFF1D2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790F075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50994CE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2427171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0AADFF3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502582E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4A1AC2A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7FAAADD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51DB6F1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5BCF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6FDEB15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r>
              <w:rPr>
                <w:rFonts w:ascii="Times New Roman" w:hAnsi="Times New Roman" w:eastAsia="宋体" w:cs="Times New Roman"/>
                <w:color w:val="000000" w:themeColor="text1"/>
                <w:spacing w:val="-2"/>
                <w:highlight w:val="none"/>
                <w14:textFill>
                  <w14:solidFill>
                    <w14:schemeClr w14:val="tx1"/>
                  </w14:solidFill>
                </w14:textFill>
              </w:rPr>
              <w:t xml:space="preserve">Periodic literature review </w:t>
            </w:r>
          </w:p>
        </w:tc>
        <w:tc>
          <w:tcPr>
            <w:tcW w:w="498" w:type="dxa"/>
          </w:tcPr>
          <w:p w14:paraId="4D46D6E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31B077C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shd w:val="clear" w:color="auto" w:fill="F2CFEE" w:themeFill="accent5" w:themeFillTint="32"/>
          </w:tcPr>
          <w:p w14:paraId="59F0B94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0301CA4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76B95FE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40A0180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58C6947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553B785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F2CFEE" w:themeFill="accent5" w:themeFillTint="32"/>
          </w:tcPr>
          <w:p w14:paraId="6584A84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2D3788C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4685FE0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1D6E0E1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221F0B6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1C063F9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36C292B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auto"/>
          </w:tcPr>
          <w:p w14:paraId="61846BC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3027623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71EFEFA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1CC90C4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67E874A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15C1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336C7275">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Update analytic databases</w:t>
            </w:r>
          </w:p>
        </w:tc>
        <w:tc>
          <w:tcPr>
            <w:tcW w:w="498" w:type="dxa"/>
          </w:tcPr>
          <w:p w14:paraId="626FBA6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73501C8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63641A1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F2CFEE" w:themeFill="accent5" w:themeFillTint="32"/>
          </w:tcPr>
          <w:p w14:paraId="124A190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3FAE391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shd w:val="clear" w:color="auto" w:fill="F2CFEE" w:themeFill="accent5" w:themeFillTint="32"/>
          </w:tcPr>
          <w:p w14:paraId="19D11F9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06B6B85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shd w:val="clear" w:color="auto" w:fill="F2CFEE" w:themeFill="accent5" w:themeFillTint="32"/>
          </w:tcPr>
          <w:p w14:paraId="2ACA56B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2F6E83E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shd w:val="clear" w:color="auto" w:fill="F2CFEE" w:themeFill="accent5" w:themeFillTint="32"/>
          </w:tcPr>
          <w:p w14:paraId="3DC6F655">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14E4E45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shd w:val="clear" w:color="auto" w:fill="F2CFEE" w:themeFill="accent5" w:themeFillTint="32"/>
          </w:tcPr>
          <w:p w14:paraId="2C1784D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1D4FF34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1F3526C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551DE31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769E66D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35DC0C6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55D41A7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tcPr>
          <w:p w14:paraId="4509162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08A3FA3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1033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4716B833">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Extract and analyze data </w:t>
            </w:r>
          </w:p>
        </w:tc>
        <w:tc>
          <w:tcPr>
            <w:tcW w:w="498" w:type="dxa"/>
          </w:tcPr>
          <w:p w14:paraId="4DA5646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5D08ADA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30FA1C3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0619F15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2C4CF57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1F70D18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4623344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4F9A95B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786F41B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5F39AD7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42C0F59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7F9B6F2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0903692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62E5FC7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shd w:val="clear" w:color="auto" w:fill="F2CFEE" w:themeFill="accent5" w:themeFillTint="32"/>
          </w:tcPr>
          <w:p w14:paraId="2C1378BD">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020BA8C8">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1456A40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5ADF49D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43203E1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46FA6CF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30D8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15A7ADD9">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Preparation of journal manuscripts</w:t>
            </w:r>
          </w:p>
        </w:tc>
        <w:tc>
          <w:tcPr>
            <w:tcW w:w="498" w:type="dxa"/>
          </w:tcPr>
          <w:p w14:paraId="5CC524A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121B740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423E2EB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66921E7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0EA7466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42446D0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561690C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3ABE400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2FABE6F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70C7C2E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3A8D14D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5164B4B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1F750CE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687C8D2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0D40C4FA">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08D1653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6423CF6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4CD7C07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0C0045B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018044B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r w14:paraId="7173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365" w:type="dxa"/>
          </w:tcPr>
          <w:p w14:paraId="6DD40BE0">
            <w:pPr>
              <w:widowControl/>
              <w:jc w:val="left"/>
              <w:rPr>
                <w:rFonts w:ascii="Times New Roman" w:hAnsi="Times New Roman" w:eastAsia="宋体" w:cs="Times New Roman"/>
                <w:color w:val="000000" w:themeColor="text1"/>
                <w:kern w:val="0"/>
                <w:sz w:val="20"/>
                <w:szCs w:val="20"/>
                <w:highlight w:val="none"/>
                <w:lang w:bidi="ar"/>
                <w14:textFill>
                  <w14:solidFill>
                    <w14:schemeClr w14:val="tx1"/>
                  </w14:solidFill>
                </w14:textFill>
              </w:rPr>
            </w:pPr>
            <w:r>
              <w:rPr>
                <w:rFonts w:ascii="Times New Roman" w:hAnsi="Times New Roman" w:eastAsia="宋体" w:cs="Times New Roman"/>
                <w:color w:val="000000" w:themeColor="text1"/>
                <w:kern w:val="0"/>
                <w:sz w:val="20"/>
                <w:szCs w:val="20"/>
                <w:highlight w:val="none"/>
                <w:lang w:bidi="ar"/>
                <w14:textFill>
                  <w14:solidFill>
                    <w14:schemeClr w14:val="tx1"/>
                  </w14:solidFill>
                </w14:textFill>
              </w:rPr>
              <w:t xml:space="preserve">Additional dissemination activities </w:t>
            </w:r>
          </w:p>
        </w:tc>
        <w:tc>
          <w:tcPr>
            <w:tcW w:w="498" w:type="dxa"/>
          </w:tcPr>
          <w:p w14:paraId="7AD88E10">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60CF03CE">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68" w:type="dxa"/>
          </w:tcPr>
          <w:p w14:paraId="00D1E9C1">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1001448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1BAE46A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07D9840C">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78" w:type="dxa"/>
          </w:tcPr>
          <w:p w14:paraId="3EAB767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7" w:type="dxa"/>
          </w:tcPr>
          <w:p w14:paraId="52EDB5D2">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04652CF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387B5E0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7" w:type="dxa"/>
          </w:tcPr>
          <w:p w14:paraId="6FD3A30F">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2" w:type="dxa"/>
          </w:tcPr>
          <w:p w14:paraId="25237933">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5CED7204">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1C3BF12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5" w:type="dxa"/>
          </w:tcPr>
          <w:p w14:paraId="429F15A6">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tcPr>
          <w:p w14:paraId="6C0E48C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6" w:type="dxa"/>
            <w:shd w:val="clear" w:color="auto" w:fill="F2CFEE" w:themeFill="accent5" w:themeFillTint="32"/>
          </w:tcPr>
          <w:p w14:paraId="7B0B2BCB">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769C16C9">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362" w:type="dxa"/>
            <w:shd w:val="clear" w:color="auto" w:fill="F2CFEE" w:themeFill="accent5" w:themeFillTint="32"/>
          </w:tcPr>
          <w:p w14:paraId="5D23099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c>
          <w:tcPr>
            <w:tcW w:w="423" w:type="dxa"/>
            <w:shd w:val="clear" w:color="auto" w:fill="F2CFEE" w:themeFill="accent5" w:themeFillTint="32"/>
          </w:tcPr>
          <w:p w14:paraId="2433C757">
            <w:pPr>
              <w:spacing w:line="480" w:lineRule="auto"/>
              <w:rPr>
                <w:rFonts w:ascii="Times New Roman" w:hAnsi="Times New Roman" w:eastAsia="宋体" w:cs="Times New Roman"/>
                <w:color w:val="000000" w:themeColor="text1"/>
                <w:spacing w:val="-2"/>
                <w:highlight w:val="none"/>
                <w14:textFill>
                  <w14:solidFill>
                    <w14:schemeClr w14:val="tx1"/>
                  </w14:solidFill>
                </w14:textFill>
              </w:rPr>
            </w:pPr>
          </w:p>
        </w:tc>
      </w:tr>
    </w:tbl>
    <w:p w14:paraId="66D8AA7A">
      <w:pPr>
        <w:rPr>
          <w:rFonts w:ascii="Times New Roman" w:hAnsi="Times New Roman" w:cs="Times New Roman"/>
          <w:color w:val="000000" w:themeColor="text1"/>
          <w:highlight w:val="none"/>
          <w14:textFill>
            <w14:solidFill>
              <w14:schemeClr w14:val="tx1"/>
            </w14:solidFill>
          </w14:textFill>
        </w:rPr>
      </w:pPr>
    </w:p>
    <w:p w14:paraId="2110FED6">
      <w:pPr>
        <w:rPr>
          <w:rFonts w:hint="eastAsia"/>
          <w:color w:val="000000" w:themeColor="text1"/>
          <w:highlight w:val="none"/>
          <w14:textFill>
            <w14:solidFill>
              <w14:schemeClr w14:val="tx1"/>
            </w14:solidFill>
          </w14:textFill>
        </w:rPr>
      </w:pPr>
    </w:p>
    <w:p w14:paraId="240D1C87">
      <w:pPr>
        <w:rPr>
          <w:rFonts w:hint="eastAsia"/>
          <w:color w:val="000000" w:themeColor="text1"/>
          <w:highlight w:val="none"/>
          <w14:textFill>
            <w14:solidFill>
              <w14:schemeClr w14:val="tx1"/>
            </w14:solidFill>
          </w14:textFill>
        </w:rPr>
      </w:pPr>
    </w:p>
    <w:p w14:paraId="260C3725">
      <w:pPr>
        <w:rPr>
          <w:rFonts w:hint="eastAsia"/>
          <w:color w:val="000000" w:themeColor="text1"/>
          <w:highlight w:val="none"/>
          <w14:textFill>
            <w14:solidFill>
              <w14:schemeClr w14:val="tx1"/>
            </w14:solidFill>
          </w14:textFill>
        </w:rPr>
      </w:pPr>
    </w:p>
    <w:p w14:paraId="3DAC4096">
      <w:pPr>
        <w:rPr>
          <w:rFonts w:hint="eastAsia"/>
          <w:color w:val="000000" w:themeColor="text1"/>
          <w:highlight w:val="none"/>
          <w14:textFill>
            <w14:solidFill>
              <w14:schemeClr w14:val="tx1"/>
            </w14:solidFill>
          </w14:textFill>
        </w:rPr>
      </w:pPr>
    </w:p>
    <w:p w14:paraId="14369289">
      <w:pPr>
        <w:rPr>
          <w:rFonts w:hint="eastAsia"/>
          <w:color w:val="000000" w:themeColor="text1"/>
          <w:highlight w:val="none"/>
          <w14:textFill>
            <w14:solidFill>
              <w14:schemeClr w14:val="tx1"/>
            </w14:solidFill>
          </w14:textFill>
        </w:rPr>
      </w:pPr>
    </w:p>
    <w:p w14:paraId="0CA055A8">
      <w:pPr>
        <w:pStyle w:val="11"/>
        <w:widowControl/>
        <w:spacing w:line="480" w:lineRule="auto"/>
        <w:jc w:val="both"/>
        <w:outlineLvl w:val="1"/>
        <w:rPr>
          <w:rFonts w:ascii="Times New Roman" w:hAnsi="Times New Roman" w:eastAsia="宋体"/>
          <w:color w:val="000000" w:themeColor="text1"/>
          <w:highlight w:val="none"/>
          <w14:textFill>
            <w14:solidFill>
              <w14:schemeClr w14:val="tx1"/>
            </w14:solidFill>
          </w14:textFill>
        </w:rPr>
      </w:pPr>
      <w:bookmarkStart w:id="7" w:name="_Toc197892776"/>
      <w:r>
        <w:rPr>
          <w:rFonts w:ascii="Times New Roman" w:hAnsi="Times New Roman"/>
          <w:color w:val="000000" w:themeColor="text1"/>
          <w:highlight w:val="none"/>
          <w14:textFill>
            <w14:solidFill>
              <w14:schemeClr w14:val="tx1"/>
            </w14:solidFill>
          </w14:textFill>
        </w:rPr>
        <w:t>2.3</w:t>
      </w:r>
      <w:r>
        <w:rPr>
          <w:rFonts w:ascii="Times New Roman" w:hAnsi="Times New Roman" w:eastAsia="宋体"/>
          <w:color w:val="000000" w:themeColor="text1"/>
          <w:highlight w:val="none"/>
          <w14:textFill>
            <w14:solidFill>
              <w14:schemeClr w14:val="tx1"/>
            </w14:solidFill>
          </w14:textFill>
        </w:rPr>
        <w:t xml:space="preserve"> Inclusion and Exclusion Criteria</w:t>
      </w:r>
      <w:bookmarkEnd w:id="7"/>
    </w:p>
    <w:p w14:paraId="7E02D73C">
      <w:pPr>
        <w:rPr>
          <w:rFonts w:ascii="Times New Roman" w:hAnsi="Times New Roman" w:cs="Times New Roman"/>
          <w:color w:val="000000" w:themeColor="text1"/>
          <w:highlight w:val="none"/>
          <w14:textFill>
            <w14:solidFill>
              <w14:schemeClr w14:val="tx1"/>
            </w14:solidFill>
          </w14:textFill>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249D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E080465">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b/>
                <w:bCs/>
                <w:color w:val="000000" w:themeColor="text1"/>
                <w:sz w:val="24"/>
                <w:szCs w:val="24"/>
                <w:highlight w:val="none"/>
                <w14:textFill>
                  <w14:solidFill>
                    <w14:schemeClr w14:val="tx1"/>
                  </w14:solidFill>
                </w14:textFill>
              </w:rPr>
              <w:t>Inclusion criteria</w:t>
            </w:r>
          </w:p>
        </w:tc>
      </w:tr>
      <w:tr w14:paraId="3FE3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6016DF1">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Aged between 18 and 75 years</w:t>
            </w:r>
          </w:p>
        </w:tc>
      </w:tr>
      <w:tr w14:paraId="455D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8385D3A">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Clinical diagnosis of primary hypertension</w:t>
            </w:r>
          </w:p>
        </w:tc>
      </w:tr>
      <w:tr w14:paraId="1E7A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4A30EC6">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Ownership of a smartphone and proficiency in using it.</w:t>
            </w:r>
          </w:p>
        </w:tc>
      </w:tr>
      <w:tr w14:paraId="64CD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B6FA305">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Local residents with stable residence, able to complete follow-up visits</w:t>
            </w:r>
          </w:p>
        </w:tc>
      </w:tr>
      <w:tr w14:paraId="7EEE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987EF26">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Signed informed consent to participate in the study.</w:t>
            </w:r>
          </w:p>
        </w:tc>
      </w:tr>
      <w:tr w14:paraId="359C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86A005C">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b/>
                <w:bCs/>
                <w:color w:val="000000" w:themeColor="text1"/>
                <w:sz w:val="24"/>
                <w:szCs w:val="24"/>
                <w:highlight w:val="none"/>
                <w14:textFill>
                  <w14:solidFill>
                    <w14:schemeClr w14:val="tx1"/>
                  </w14:solidFill>
                </w14:textFill>
              </w:rPr>
              <w:t>Exclusion criteria</w:t>
            </w:r>
          </w:p>
        </w:tc>
      </w:tr>
      <w:tr w14:paraId="5484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0C945B5">
            <w:pPr>
              <w:spacing w:line="360" w:lineRule="auto"/>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Systolic blood pressure ≥180 mmHg and/or diastolic blood pressure ≥110 mm Hg.</w:t>
            </w:r>
          </w:p>
        </w:tc>
      </w:tr>
      <w:tr w14:paraId="167B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926F46C">
            <w:pPr>
              <w:spacing w:line="360" w:lineRule="auto"/>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Arrhythmias (such as atrial fibrillation or atrioventricular block) that may interfere with the operation of electronic blood pressure monitors.</w:t>
            </w:r>
          </w:p>
        </w:tc>
      </w:tr>
      <w:tr w14:paraId="6ACE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537DAB6">
            <w:pPr>
              <w:spacing w:line="360" w:lineRule="auto"/>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History of acute cardiovascular diseases (such as acute myocardial infarction, acute heart failure, ischemic stroke, or hemorrhagic stroke) within the past three months.</w:t>
            </w:r>
          </w:p>
        </w:tc>
      </w:tr>
      <w:tr w14:paraId="6059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2AA750D">
            <w:pPr>
              <w:spacing w:line="360" w:lineRule="auto"/>
              <w:rPr>
                <w:rFonts w:ascii="Times New Roman" w:hAnsi="Times New Roman" w:eastAsia="等线" w:cs="Times New Roman"/>
                <w:color w:val="000000" w:themeColor="text1"/>
                <w:kern w:val="0"/>
                <w:sz w:val="24"/>
                <w:szCs w:val="24"/>
                <w:highlight w:val="none"/>
                <w:lang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Severe heart valve disease, cardiomyopathy or chronic heart failure.</w:t>
            </w:r>
          </w:p>
        </w:tc>
      </w:tr>
      <w:tr w14:paraId="5702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519BA08">
            <w:pPr>
              <w:spacing w:line="360" w:lineRule="auto"/>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Estimated glomerular filtration rate (eGFR) &lt;30 mL/min/1.73 m².</w:t>
            </w:r>
          </w:p>
        </w:tc>
      </w:tr>
      <w:tr w14:paraId="3592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BCA28F7">
            <w:pPr>
              <w:spacing w:line="360" w:lineRule="auto"/>
              <w:rPr>
                <w:rFonts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Severe diabetes with a glycated hemoglobin level &gt;11%</w:t>
            </w:r>
            <w:r>
              <w:rPr>
                <w:rFonts w:ascii="Times New Roman" w:hAnsi="Times New Roman" w:eastAsia="宋体" w:cs="Times New Roman"/>
                <w:color w:val="000000" w:themeColor="text1"/>
                <w:sz w:val="24"/>
                <w:szCs w:val="24"/>
                <w:highlight w:val="none"/>
                <w14:textFill>
                  <w14:solidFill>
                    <w14:schemeClr w14:val="tx1"/>
                  </w14:solidFill>
                </w14:textFill>
              </w:rPr>
              <w:t>.</w:t>
            </w:r>
          </w:p>
        </w:tc>
      </w:tr>
      <w:tr w14:paraId="2932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82AB36F">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terminal diseases, precluding follow-up due to limited life expectancy.</w:t>
            </w:r>
          </w:p>
        </w:tc>
      </w:tr>
      <w:tr w14:paraId="6120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FB9ACA2">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Unable to provide informed consent due to incapacity (e.g., severe cognitive impairments, psychiatric disorders).</w:t>
            </w:r>
          </w:p>
        </w:tc>
      </w:tr>
      <w:tr w14:paraId="0D96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850C4B1">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Other diseases or disorders that may put the participant at risk if they participate in the study.</w:t>
            </w:r>
          </w:p>
        </w:tc>
      </w:tr>
      <w:tr w14:paraId="04AA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5B24FC1">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Arm circumference &gt;35 cm or &lt;26 cm, preventing proper use of the existing blood pressure cuff.</w:t>
            </w:r>
          </w:p>
        </w:tc>
      </w:tr>
      <w:tr w14:paraId="77C5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DCE18A">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Pregnant or breastfeeding.</w:t>
            </w:r>
          </w:p>
        </w:tc>
      </w:tr>
      <w:tr w14:paraId="5C7C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4F9C161">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Spouse or relatives have been included in the study.</w:t>
            </w:r>
          </w:p>
        </w:tc>
      </w:tr>
      <w:tr w14:paraId="685F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138BAB2">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Participation in other clinical trials within 4 weeks before the start of this study.</w:t>
            </w:r>
          </w:p>
        </w:tc>
      </w:tr>
    </w:tbl>
    <w:p w14:paraId="206D3EDE">
      <w:pPr>
        <w:rPr>
          <w:rFonts w:ascii="Times New Roman" w:hAnsi="Times New Roman" w:cs="Times New Roman"/>
          <w:color w:val="000000" w:themeColor="text1"/>
          <w:highlight w:val="none"/>
          <w14:textFill>
            <w14:solidFill>
              <w14:schemeClr w14:val="tx1"/>
            </w14:solidFill>
          </w14:textFill>
        </w:rPr>
      </w:pPr>
    </w:p>
    <w:p w14:paraId="1A119E7F">
      <w:pPr>
        <w:rPr>
          <w:rFonts w:ascii="Times New Roman" w:hAnsi="Times New Roman" w:cs="Times New Roman"/>
          <w:color w:val="000000" w:themeColor="text1"/>
          <w:highlight w:val="none"/>
          <w14:textFill>
            <w14:solidFill>
              <w14:schemeClr w14:val="tx1"/>
            </w14:solidFill>
          </w14:textFill>
        </w:rPr>
      </w:pPr>
    </w:p>
    <w:p w14:paraId="30FA2B6E">
      <w:pPr>
        <w:pStyle w:val="3"/>
        <w:rPr>
          <w:rFonts w:ascii="Times New Roman" w:hAnsi="Times New Roman" w:eastAsia="Segoe UI" w:cs="Times New Roman"/>
          <w:b/>
          <w:bCs/>
          <w:color w:val="000000" w:themeColor="text1"/>
          <w:sz w:val="24"/>
          <w:szCs w:val="24"/>
          <w:highlight w:val="none"/>
          <w:shd w:val="clear" w:color="auto" w:fill="FDFDFE"/>
          <w14:textFill>
            <w14:solidFill>
              <w14:schemeClr w14:val="tx1"/>
            </w14:solidFill>
          </w14:textFill>
        </w:rPr>
      </w:pPr>
      <w:bookmarkStart w:id="8" w:name="_Toc197892777"/>
      <w:r>
        <w:rPr>
          <w:rFonts w:ascii="Times New Roman" w:hAnsi="Times New Roman" w:eastAsia="宋体" w:cs="Times New Roman"/>
          <w:b/>
          <w:bCs/>
          <w:color w:val="000000" w:themeColor="text1"/>
          <w:sz w:val="24"/>
          <w:szCs w:val="24"/>
          <w:highlight w:val="none"/>
          <w:shd w:val="clear" w:color="auto" w:fill="FDFDFE"/>
          <w:lang w:eastAsia="zh-CN"/>
          <w14:textFill>
            <w14:solidFill>
              <w14:schemeClr w14:val="tx1"/>
            </w14:solidFill>
          </w14:textFill>
        </w:rPr>
        <w:t xml:space="preserve">2.4 </w:t>
      </w:r>
      <w:r>
        <w:rPr>
          <w:rFonts w:ascii="Times New Roman" w:hAnsi="Times New Roman" w:eastAsia="Segoe UI" w:cs="Times New Roman"/>
          <w:b/>
          <w:bCs/>
          <w:color w:val="000000" w:themeColor="text1"/>
          <w:sz w:val="24"/>
          <w:szCs w:val="24"/>
          <w:highlight w:val="none"/>
          <w:shd w:val="clear" w:color="auto" w:fill="FDFDFE"/>
          <w14:textFill>
            <w14:solidFill>
              <w14:schemeClr w14:val="tx1"/>
            </w14:solidFill>
          </w14:textFill>
        </w:rPr>
        <w:t>Procedure</w:t>
      </w:r>
      <w:bookmarkEnd w:id="8"/>
    </w:p>
    <w:p w14:paraId="0860E4C5">
      <w:pPr>
        <w:spacing w:line="48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This study included three groups: remote, self-monitoring, and usual care group. Neither the participants nor the investigators were blinded to the group allocation. Participants were assessed for eligibility at the clinic, provided informed consent, and had their baseline clinical data and lab tests collected. The researchers used an automatic lottery program, which was uploaded to a cloud platform. After entering the patients' basic information, the program assigned them to groups in a 1:1:1 ratio using simple randomization. The system ensured that neither the researchers nor the participants could alter or predict the allocation. </w:t>
      </w:r>
    </w:p>
    <w:p w14:paraId="083509D3">
      <w:pPr>
        <w:pStyle w:val="3"/>
        <w:rPr>
          <w:rFonts w:ascii="Times New Roman" w:hAnsi="Times New Roman" w:eastAsia="宋体" w:cs="Times New Roman"/>
          <w:color w:val="000000" w:themeColor="text1"/>
          <w:kern w:val="0"/>
          <w:sz w:val="24"/>
          <w:szCs w:val="24"/>
          <w:highlight w:val="none"/>
          <w:lang w:eastAsia="zh-CN" w:bidi="ar"/>
          <w14:textFill>
            <w14:solidFill>
              <w14:schemeClr w14:val="tx1"/>
            </w14:solidFill>
          </w14:textFill>
        </w:rPr>
      </w:pPr>
      <w:bookmarkStart w:id="9" w:name="_Toc197892778"/>
      <w:r>
        <w:rPr>
          <w:rFonts w:ascii="Times New Roman" w:hAnsi="Times New Roman" w:eastAsia="宋体" w:cs="Times New Roman"/>
          <w:color w:val="000000" w:themeColor="text1"/>
          <w:kern w:val="0"/>
          <w:sz w:val="24"/>
          <w:szCs w:val="24"/>
          <w:highlight w:val="none"/>
          <w:lang w:eastAsia="zh-CN" w:bidi="ar"/>
          <w14:textFill>
            <w14:solidFill>
              <w14:schemeClr w14:val="tx1"/>
            </w14:solidFill>
          </w14:textFill>
        </w:rPr>
        <w:t>2.5 Intervention</w:t>
      </w:r>
      <w:bookmarkEnd w:id="9"/>
    </w:p>
    <w:p w14:paraId="75C6963A">
      <w:pPr>
        <w:spacing w:line="48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All participants will receive training upon enrollment and will formally confirm the scheduled time and location of the first follow-up visit in writing. The time for subsequent follow-up visits will be confirmed at the end of each visit, with a follow-up interval of 3 months, continuing until 24 months. During each outpatient visit, blood pressure measurements will be taken with assistance from a dedicated research nurse. Experienced senior cardiologists will conduct consultations and blood pressure assessments at the outpatient clinic, make necessary medication adjustments, and provide health education. The research staff will assist in recording key indicators, such as office blood pressure, lifestyle changes, and medication use.</w:t>
      </w:r>
    </w:p>
    <w:p w14:paraId="5E7E2036">
      <w:pPr>
        <w:spacing w:line="480" w:lineRule="auto"/>
        <w:rPr>
          <w:rFonts w:ascii="Times New Roman" w:hAnsi="Times New Roman" w:cs="Times New Roman"/>
          <w:b/>
          <w:bCs/>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t>Remote group</w:t>
      </w:r>
    </w:p>
    <w:p w14:paraId="27A69C3F">
      <w:pPr>
        <w:widowControl/>
        <w:spacing w:line="480" w:lineRule="auto"/>
        <w:rPr>
          <w:rFonts w:ascii="Times New Roman" w:hAnsi="Times New Roman" w:cs="Times New Roman"/>
          <w:color w:val="000000" w:themeColor="text1"/>
          <w:sz w:val="24"/>
          <w:szCs w:val="24"/>
          <w:highlight w:val="none"/>
          <w:lang w:val="en-GB"/>
          <w14:textFill>
            <w14:solidFill>
              <w14:schemeClr w14:val="tx1"/>
            </w14:solidFill>
          </w14:textFill>
        </w:rPr>
      </w:pPr>
      <w:r>
        <w:rPr>
          <w:rFonts w:ascii="Times New Roman" w:hAnsi="Times New Roman" w:cs="Times New Roman"/>
          <w:color w:val="000000" w:themeColor="text1"/>
          <w:sz w:val="24"/>
          <w:szCs w:val="24"/>
          <w:highlight w:val="none"/>
          <w:lang w:val="en-GB"/>
          <w14:textFill>
            <w14:solidFill>
              <w14:schemeClr w14:val="tx1"/>
            </w14:solidFill>
          </w14:textFill>
        </w:rPr>
        <w:t xml:space="preserve">Each participant in </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the remote group was provided with an automatic upper-arm </w:t>
      </w:r>
      <w:r>
        <w:rPr>
          <w:rFonts w:ascii="Times New Roman" w:hAnsi="Times New Roman" w:cs="Times New Roman"/>
          <w:color w:val="000000" w:themeColor="text1"/>
          <w:sz w:val="24"/>
          <w:szCs w:val="24"/>
          <w:highlight w:val="none"/>
          <w:lang w:val="en-GB"/>
          <w14:textFill>
            <w14:solidFill>
              <w14:schemeClr w14:val="tx1"/>
            </w14:solidFill>
          </w14:textFill>
        </w:rPr>
        <w:t>oscillometric BP monitor (Maibobo, RBP-9801, Shenzhen, China) that upload</w:t>
      </w:r>
      <w:r>
        <w:rPr>
          <w:rFonts w:ascii="Times New Roman" w:hAnsi="Times New Roman" w:eastAsia="宋体" w:cs="Times New Roman"/>
          <w:color w:val="000000" w:themeColor="text1"/>
          <w:sz w:val="24"/>
          <w:szCs w:val="24"/>
          <w:highlight w:val="none"/>
          <w:lang w:val="en-GB"/>
          <w14:textFill>
            <w14:solidFill>
              <w14:schemeClr w14:val="tx1"/>
            </w14:solidFill>
          </w14:textFill>
        </w:rPr>
        <w:t>ed data to a cloud platform, along with training on proper use of the monitor.</w:t>
      </w:r>
      <w:r>
        <w:rPr>
          <w:rFonts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Patients assigned to remote monitoring were provided with appropriately sized home blood pressure cuffs and instructed on proper usage for accurate measurements. Patients were required to measure their blood pressure at home three times each morning (within one hour of waking, on an empty stomach, before taking medication, and after urinating), with a one-minute interval between readin</w:t>
      </w:r>
      <w:r>
        <w:rPr>
          <w:rFonts w:ascii="Times New Roman" w:hAnsi="Times New Roman" w:eastAsia="宋体" w:cs="Times New Roman"/>
          <w:color w:val="000000" w:themeColor="text1"/>
          <w:szCs w:val="21"/>
          <w:highlight w:val="none"/>
          <w:shd w:val="clear" w:color="auto" w:fill="FDFDFE"/>
          <w14:textFill>
            <w14:solidFill>
              <w14:schemeClr w14:val="tx1"/>
            </w14:solidFill>
          </w14:textFill>
        </w:rPr>
        <w:t xml:space="preserve">gs. </w:t>
      </w:r>
      <w:r>
        <w:rPr>
          <w:rFonts w:ascii="Times New Roman" w:hAnsi="Times New Roman" w:cs="Times New Roman"/>
          <w:color w:val="000000" w:themeColor="text1"/>
          <w:szCs w:val="21"/>
          <w:highlight w:val="none"/>
          <w:lang w:val="en-GB"/>
          <w14:textFill>
            <w14:solidFill>
              <w14:schemeClr w14:val="tx1"/>
            </w14:solidFill>
          </w14:textFill>
        </w:rPr>
        <w:t xml:space="preserve">During the first 3 months, they measured their blood pressure daily for 7 consecutive days (or at least three times per week if unable to complete daily measurements). During follow-up, patients with stable and well-controlled BP were asked to undergo measurements three fixed days per week (or at least </w:t>
      </w:r>
      <w:r>
        <w:rPr>
          <w:rFonts w:hint="eastAsia" w:ascii="Times New Roman" w:hAnsi="Times New Roman" w:cs="Times New Roman"/>
          <w:color w:val="000000" w:themeColor="text1"/>
          <w:szCs w:val="21"/>
          <w:highlight w:val="none"/>
          <w14:textFill>
            <w14:solidFill>
              <w14:schemeClr w14:val="tx1"/>
            </w14:solidFill>
          </w14:textFill>
        </w:rPr>
        <w:t>once</w:t>
      </w:r>
      <w:r>
        <w:rPr>
          <w:rFonts w:ascii="Times New Roman" w:hAnsi="Times New Roman" w:cs="Times New Roman"/>
          <w:color w:val="000000" w:themeColor="text1"/>
          <w:szCs w:val="21"/>
          <w:highlight w:val="none"/>
          <w:lang w:val="en-GB"/>
          <w14:textFill>
            <w14:solidFill>
              <w14:schemeClr w14:val="tx1"/>
            </w14:solidFill>
          </w14:textFill>
        </w:rPr>
        <w:t xml:space="preserve"> if </w:t>
      </w:r>
      <w:r>
        <w:rPr>
          <w:rFonts w:ascii="Times New Roman" w:hAnsi="Times New Roman" w:eastAsia="宋体" w:cs="Times New Roman"/>
          <w:color w:val="000000" w:themeColor="text1"/>
          <w:szCs w:val="21"/>
          <w:highlight w:val="none"/>
          <w:lang w:val="en-GB"/>
          <w14:textFill>
            <w14:solidFill>
              <w14:schemeClr w14:val="tx1"/>
            </w14:solidFill>
          </w14:textFill>
        </w:rPr>
        <w:t xml:space="preserve">they were unable to complete the required frequency). </w:t>
      </w:r>
      <w:r>
        <w:rPr>
          <w:rFonts w:ascii="Times New Roman" w:hAnsi="Times New Roman" w:cs="Times New Roman"/>
          <w:color w:val="000000" w:themeColor="text1"/>
          <w:szCs w:val="21"/>
          <w:highlight w:val="none"/>
          <w:lang w:val="en-GB"/>
          <w14:textFill>
            <w14:solidFill>
              <w14:schemeClr w14:val="tx1"/>
            </w14:solidFill>
          </w14:textFill>
        </w:rPr>
        <w:t xml:space="preserve">Patients with unstable or uncontrolled BP were advised to maintain daily measurements (or at least three times per week if daily measurements were not possible). </w:t>
      </w:r>
      <w:r>
        <w:rPr>
          <w:rFonts w:ascii="Times New Roman" w:hAnsi="Times New Roman" w:eastAsia="宋体" w:cs="Times New Roman"/>
          <w:color w:val="000000" w:themeColor="text1"/>
          <w:szCs w:val="21"/>
          <w:highlight w:val="none"/>
          <w:shd w:val="clear" w:color="auto" w:fill="FDFDFE"/>
          <w:lang w:val="en-GB"/>
          <w14:textFill>
            <w14:solidFill>
              <w14:schemeClr w14:val="tx1"/>
            </w14:solidFill>
          </w14:textFill>
        </w:rPr>
        <w:t xml:space="preserve">Well-controlled BP was defined as having BP within the target range in at least </w:t>
      </w:r>
      <w:r>
        <w:rPr>
          <w:rFonts w:hint="eastAsia" w:ascii="Times New Roman" w:hAnsi="Times New Roman" w:eastAsia="宋体" w:cs="Times New Roman"/>
          <w:color w:val="000000" w:themeColor="text1"/>
          <w:szCs w:val="21"/>
          <w:highlight w:val="none"/>
          <w:shd w:val="clear" w:color="auto" w:fill="FDFDFE"/>
          <w14:textFill>
            <w14:solidFill>
              <w14:schemeClr w14:val="tx1"/>
            </w14:solidFill>
          </w14:textFill>
        </w:rPr>
        <w:t>three</w:t>
      </w:r>
      <w:r>
        <w:rPr>
          <w:rFonts w:ascii="Times New Roman" w:hAnsi="Times New Roman" w:eastAsia="宋体" w:cs="Times New Roman"/>
          <w:color w:val="000000" w:themeColor="text1"/>
          <w:szCs w:val="21"/>
          <w:highlight w:val="none"/>
          <w:shd w:val="clear" w:color="auto" w:fill="FDFDFE"/>
          <w:lang w:val="en-GB"/>
          <w14:textFill>
            <w14:solidFill>
              <w14:schemeClr w14:val="tx1"/>
            </w14:solidFill>
          </w14:textFill>
        </w:rPr>
        <w:t xml:space="preserve"> of the last</w:t>
      </w:r>
      <w:r>
        <w:rPr>
          <w:rFonts w:hint="eastAsia" w:ascii="Times New Roman" w:hAnsi="Times New Roman" w:eastAsia="宋体" w:cs="Times New Roman"/>
          <w:color w:val="000000" w:themeColor="text1"/>
          <w:szCs w:val="21"/>
          <w:highlight w:val="none"/>
          <w:shd w:val="clear" w:color="auto" w:fill="FDFDFE"/>
          <w14:textFill>
            <w14:solidFill>
              <w14:schemeClr w14:val="tx1"/>
            </w14:solidFill>
          </w14:textFill>
        </w:rPr>
        <w:t xml:space="preserve"> five</w:t>
      </w:r>
      <w:r>
        <w:rPr>
          <w:rFonts w:ascii="Times New Roman" w:hAnsi="Times New Roman" w:eastAsia="宋体" w:cs="Times New Roman"/>
          <w:color w:val="000000" w:themeColor="text1"/>
          <w:szCs w:val="21"/>
          <w:highlight w:val="none"/>
          <w:shd w:val="clear" w:color="auto" w:fill="FDFDFE"/>
          <w:lang w:val="en-GB"/>
          <w14:textFill>
            <w14:solidFill>
              <w14:schemeClr w14:val="tx1"/>
            </w14:solidFill>
          </w14:textFill>
        </w:rPr>
        <w:t xml:space="preserve"> </w:t>
      </w:r>
      <w:r>
        <w:rPr>
          <w:rFonts w:ascii="Times New Roman" w:hAnsi="Times New Roman" w:eastAsia="Segoe UI" w:cs="Times New Roman"/>
          <w:color w:val="000000" w:themeColor="text1"/>
          <w:szCs w:val="21"/>
          <w:highlight w:val="none"/>
          <w:shd w:val="clear" w:color="auto" w:fill="FFFFFF"/>
          <w:lang w:val="en-GB"/>
          <w14:textFill>
            <w14:solidFill>
              <w14:schemeClr w14:val="tx1"/>
            </w14:solidFill>
          </w14:textFill>
        </w:rPr>
        <w:t>home-based self-monitored</w:t>
      </w:r>
      <w:r>
        <w:rPr>
          <w:rFonts w:ascii="Times New Roman" w:hAnsi="Times New Roman" w:eastAsia="宋体" w:cs="Times New Roman"/>
          <w:color w:val="000000" w:themeColor="text1"/>
          <w:szCs w:val="21"/>
          <w:highlight w:val="none"/>
          <w:shd w:val="clear" w:color="auto" w:fill="FFFFFF"/>
          <w:lang w:val="en-GB"/>
          <w14:textFill>
            <w14:solidFill>
              <w14:schemeClr w14:val="tx1"/>
            </w14:solidFill>
          </w14:textFill>
        </w:rPr>
        <w:t xml:space="preserve"> </w:t>
      </w:r>
      <w:r>
        <w:rPr>
          <w:rFonts w:ascii="Times New Roman" w:hAnsi="Times New Roman" w:eastAsia="宋体" w:cs="Times New Roman"/>
          <w:color w:val="000000" w:themeColor="text1"/>
          <w:szCs w:val="21"/>
          <w:highlight w:val="none"/>
          <w:shd w:val="clear" w:color="auto" w:fill="FDFDFE"/>
          <w:lang w:val="en-GB"/>
          <w14:textFill>
            <w14:solidFill>
              <w14:schemeClr w14:val="tx1"/>
            </w14:solidFill>
          </w14:textFill>
        </w:rPr>
        <w:t>measurements, as determined by a clinic doctor during follow-up.</w:t>
      </w:r>
      <w:r>
        <w:rPr>
          <w:rFonts w:ascii="Times New Roman" w:hAnsi="Times New Roman" w:eastAsia="宋体" w:cs="Times New Roman"/>
          <w:color w:val="000000" w:themeColor="text1"/>
          <w:szCs w:val="21"/>
          <w:highlight w:val="none"/>
          <w:shd w:val="clear" w:color="auto" w:fill="FDFDFE"/>
          <w14:textFill>
            <w14:solidFill>
              <w14:schemeClr w14:val="tx1"/>
            </w14:solidFill>
          </w14:textFill>
        </w:rPr>
        <w:t xml:space="preserve"> </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After completing the measurements, the data was automatically uploaded. Patients were instructed to download the public version of the “Medical Home” app on their sm</w:t>
      </w:r>
      <w:bookmarkStart w:id="40" w:name="_GoBack"/>
      <w:bookmarkEnd w:id="40"/>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artphones, with guidance provided on how to use it. </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The “cloud platform” automatically generated a blood pressure trend graph based on patients' daily morning measurements, organized by the measurement date. Designated medical staff logged into the platform at noon each day or accessed it through the medical staff version of the "Medical Home" app. </w:t>
      </w:r>
      <w:r>
        <w:rPr>
          <w:rFonts w:ascii="Times New Roman" w:hAnsi="Times New Roman" w:eastAsia="宋体" w:cs="Times New Roman"/>
          <w:color w:val="000000" w:themeColor="text1"/>
          <w:sz w:val="24"/>
          <w:szCs w:val="24"/>
          <w:highlight w:val="none"/>
          <w:lang w:val="en-GB"/>
          <w14:textFill>
            <w14:solidFill>
              <w14:schemeClr w14:val="tx1"/>
            </w14:solidFill>
          </w14:textFill>
        </w:rPr>
        <w:t>If a patient's systolic BP</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was ≥ 135 mm Hg and/or diastolic BP was ≥ 85 mm Hg for two consecutive readings, an orange indicator was triggered. </w:t>
      </w:r>
      <w:r>
        <w:rPr>
          <w:rFonts w:hint="eastAsia" w:ascii="Times New Roman" w:hAnsi="Times New Roman" w:eastAsia="宋体" w:cs="Times New Roman"/>
          <w:color w:val="000000" w:themeColor="text1"/>
          <w:sz w:val="24"/>
          <w:szCs w:val="24"/>
          <w:highlight w:val="none"/>
          <w:lang w:val="en-GB"/>
          <w14:textFill>
            <w14:solidFill>
              <w14:schemeClr w14:val="tx1"/>
            </w14:solidFill>
          </w14:textFill>
        </w:rPr>
        <w:t>If a patient's systolic BP reached ≥175 mm Hg and/or diastolic BP ≥105 mm Hg in a single reading, a red indicator was displayed.</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In both cases</w:t>
      </w:r>
      <w:r>
        <w:rPr>
          <w:rFonts w:ascii="Times New Roman" w:hAnsi="Times New Roman" w:eastAsia="宋体" w:cs="Times New Roman"/>
          <w:color w:val="000000" w:themeColor="text1"/>
          <w:sz w:val="24"/>
          <w:szCs w:val="24"/>
          <w:highlight w:val="none"/>
          <w:lang w:val="en-GB"/>
          <w14:textFill>
            <w14:solidFill>
              <w14:schemeClr w14:val="tx1"/>
            </w14:solidFill>
          </w14:textFill>
        </w:rPr>
        <w:t>, the physician immediately contacted the patient to enquire regarding the symptoms and assess their condition, with higher priority given to those with the red indicator. The physician provided</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remote guidance, which included lifestyle </w:t>
      </w:r>
      <w:r>
        <w:rPr>
          <w:rFonts w:ascii="Times New Roman" w:hAnsi="Times New Roman" w:eastAsia="宋体" w:cs="Times New Roman"/>
          <w:color w:val="000000" w:themeColor="text1"/>
          <w:sz w:val="24"/>
          <w:szCs w:val="24"/>
          <w:highlight w:val="none"/>
          <w:lang w:val="en-GB"/>
          <w14:textFill>
            <w14:solidFill>
              <w14:schemeClr w14:val="tx1"/>
            </w14:solidFill>
          </w14:textFill>
        </w:rPr>
        <w:t>modifications, medication adjustments, recommendations for follow-up BP monitoring, or advice for clinic visit</w:t>
      </w:r>
      <w:r>
        <w:rPr>
          <w:rFonts w:ascii="Times New Roman" w:hAnsi="Times New Roman" w:eastAsia="宋体" w:cs="Times New Roman"/>
          <w:color w:val="000000" w:themeColor="text1"/>
          <w:sz w:val="24"/>
          <w:szCs w:val="24"/>
          <w:highlight w:val="none"/>
          <w:lang w:val="en-GB"/>
          <w14:textFill>
            <w14:solidFill>
              <w14:schemeClr w14:val="tx1"/>
            </w14:solidFill>
          </w14:textFill>
        </w:rPr>
        <w:t>s. Specific interventions were</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determined based on the </w:t>
      </w:r>
      <w:r>
        <w:rPr>
          <w:rFonts w:ascii="Times New Roman" w:hAnsi="Times New Roman" w:eastAsia="宋体" w:cs="Times New Roman"/>
          <w:color w:val="000000" w:themeColor="text1"/>
          <w:sz w:val="24"/>
          <w:szCs w:val="24"/>
          <w:highlight w:val="none"/>
          <w:lang w:val="en-GB"/>
          <w14:textFill>
            <w14:solidFill>
              <w14:schemeClr w14:val="tx1"/>
            </w14:solidFill>
          </w14:textFill>
        </w:rPr>
        <w:t>condition of each patient</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w:t>
      </w:r>
      <w:r>
        <w:rPr>
          <w:rFonts w:ascii="Times New Roman" w:hAnsi="Times New Roman" w:cs="Times New Roman"/>
          <w:color w:val="000000" w:themeColor="text1"/>
          <w:sz w:val="24"/>
          <w:szCs w:val="24"/>
          <w:highlight w:val="none"/>
          <w:lang w:val="en-GB"/>
          <w14:textFill>
            <w14:solidFill>
              <w14:schemeClr w14:val="tx1"/>
            </w14:solidFill>
          </w14:textFill>
        </w:rPr>
        <w:t>In addition, participants could reach out to the research team at any time for assistance with device use, follow-up scheduling, or health consultations, particularly during poor BP control or when they felt unwell. However, contacting a physician was at the discretion</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of the patient.</w:t>
      </w:r>
    </w:p>
    <w:p w14:paraId="3DC4F48E">
      <w:pPr>
        <w:spacing w:line="480" w:lineRule="auto"/>
        <w:rPr>
          <w:rFonts w:ascii="Times New Roman" w:hAnsi="Times New Roman" w:eastAsia="宋体" w:cs="Times New Roman"/>
          <w:color w:val="000000" w:themeColor="text1"/>
          <w:sz w:val="24"/>
          <w:highlight w:val="none"/>
          <w:shd w:val="clear" w:color="auto" w:fill="FDFDFE"/>
          <w14:textFill>
            <w14:solidFill>
              <w14:schemeClr w14:val="tx1"/>
            </w14:solidFill>
          </w14:textFill>
        </w:rPr>
      </w:pP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Additionally, </w:t>
      </w:r>
      <w:r>
        <w:rPr>
          <w:rFonts w:hint="eastAsia" w:ascii="Times New Roman" w:hAnsi="Times New Roman" w:eastAsia="宋体" w:cs="Times New Roman"/>
          <w:color w:val="000000" w:themeColor="text1"/>
          <w:sz w:val="24"/>
          <w:szCs w:val="24"/>
          <w:highlight w:val="none"/>
          <w14:textFill>
            <w14:solidFill>
              <w14:schemeClr w14:val="tx1"/>
            </w14:solidFill>
          </w14:textFill>
        </w:rPr>
        <w:t xml:space="preserve">researchers </w:t>
      </w:r>
      <w:r>
        <w:rPr>
          <w:rFonts w:ascii="Times New Roman" w:hAnsi="Times New Roman" w:eastAsia="宋体" w:cs="Times New Roman"/>
          <w:color w:val="000000" w:themeColor="text1"/>
          <w:sz w:val="24"/>
          <w:szCs w:val="24"/>
          <w:highlight w:val="none"/>
          <w:shd w:val="clear" w:color="auto" w:fill="FDFDFE"/>
          <w:lang w:val="en-GB"/>
          <w14:textFill>
            <w14:solidFill>
              <w14:schemeClr w14:val="tx1"/>
            </w14:solidFill>
          </w14:textFill>
        </w:rPr>
        <w:t>provided health education to patients via the "Medical Home" app, which included:</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(1) publishing two articles each week on hypertension management, covering topics such as diet, lifestyle guidance, drug side effects, and coping strategies; (2) hosting hypertension lectures biweekly and promptly notifying patients to watch. After watching, each patient automatically recorded their participation, aiding researchers in managing and sending reminders to those who missed the sessions; (3) </w:t>
      </w:r>
      <w:r>
        <w:rPr>
          <w:rFonts w:ascii="Times New Roman" w:hAnsi="Times New Roman" w:eastAsia="宋体" w:cs="Times New Roman"/>
          <w:color w:val="000000" w:themeColor="text1"/>
          <w:sz w:val="24"/>
          <w:szCs w:val="24"/>
          <w:highlight w:val="none"/>
          <w:lang w:val="en-GB"/>
          <w14:textFill>
            <w14:solidFill>
              <w14:schemeClr w14:val="tx1"/>
            </w14:solidFill>
          </w14:textFill>
        </w:rPr>
        <w:t>for participants whose BP remained uncontrolled after 1 month of management, research staff initiated r</w:t>
      </w:r>
      <w:r>
        <w:rPr>
          <w:rFonts w:ascii="Times New Roman" w:hAnsi="Times New Roman" w:eastAsia="宋体" w:cs="Times New Roman"/>
          <w:color w:val="000000" w:themeColor="text1"/>
          <w:sz w:val="24"/>
          <w:szCs w:val="24"/>
          <w:highlight w:val="none"/>
          <w:shd w:val="clear" w:color="auto" w:fill="FDFDFE"/>
          <w:lang w:val="en-GB"/>
          <w14:textFill>
            <w14:solidFill>
              <w14:schemeClr w14:val="tx1"/>
            </w14:solidFill>
          </w14:textFill>
        </w:rPr>
        <w:t>emote expert support</w:t>
      </w: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 via the app’s expert studio function, which was conducted by senior internal medicine physicians to provide timely and individualised guidance. </w:t>
      </w:r>
      <w:r>
        <w:rPr>
          <w:rFonts w:ascii="Times New Roman" w:hAnsi="Times New Roman" w:cs="Times New Roman"/>
          <w:color w:val="000000" w:themeColor="text1"/>
          <w:sz w:val="24"/>
          <w:szCs w:val="24"/>
          <w:highlight w:val="none"/>
          <w:lang w:val="en-GB"/>
          <w14:textFill>
            <w14:solidFill>
              <w14:schemeClr w14:val="tx1"/>
            </w14:solidFill>
          </w14:textFill>
        </w:rPr>
        <w:t>These senior physicians conduct</w:t>
      </w:r>
      <w:r>
        <w:rPr>
          <w:rFonts w:ascii="Times New Roman" w:hAnsi="Times New Roman" w:eastAsia="宋体" w:cs="Times New Roman"/>
          <w:color w:val="000000" w:themeColor="text1"/>
          <w:sz w:val="24"/>
          <w:szCs w:val="24"/>
          <w:highlight w:val="none"/>
          <w:lang w:val="en-GB"/>
          <w14:textFill>
            <w14:solidFill>
              <w14:schemeClr w14:val="tx1"/>
            </w14:solidFill>
          </w14:textFill>
        </w:rPr>
        <w:t>ed personali</w:t>
      </w:r>
      <w:r>
        <w:rPr>
          <w:rFonts w:ascii="Times New Roman" w:hAnsi="Times New Roman" w:cs="Times New Roman"/>
          <w:color w:val="000000" w:themeColor="text1"/>
          <w:sz w:val="24"/>
          <w:szCs w:val="24"/>
          <w:highlight w:val="none"/>
          <w:lang w:val="en-GB"/>
          <w14:textFill>
            <w14:solidFill>
              <w14:schemeClr w14:val="tx1"/>
            </w14:solidFill>
          </w14:textFill>
        </w:rPr>
        <w:t xml:space="preserve">sed assessments through video calls or phone consultations, asked patients regarding </w:t>
      </w:r>
      <w:r>
        <w:rPr>
          <w:rFonts w:ascii="Times New Roman" w:hAnsi="Times New Roman" w:eastAsia="宋体" w:cs="Times New Roman"/>
          <w:color w:val="000000" w:themeColor="text1"/>
          <w:sz w:val="24"/>
          <w:szCs w:val="24"/>
          <w:highlight w:val="none"/>
          <w:lang w:val="en-GB"/>
          <w14:textFill>
            <w14:solidFill>
              <w14:schemeClr w14:val="tx1"/>
            </w14:solidFill>
          </w14:textFill>
        </w:rPr>
        <w:t>their symptoms, evaluat</w:t>
      </w:r>
      <w:r>
        <w:rPr>
          <w:rFonts w:ascii="Times New Roman" w:hAnsi="Times New Roman" w:cs="Times New Roman"/>
          <w:color w:val="000000" w:themeColor="text1"/>
          <w:sz w:val="24"/>
          <w:szCs w:val="24"/>
          <w:highlight w:val="none"/>
          <w:lang w:val="en-GB"/>
          <w14:textFill>
            <w14:solidFill>
              <w14:schemeClr w14:val="tx1"/>
            </w14:solidFill>
          </w14:textFill>
        </w:rPr>
        <w:t xml:space="preserve">ed their BP, identified </w:t>
      </w:r>
      <w:r>
        <w:rPr>
          <w:rFonts w:ascii="Times New Roman" w:hAnsi="Times New Roman" w:eastAsia="宋体" w:cs="Times New Roman"/>
          <w:color w:val="000000" w:themeColor="text1"/>
          <w:sz w:val="24"/>
          <w:szCs w:val="24"/>
          <w:highlight w:val="none"/>
          <w:lang w:val="en-GB"/>
          <w14:textFill>
            <w14:solidFill>
              <w14:schemeClr w14:val="tx1"/>
            </w14:solidFill>
          </w14:textFill>
        </w:rPr>
        <w:t>the cause of poor control, and provid</w:t>
      </w:r>
      <w:r>
        <w:rPr>
          <w:rFonts w:ascii="Times New Roman" w:hAnsi="Times New Roman" w:cs="Times New Roman"/>
          <w:color w:val="000000" w:themeColor="text1"/>
          <w:sz w:val="24"/>
          <w:szCs w:val="24"/>
          <w:highlight w:val="none"/>
          <w:lang w:val="en-GB"/>
          <w14:textFill>
            <w14:solidFill>
              <w14:schemeClr w14:val="tx1"/>
            </w14:solidFill>
          </w14:textFill>
        </w:rPr>
        <w:t>ed tailored strategies. These strategies included psychological counsel</w:t>
      </w:r>
      <w:r>
        <w:rPr>
          <w:rFonts w:ascii="Times New Roman" w:hAnsi="Times New Roman" w:eastAsia="宋体" w:cs="Times New Roman"/>
          <w:color w:val="000000" w:themeColor="text1"/>
          <w:sz w:val="24"/>
          <w:szCs w:val="24"/>
          <w:highlight w:val="none"/>
          <w:lang w:val="en-GB"/>
          <w14:textFill>
            <w14:solidFill>
              <w14:schemeClr w14:val="tx1"/>
            </w14:solidFill>
          </w14:textFill>
        </w:rPr>
        <w:t>ling, medication adjustments, dietary advice, physical activity recommendations, and sleep management. The physician also determine</w:t>
      </w:r>
      <w:r>
        <w:rPr>
          <w:rFonts w:ascii="Times New Roman" w:hAnsi="Times New Roman" w:cs="Times New Roman"/>
          <w:color w:val="000000" w:themeColor="text1"/>
          <w:sz w:val="24"/>
          <w:szCs w:val="24"/>
          <w:highlight w:val="none"/>
          <w:lang w:val="en-GB"/>
          <w14:textFill>
            <w14:solidFill>
              <w14:schemeClr w14:val="tx1"/>
            </w14:solidFill>
          </w14:textFill>
        </w:rPr>
        <w:t>d whether further in-person consultations were required</w:t>
      </w:r>
      <w:r>
        <w:rPr>
          <w:rFonts w:ascii="Times New Roman" w:hAnsi="Times New Roman" w:cs="Times New Roman"/>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lang w:val="en-GB"/>
          <w14:textFill>
            <w14:solidFill>
              <w14:schemeClr w14:val="tx1"/>
            </w14:solidFill>
          </w14:textFill>
        </w:rPr>
        <w:t xml:space="preserve"> </w:t>
      </w:r>
    </w:p>
    <w:p w14:paraId="47E6B2FE">
      <w:pP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pPr>
      <w:r>
        <w:rPr>
          <w:rFonts w:ascii="Times New Roman" w:hAnsi="Times New Roman" w:eastAsia="宋体" w:cs="Times New Roman"/>
          <w:b/>
          <w:bCs/>
          <w:color w:val="000000" w:themeColor="text1"/>
          <w:sz w:val="24"/>
          <w:highlight w:val="none"/>
          <w:shd w:val="clear" w:color="auto" w:fill="FDFDFE"/>
          <w14:textFill>
            <w14:solidFill>
              <w14:schemeClr w14:val="tx1"/>
            </w14:solidFill>
          </w14:textFill>
        </w:rPr>
        <w:t>Self-monitoring</w:t>
      </w:r>
      <w: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t xml:space="preserve"> group</w:t>
      </w:r>
    </w:p>
    <w:p w14:paraId="786D9815">
      <w:pPr>
        <w:spacing w:line="480" w:lineRule="auto"/>
        <w:rPr>
          <w:rFonts w:ascii="Times New Roman" w:hAnsi="Times New Roman" w:eastAsia="宋体" w:cs="Times New Roman"/>
          <w:color w:val="000000" w:themeColor="text1"/>
          <w:sz w:val="24"/>
          <w:szCs w:val="24"/>
          <w:highlight w:val="none"/>
          <w:shd w:val="clear" w:color="auto" w:fill="FDFDFE"/>
          <w:lang w:val="en-GB"/>
          <w14:textFill>
            <w14:solidFill>
              <w14:schemeClr w14:val="tx1"/>
            </w14:solidFill>
          </w14:textFill>
        </w:rPr>
      </w:pP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Participants used the same blood pressure monitor as the remote group and followed the same measurement methods and frequency. They needed to record the results in a logbook to bring to follow-up visits for diagnosis and treatment, but the monitor did not have remote functionality. </w:t>
      </w:r>
      <w:r>
        <w:rPr>
          <w:rFonts w:ascii="Times New Roman" w:hAnsi="Times New Roman" w:eastAsia="宋体" w:cs="Times New Roman"/>
          <w:color w:val="000000" w:themeColor="text1"/>
          <w:sz w:val="24"/>
          <w:szCs w:val="24"/>
          <w:highlight w:val="none"/>
          <w:shd w:val="clear" w:color="auto" w:fill="FDFDFE"/>
          <w:lang w:val="en-GB"/>
          <w14:textFill>
            <w14:solidFill>
              <w14:schemeClr w14:val="tx1"/>
            </w14:solidFill>
          </w14:textFill>
        </w:rPr>
        <w:t xml:space="preserve">The follow-up frequency and methods were consistent with </w:t>
      </w:r>
      <w:r>
        <w:rPr>
          <w:rFonts w:ascii="Times New Roman" w:hAnsi="Times New Roman" w:eastAsia="宋体" w:cs="Times New Roman"/>
          <w:color w:val="000000" w:themeColor="text1"/>
          <w:sz w:val="24"/>
          <w:szCs w:val="24"/>
          <w:highlight w:val="none"/>
          <w:lang w:val="en-GB"/>
          <w14:textFill>
            <w14:solidFill>
              <w14:schemeClr w14:val="tx1"/>
            </w14:solidFill>
          </w14:textFill>
        </w:rPr>
        <w:t>those of the remote</w:t>
      </w:r>
      <w:r>
        <w:rPr>
          <w:rFonts w:ascii="Times New Roman" w:hAnsi="Times New Roman" w:eastAsia="宋体" w:cs="Times New Roman"/>
          <w:color w:val="000000" w:themeColor="text1"/>
          <w:sz w:val="24"/>
          <w:szCs w:val="24"/>
          <w:highlight w:val="none"/>
          <w:shd w:val="clear" w:color="auto" w:fill="FDFDFE"/>
          <w:lang w:val="en-GB"/>
          <w14:textFill>
            <w14:solidFill>
              <w14:schemeClr w14:val="tx1"/>
            </w14:solidFill>
          </w14:textFill>
        </w:rPr>
        <w:t>-monitoring group, with participants receiving necessary medical guidance during outpatient visits.</w:t>
      </w:r>
    </w:p>
    <w:p w14:paraId="1F70475B">
      <w:pPr>
        <w:rPr>
          <w:rFonts w:ascii="Times New Roman" w:hAnsi="Times New Roman" w:eastAsia="宋体" w:cs="Times New Roman"/>
          <w:b/>
          <w:bCs/>
          <w:color w:val="000000" w:themeColor="text1"/>
          <w:sz w:val="24"/>
          <w:highlight w:val="none"/>
          <w:shd w:val="clear" w:color="auto" w:fill="FDFDFE"/>
          <w:lang w:val="en-GB"/>
          <w14:textFill>
            <w14:solidFill>
              <w14:schemeClr w14:val="tx1"/>
            </w14:solidFill>
          </w14:textFill>
        </w:rPr>
      </w:pPr>
      <w:r>
        <w:rPr>
          <w:rFonts w:ascii="Times New Roman" w:hAnsi="Times New Roman" w:eastAsia="宋体" w:cs="Times New Roman"/>
          <w:b/>
          <w:bCs/>
          <w:color w:val="000000" w:themeColor="text1"/>
          <w:sz w:val="24"/>
          <w:highlight w:val="none"/>
          <w:shd w:val="clear" w:color="auto" w:fill="FDFDFE"/>
          <w14:textFill>
            <w14:solidFill>
              <w14:schemeClr w14:val="tx1"/>
            </w14:solidFill>
          </w14:textFill>
        </w:rPr>
        <w:t>Comparison</w:t>
      </w:r>
    </w:p>
    <w:p w14:paraId="316E2CED">
      <w:pP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pPr>
      <w:r>
        <w:rPr>
          <w:rFonts w:ascii="Times New Roman" w:hAnsi="Times New Roman" w:eastAsia="宋体" w:cs="Times New Roman"/>
          <w:b/>
          <w:bCs/>
          <w:color w:val="000000" w:themeColor="text1"/>
          <w:sz w:val="24"/>
          <w:highlight w:val="none"/>
          <w:shd w:val="clear" w:color="auto" w:fill="FDFDFE"/>
          <w14:textFill>
            <w14:solidFill>
              <w14:schemeClr w14:val="tx1"/>
            </w14:solidFill>
          </w14:textFill>
        </w:rPr>
        <w:t>Usual care</w:t>
      </w:r>
      <w: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t xml:space="preserve"> group</w:t>
      </w:r>
    </w:p>
    <w:p w14:paraId="6ABE42C8">
      <w:pPr>
        <w:spacing w:line="480" w:lineRule="auto"/>
        <w:rPr>
          <w:rFonts w:ascii="Times New Roman" w:hAnsi="Times New Roman" w:eastAsia="宋体" w:cs="Times New Roman"/>
          <w:color w:val="000000" w:themeColor="text1"/>
          <w:sz w:val="24"/>
          <w:szCs w:val="24"/>
          <w:highlight w:val="none"/>
          <w:lang w:val="en-GB"/>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 xml:space="preserve">No intervention measures were taken, and patients were instructed to manage their blood pressure according to their own habits or local community management practices. </w:t>
      </w:r>
      <w:r>
        <w:rPr>
          <w:rFonts w:ascii="Times New Roman" w:hAnsi="Times New Roman" w:eastAsia="宋体" w:cs="Times New Roman"/>
          <w:color w:val="000000" w:themeColor="text1"/>
          <w:sz w:val="24"/>
          <w:szCs w:val="24"/>
          <w:highlight w:val="none"/>
          <w:lang w:val="en-GB"/>
          <w14:textFill>
            <w14:solidFill>
              <w14:schemeClr w14:val="tx1"/>
            </w14:solidFill>
          </w14:textFill>
        </w:rPr>
        <w:t>In addition to the absence of home BP blood pressure monitoring data for physician evaluation, the follow-up procedures were identical to those in the other two groups.</w:t>
      </w:r>
    </w:p>
    <w:p w14:paraId="2014E5D3">
      <w:pPr>
        <w:pStyle w:val="11"/>
        <w:widowControl/>
        <w:spacing w:line="480" w:lineRule="auto"/>
        <w:rPr>
          <w:rFonts w:ascii="Times New Roman" w:hAnsi="Times New Roman" w:eastAsia="Segoe UI"/>
          <w:b/>
          <w:bCs/>
          <w:color w:val="000000" w:themeColor="text1"/>
          <w:szCs w:val="24"/>
          <w:highlight w:val="none"/>
          <w:shd w:val="clear" w:color="auto" w:fill="FFFFFF"/>
          <w:lang w:val="en-GB"/>
          <w14:textFill>
            <w14:solidFill>
              <w14:schemeClr w14:val="tx1"/>
            </w14:solidFill>
          </w14:textFill>
        </w:rPr>
      </w:pPr>
      <w:r>
        <w:rPr>
          <w:rFonts w:ascii="Times New Roman" w:hAnsi="Times New Roman" w:eastAsia="Segoe UI"/>
          <w:b/>
          <w:bCs/>
          <w:color w:val="000000" w:themeColor="text1"/>
          <w:szCs w:val="24"/>
          <w:highlight w:val="none"/>
          <w:shd w:val="clear" w:color="auto" w:fill="FFFFFF"/>
          <w:lang w:val="en-GB"/>
          <w14:textFill>
            <w14:solidFill>
              <w14:schemeClr w14:val="tx1"/>
            </w14:solidFill>
          </w14:textFill>
        </w:rPr>
        <w:t>BP targets and measurements</w:t>
      </w:r>
    </w:p>
    <w:p w14:paraId="5CC18A18">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Blood pressure targets were defined as &lt;140/80 mmHg for individuals with diabetes and &lt;140/90 mmHg for others based on office measurements, and &lt;135/75 mmHg and &lt;135/85 mmHg respectively for home self-monitoring. Failure to meet these criteria was classified as uncontrolled BP. </w:t>
      </w:r>
    </w:p>
    <w:p w14:paraId="07DBAEA3">
      <w:pPr>
        <w:rPr>
          <w:rFonts w:ascii="Times New Roman" w:hAnsi="Times New Roman" w:cs="Times New Roman"/>
          <w:b/>
          <w:bCs/>
          <w:color w:val="000000" w:themeColor="text1"/>
          <w:sz w:val="24"/>
          <w:highlight w:val="none"/>
          <w14:textFill>
            <w14:solidFill>
              <w14:schemeClr w14:val="tx1"/>
            </w14:solidFill>
          </w14:textFill>
        </w:rPr>
      </w:pPr>
      <w:r>
        <w:rPr>
          <w:rFonts w:ascii="Times New Roman" w:hAnsi="Times New Roman" w:eastAsia="Segoe UI" w:cs="Times New Roman"/>
          <w:b/>
          <w:bCs/>
          <w:color w:val="000000" w:themeColor="text1"/>
          <w:sz w:val="24"/>
          <w:highlight w:val="none"/>
          <w:shd w:val="clear" w:color="auto" w:fill="FDFDFE"/>
          <w14:textFill>
            <w14:solidFill>
              <w14:schemeClr w14:val="tx1"/>
            </w14:solidFill>
          </w14:textFill>
        </w:rPr>
        <w:t>Medication guidance</w:t>
      </w:r>
    </w:p>
    <w:p w14:paraId="11C7569E">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Medication guidance was based on the 20</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18</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ESC Guidelines for Hypertension. Among the combination therapies, single-pill combinations (SPCs) were included, as outlined below: For patients with blood pressure between 140/90 mmHg and 160/100 mmHg, monotherapy or low-dose single-pill combinations were recommended. For elderly patients, dose adjustments were made as needed, with </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usual care</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doses considered if blood pressure control remained inadequate.</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 xml:space="preserve"> </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For patients with blood pressure exceeding 160/100 mmHg, initial therapy involved combination antihypertensive treatment, with SPCs recommended. Once blood pressure targets (below 140/90 mmHg) were achieved, the current regimen was maintained. For those whose blood pressure remained uncontrolled with monotherapy, combination therapy was prioritized over increasing the monotherapy dose.</w:t>
      </w:r>
    </w:p>
    <w:p w14:paraId="2752B61B">
      <w:pPr>
        <w:pStyle w:val="2"/>
        <w:rPr>
          <w:rFonts w:ascii="Times New Roman" w:hAnsi="Times New Roman" w:eastAsia="宋体" w:cs="Times New Roman"/>
          <w:color w:val="000000" w:themeColor="text1"/>
          <w:sz w:val="24"/>
          <w:szCs w:val="24"/>
          <w:highlight w:val="none"/>
          <w14:textFill>
            <w14:solidFill>
              <w14:schemeClr w14:val="tx1"/>
            </w14:solidFill>
          </w14:textFill>
        </w:rPr>
      </w:pPr>
      <w:bookmarkStart w:id="10" w:name="_Toc197892779"/>
      <w:r>
        <w:rPr>
          <w:rFonts w:ascii="Times New Roman" w:hAnsi="Times New Roman" w:eastAsia="宋体" w:cs="Times New Roman"/>
          <w:color w:val="000000" w:themeColor="text1"/>
          <w:sz w:val="24"/>
          <w:szCs w:val="24"/>
          <w:highlight w:val="none"/>
          <w14:textFill>
            <w14:solidFill>
              <w14:schemeClr w14:val="tx1"/>
            </w14:solidFill>
          </w14:textFill>
        </w:rPr>
        <w:t>3 Distribution of Devices</w:t>
      </w:r>
      <w:bookmarkEnd w:id="10"/>
    </w:p>
    <w:p w14:paraId="2B20E0F5">
      <w:pPr>
        <w:adjustRightInd w:val="0"/>
        <w:snapToGrid w:val="0"/>
        <w:spacing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Participants recruited for the study will receive training on how to use home electronic blood pressure monitors from professional staff. Patients in the remote monitoring group will receive training on the same day they receive their devices, arranged by the research office staff for remote blood pressure management. The self-monitoring group will receive electronic blood pressure monitors, but the remote function will not be activated during the study. Patients in the usual care group will not receive blood pressure monitors during the study; however, self-monitoring group and usual care group patients will participate in regular community blood pressure management training.</w:t>
      </w:r>
    </w:p>
    <w:p w14:paraId="2762E4DB">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Once a batch of patients is documented at each participating community center, they will contact the research office to schedule training for the remote group, and then notify the patients. The research office will arrange for technical staff to assist in guiding patients through identity verification, device binding, and device collection, as well as training them on how to use the remote blood pressure monitors and how to download, install, and use the "Yijia Yida Zhangben APP" or the "Yijia Yiyun" mini-program.</w:t>
      </w:r>
    </w:p>
    <w:p w14:paraId="17F274D6">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Notes:</w:t>
      </w:r>
    </w:p>
    <w:p w14:paraId="4B78EFF6">
      <w:pPr>
        <w:widowControl/>
        <w:numPr>
          <w:ilvl w:val="0"/>
          <w:numId w:val="1"/>
        </w:numPr>
        <w:spacing w:beforeAutospacing="1" w:afterAutospacing="1"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Remote blood pressure training is only for patients in the remote group; self-monitoring group and usual care group patients cannot participate.</w:t>
      </w:r>
    </w:p>
    <w:p w14:paraId="799A8F60">
      <w:pPr>
        <w:widowControl/>
        <w:numPr>
          <w:ilvl w:val="0"/>
          <w:numId w:val="1"/>
        </w:numPr>
        <w:spacing w:beforeAutospacing="1" w:afterAutospacing="1"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Remote group patients are required to bring their own smartphones to the training, and if possible, download the Yijia Yida Zhangben APP on-site.</w:t>
      </w:r>
    </w:p>
    <w:p w14:paraId="397B3C01">
      <w:pPr>
        <w:widowControl/>
        <w:numPr>
          <w:ilvl w:val="0"/>
          <w:numId w:val="1"/>
        </w:numPr>
        <w:spacing w:beforeAutospacing="1" w:afterAutospacing="1"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Training sessions for each group are scheduled on different dates. Before training, fill out the follow-up appointment form for the first day of outpatient visits, spacing the follow-up times for patients over different dates to distribute the workload. Remote group patients will fill out the "Group A Follow-Up Appointment Form," self-monitoring group patients will fill out the "Group B Follow-Up Appointment Form," and usual care group patients will fill out the "Group C Follow-Up Appointment Form" (see Appendices 2, 3, and 4).</w:t>
      </w:r>
    </w:p>
    <w:p w14:paraId="47B9BC05">
      <w:pPr>
        <w:widowControl/>
        <w:numPr>
          <w:ilvl w:val="0"/>
          <w:numId w:val="1"/>
        </w:numPr>
        <w:spacing w:beforeAutospacing="1" w:afterAutospacing="1"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At the end of the training, distribute the completed "Follow-Up Appointment Form" to the patients.</w:t>
      </w:r>
    </w:p>
    <w:p w14:paraId="3B6ED47F">
      <w:pPr>
        <w:pStyle w:val="11"/>
        <w:widowControl/>
        <w:spacing w:line="480" w:lineRule="auto"/>
        <w:jc w:val="both"/>
        <w:outlineLvl w:val="0"/>
        <w:rPr>
          <w:rFonts w:ascii="Times New Roman" w:hAnsi="Times New Roman"/>
          <w:color w:val="000000" w:themeColor="text1"/>
          <w:highlight w:val="none"/>
          <w14:textFill>
            <w14:solidFill>
              <w14:schemeClr w14:val="tx1"/>
            </w14:solidFill>
          </w14:textFill>
        </w:rPr>
      </w:pPr>
      <w:bookmarkStart w:id="11" w:name="_Toc197892780"/>
      <w:r>
        <w:rPr>
          <w:rStyle w:val="15"/>
          <w:rFonts w:ascii="Times New Roman" w:hAnsi="Times New Roman"/>
          <w:b w:val="0"/>
          <w:color w:val="000000" w:themeColor="text1"/>
          <w:highlight w:val="none"/>
          <w14:textFill>
            <w14:solidFill>
              <w14:schemeClr w14:val="tx1"/>
            </w14:solidFill>
          </w14:textFill>
        </w:rPr>
        <w:t>4 Telephone Follow-Up and Health Education</w:t>
      </w:r>
      <w:bookmarkEnd w:id="11"/>
    </w:p>
    <w:p w14:paraId="25DAED52">
      <w:pPr>
        <w:pStyle w:val="11"/>
        <w:widowControl/>
        <w:spacing w:line="480" w:lineRule="auto"/>
        <w:jc w:val="both"/>
        <w:outlineLvl w:val="1"/>
        <w:rPr>
          <w:rFonts w:ascii="Times New Roman" w:hAnsi="Times New Roman"/>
          <w:color w:val="000000" w:themeColor="text1"/>
          <w:highlight w:val="none"/>
          <w14:textFill>
            <w14:solidFill>
              <w14:schemeClr w14:val="tx1"/>
            </w14:solidFill>
          </w14:textFill>
        </w:rPr>
      </w:pPr>
      <w:bookmarkStart w:id="12" w:name="_Toc197892781"/>
      <w:r>
        <w:rPr>
          <w:rStyle w:val="15"/>
          <w:rFonts w:ascii="Times New Roman" w:hAnsi="Times New Roman"/>
          <w:b w:val="0"/>
          <w:color w:val="000000" w:themeColor="text1"/>
          <w:highlight w:val="none"/>
          <w14:textFill>
            <w14:solidFill>
              <w14:schemeClr w14:val="tx1"/>
            </w14:solidFill>
          </w14:textFill>
        </w:rPr>
        <w:t>4.1 Telephone Follow-Up</w:t>
      </w:r>
      <w:bookmarkEnd w:id="12"/>
    </w:p>
    <w:p w14:paraId="5ACF2CD1">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Remote Group</w:t>
      </w:r>
      <w:r>
        <w:rPr>
          <w:rFonts w:ascii="Times New Roman" w:hAnsi="Times New Roman"/>
          <w:color w:val="000000" w:themeColor="text1"/>
          <w:highlight w:val="none"/>
          <w14:textFill>
            <w14:solidFill>
              <w14:schemeClr w14:val="tx1"/>
            </w14:solidFill>
          </w14:textFill>
        </w:rPr>
        <w:t>: Staff at the study center are required to check the pending management page of the patient management system daily between 8:00 AM and 12:00 PM. Telephone follow-ups should be conducted for patients flagged with red or orange alerts on the same day, with priority given to those with red alerts. If necessary, patients may be asked to visit the study site for in-person consultation.</w:t>
      </w:r>
    </w:p>
    <w:p w14:paraId="58F73972">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Self-monitoring Group</w:t>
      </w:r>
      <w:r>
        <w:rPr>
          <w:rFonts w:ascii="Times New Roman" w:hAnsi="Times New Roman"/>
          <w:color w:val="000000" w:themeColor="text1"/>
          <w:highlight w:val="none"/>
          <w14:textFill>
            <w14:solidFill>
              <w14:schemeClr w14:val="tx1"/>
            </w14:solidFill>
          </w14:textFill>
        </w:rPr>
        <w:t>: No specific requirements; management can follow local community hypertension protocols. There were no restrictions on medical consultations or visits initiated by participants.</w:t>
      </w:r>
    </w:p>
    <w:p w14:paraId="1F63BD5B">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Usual care Group</w:t>
      </w:r>
      <w:r>
        <w:rPr>
          <w:rFonts w:ascii="Times New Roman" w:hAnsi="Times New Roman"/>
          <w:color w:val="000000" w:themeColor="text1"/>
          <w:highlight w:val="none"/>
          <w14:textFill>
            <w14:solidFill>
              <w14:schemeClr w14:val="tx1"/>
            </w14:solidFill>
          </w14:textFill>
        </w:rPr>
        <w:t>: No specific requirements; management can follow local community hypertension protocols.</w:t>
      </w:r>
    </w:p>
    <w:p w14:paraId="506417F6">
      <w:pPr>
        <w:pStyle w:val="11"/>
        <w:widowControl/>
        <w:spacing w:line="480" w:lineRule="auto"/>
        <w:jc w:val="both"/>
        <w:outlineLvl w:val="1"/>
        <w:rPr>
          <w:rFonts w:ascii="Times New Roman" w:hAnsi="Times New Roman"/>
          <w:color w:val="000000" w:themeColor="text1"/>
          <w:highlight w:val="none"/>
          <w14:textFill>
            <w14:solidFill>
              <w14:schemeClr w14:val="tx1"/>
            </w14:solidFill>
          </w14:textFill>
        </w:rPr>
      </w:pPr>
      <w:bookmarkStart w:id="13" w:name="_Toc197892782"/>
      <w:r>
        <w:rPr>
          <w:rStyle w:val="15"/>
          <w:rFonts w:ascii="Times New Roman" w:hAnsi="Times New Roman"/>
          <w:b w:val="0"/>
          <w:color w:val="000000" w:themeColor="text1"/>
          <w:highlight w:val="none"/>
          <w14:textFill>
            <w14:solidFill>
              <w14:schemeClr w14:val="tx1"/>
            </w14:solidFill>
          </w14:textFill>
        </w:rPr>
        <w:t>4.2 Health Education &amp; Expert Q&amp;A</w:t>
      </w:r>
      <w:bookmarkEnd w:id="13"/>
    </w:p>
    <w:p w14:paraId="2AF81248">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Remote Group</w:t>
      </w:r>
      <w:r>
        <w:rPr>
          <w:rFonts w:ascii="Times New Roman" w:hAnsi="Times New Roman"/>
          <w:color w:val="000000" w:themeColor="text1"/>
          <w:highlight w:val="none"/>
          <w14:textFill>
            <w14:solidFill>
              <w14:schemeClr w14:val="tx1"/>
            </w14:solidFill>
          </w14:textFill>
        </w:rPr>
        <w:t>: a. Before leaving the hospital after their first consultation, patients should be informed to promptly view and learn from the health education section of the public version of the APP. b. For patients whose blood pressure remains uncontrolled after one month of management, doctors should seek remote support from experts through the expert studio function of the doctor’s version of the APP. The research office will invite experts to provide timely remote guidance.</w:t>
      </w:r>
    </w:p>
    <w:p w14:paraId="09E22CCD">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Style w:val="15"/>
          <w:rFonts w:ascii="Times New Roman" w:hAnsi="Times New Roman"/>
          <w:b w:val="0"/>
          <w:color w:val="000000" w:themeColor="text1"/>
          <w:highlight w:val="none"/>
          <w14:textFill>
            <w14:solidFill>
              <w14:schemeClr w14:val="tx1"/>
            </w14:solidFill>
          </w14:textFill>
        </w:rPr>
        <w:t>self-monitoring Group</w:t>
      </w:r>
      <w:r>
        <w:rPr>
          <w:rFonts w:ascii="Times New Roman" w:hAnsi="Times New Roman"/>
          <w:color w:val="000000" w:themeColor="text1"/>
          <w:highlight w:val="none"/>
          <w14:textFill>
            <w14:solidFill>
              <w14:schemeClr w14:val="tx1"/>
            </w14:solidFill>
          </w14:textFill>
        </w:rPr>
        <w:t>: No specific requirements; management can proceed as usual.</w:t>
      </w:r>
    </w:p>
    <w:p w14:paraId="44DD6361">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eastAsia="宋体"/>
          <w:color w:val="000000" w:themeColor="text1"/>
          <w:highlight w:val="none"/>
          <w:shd w:val="clear" w:color="auto" w:fill="FDFDFE"/>
          <w14:textFill>
            <w14:solidFill>
              <w14:schemeClr w14:val="tx1"/>
            </w14:solidFill>
          </w14:textFill>
        </w:rPr>
        <w:t>usual care</w:t>
      </w:r>
      <w:r>
        <w:rPr>
          <w:rFonts w:ascii="Times New Roman" w:hAnsi="Times New Roman" w:eastAsia="Segoe UI"/>
          <w:color w:val="000000" w:themeColor="text1"/>
          <w:highlight w:val="none"/>
          <w:shd w:val="clear" w:color="auto" w:fill="FDFDFE"/>
          <w14:textFill>
            <w14:solidFill>
              <w14:schemeClr w14:val="tx1"/>
            </w14:solidFill>
          </w14:textFill>
        </w:rPr>
        <w:t xml:space="preserve"> group</w:t>
      </w:r>
      <w:r>
        <w:rPr>
          <w:rFonts w:ascii="Times New Roman" w:hAnsi="Times New Roman" w:eastAsia="宋体"/>
          <w:color w:val="000000" w:themeColor="text1"/>
          <w:highlight w:val="none"/>
          <w:shd w:val="clear" w:color="auto" w:fill="FDFDFE"/>
          <w14:textFill>
            <w14:solidFill>
              <w14:schemeClr w14:val="tx1"/>
            </w14:solidFill>
          </w14:textFill>
        </w:rPr>
        <w:t>：</w:t>
      </w:r>
      <w:r>
        <w:rPr>
          <w:rFonts w:ascii="Times New Roman" w:hAnsi="Times New Roman"/>
          <w:color w:val="000000" w:themeColor="text1"/>
          <w:highlight w:val="none"/>
          <w14:textFill>
            <w14:solidFill>
              <w14:schemeClr w14:val="tx1"/>
            </w14:solidFill>
          </w14:textFill>
        </w:rPr>
        <w:t>No specific requirements; management can proceed as usual.</w:t>
      </w:r>
    </w:p>
    <w:p w14:paraId="7C3A4ED6">
      <w:pPr>
        <w:pStyle w:val="11"/>
        <w:widowControl/>
        <w:spacing w:line="480" w:lineRule="auto"/>
        <w:jc w:val="both"/>
        <w:outlineLvl w:val="1"/>
        <w:rPr>
          <w:rFonts w:ascii="Times New Roman" w:hAnsi="Times New Roman"/>
          <w:color w:val="000000" w:themeColor="text1"/>
          <w:highlight w:val="none"/>
          <w14:textFill>
            <w14:solidFill>
              <w14:schemeClr w14:val="tx1"/>
            </w14:solidFill>
          </w14:textFill>
        </w:rPr>
      </w:pPr>
      <w:bookmarkStart w:id="14" w:name="_Toc197892783"/>
      <w:r>
        <w:rPr>
          <w:rStyle w:val="15"/>
          <w:rFonts w:ascii="Times New Roman" w:hAnsi="Times New Roman"/>
          <w:b w:val="0"/>
          <w:color w:val="000000" w:themeColor="text1"/>
          <w:highlight w:val="none"/>
          <w14:textFill>
            <w14:solidFill>
              <w14:schemeClr w14:val="tx1"/>
            </w14:solidFill>
          </w14:textFill>
        </w:rPr>
        <w:t>4.3 Outpatient Follow-Up</w:t>
      </w:r>
      <w:bookmarkEnd w:id="14"/>
    </w:p>
    <w:p w14:paraId="63EF5656">
      <w:pPr>
        <w:pStyle w:val="11"/>
        <w:widowControl/>
        <w:spacing w:line="480" w:lineRule="auto"/>
        <w:jc w:val="both"/>
        <w:outlineLvl w:val="2"/>
        <w:rPr>
          <w:rStyle w:val="15"/>
          <w:rFonts w:ascii="Times New Roman" w:hAnsi="Times New Roman"/>
          <w:b w:val="0"/>
          <w:color w:val="000000" w:themeColor="text1"/>
          <w:highlight w:val="none"/>
          <w14:textFill>
            <w14:solidFill>
              <w14:schemeClr w14:val="tx1"/>
            </w14:solidFill>
          </w14:textFill>
        </w:rPr>
      </w:pPr>
      <w:bookmarkStart w:id="15" w:name="_Toc197892784"/>
      <w:r>
        <w:rPr>
          <w:rStyle w:val="15"/>
          <w:rFonts w:ascii="Times New Roman" w:hAnsi="Times New Roman"/>
          <w:b w:val="0"/>
          <w:color w:val="000000" w:themeColor="text1"/>
          <w:highlight w:val="none"/>
          <w14:textFill>
            <w14:solidFill>
              <w14:schemeClr w14:val="tx1"/>
            </w14:solidFill>
          </w14:textFill>
        </w:rPr>
        <w:t>4.3.1 Follow-Up Schedule</w:t>
      </w:r>
      <w:bookmarkEnd w:id="15"/>
    </w:p>
    <w:p w14:paraId="6FCFFEFA">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The follow-up on the last day of the 3rd month: The date for this follow-up is confirmed with the patient during the group training using the corresponding group "Follow-Up Appointment Form." Follow-ups on the last days of the 6th, 9th, 12th, 15th, 18th, 241th, 24st months: The date for these follow-ups is determined by the doctor during the previous outpatient visit with the patient.</w:t>
      </w:r>
    </w:p>
    <w:p w14:paraId="19759F94">
      <w:pPr>
        <w:pStyle w:val="11"/>
        <w:widowControl/>
        <w:spacing w:line="480" w:lineRule="auto"/>
        <w:jc w:val="both"/>
        <w:outlineLvl w:val="2"/>
        <w:rPr>
          <w:rFonts w:ascii="Times New Roman" w:hAnsi="Times New Roman"/>
          <w:color w:val="000000" w:themeColor="text1"/>
          <w:highlight w:val="none"/>
          <w14:textFill>
            <w14:solidFill>
              <w14:schemeClr w14:val="tx1"/>
            </w14:solidFill>
          </w14:textFill>
        </w:rPr>
      </w:pPr>
      <w:bookmarkStart w:id="16" w:name="_Toc197892785"/>
      <w:r>
        <w:rPr>
          <w:rStyle w:val="15"/>
          <w:rFonts w:ascii="Times New Roman" w:hAnsi="Times New Roman"/>
          <w:b w:val="0"/>
          <w:color w:val="000000" w:themeColor="text1"/>
          <w:highlight w:val="none"/>
          <w14:textFill>
            <w14:solidFill>
              <w14:schemeClr w14:val="tx1"/>
            </w14:solidFill>
          </w14:textFill>
        </w:rPr>
        <w:t>4.3.2 Outpatient Blood Pressure Measurement</w:t>
      </w:r>
      <w:bookmarkEnd w:id="16"/>
    </w:p>
    <w:p w14:paraId="5077B3D3">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Blood pressure measurements in the outpatient setting are to be conducted using the ‘Omron’ office upper arm blood pressure monitor 1120U along with the identity verification device, and the measurement data will be automatically uploaded to the platform. Patients must swipe their ID card or medical insurance card before measurement, and the card must be swiped before each measurement; therefore, if three measurements are taken, the card must be swiped three times. If not, the measurement results will not be uploaded to the patient management center.</w:t>
      </w:r>
    </w:p>
    <w:p w14:paraId="1B3A954C">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eastAsia="Segoe UI"/>
          <w:color w:val="000000" w:themeColor="text1"/>
          <w:kern w:val="2"/>
          <w:highlight w:val="none"/>
          <w:shd w:val="clear" w:color="auto" w:fill="FDFDFE"/>
          <w14:textFill>
            <w14:solidFill>
              <w14:schemeClr w14:val="tx1"/>
            </w14:solidFill>
          </w14:textFill>
        </w:rPr>
        <w:t>Participants were instructed to rest quietly for at least 5 minutes prior to measurement. They were advised to avoid exercise for at least 30 minutes before the measurement. If needed, participants were asked to empty th</w:t>
      </w:r>
      <w:r>
        <w:rPr>
          <w:rFonts w:ascii="Times New Roman" w:hAnsi="Times New Roman"/>
          <w:color w:val="000000" w:themeColor="text1"/>
          <w:highlight w:val="none"/>
          <w14:textFill>
            <w14:solidFill>
              <w14:schemeClr w14:val="tx1"/>
            </w14:solidFill>
          </w14:textFill>
        </w:rPr>
        <w:t>eir bladder before the procedure.</w:t>
      </w:r>
    </w:p>
    <w:p w14:paraId="317E50D0">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Blood pressure was measured in the seated position, using the upper arm, with the arm supported at heart level. Clothing on the arm where the cuff was placed was removed. Rolling up sleeves was avoided to prevent a tourniquet effect.</w:t>
      </w:r>
    </w:p>
    <w:p w14:paraId="55EF0AFC">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At the first visit, blood pressure was measured in both arms. The arm with the higher reading was selected for subsequent measurements.</w:t>
      </w:r>
    </w:p>
    <w:p w14:paraId="4E855411">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Three consecutive readings were taken at 1–2minute intervals. If the difference between any two readings of systolic or diastolic blood pressure exceeded 10 mmHg, an additional measurement was performed.</w:t>
      </w:r>
    </w:p>
    <w:p w14:paraId="6BF6E6F1">
      <w:pPr>
        <w:pStyle w:val="11"/>
        <w:widowControl/>
        <w:spacing w:beforeAutospacing="0" w:afterAutospacing="0"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Pulse rate was recorded simultaneously with each blood pressure measurement.</w:t>
      </w:r>
    </w:p>
    <w:p w14:paraId="7A06926D">
      <w:pPr>
        <w:pStyle w:val="11"/>
        <w:widowControl/>
        <w:spacing w:line="480" w:lineRule="auto"/>
        <w:jc w:val="both"/>
        <w:rPr>
          <w:rFonts w:ascii="Times New Roman" w:hAnsi="Times New Roman"/>
          <w:color w:val="000000" w:themeColor="text1"/>
          <w:highlight w:val="none"/>
          <w14:textFill>
            <w14:solidFill>
              <w14:schemeClr w14:val="tx1"/>
            </w14:solidFill>
          </w14:textFill>
        </w:rPr>
      </w:pPr>
    </w:p>
    <w:p w14:paraId="692C4892">
      <w:pPr>
        <w:pStyle w:val="11"/>
        <w:widowControl/>
        <w:spacing w:line="480" w:lineRule="auto"/>
        <w:jc w:val="both"/>
        <w:outlineLvl w:val="2"/>
        <w:rPr>
          <w:rFonts w:ascii="Times New Roman" w:hAnsi="Times New Roman"/>
          <w:color w:val="000000" w:themeColor="text1"/>
          <w:highlight w:val="none"/>
          <w14:textFill>
            <w14:solidFill>
              <w14:schemeClr w14:val="tx1"/>
            </w14:solidFill>
          </w14:textFill>
        </w:rPr>
      </w:pPr>
      <w:bookmarkStart w:id="17" w:name="_Toc197892786"/>
      <w:r>
        <w:rPr>
          <w:rStyle w:val="15"/>
          <w:rFonts w:ascii="Times New Roman" w:hAnsi="Times New Roman"/>
          <w:b w:val="0"/>
          <w:color w:val="000000" w:themeColor="text1"/>
          <w:highlight w:val="none"/>
          <w14:textFill>
            <w14:solidFill>
              <w14:schemeClr w14:val="tx1"/>
            </w14:solidFill>
          </w14:textFill>
        </w:rPr>
        <w:t>4.3.3 Outpatient Follow-Up Records</w:t>
      </w:r>
      <w:bookmarkEnd w:id="17"/>
    </w:p>
    <w:p w14:paraId="62E8F54F">
      <w:pPr>
        <w:pStyle w:val="11"/>
        <w:widowControl/>
        <w:spacing w:line="480" w:lineRule="auto"/>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A "Outpatient Follow-Up" record should be documented in the patient management center of the platform on the day of the follow-up. If the consultation room cannot access the internet, the outpatient follow-up record can first be documented in the "Clinical Application Research Case Report Form for Remote Blood Pressure Management" and later entered online.</w:t>
      </w:r>
    </w:p>
    <w:p w14:paraId="1E17C399">
      <w:pPr>
        <w:pStyle w:val="3"/>
        <w:spacing w:line="480" w:lineRule="auto"/>
        <w:ind w:left="0" w:firstLine="0"/>
        <w:rPr>
          <w:rFonts w:ascii="Times New Roman" w:hAnsi="Times New Roman" w:eastAsia="宋体" w:cs="Times New Roman"/>
          <w:color w:val="000000" w:themeColor="text1"/>
          <w:sz w:val="24"/>
          <w:highlight w:val="none"/>
          <w14:textFill>
            <w14:solidFill>
              <w14:schemeClr w14:val="tx1"/>
            </w14:solidFill>
          </w14:textFill>
        </w:rPr>
      </w:pPr>
      <w:bookmarkStart w:id="18" w:name="_Toc197892787"/>
      <w:r>
        <w:rPr>
          <w:rStyle w:val="15"/>
          <w:rFonts w:ascii="Times New Roman" w:hAnsi="Times New Roman" w:eastAsia="宋体" w:cs="Times New Roman"/>
          <w:b w:val="0"/>
          <w:color w:val="000000" w:themeColor="text1"/>
          <w:sz w:val="24"/>
          <w:szCs w:val="24"/>
          <w:highlight w:val="none"/>
          <w:lang w:eastAsia="zh-CN"/>
          <w14:textFill>
            <w14:solidFill>
              <w14:schemeClr w14:val="tx1"/>
            </w14:solidFill>
          </w14:textFill>
        </w:rPr>
        <w:t>4.</w:t>
      </w:r>
      <w:r>
        <w:rPr>
          <w:rStyle w:val="15"/>
          <w:rFonts w:hint="eastAsia" w:ascii="Times New Roman" w:hAnsi="Times New Roman" w:eastAsia="宋体" w:cs="Times New Roman"/>
          <w:b w:val="0"/>
          <w:color w:val="000000" w:themeColor="text1"/>
          <w:sz w:val="24"/>
          <w:szCs w:val="24"/>
          <w:highlight w:val="none"/>
          <w:lang w:eastAsia="zh-CN"/>
          <w14:textFill>
            <w14:solidFill>
              <w14:schemeClr w14:val="tx1"/>
            </w14:solidFill>
          </w14:textFill>
        </w:rPr>
        <w:t>4</w:t>
      </w:r>
      <w:r>
        <w:rPr>
          <w:rStyle w:val="15"/>
          <w:rFonts w:ascii="Times New Roman" w:hAnsi="Times New Roman" w:eastAsia="宋体" w:cs="Times New Roman"/>
          <w:b w:val="0"/>
          <w:color w:val="000000" w:themeColor="text1"/>
          <w:sz w:val="24"/>
          <w:szCs w:val="24"/>
          <w:highlight w:val="none"/>
          <w:lang w:eastAsia="zh-CN"/>
          <w14:textFill>
            <w14:solidFill>
              <w14:schemeClr w14:val="tx1"/>
            </w14:solidFill>
          </w14:textFill>
        </w:rPr>
        <w:t xml:space="preserve"> </w:t>
      </w:r>
      <w:r>
        <w:rPr>
          <w:rStyle w:val="15"/>
          <w:rFonts w:ascii="Times New Roman" w:hAnsi="Times New Roman" w:eastAsia="宋体" w:cs="Times New Roman"/>
          <w:b w:val="0"/>
          <w:color w:val="000000" w:themeColor="text1"/>
          <w:sz w:val="24"/>
          <w:szCs w:val="24"/>
          <w:highlight w:val="none"/>
          <w14:textFill>
            <w14:solidFill>
              <w14:schemeClr w14:val="tx1"/>
            </w14:solidFill>
          </w14:textFill>
        </w:rPr>
        <w:t>Feasibility Questionnaire Survey</w:t>
      </w:r>
      <w:bookmarkEnd w:id="18"/>
    </w:p>
    <w:p w14:paraId="10B78DA4">
      <w:pPr>
        <w:adjustRightInd w:val="0"/>
        <w:snapToGrid w:val="0"/>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On the first day of enrollment and during the outpatient follow-up on the last day of the 24st month, remote group patients should be guided to complete "Feasibility Survey for Remote Blood Pressure Management 1" and "Feasibility Survey for Remote Blood Pressure Management 2," as detailed in the attachments. (</w:t>
      </w:r>
      <w:r>
        <w:rPr>
          <w:rFonts w:ascii="Times New Roman" w:hAnsi="Times New Roman" w:cs="Times New Roman"/>
          <w:color w:val="000000" w:themeColor="text1"/>
          <w:spacing w:val="-2"/>
          <w:highlight w:val="none"/>
          <w14:textFill>
            <w14:solidFill>
              <w14:schemeClr w14:val="tx1"/>
            </w14:solidFill>
          </w14:textFill>
        </w:rPr>
        <w:t xml:space="preserve">Appendix </w:t>
      </w:r>
      <w:r>
        <w:rPr>
          <w:rFonts w:ascii="Times New Roman" w:hAnsi="Times New Roman" w:eastAsia="宋体" w:cs="Times New Roman"/>
          <w:color w:val="000000" w:themeColor="text1"/>
          <w:sz w:val="24"/>
          <w:highlight w:val="none"/>
          <w14:textFill>
            <w14:solidFill>
              <w14:schemeClr w14:val="tx1"/>
            </w14:solidFill>
          </w14:textFill>
        </w:rPr>
        <w:t>Ⅰ, Ⅱ)</w:t>
      </w:r>
    </w:p>
    <w:p w14:paraId="6CC183DF">
      <w:pPr>
        <w:pStyle w:val="2"/>
        <w:spacing w:line="240" w:lineRule="auto"/>
        <w:rPr>
          <w:rFonts w:ascii="Times New Roman" w:hAnsi="Times New Roman" w:eastAsia="宋体" w:cs="Times New Roman"/>
          <w:b w:val="0"/>
          <w:bCs w:val="0"/>
          <w:color w:val="000000" w:themeColor="text1"/>
          <w:sz w:val="24"/>
          <w:szCs w:val="24"/>
          <w:highlight w:val="none"/>
          <w14:textFill>
            <w14:solidFill>
              <w14:schemeClr w14:val="tx1"/>
            </w14:solidFill>
          </w14:textFill>
        </w:rPr>
      </w:pPr>
      <w:bookmarkStart w:id="19" w:name="_Toc197892788"/>
      <w:r>
        <w:rPr>
          <w:rFonts w:ascii="Times New Roman" w:hAnsi="Times New Roman" w:eastAsia="宋体" w:cs="Times New Roman"/>
          <w:b w:val="0"/>
          <w:bCs w:val="0"/>
          <w:color w:val="000000" w:themeColor="text1"/>
          <w:sz w:val="24"/>
          <w:szCs w:val="24"/>
          <w:highlight w:val="none"/>
          <w14:textFill>
            <w14:solidFill>
              <w14:schemeClr w14:val="tx1"/>
            </w14:solidFill>
          </w14:textFill>
        </w:rPr>
        <w:t>5 Document Preservation, Organization, and Archiving</w:t>
      </w:r>
      <w:bookmarkEnd w:id="19"/>
    </w:p>
    <w:p w14:paraId="56ED0429">
      <w:pPr>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During the trial period, the following forms should be completed, as detailed in Attachments One, Two, and Three:</w:t>
      </w:r>
    </w:p>
    <w:p w14:paraId="5DC5865D">
      <w:pPr>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"Feasibility Survey for Large-Scale Remote Blood Pressure Management Based on 'Cloud-Shared Intelligent Cabinet 1'"</w:t>
      </w:r>
    </w:p>
    <w:p w14:paraId="7DC08615">
      <w:pPr>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"Feasibility Survey for Large-Scale Remote Blood Pressure Management Based on 'Cloud-Shared Intelligent Cabinet 2'"</w:t>
      </w:r>
    </w:p>
    <w:p w14:paraId="5DE4CDD6">
      <w:pPr>
        <w:spacing w:line="480" w:lineRule="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"Clinical Application Research Case Report Form for Remote Blood Pressure Management"</w:t>
      </w:r>
    </w:p>
    <w:p w14:paraId="2DB96E79">
      <w:pPr>
        <w:pStyle w:val="11"/>
        <w:widowControl/>
        <w:spacing w:line="480" w:lineRule="auto"/>
        <w:ind w:right="120"/>
        <w:jc w:val="both"/>
        <w:outlineLvl w:val="0"/>
        <w:rPr>
          <w:rFonts w:ascii="Times New Roman" w:hAnsi="Times New Roman" w:eastAsia="宋体"/>
          <w:color w:val="000000" w:themeColor="text1"/>
          <w:spacing w:val="15"/>
          <w:highlight w:val="none"/>
          <w14:textFill>
            <w14:solidFill>
              <w14:schemeClr w14:val="tx1"/>
            </w14:solidFill>
          </w14:textFill>
        </w:rPr>
      </w:pPr>
      <w:bookmarkStart w:id="20" w:name="_Toc197892789"/>
      <w:r>
        <w:rPr>
          <w:rFonts w:ascii="Times New Roman" w:hAnsi="Times New Roman" w:eastAsia="宋体"/>
          <w:color w:val="000000" w:themeColor="text1"/>
          <w:spacing w:val="15"/>
          <w:highlight w:val="none"/>
          <w14:textFill>
            <w14:solidFill>
              <w14:schemeClr w14:val="tx1"/>
            </w14:solidFill>
          </w14:textFill>
        </w:rPr>
        <w:t>6 Outcome</w:t>
      </w:r>
      <w:bookmarkEnd w:id="20"/>
    </w:p>
    <w:p w14:paraId="3DCFE8BB">
      <w:pPr>
        <w:pStyle w:val="11"/>
        <w:widowControl/>
        <w:spacing w:line="480" w:lineRule="auto"/>
        <w:ind w:right="120"/>
        <w:jc w:val="both"/>
        <w:outlineLvl w:val="1"/>
        <w:rPr>
          <w:rFonts w:ascii="Times New Roman" w:hAnsi="Times New Roman" w:eastAsia="宋体"/>
          <w:color w:val="000000" w:themeColor="text1"/>
          <w:spacing w:val="15"/>
          <w:highlight w:val="none"/>
          <w14:textFill>
            <w14:solidFill>
              <w14:schemeClr w14:val="tx1"/>
            </w14:solidFill>
          </w14:textFill>
        </w:rPr>
      </w:pPr>
      <w:bookmarkStart w:id="21" w:name="_Toc197892790"/>
      <w:r>
        <w:rPr>
          <w:rFonts w:ascii="Times New Roman" w:hAnsi="Times New Roman" w:eastAsia="宋体"/>
          <w:color w:val="000000" w:themeColor="text1"/>
          <w:spacing w:val="15"/>
          <w:highlight w:val="none"/>
          <w14:textFill>
            <w14:solidFill>
              <w14:schemeClr w14:val="tx1"/>
            </w14:solidFill>
          </w14:textFill>
        </w:rPr>
        <w:t>6.1 Primary outcome</w:t>
      </w:r>
      <w:bookmarkEnd w:id="21"/>
    </w:p>
    <w:p w14:paraId="6C20206D">
      <w:pPr>
        <w:pStyle w:val="5"/>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The primary outcome was office-measured systolic BP at 24 months, which served as the key indicator for assessing treatment effects and BP control. </w:t>
      </w:r>
    </w:p>
    <w:p w14:paraId="2788F547">
      <w:pPr>
        <w:pStyle w:val="5"/>
        <w:spacing w:line="480" w:lineRule="auto"/>
        <w:rPr>
          <w:rFonts w:ascii="Times New Roman" w:hAnsi="Times New Roman" w:cs="Times New Roman" w:eastAsiaTheme="minorEastAsia"/>
          <w:color w:val="000000" w:themeColor="text1"/>
          <w:spacing w:val="-2"/>
          <w:highlight w:val="none"/>
          <w:lang w:eastAsia="zh-CN"/>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Outcome measures are assessed at baseline and every </w:t>
      </w:r>
      <w:r>
        <w:rPr>
          <w:rFonts w:ascii="Times New Roman" w:hAnsi="Times New Roman" w:eastAsia="宋体" w:cs="Times New Roman"/>
          <w:color w:val="000000" w:themeColor="text1"/>
          <w:spacing w:val="-2"/>
          <w:highlight w:val="none"/>
          <w:lang w:eastAsia="zh-CN"/>
          <w14:textFill>
            <w14:solidFill>
              <w14:schemeClr w14:val="tx1"/>
            </w14:solidFill>
          </w14:textFill>
        </w:rPr>
        <w:t>3</w:t>
      </w:r>
      <w:r>
        <w:rPr>
          <w:rFonts w:ascii="Times New Roman" w:hAnsi="Times New Roman" w:cs="Times New Roman"/>
          <w:color w:val="000000" w:themeColor="text1"/>
          <w:spacing w:val="-2"/>
          <w:highlight w:val="none"/>
          <w14:textFill>
            <w14:solidFill>
              <w14:schemeClr w14:val="tx1"/>
            </w14:solidFill>
          </w14:textFill>
        </w:rPr>
        <w:t xml:space="preserve"> months during follow-ups by the research team in the patients' own practice. Data will be collected using paper questionnaires. Please refer to Appendix III for the table of the outcomes assessment schedule.</w:t>
      </w:r>
    </w:p>
    <w:p w14:paraId="4C366C0D">
      <w:pPr>
        <w:pStyle w:val="5"/>
        <w:spacing w:line="480" w:lineRule="auto"/>
        <w:rPr>
          <w:rFonts w:ascii="Times New Roman" w:hAnsi="Times New Roman" w:cs="Times New Roman" w:eastAsiaTheme="minorEastAsia"/>
          <w:color w:val="000000" w:themeColor="text1"/>
          <w:spacing w:val="-2"/>
          <w:highlight w:val="none"/>
          <w:lang w:eastAsia="zh-CN"/>
          <w14:textFill>
            <w14:solidFill>
              <w14:schemeClr w14:val="tx1"/>
            </w14:solidFill>
          </w14:textFill>
        </w:rPr>
      </w:pPr>
      <w:r>
        <w:rPr>
          <w:rFonts w:ascii="Times New Roman" w:hAnsi="Times New Roman" w:eastAsia="宋体" w:cs="Times New Roman"/>
          <w:color w:val="000000" w:themeColor="text1"/>
          <w:spacing w:val="-2"/>
          <w:highlight w:val="none"/>
          <w:lang w:eastAsia="zh-CN"/>
          <w14:textFill>
            <w14:solidFill>
              <w14:schemeClr w14:val="tx1"/>
            </w14:solidFill>
          </w14:textFill>
        </w:rPr>
        <w:t xml:space="preserve">Three </w:t>
      </w:r>
      <w:r>
        <w:rPr>
          <w:rFonts w:ascii="Times New Roman" w:hAnsi="Times New Roman" w:cs="Times New Roman"/>
          <w:color w:val="000000" w:themeColor="text1"/>
          <w:spacing w:val="-2"/>
          <w:highlight w:val="none"/>
          <w14:textFill>
            <w14:solidFill>
              <w14:schemeClr w14:val="tx1"/>
            </w14:solidFill>
          </w14:textFill>
        </w:rPr>
        <w:t>measurements of BP are taken at baseline and each follow up visit. The mean of the 2nd and 3rd BP readings will be used in the primary outcome assessment.</w:t>
      </w:r>
    </w:p>
    <w:p w14:paraId="5EDBFE98">
      <w:pPr>
        <w:pStyle w:val="24"/>
        <w:tabs>
          <w:tab w:val="left" w:pos="1659"/>
        </w:tabs>
        <w:spacing w:before="290" w:line="480" w:lineRule="auto"/>
        <w:ind w:left="0" w:firstLine="0"/>
        <w:outlineLvl w:val="1"/>
        <w:rPr>
          <w:rFonts w:ascii="Times New Roman" w:hAnsi="Times New Roman" w:cs="Times New Roman"/>
          <w:color w:val="000000" w:themeColor="text1"/>
          <w:sz w:val="24"/>
          <w:highlight w:val="none"/>
          <w14:textFill>
            <w14:solidFill>
              <w14:schemeClr w14:val="tx1"/>
            </w14:solidFill>
          </w14:textFill>
        </w:rPr>
      </w:pPr>
      <w:bookmarkStart w:id="22" w:name="_Toc197892791"/>
      <w:r>
        <w:rPr>
          <w:rFonts w:ascii="Times New Roman" w:hAnsi="Times New Roman" w:eastAsia="宋体" w:cs="Times New Roman"/>
          <w:color w:val="000000" w:themeColor="text1"/>
          <w:sz w:val="24"/>
          <w:highlight w:val="none"/>
          <w:lang w:eastAsia="zh-CN"/>
          <w14:textFill>
            <w14:solidFill>
              <w14:schemeClr w14:val="tx1"/>
            </w14:solidFill>
          </w14:textFill>
        </w:rPr>
        <w:t xml:space="preserve">6.2 </w:t>
      </w:r>
      <w:r>
        <w:rPr>
          <w:rFonts w:ascii="Times New Roman" w:hAnsi="Times New Roman" w:cs="Times New Roman"/>
          <w:color w:val="000000" w:themeColor="text1"/>
          <w:sz w:val="24"/>
          <w:highlight w:val="none"/>
          <w14:textFill>
            <w14:solidFill>
              <w14:schemeClr w14:val="tx1"/>
            </w14:solidFill>
          </w14:textFill>
        </w:rPr>
        <w:t>Secondary Outcome Measures</w:t>
      </w:r>
      <w:bookmarkEnd w:id="22"/>
    </w:p>
    <w:p w14:paraId="38C2FF2F">
      <w:pPr>
        <w:widowControl/>
        <w:spacing w:line="480" w:lineRule="auto"/>
        <w:rPr>
          <w:rFonts w:ascii="Times New Roman" w:hAnsi="Times New Roman" w:eastAsia="宋体" w:cs="Times New Roman"/>
          <w:color w:val="000000" w:themeColor="text1"/>
          <w:kern w:val="0"/>
          <w:sz w:val="24"/>
          <w:szCs w:val="24"/>
          <w:highlight w:val="none"/>
          <w:lang w:val="en-GB" w:bidi="ar"/>
          <w14:textFill>
            <w14:solidFill>
              <w14:schemeClr w14:val="tx1"/>
            </w14:solidFill>
          </w14:textFill>
        </w:rPr>
      </w:pPr>
      <w:r>
        <w:rPr>
          <w:rFonts w:ascii="Times New Roman" w:hAnsi="Times New Roman" w:eastAsia="宋体" w:cs="Times New Roman"/>
          <w:color w:val="000000" w:themeColor="text1"/>
          <w:sz w:val="24"/>
          <w:szCs w:val="24"/>
          <w:highlight w:val="none"/>
          <w:lang w:val="en-GB"/>
          <w14:textFill>
            <w14:solidFill>
              <w14:schemeClr w14:val="tx1"/>
            </w14:solidFill>
          </w14:textFill>
        </w:rPr>
        <w:t xml:space="preserve">Secondary outcomes included BP levels, BP reduction, and changes in target BP attainment rate at 6, 12, and 24 months. Additionally, changes in parameters such as smoking, alcohol consumption, sleep duration, anxiety, salt intake, body mass index (BMI), and medication use at 24 months were assessed. </w:t>
      </w:r>
    </w:p>
    <w:p w14:paraId="2BC4927B">
      <w:pPr>
        <w:pStyle w:val="24"/>
        <w:tabs>
          <w:tab w:val="left" w:pos="1659"/>
        </w:tabs>
        <w:spacing w:before="290" w:line="480" w:lineRule="auto"/>
        <w:ind w:left="0" w:firstLine="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Q</w:t>
      </w:r>
      <w:r>
        <w:rPr>
          <w:rFonts w:ascii="Times New Roman" w:hAnsi="Times New Roman" w:cs="Times New Roman"/>
          <w:color w:val="000000" w:themeColor="text1"/>
          <w:sz w:val="24"/>
          <w:highlight w:val="none"/>
          <w14:textFill>
            <w14:solidFill>
              <w14:schemeClr w14:val="tx1"/>
            </w14:solidFill>
          </w14:textFill>
        </w:rPr>
        <w:t>uestionnaire</w:t>
      </w:r>
    </w:p>
    <w:p w14:paraId="2F343B72">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The follow-up collects data on alcohol consumption, diet, exercise, and smoking through a questionnaire.</w:t>
      </w:r>
    </w:p>
    <w:p w14:paraId="01D95830">
      <w:pPr>
        <w:widowControl/>
        <w:numPr>
          <w:ilvl w:val="0"/>
          <w:numId w:val="2"/>
        </w:numPr>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Adherence</w:t>
      </w:r>
    </w:p>
    <w:p w14:paraId="0A18DFC4">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Are you currently taking your medication regularly and on schedule?  │ Yes│ No</w:t>
      </w:r>
    </w:p>
    <w:p w14:paraId="774D09C4">
      <w:pPr>
        <w:widowControl/>
        <w:numPr>
          <w:ilvl w:val="0"/>
          <w:numId w:val="2"/>
        </w:numPr>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Economic Impact</w:t>
      </w:r>
    </w:p>
    <w:p w14:paraId="617C9170">
      <w:pPr>
        <w:widowControl/>
        <w:spacing w:line="480" w:lineRule="auto"/>
        <w:ind w:firstLine="240" w:firstLineChars="100"/>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Current expenses for hypertension treatment: approximately ______ yuan/month</w:t>
      </w:r>
    </w:p>
    <w:p w14:paraId="02E46051">
      <w:pPr>
        <w:widowControl/>
        <w:spacing w:line="480" w:lineRule="auto"/>
        <w:ind w:left="239" w:leftChars="114"/>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Have you ever been hospitalized due to hypertension-related complications (such as cardiovascular, cerebrovascular, or kidney diseases)?  │ Yes │ No</w:t>
      </w:r>
    </w:p>
    <w:p w14:paraId="0E4FA2C0">
      <w:pPr>
        <w:widowControl/>
        <w:spacing w:line="480" w:lineRule="auto"/>
        <w:ind w:left="239" w:leftChars="114"/>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If yes, please indicate the approximate hospitalization costs: approximately ______ yuan</w:t>
      </w:r>
    </w:p>
    <w:p w14:paraId="20235062">
      <w:pPr>
        <w:widowControl/>
        <w:numPr>
          <w:ilvl w:val="0"/>
          <w:numId w:val="2"/>
        </w:numPr>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Lifestyle and Quality of Life</w:t>
      </w:r>
    </w:p>
    <w:p w14:paraId="05CF85AA">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What is your drinking status? ( )</w:t>
      </w:r>
    </w:p>
    <w:p w14:paraId="054777DE">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Drink daily (≥ 2 taels) ② Drink daily (&lt; 2 taels) ③ Drink occasionally (every few days) ④ Drink rarely ⑤ Do not drink</w:t>
      </w:r>
    </w:p>
    <w:p w14:paraId="21CE4077">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What is your smoking status? ( )</w:t>
      </w:r>
    </w:p>
    <w:p w14:paraId="008BCD48">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Smoke daily, over 10 cigarettes ② Smoke daily, 5-10 cigarettes ③ Smoke daily, fewer than 5 cigarettes ④ Do not smoke</w:t>
      </w:r>
    </w:p>
    <w:p w14:paraId="0E4EF18A">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How much salt do you consume daily? ( )</w:t>
      </w:r>
    </w:p>
    <w:p w14:paraId="0594FF53">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(Note: A full soda bottle cap is approximately 10 grams; a full beer bottle cap is approximately 4 grams)</w:t>
      </w:r>
    </w:p>
    <w:p w14:paraId="4013B701">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 6 grams ② 6-12 grams ③ &gt; 12 grams</w:t>
      </w:r>
    </w:p>
    <w:p w14:paraId="4F608B20">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How many hours do you sleep each night? ( )</w:t>
      </w:r>
    </w:p>
    <w:p w14:paraId="45C6200B">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Less than 4 hours ② 4-8 hours ③ More than 8 hours</w:t>
      </w:r>
    </w:p>
    <w:p w14:paraId="5CC82288">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Do you feel mentally stressed, excited, or agitated? ( )</w:t>
      </w:r>
    </w:p>
    <w:p w14:paraId="04E1A1C3">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Often ② Sometimes ③ Never</w:t>
      </w:r>
    </w:p>
    <w:p w14:paraId="5F076DF6">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What is your average weekly exercise frequency? ( )</w:t>
      </w:r>
    </w:p>
    <w:p w14:paraId="3B125214">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More than 5 times a week ② 3-5 times a week ③ 2-3 times a week ④ Once a week ⑤ Do not exercise</w:t>
      </w:r>
    </w:p>
    <w:p w14:paraId="48E3AFB1">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How long do you exercise each time? ( )</w:t>
      </w:r>
    </w:p>
    <w:p w14:paraId="61D7FEC0">
      <w:pPr>
        <w:widowControl/>
        <w:spacing w:line="480" w:lineRule="auto"/>
        <w:rPr>
          <w:rFonts w:ascii="Times New Roman" w:hAnsi="Times New Roman" w:eastAsia="宋体" w:cs="Times New Roman"/>
          <w:color w:val="000000" w:themeColor="text1"/>
          <w:kern w:val="0"/>
          <w:sz w:val="24"/>
          <w:highlight w:val="none"/>
          <w:lang w:bidi="ar"/>
          <w14:textFill>
            <w14:solidFill>
              <w14:schemeClr w14:val="tx1"/>
            </w14:solidFill>
          </w14:textFill>
        </w:rPr>
      </w:pPr>
      <w:r>
        <w:rPr>
          <w:rFonts w:ascii="Times New Roman" w:hAnsi="Times New Roman" w:eastAsia="宋体" w:cs="Times New Roman"/>
          <w:color w:val="000000" w:themeColor="text1"/>
          <w:kern w:val="0"/>
          <w:sz w:val="24"/>
          <w:highlight w:val="none"/>
          <w:lang w:bidi="ar"/>
          <w14:textFill>
            <w14:solidFill>
              <w14:schemeClr w14:val="tx1"/>
            </w14:solidFill>
          </w14:textFill>
        </w:rPr>
        <w:t>① ≤ 30 minutes ② 30-60 minutes ③ ≥ 60 minutes ④ Unsure</w:t>
      </w:r>
    </w:p>
    <w:p w14:paraId="365509B5">
      <w:pPr>
        <w:pStyle w:val="11"/>
        <w:widowControl/>
        <w:spacing w:line="480" w:lineRule="auto"/>
        <w:ind w:right="120"/>
        <w:jc w:val="both"/>
        <w:outlineLvl w:val="0"/>
        <w:rPr>
          <w:rFonts w:ascii="Times New Roman" w:hAnsi="Times New Roman" w:eastAsia="宋体"/>
          <w:color w:val="000000" w:themeColor="text1"/>
          <w:highlight w:val="none"/>
          <w14:textFill>
            <w14:solidFill>
              <w14:schemeClr w14:val="tx1"/>
            </w14:solidFill>
          </w14:textFill>
        </w:rPr>
      </w:pPr>
      <w:bookmarkStart w:id="23" w:name="_Toc197892792"/>
      <w:r>
        <w:rPr>
          <w:rFonts w:ascii="Times New Roman" w:hAnsi="Times New Roman" w:eastAsia="宋体"/>
          <w:color w:val="000000" w:themeColor="text1"/>
          <w:highlight w:val="none"/>
          <w14:textFill>
            <w14:solidFill>
              <w14:schemeClr w14:val="tx1"/>
            </w14:solidFill>
          </w14:textFill>
        </w:rPr>
        <w:t>7 Sample Size</w:t>
      </w:r>
      <w:bookmarkEnd w:id="23"/>
    </w:p>
    <w:p w14:paraId="77622530">
      <w:pPr>
        <w:pStyle w:val="11"/>
        <w:widowControl/>
        <w:spacing w:line="480" w:lineRule="auto"/>
        <w:ind w:right="120"/>
        <w:jc w:val="both"/>
        <w:rPr>
          <w:rFonts w:ascii="Times New Roman" w:hAnsi="Times New Roman" w:eastAsia="宋体"/>
          <w:color w:val="000000" w:themeColor="text1"/>
          <w:spacing w:val="15"/>
          <w:highlight w:val="none"/>
          <w14:textFill>
            <w14:solidFill>
              <w14:schemeClr w14:val="tx1"/>
            </w14:solidFill>
          </w14:textFill>
        </w:rPr>
      </w:pPr>
      <w:r>
        <w:rPr>
          <w:rFonts w:ascii="Times New Roman" w:hAnsi="Times New Roman" w:eastAsia="Segoe UI"/>
          <w:color w:val="000000" w:themeColor="text1"/>
          <w:highlight w:val="none"/>
          <w:shd w:val="clear" w:color="auto" w:fill="FDFDFE"/>
          <w14:textFill>
            <w14:solidFill>
              <w14:schemeClr w14:val="tx1"/>
            </w14:solidFill>
          </w14:textFill>
        </w:rPr>
        <w:t>Referring to the results of the TASMINH-4 study, 298 cases per group were needed to detect a 5 mm Hg systolic blood pressure difference between groups with 90% power and an adjusted alpha of 0.017 (bilateral) for a two-by-two comparison of the three groups. This calculation was based on a common standard deviation of 17 mm Hg and a three-factor pairwise comparison. Considering a 15% dropout rate, 350 participants were needed in each group, resulting in a total sample size of 1050 participants</w:t>
      </w:r>
    </w:p>
    <w:p w14:paraId="0B39AABC">
      <w:pPr>
        <w:pStyle w:val="11"/>
        <w:widowControl/>
        <w:spacing w:line="480" w:lineRule="auto"/>
        <w:ind w:right="120"/>
        <w:jc w:val="both"/>
        <w:outlineLvl w:val="0"/>
        <w:rPr>
          <w:rFonts w:ascii="Times New Roman" w:hAnsi="Times New Roman" w:eastAsia="宋体"/>
          <w:color w:val="000000" w:themeColor="text1"/>
          <w:highlight w:val="none"/>
          <w14:textFill>
            <w14:solidFill>
              <w14:schemeClr w14:val="tx1"/>
            </w14:solidFill>
          </w14:textFill>
        </w:rPr>
      </w:pPr>
      <w:bookmarkStart w:id="24" w:name="_Toc197892793"/>
      <w:r>
        <w:rPr>
          <w:rFonts w:ascii="Times New Roman" w:hAnsi="Times New Roman" w:eastAsia="宋体"/>
          <w:color w:val="000000" w:themeColor="text1"/>
          <w:highlight w:val="none"/>
          <w14:textFill>
            <w14:solidFill>
              <w14:schemeClr w14:val="tx1"/>
            </w14:solidFill>
          </w14:textFill>
        </w:rPr>
        <w:t>8 Randomization Method</w:t>
      </w:r>
      <w:bookmarkEnd w:id="24"/>
    </w:p>
    <w:p w14:paraId="3E57B15C">
      <w:pPr>
        <w:pStyle w:val="11"/>
        <w:widowControl/>
        <w:spacing w:line="480" w:lineRule="auto"/>
        <w:ind w:right="120"/>
        <w:jc w:val="both"/>
        <w:rPr>
          <w:rFonts w:ascii="Times New Roman" w:hAnsi="Times New Roman" w:eastAsia="宋体"/>
          <w:color w:val="000000" w:themeColor="text1"/>
          <w:spacing w:val="15"/>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 xml:space="preserve">At the clinic, eligibility was established, informed consent was obtained from participants, and their baseline clinical data and laboratory tests were collected. Researchers developed an automatic lottery program and uploaded it to the "cloud platform". After inputting the patients' basic information into the platform, the program randomly assigned them to different groups through a lottery-based method. </w:t>
      </w:r>
      <w:r>
        <w:rPr>
          <w:rFonts w:ascii="Times New Roman" w:hAnsi="Times New Roman" w:eastAsia="宋体"/>
          <w:color w:val="000000" w:themeColor="text1"/>
          <w:spacing w:val="15"/>
          <w:highlight w:val="none"/>
          <w14:textFill>
            <w14:solidFill>
              <w14:schemeClr w14:val="tx1"/>
            </w14:solidFill>
          </w14:textFill>
        </w:rPr>
        <w:t>Patient throughput from screening through randomisation, follow up and analysis will be presented in a CONSORT flow chart and include reasons for withdrawal.</w:t>
      </w:r>
    </w:p>
    <w:p w14:paraId="453BDFB4">
      <w:pPr>
        <w:pStyle w:val="11"/>
        <w:widowControl/>
        <w:spacing w:line="480" w:lineRule="auto"/>
        <w:ind w:right="120"/>
        <w:jc w:val="both"/>
        <w:outlineLvl w:val="0"/>
        <w:rPr>
          <w:rFonts w:ascii="Times New Roman" w:hAnsi="Times New Roman" w:eastAsia="宋体"/>
          <w:color w:val="000000" w:themeColor="text1"/>
          <w:highlight w:val="none"/>
          <w14:textFill>
            <w14:solidFill>
              <w14:schemeClr w14:val="tx1"/>
            </w14:solidFill>
          </w14:textFill>
        </w:rPr>
      </w:pPr>
      <w:bookmarkStart w:id="25" w:name="_Toc197892794"/>
      <w:r>
        <w:rPr>
          <w:rFonts w:ascii="Times New Roman" w:hAnsi="Times New Roman" w:eastAsia="宋体"/>
          <w:color w:val="000000" w:themeColor="text1"/>
          <w:highlight w:val="none"/>
          <w14:textFill>
            <w14:solidFill>
              <w14:schemeClr w14:val="tx1"/>
            </w14:solidFill>
          </w14:textFill>
        </w:rPr>
        <w:t>9 Participant Characteristics</w:t>
      </w:r>
      <w:bookmarkEnd w:id="25"/>
    </w:p>
    <w:p w14:paraId="2501C898">
      <w:pPr>
        <w:pStyle w:val="11"/>
        <w:widowControl/>
        <w:spacing w:line="480" w:lineRule="auto"/>
        <w:ind w:right="120"/>
        <w:jc w:val="both"/>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Baseline characteristics of the patients—including demographics, duration of hypertension, past medical history, height, weight, waist circumference, blood pressure, history of cardiovascular disease (CVD), current antihypertensive medications, anxiety, lifestyle, and medication adherence—will be reported for the three randomized groups. Additionally, laboratory test results will include WBC, RBC, HGB, PLT, urinary leukocytes, urine occult blood, urine protein, ALT, AST, blood urea nitrogen (BUN), GGT, lactate dehydrogenase (LDH), creatinine (Cr), creatine kinase MB (CKMB), total cholesterol (TC), triglycerides (TG), high-density lipoprotein cholesterol (HDL-c), low-density lipoprotein cholesterol (LDL-c), glucose (GLU), and uric acid (UA).</w:t>
      </w:r>
    </w:p>
    <w:p w14:paraId="50793EA4">
      <w:pPr>
        <w:pStyle w:val="11"/>
        <w:widowControl/>
        <w:spacing w:line="480" w:lineRule="auto"/>
        <w:ind w:right="120"/>
        <w:jc w:val="both"/>
        <w:outlineLvl w:val="0"/>
        <w:rPr>
          <w:rFonts w:ascii="Times New Roman" w:hAnsi="Times New Roman"/>
          <w:color w:val="000000" w:themeColor="text1"/>
          <w:spacing w:val="-2"/>
          <w:highlight w:val="none"/>
          <w14:textFill>
            <w14:solidFill>
              <w14:schemeClr w14:val="tx1"/>
            </w14:solidFill>
          </w14:textFill>
        </w:rPr>
      </w:pPr>
      <w:bookmarkStart w:id="26" w:name="_Toc197892795"/>
      <w:r>
        <w:rPr>
          <w:rFonts w:ascii="Times New Roman" w:hAnsi="Times New Roman"/>
          <w:color w:val="000000" w:themeColor="text1"/>
          <w:highlight w:val="none"/>
          <w14:textFill>
            <w14:solidFill>
              <w14:schemeClr w14:val="tx1"/>
            </w14:solidFill>
          </w14:textFill>
        </w:rPr>
        <w:t>10 Definition</w:t>
      </w:r>
      <w:r>
        <w:rPr>
          <w:rFonts w:ascii="Times New Roman" w:hAnsi="Times New Roman"/>
          <w:color w:val="000000" w:themeColor="text1"/>
          <w:spacing w:val="-5"/>
          <w:highlight w:val="none"/>
          <w14:textFill>
            <w14:solidFill>
              <w14:schemeClr w14:val="tx1"/>
            </w14:solidFill>
          </w14:textFill>
        </w:rPr>
        <w:t xml:space="preserve"> </w:t>
      </w:r>
      <w:r>
        <w:rPr>
          <w:rFonts w:ascii="Times New Roman" w:hAnsi="Times New Roman"/>
          <w:color w:val="000000" w:themeColor="text1"/>
          <w:highlight w:val="none"/>
          <w14:textFill>
            <w14:solidFill>
              <w14:schemeClr w14:val="tx1"/>
            </w14:solidFill>
          </w14:textFill>
        </w:rPr>
        <w:t>of</w:t>
      </w:r>
      <w:r>
        <w:rPr>
          <w:rFonts w:ascii="Times New Roman" w:hAnsi="Times New Roman"/>
          <w:color w:val="000000" w:themeColor="text1"/>
          <w:spacing w:val="-5"/>
          <w:highlight w:val="none"/>
          <w14:textFill>
            <w14:solidFill>
              <w14:schemeClr w14:val="tx1"/>
            </w14:solidFill>
          </w14:textFill>
        </w:rPr>
        <w:t xml:space="preserve"> </w:t>
      </w:r>
      <w:r>
        <w:rPr>
          <w:rFonts w:ascii="Times New Roman" w:hAnsi="Times New Roman"/>
          <w:color w:val="000000" w:themeColor="text1"/>
          <w:highlight w:val="none"/>
          <w14:textFill>
            <w14:solidFill>
              <w14:schemeClr w14:val="tx1"/>
            </w14:solidFill>
          </w14:textFill>
        </w:rPr>
        <w:t>population</w:t>
      </w:r>
      <w:r>
        <w:rPr>
          <w:rFonts w:ascii="Times New Roman" w:hAnsi="Times New Roman"/>
          <w:color w:val="000000" w:themeColor="text1"/>
          <w:spacing w:val="-5"/>
          <w:highlight w:val="none"/>
          <w14:textFill>
            <w14:solidFill>
              <w14:schemeClr w14:val="tx1"/>
            </w14:solidFill>
          </w14:textFill>
        </w:rPr>
        <w:t xml:space="preserve"> </w:t>
      </w:r>
      <w:r>
        <w:rPr>
          <w:rFonts w:ascii="Times New Roman" w:hAnsi="Times New Roman"/>
          <w:color w:val="000000" w:themeColor="text1"/>
          <w:highlight w:val="none"/>
          <w14:textFill>
            <w14:solidFill>
              <w14:schemeClr w14:val="tx1"/>
            </w14:solidFill>
          </w14:textFill>
        </w:rPr>
        <w:t>for</w:t>
      </w:r>
      <w:r>
        <w:rPr>
          <w:rFonts w:ascii="Times New Roman" w:hAnsi="Times New Roman"/>
          <w:color w:val="000000" w:themeColor="text1"/>
          <w:spacing w:val="-5"/>
          <w:highlight w:val="none"/>
          <w14:textFill>
            <w14:solidFill>
              <w14:schemeClr w14:val="tx1"/>
            </w14:solidFill>
          </w14:textFill>
        </w:rPr>
        <w:t xml:space="preserve"> </w:t>
      </w:r>
      <w:r>
        <w:rPr>
          <w:rFonts w:ascii="Times New Roman" w:hAnsi="Times New Roman"/>
          <w:color w:val="000000" w:themeColor="text1"/>
          <w:spacing w:val="-2"/>
          <w:highlight w:val="none"/>
          <w14:textFill>
            <w14:solidFill>
              <w14:schemeClr w14:val="tx1"/>
            </w14:solidFill>
          </w14:textFill>
        </w:rPr>
        <w:t>analysis</w:t>
      </w:r>
      <w:bookmarkEnd w:id="26"/>
    </w:p>
    <w:p w14:paraId="56650819">
      <w:pPr>
        <w:pStyle w:val="11"/>
        <w:widowControl/>
        <w:spacing w:line="480" w:lineRule="auto"/>
        <w:ind w:right="120"/>
        <w:jc w:val="both"/>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All participants who enter the randomization will be included in the analysis to the fullest extent possible, while those with missing data that cannot be imputed will be excluded.</w:t>
      </w:r>
    </w:p>
    <w:p w14:paraId="7CF47DD8">
      <w:pPr>
        <w:pStyle w:val="11"/>
        <w:widowControl/>
        <w:spacing w:line="480" w:lineRule="auto"/>
        <w:ind w:right="120"/>
        <w:jc w:val="both"/>
        <w:outlineLvl w:val="0"/>
        <w:rPr>
          <w:rFonts w:ascii="Times New Roman" w:hAnsi="Times New Roman"/>
          <w:color w:val="000000" w:themeColor="text1"/>
          <w:spacing w:val="-2"/>
          <w:highlight w:val="none"/>
          <w14:textFill>
            <w14:solidFill>
              <w14:schemeClr w14:val="tx1"/>
            </w14:solidFill>
          </w14:textFill>
        </w:rPr>
      </w:pPr>
      <w:bookmarkStart w:id="27" w:name="_Toc197892796"/>
      <w:r>
        <w:rPr>
          <w:rFonts w:ascii="Times New Roman" w:hAnsi="Times New Roman"/>
          <w:color w:val="000000" w:themeColor="text1"/>
          <w:spacing w:val="-2"/>
          <w:highlight w:val="none"/>
          <w14:textFill>
            <w14:solidFill>
              <w14:schemeClr w14:val="tx1"/>
            </w14:solidFill>
          </w14:textFill>
        </w:rPr>
        <w:t xml:space="preserve">11 Data Monitoring Committee </w:t>
      </w:r>
      <w:r>
        <w:rPr>
          <w:rFonts w:hint="eastAsia" w:ascii="Times New Roman" w:hAnsi="Times New Roman"/>
          <w:color w:val="000000" w:themeColor="text1"/>
          <w:spacing w:val="-2"/>
          <w:highlight w:val="none"/>
          <w14:textFill>
            <w14:solidFill>
              <w14:schemeClr w14:val="tx1"/>
            </w14:solidFill>
          </w14:textFill>
        </w:rPr>
        <w:t>a</w:t>
      </w:r>
      <w:r>
        <w:rPr>
          <w:rFonts w:ascii="Times New Roman" w:hAnsi="Times New Roman"/>
          <w:color w:val="000000" w:themeColor="text1"/>
          <w:spacing w:val="-2"/>
          <w:highlight w:val="none"/>
          <w14:textFill>
            <w14:solidFill>
              <w14:schemeClr w14:val="tx1"/>
            </w14:solidFill>
          </w14:textFill>
        </w:rPr>
        <w:t>nd Interim Analyses</w:t>
      </w:r>
      <w:bookmarkEnd w:id="27"/>
    </w:p>
    <w:p w14:paraId="4A8CD4B5">
      <w:pPr>
        <w:pStyle w:val="11"/>
        <w:widowControl/>
        <w:spacing w:line="480" w:lineRule="auto"/>
        <w:ind w:right="120"/>
        <w:jc w:val="both"/>
        <w:rPr>
          <w:rFonts w:ascii="Times New Roman" w:hAnsi="Times New Roman"/>
          <w:color w:val="000000" w:themeColor="text1"/>
          <w:spacing w:val="-2"/>
          <w:highlight w:val="none"/>
          <w14:textFill>
            <w14:solidFill>
              <w14:schemeClr w14:val="tx1"/>
            </w14:solidFill>
          </w14:textFill>
        </w:rPr>
      </w:pPr>
      <w:r>
        <w:rPr>
          <w:rFonts w:ascii="Times New Roman" w:hAnsi="Times New Roman"/>
          <w:color w:val="000000" w:themeColor="text1"/>
          <w:spacing w:val="-2"/>
          <w:highlight w:val="none"/>
          <w14:textFill>
            <w14:solidFill>
              <w14:schemeClr w14:val="tx1"/>
            </w14:solidFill>
          </w14:textFill>
        </w:rPr>
        <w:t>The trial evaluates a management method rather than a medicinal product, and termination is not expected unless advised by the Data Monitoring Committee (DMC) due to a series of Suspected Unexpected Serious Adverse Reactions (SUSARs).</w:t>
      </w:r>
    </w:p>
    <w:p w14:paraId="17C90CBB">
      <w:pPr>
        <w:pStyle w:val="11"/>
        <w:widowControl/>
        <w:spacing w:line="480" w:lineRule="auto"/>
        <w:ind w:right="120"/>
        <w:jc w:val="both"/>
        <w:rPr>
          <w:rFonts w:ascii="Times New Roman" w:hAnsi="Times New Roman"/>
          <w:color w:val="000000" w:themeColor="text1"/>
          <w:spacing w:val="-2"/>
          <w:highlight w:val="none"/>
          <w14:textFill>
            <w14:solidFill>
              <w14:schemeClr w14:val="tx1"/>
            </w14:solidFill>
          </w14:textFill>
        </w:rPr>
      </w:pPr>
      <w:r>
        <w:rPr>
          <w:rFonts w:ascii="Times New Roman" w:hAnsi="Times New Roman"/>
          <w:color w:val="000000" w:themeColor="text1"/>
          <w:spacing w:val="-2"/>
          <w:highlight w:val="none"/>
          <w14:textFill>
            <w14:solidFill>
              <w14:schemeClr w14:val="tx1"/>
            </w14:solidFill>
          </w14:textFill>
        </w:rPr>
        <w:t>No interim analysis was planned in the protocol</w:t>
      </w:r>
    </w:p>
    <w:p w14:paraId="16FA27C5">
      <w:pPr>
        <w:pStyle w:val="24"/>
        <w:tabs>
          <w:tab w:val="left" w:pos="1299"/>
        </w:tabs>
        <w:spacing w:before="245" w:line="480" w:lineRule="auto"/>
        <w:ind w:left="0" w:firstLine="0"/>
        <w:rPr>
          <w:rFonts w:ascii="Times New Roman" w:hAnsi="Times New Roman" w:cs="Times New Roman"/>
          <w:color w:val="000000" w:themeColor="text1"/>
          <w:spacing w:val="-4"/>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Handling</w:t>
      </w:r>
      <w:r>
        <w:rPr>
          <w:rFonts w:ascii="Times New Roman" w:hAnsi="Times New Roman" w:cs="Times New Roman"/>
          <w:color w:val="000000" w:themeColor="text1"/>
          <w:spacing w:val="-6"/>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missing</w:t>
      </w:r>
      <w:r>
        <w:rPr>
          <w:rFonts w:ascii="Times New Roman" w:hAnsi="Times New Roman" w:cs="Times New Roman"/>
          <w:color w:val="000000" w:themeColor="text1"/>
          <w:spacing w:val="-6"/>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data</w:t>
      </w:r>
      <w:r>
        <w:rPr>
          <w:rFonts w:ascii="Times New Roman" w:hAnsi="Times New Roman" w:cs="Times New Roman"/>
          <w:color w:val="000000" w:themeColor="text1"/>
          <w:spacing w:val="-1"/>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and</w:t>
      </w:r>
      <w:r>
        <w:rPr>
          <w:rFonts w:ascii="Times New Roman" w:hAnsi="Times New Roman" w:cs="Times New Roman"/>
          <w:color w:val="000000" w:themeColor="text1"/>
          <w:spacing w:val="-4"/>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unrealistic </w:t>
      </w:r>
      <w:r>
        <w:rPr>
          <w:rFonts w:ascii="Times New Roman" w:hAnsi="Times New Roman" w:cs="Times New Roman"/>
          <w:color w:val="000000" w:themeColor="text1"/>
          <w:spacing w:val="-4"/>
          <w:sz w:val="24"/>
          <w:highlight w:val="none"/>
          <w14:textFill>
            <w14:solidFill>
              <w14:schemeClr w14:val="tx1"/>
            </w14:solidFill>
          </w14:textFill>
        </w:rPr>
        <w:t>data</w:t>
      </w:r>
    </w:p>
    <w:p w14:paraId="15D46F22">
      <w:pPr>
        <w:pStyle w:val="24"/>
        <w:tabs>
          <w:tab w:val="left" w:pos="1299"/>
        </w:tabs>
        <w:spacing w:before="245" w:line="480" w:lineRule="auto"/>
        <w:ind w:left="0" w:firstLine="0"/>
        <w:rPr>
          <w:rFonts w:ascii="Times New Roman" w:hAnsi="Times New Roman" w:eastAsia="宋体" w:cs="Times New Roman"/>
          <w:color w:val="000000" w:themeColor="text1"/>
          <w:sz w:val="24"/>
          <w:highlight w:val="none"/>
          <w:lang w:eastAsia="zh-CN"/>
          <w14:textFill>
            <w14:solidFill>
              <w14:schemeClr w14:val="tx1"/>
            </w14:solidFill>
          </w14:textFill>
        </w:rPr>
      </w:pPr>
      <w:r>
        <w:rPr>
          <w:rFonts w:ascii="Times New Roman" w:hAnsi="Times New Roman" w:cs="Times New Roman"/>
          <w:color w:val="000000" w:themeColor="text1"/>
          <w:spacing w:val="-4"/>
          <w:sz w:val="24"/>
          <w:highlight w:val="none"/>
          <w14:textFill>
            <w14:solidFill>
              <w14:schemeClr w14:val="tx1"/>
            </w14:solidFill>
          </w14:textFill>
        </w:rPr>
        <w:t>If one reading is missing during a follow-up, the remaining two blood pressure values will be used for analysis. Data missing due to consecutive missed visits will be strictly excluded. For non-consecutive missing data, nearest neighbor interpolation will be employed. Continuous missing data will also be excluded</w:t>
      </w:r>
      <w:r>
        <w:rPr>
          <w:rFonts w:hint="eastAsia" w:ascii="Times New Roman" w:hAnsi="Times New Roman" w:cs="Times New Roman" w:eastAsiaTheme="minorEastAsia"/>
          <w:color w:val="000000" w:themeColor="text1"/>
          <w:spacing w:val="-4"/>
          <w:sz w:val="24"/>
          <w:highlight w:val="none"/>
          <w:lang w:eastAsia="zh-CN"/>
          <w14:textFill>
            <w14:solidFill>
              <w14:schemeClr w14:val="tx1"/>
            </w14:solidFill>
          </w14:textFill>
        </w:rPr>
        <w:t xml:space="preserve">. </w:t>
      </w:r>
      <w:r>
        <w:rPr>
          <w:rFonts w:ascii="Times New Roman" w:hAnsi="Times New Roman" w:eastAsia="宋体" w:cs="Times New Roman"/>
          <w:color w:val="000000" w:themeColor="text1"/>
          <w:sz w:val="24"/>
          <w:highlight w:val="none"/>
          <w14:textFill>
            <w14:solidFill>
              <w14:schemeClr w14:val="tx1"/>
            </w14:solidFill>
          </w14:textFill>
        </w:rPr>
        <w:t>During follow-up visits, attention will be given to screening for outliers and addressing them immediately. If one outlier is identified during data processing, it will be excluded. If two outliers are found, the entire follow-up record will be discarded.</w:t>
      </w:r>
      <w:r>
        <w:rPr>
          <w:rFonts w:ascii="Times New Roman" w:hAnsi="Times New Roman" w:eastAsia="宋体" w:cs="Times New Roman"/>
          <w:color w:val="000000" w:themeColor="text1"/>
          <w:sz w:val="24"/>
          <w:highlight w:val="none"/>
          <w:lang w:eastAsia="zh-CN"/>
          <w14:textFill>
            <w14:solidFill>
              <w14:schemeClr w14:val="tx1"/>
            </w14:solidFill>
          </w14:textFill>
        </w:rPr>
        <w:t xml:space="preserve"> </w:t>
      </w:r>
    </w:p>
    <w:p w14:paraId="11B83888">
      <w:pPr>
        <w:pStyle w:val="2"/>
        <w:rPr>
          <w:rFonts w:ascii="Times New Roman" w:hAnsi="Times New Roman" w:eastAsia="Segoe UI" w:cs="Times New Roman"/>
          <w:b w:val="0"/>
          <w:bCs w:val="0"/>
          <w:color w:val="000000" w:themeColor="text1"/>
          <w:sz w:val="24"/>
          <w:szCs w:val="24"/>
          <w:highlight w:val="none"/>
          <w:shd w:val="clear" w:color="auto" w:fill="FDFDFE"/>
          <w14:textFill>
            <w14:solidFill>
              <w14:schemeClr w14:val="tx1"/>
            </w14:solidFill>
          </w14:textFill>
        </w:rPr>
      </w:pPr>
      <w:bookmarkStart w:id="28" w:name="_Toc197892797"/>
      <w:bookmarkStart w:id="29" w:name="_TOC_250006"/>
      <w:r>
        <w:rPr>
          <w:rFonts w:ascii="Times New Roman" w:hAnsi="Times New Roman" w:eastAsia="宋体" w:cs="Times New Roman"/>
          <w:b w:val="0"/>
          <w:bCs w:val="0"/>
          <w:color w:val="000000" w:themeColor="text1"/>
          <w:sz w:val="24"/>
          <w:szCs w:val="24"/>
          <w:highlight w:val="none"/>
          <w:shd w:val="clear" w:color="auto" w:fill="FDFDFE"/>
          <w14:textFill>
            <w14:solidFill>
              <w14:schemeClr w14:val="tx1"/>
            </w14:solidFill>
          </w14:textFill>
        </w:rPr>
        <w:t xml:space="preserve">12 </w:t>
      </w:r>
      <w:r>
        <w:rPr>
          <w:rFonts w:ascii="Times New Roman" w:hAnsi="Times New Roman" w:eastAsia="Segoe UI" w:cs="Times New Roman"/>
          <w:b w:val="0"/>
          <w:bCs w:val="0"/>
          <w:color w:val="000000" w:themeColor="text1"/>
          <w:sz w:val="24"/>
          <w:szCs w:val="24"/>
          <w:highlight w:val="none"/>
          <w:shd w:val="clear" w:color="auto" w:fill="FDFDFE"/>
          <w14:textFill>
            <w14:solidFill>
              <w14:schemeClr w14:val="tx1"/>
            </w14:solidFill>
          </w14:textFill>
        </w:rPr>
        <w:t>Statistical analysis</w:t>
      </w:r>
      <w:bookmarkEnd w:id="28"/>
    </w:p>
    <w:p w14:paraId="635D7054">
      <w:pPr>
        <w:pStyle w:val="11"/>
        <w:widowControl/>
        <w:spacing w:beforeAutospacing="0" w:afterAutospacing="0" w:line="480" w:lineRule="auto"/>
        <w:jc w:val="both"/>
        <w:rPr>
          <w:rFonts w:ascii="Times New Roman" w:hAnsi="Times New Roman" w:eastAsia="宋体"/>
          <w:color w:val="000000" w:themeColor="text1"/>
          <w:szCs w:val="24"/>
          <w:highlight w:val="none"/>
          <w:shd w:val="clear" w:color="auto" w:fill="FDFDFE"/>
          <w:lang w:val="en-GB"/>
          <w14:textFill>
            <w14:solidFill>
              <w14:schemeClr w14:val="tx1"/>
            </w14:solidFill>
          </w14:textFill>
        </w:rPr>
      </w:pPr>
      <w:r>
        <w:rPr>
          <w:rFonts w:ascii="Times New Roman" w:hAnsi="Times New Roman"/>
          <w:color w:val="000000" w:themeColor="text1"/>
          <w:szCs w:val="24"/>
          <w:highlight w:val="none"/>
          <w:lang w:val="en-GB"/>
          <w14:textFill>
            <w14:solidFill>
              <w14:schemeClr w14:val="tx1"/>
            </w14:solidFill>
          </w14:textFill>
        </w:rPr>
        <w:t xml:space="preserve">Statistical analysis was performed using SPSS </w:t>
      </w:r>
      <w:r>
        <w:rPr>
          <w:rFonts w:ascii="Times New Roman" w:hAnsi="Times New Roman" w:eastAsia="宋体"/>
          <w:color w:val="000000" w:themeColor="text1"/>
          <w:szCs w:val="24"/>
          <w:highlight w:val="none"/>
          <w:lang w:val="en-GB"/>
          <w14:textFill>
            <w14:solidFill>
              <w14:schemeClr w14:val="tx1"/>
            </w14:solidFill>
          </w14:textFill>
        </w:rPr>
        <w:t>software (version 22.0</w:t>
      </w:r>
      <w:r>
        <w:rPr>
          <w:rFonts w:ascii="Times New Roman" w:hAnsi="Times New Roman"/>
          <w:color w:val="000000" w:themeColor="text1"/>
          <w:szCs w:val="24"/>
          <w:highlight w:val="none"/>
          <w:lang w:val="en-GB"/>
          <w14:textFill>
            <w14:solidFill>
              <w14:schemeClr w14:val="tx1"/>
            </w14:solidFill>
          </w14:textFill>
        </w:rPr>
        <w:t xml:space="preserve">). The analyses were </w:t>
      </w:r>
      <w:r>
        <w:rPr>
          <w:rFonts w:ascii="Times New Roman" w:hAnsi="Times New Roman" w:eastAsia="宋体"/>
          <w:color w:val="000000" w:themeColor="text1"/>
          <w:szCs w:val="24"/>
          <w:highlight w:val="none"/>
          <w:lang w:val="en-GB"/>
          <w14:textFill>
            <w14:solidFill>
              <w14:schemeClr w14:val="tx1"/>
            </w14:solidFill>
          </w14:textFill>
        </w:rPr>
        <w:t xml:space="preserve">performed on an intention-to-treat basis. Continuous variables are expressed as mean ± standard deviation (x ± s), and one-way analysis of variance (ANOVA) was </w:t>
      </w:r>
      <w:r>
        <w:rPr>
          <w:rFonts w:ascii="Times New Roman" w:hAnsi="Times New Roman" w:eastAsia="宋体"/>
          <w:color w:val="000000" w:themeColor="text1"/>
          <w:szCs w:val="24"/>
          <w:highlight w:val="none"/>
          <w:lang w:val="en-GB"/>
          <w14:textFill>
            <w14:solidFill>
              <w14:schemeClr w14:val="tx1"/>
            </w14:solidFill>
          </w14:textFill>
        </w:rPr>
        <w:t xml:space="preserve">used for comparisons between groups. Count data </w:t>
      </w:r>
      <w:r>
        <w:rPr>
          <w:rFonts w:ascii="Times New Roman" w:hAnsi="Times New Roman"/>
          <w:color w:val="000000" w:themeColor="text1"/>
          <w:szCs w:val="24"/>
          <w:highlight w:val="none"/>
          <w:lang w:val="en-GB"/>
          <w14:textFill>
            <w14:solidFill>
              <w14:schemeClr w14:val="tx1"/>
            </w14:solidFill>
          </w14:textFill>
        </w:rPr>
        <w:t>are expressed as cases (%), and chi-square or Fisher's exact test</w:t>
      </w:r>
      <w:r>
        <w:rPr>
          <w:rFonts w:ascii="Times New Roman" w:hAnsi="Times New Roman" w:eastAsia="宋体"/>
          <w:color w:val="000000" w:themeColor="text1"/>
          <w:szCs w:val="24"/>
          <w:highlight w:val="none"/>
          <w:lang w:val="en-GB"/>
          <w14:textFill>
            <w14:solidFill>
              <w14:schemeClr w14:val="tx1"/>
            </w14:solidFill>
          </w14:textFill>
        </w:rPr>
        <w:t xml:space="preserve"> </w:t>
      </w:r>
      <w:r>
        <w:rPr>
          <w:rFonts w:ascii="Times New Roman" w:hAnsi="Times New Roman"/>
          <w:color w:val="000000" w:themeColor="text1"/>
          <w:szCs w:val="24"/>
          <w:highlight w:val="none"/>
          <w:lang w:val="en-GB"/>
          <w14:textFill>
            <w14:solidFill>
              <w14:schemeClr w14:val="tx1"/>
            </w14:solidFill>
          </w14:textFill>
        </w:rPr>
        <w:t>was used for comparisons among groups.</w:t>
      </w:r>
      <w:r>
        <w:rPr>
          <w:rFonts w:hint="eastAsia" w:ascii="Times New Roman" w:hAnsi="Times New Roman"/>
          <w:color w:val="000000" w:themeColor="text1"/>
          <w:szCs w:val="24"/>
          <w:highlight w:val="none"/>
          <w14:textFill>
            <w14:solidFill>
              <w14:schemeClr w14:val="tx1"/>
            </w14:solidFill>
          </w14:textFill>
        </w:rPr>
        <w:t xml:space="preserve"> </w:t>
      </w:r>
      <w:r>
        <w:rPr>
          <w:rFonts w:ascii="Times New Roman" w:hAnsi="Times New Roman"/>
          <w:color w:val="000000" w:themeColor="text1"/>
          <w:szCs w:val="24"/>
          <w:highlight w:val="none"/>
          <w14:textFill>
            <w14:solidFill>
              <w14:schemeClr w14:val="tx1"/>
            </w14:solidFill>
          </w14:textFill>
        </w:rPr>
        <w:t xml:space="preserve">For non-continuous missing data, </w:t>
      </w:r>
      <w:r>
        <w:rPr>
          <w:rFonts w:hint="eastAsia" w:ascii="Times New Roman" w:hAnsi="Times New Roman"/>
          <w:color w:val="000000" w:themeColor="text1"/>
          <w:szCs w:val="24"/>
          <w:highlight w:val="none"/>
          <w14:textFill>
            <w14:solidFill>
              <w14:schemeClr w14:val="tx1"/>
            </w14:solidFill>
          </w14:textFill>
        </w:rPr>
        <w:t>nearest neighbor interpolation</w:t>
      </w:r>
      <w:r>
        <w:rPr>
          <w:rFonts w:ascii="Times New Roman" w:hAnsi="Times New Roman"/>
          <w:color w:val="000000" w:themeColor="text1"/>
          <w:szCs w:val="24"/>
          <w:highlight w:val="none"/>
          <w14:textFill>
            <w14:solidFill>
              <w14:schemeClr w14:val="tx1"/>
            </w14:solidFill>
          </w14:textFill>
        </w:rPr>
        <w:t xml:space="preserve"> was used. </w:t>
      </w:r>
      <w:r>
        <w:rPr>
          <w:rFonts w:ascii="Times New Roman" w:hAnsi="Times New Roman" w:eastAsia="Segoe UI"/>
          <w:color w:val="000000" w:themeColor="text1"/>
          <w:szCs w:val="24"/>
          <w:highlight w:val="none"/>
          <w:shd w:val="clear" w:color="auto" w:fill="FDFDFE"/>
          <w:lang w:val="en-GB"/>
          <w14:textFill>
            <w14:solidFill>
              <w14:schemeClr w14:val="tx1"/>
            </w14:solidFill>
          </w14:textFill>
        </w:rPr>
        <w:t xml:space="preserve">To better compare the differences in </w:t>
      </w:r>
      <w:r>
        <w:rPr>
          <w:rFonts w:ascii="Times New Roman" w:hAnsi="Times New Roman" w:eastAsia="Segoe UI"/>
          <w:color w:val="000000" w:themeColor="text1"/>
          <w:szCs w:val="24"/>
          <w:highlight w:val="none"/>
          <w:lang w:val="en-GB"/>
          <w14:textFill>
            <w14:solidFill>
              <w14:schemeClr w14:val="tx1"/>
            </w14:solidFill>
          </w14:textFill>
        </w:rPr>
        <w:t>the antihypertensive effects among the three groups, a linear mixed-effects model was used</w:t>
      </w:r>
      <w:r>
        <w:rPr>
          <w:rFonts w:hint="eastAsia" w:ascii="Times New Roman" w:hAnsi="Times New Roman" w:eastAsia="宋体"/>
          <w:color w:val="000000" w:themeColor="text1"/>
          <w:szCs w:val="24"/>
          <w:highlight w:val="none"/>
          <w14:textFill>
            <w14:solidFill>
              <w14:schemeClr w14:val="tx1"/>
            </w14:solidFill>
          </w14:textFill>
        </w:rPr>
        <w:t xml:space="preserve">. </w:t>
      </w:r>
      <w:r>
        <w:rPr>
          <w:rFonts w:ascii="Times New Roman" w:hAnsi="Times New Roman" w:eastAsia="Segoe UI"/>
          <w:color w:val="000000" w:themeColor="text1"/>
          <w:szCs w:val="24"/>
          <w:highlight w:val="none"/>
          <w:lang w:val="en-GB"/>
          <w14:textFill>
            <w14:solidFill>
              <w14:schemeClr w14:val="tx1"/>
            </w14:solidFill>
          </w14:textFill>
        </w:rPr>
        <w:t>The model was adjusted for baseline BP, healthcare institutions, and target BP levels to accurately assess treatment effects and control for individual differences.</w:t>
      </w:r>
      <w:r>
        <w:rPr>
          <w:rFonts w:ascii="Times New Roman" w:hAnsi="Times New Roman" w:eastAsia="宋体"/>
          <w:color w:val="000000" w:themeColor="text1"/>
          <w:szCs w:val="24"/>
          <w:highlight w:val="none"/>
          <w:shd w:val="clear" w:color="auto" w:fill="FDFDFE"/>
          <w:lang w:val="en-GB"/>
          <w14:textFill>
            <w14:solidFill>
              <w14:schemeClr w14:val="tx1"/>
            </w14:solidFill>
          </w14:textFill>
        </w:rPr>
        <w:t xml:space="preserve"> </w:t>
      </w:r>
      <w:r>
        <w:rPr>
          <w:rFonts w:hint="eastAsia" w:ascii="Times New Roman" w:hAnsi="Times New Roman" w:eastAsia="宋体"/>
          <w:color w:val="000000" w:themeColor="text1"/>
          <w:szCs w:val="24"/>
          <w:highlight w:val="none"/>
          <w:shd w:val="clear" w:color="auto" w:fill="FDFDFE"/>
          <w:lang w:val="en-GB"/>
          <w14:textFill>
            <w14:solidFill>
              <w14:schemeClr w14:val="tx1"/>
            </w14:solidFill>
          </w14:textFill>
        </w:rPr>
        <w:t>Subgroup analyses were conducted to assess whether treatment effects differed according to predefined baseline characteristics, including sex, age, baseline systolic blood pressure (SBP), body mass index (BMI), diabetes status, anxiety, and sleep duration.</w:t>
      </w:r>
      <w:r>
        <w:rPr>
          <w:rFonts w:hint="eastAsia" w:ascii="Times New Roman" w:hAnsi="Times New Roman" w:eastAsia="宋体"/>
          <w:color w:val="000000" w:themeColor="text1"/>
          <w:szCs w:val="24"/>
          <w:highlight w:val="none"/>
          <w:shd w:val="clear" w:color="auto" w:fill="FDFDFE"/>
          <w14:textFill>
            <w14:solidFill>
              <w14:schemeClr w14:val="tx1"/>
            </w14:solidFill>
          </w14:textFill>
        </w:rPr>
        <w:t xml:space="preserve"> </w:t>
      </w:r>
      <w:r>
        <w:rPr>
          <w:rFonts w:ascii="Times New Roman" w:hAnsi="Times New Roman" w:eastAsia="Segoe UI"/>
          <w:color w:val="000000" w:themeColor="text1"/>
          <w:szCs w:val="24"/>
          <w:highlight w:val="none"/>
          <w:shd w:val="clear" w:color="auto" w:fill="FDFDFE"/>
          <w:lang w:val="en-GB"/>
          <w14:textFill>
            <w14:solidFill>
              <w14:schemeClr w14:val="tx1"/>
            </w14:solidFill>
          </w14:textFill>
        </w:rPr>
        <w:t>There was a statistically significant difference (p &lt; 0.05) between the two groups. In this study, we controlled for the risk of Type I error from multiple comparisons using Bonferroni correction, applying p &lt; 0.0167 as the significance level for between-group comparisons</w:t>
      </w:r>
      <w:r>
        <w:rPr>
          <w:rFonts w:ascii="Times New Roman" w:hAnsi="Times New Roman" w:eastAsia="宋体"/>
          <w:color w:val="000000" w:themeColor="text1"/>
          <w:szCs w:val="24"/>
          <w:highlight w:val="none"/>
          <w:shd w:val="clear" w:color="auto" w:fill="FDFDFE"/>
          <w:lang w:val="en-GB"/>
          <w14:textFill>
            <w14:solidFill>
              <w14:schemeClr w14:val="tx1"/>
            </w14:solidFill>
          </w14:textFill>
        </w:rPr>
        <w:t>.</w:t>
      </w:r>
    </w:p>
    <w:p w14:paraId="12AB25D4">
      <w:pPr>
        <w:pStyle w:val="3"/>
        <w:rPr>
          <w:rFonts w:ascii="Times New Roman" w:hAnsi="Times New Roman" w:cs="Times New Roman"/>
          <w:color w:val="000000" w:themeColor="text1"/>
          <w:sz w:val="24"/>
          <w:szCs w:val="24"/>
          <w:highlight w:val="none"/>
          <w14:textFill>
            <w14:solidFill>
              <w14:schemeClr w14:val="tx1"/>
            </w14:solidFill>
          </w14:textFill>
        </w:rPr>
      </w:pPr>
      <w:bookmarkStart w:id="30" w:name="_Toc197892798"/>
      <w:r>
        <w:rPr>
          <w:rFonts w:ascii="Times New Roman" w:hAnsi="Times New Roman" w:eastAsia="宋体" w:cs="Times New Roman"/>
          <w:color w:val="000000" w:themeColor="text1"/>
          <w:sz w:val="24"/>
          <w:szCs w:val="24"/>
          <w:highlight w:val="none"/>
          <w:lang w:eastAsia="zh-CN"/>
          <w14:textFill>
            <w14:solidFill>
              <w14:schemeClr w14:val="tx1"/>
            </w14:solidFill>
          </w14:textFill>
        </w:rPr>
        <w:t>12.1</w:t>
      </w:r>
      <w:r>
        <w:rPr>
          <w:rFonts w:ascii="Times New Roman" w:hAnsi="Times New Roman" w:cs="Times New Roman"/>
          <w:color w:val="000000" w:themeColor="text1"/>
          <w:sz w:val="24"/>
          <w:szCs w:val="24"/>
          <w:highlight w:val="none"/>
          <w14:textFill>
            <w14:solidFill>
              <w14:schemeClr w14:val="tx1"/>
            </w14:solidFill>
          </w14:textFill>
        </w:rPr>
        <w:t>Primary</w:t>
      </w:r>
      <w:r>
        <w:rPr>
          <w:rFonts w:ascii="Times New Roman" w:hAnsi="Times New Roman" w:cs="Times New Roman"/>
          <w:color w:val="000000" w:themeColor="text1"/>
          <w:spacing w:val="-11"/>
          <w:sz w:val="24"/>
          <w:szCs w:val="24"/>
          <w:highlight w:val="none"/>
          <w14:textFill>
            <w14:solidFill>
              <w14:schemeClr w14:val="tx1"/>
            </w14:solidFill>
          </w14:textFill>
        </w:rPr>
        <w:t xml:space="preserve"> </w:t>
      </w:r>
      <w:bookmarkEnd w:id="29"/>
      <w:r>
        <w:rPr>
          <w:rFonts w:ascii="Times New Roman" w:hAnsi="Times New Roman" w:cs="Times New Roman"/>
          <w:color w:val="000000" w:themeColor="text1"/>
          <w:spacing w:val="-2"/>
          <w:sz w:val="24"/>
          <w:szCs w:val="24"/>
          <w:highlight w:val="none"/>
          <w14:textFill>
            <w14:solidFill>
              <w14:schemeClr w14:val="tx1"/>
            </w14:solidFill>
          </w14:textFill>
        </w:rPr>
        <w:t>Analysis</w:t>
      </w:r>
      <w:bookmarkEnd w:id="30"/>
    </w:p>
    <w:p w14:paraId="4AD6EB4A">
      <w:pPr>
        <w:pStyle w:val="24"/>
        <w:tabs>
          <w:tab w:val="left" w:pos="1875"/>
        </w:tabs>
        <w:spacing w:before="240" w:line="480" w:lineRule="auto"/>
        <w:ind w:left="0" w:firstLine="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 xml:space="preserve">A mixed-effects model will be applied to the data, using systolic blood pressure at 6, 12, </w:t>
      </w:r>
      <w:r>
        <w:rPr>
          <w:rFonts w:ascii="Times New Roman" w:hAnsi="Times New Roman" w:eastAsia="宋体" w:cs="Times New Roman"/>
          <w:color w:val="000000" w:themeColor="text1"/>
          <w:sz w:val="24"/>
          <w:highlight w:val="none"/>
          <w:lang w:eastAsia="zh-CN"/>
          <w14:textFill>
            <w14:solidFill>
              <w14:schemeClr w14:val="tx1"/>
            </w14:solidFill>
          </w14:textFill>
        </w:rPr>
        <w:t>24 month</w:t>
      </w:r>
      <w:r>
        <w:rPr>
          <w:rFonts w:ascii="Times New Roman" w:hAnsi="Times New Roman" w:cs="Times New Roman"/>
          <w:color w:val="000000" w:themeColor="text1"/>
          <w:sz w:val="24"/>
          <w:highlight w:val="none"/>
          <w14:textFill>
            <w14:solidFill>
              <w14:schemeClr w14:val="tx1"/>
            </w14:solidFill>
          </w14:textFill>
        </w:rPr>
        <w:t xml:space="preserve">s of follow-up as the dependent variable. </w:t>
      </w:r>
      <w:r>
        <w:rPr>
          <w:rFonts w:ascii="Times New Roman" w:hAnsi="Times New Roman" w:eastAsia="Segoe UI" w:cs="Times New Roman"/>
          <w:color w:val="000000" w:themeColor="text1"/>
          <w:szCs w:val="24"/>
          <w:highlight w:val="none"/>
          <w:shd w:val="clear" w:color="auto" w:fill="FDFDFE"/>
          <w14:textFill>
            <w14:solidFill>
              <w14:schemeClr w14:val="tx1"/>
            </w14:solidFill>
          </w14:textFill>
        </w:rPr>
        <w:t>The model adjusted for baseline blood pressure, healthcare institution, and target blood pressure levels to accurately assess treatment effects and control for individual differences.</w:t>
      </w:r>
      <w:r>
        <w:rPr>
          <w:rFonts w:ascii="Times New Roman" w:hAnsi="Times New Roman" w:cs="Times New Roman"/>
          <w:color w:val="000000" w:themeColor="text1"/>
          <w:sz w:val="24"/>
          <w:highlight w:val="none"/>
          <w14:textFill>
            <w14:solidFill>
              <w14:schemeClr w14:val="tx1"/>
            </w14:solidFill>
          </w14:textFill>
        </w:rPr>
        <w:t xml:space="preserve"> Adjusted mean differences in systolic blood pressure between the randomized groups at 12 months, along with 95% confidence intervals and p-values, will be calculated for the following comparisons:</w:t>
      </w:r>
    </w:p>
    <w:p w14:paraId="320D5558">
      <w:pPr>
        <w:spacing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Remote group</w:t>
      </w:r>
      <w:r>
        <w:rPr>
          <w:rFonts w:ascii="Times New Roman" w:hAnsi="Times New Roman" w:cs="Times New Roman"/>
          <w:color w:val="000000" w:themeColor="text1"/>
          <w:sz w:val="24"/>
          <w:highlight w:val="none"/>
          <w14:textFill>
            <w14:solidFill>
              <w14:schemeClr w14:val="tx1"/>
            </w14:solidFill>
          </w14:textFill>
        </w:rPr>
        <w:t xml:space="preserve"> versus </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usual care</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group</w:t>
      </w:r>
      <w:r>
        <w:rPr>
          <w:rFonts w:ascii="Times New Roman" w:hAnsi="Times New Roman" w:cs="Times New Roman"/>
          <w:color w:val="000000" w:themeColor="text1"/>
          <w:sz w:val="24"/>
          <w:highlight w:val="none"/>
          <w14:textFill>
            <w14:solidFill>
              <w14:schemeClr w14:val="tx1"/>
            </w14:solidFill>
          </w14:textFill>
        </w:rPr>
        <w:t>(control)</w:t>
      </w:r>
    </w:p>
    <w:p w14:paraId="448FD42E">
      <w:pPr>
        <w:spacing w:line="480" w:lineRule="auto"/>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self-monitoring</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group</w:t>
      </w:r>
      <w:r>
        <w:rPr>
          <w:rFonts w:ascii="Times New Roman" w:hAnsi="Times New Roman" w:cs="Times New Roman"/>
          <w:color w:val="000000" w:themeColor="text1"/>
          <w:sz w:val="24"/>
          <w:highlight w:val="none"/>
          <w14:textFill>
            <w14:solidFill>
              <w14:schemeClr w14:val="tx1"/>
            </w14:solidFill>
          </w14:textFill>
        </w:rPr>
        <w:t xml:space="preserve"> with </w:t>
      </w:r>
      <w:r>
        <w:rPr>
          <w:rFonts w:ascii="Times New Roman" w:hAnsi="Times New Roman" w:eastAsia="宋体" w:cs="Times New Roman"/>
          <w:color w:val="000000" w:themeColor="text1"/>
          <w:sz w:val="24"/>
          <w:highlight w:val="none"/>
          <w:shd w:val="clear" w:color="auto" w:fill="FDFDFE"/>
          <w14:textFill>
            <w14:solidFill>
              <w14:schemeClr w14:val="tx1"/>
            </w14:solidFill>
          </w14:textFill>
        </w:rPr>
        <w:t>usual care</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group</w:t>
      </w:r>
      <w:r>
        <w:rPr>
          <w:rFonts w:ascii="Times New Roman" w:hAnsi="Times New Roman" w:cs="Times New Roman"/>
          <w:color w:val="000000" w:themeColor="text1"/>
          <w:sz w:val="24"/>
          <w:highlight w:val="none"/>
          <w14:textFill>
            <w14:solidFill>
              <w14:schemeClr w14:val="tx1"/>
            </w14:solidFill>
          </w14:textFill>
        </w:rPr>
        <w:t>(control)</w:t>
      </w:r>
    </w:p>
    <w:p w14:paraId="5CCBBFED">
      <w:pPr>
        <w:pStyle w:val="24"/>
        <w:tabs>
          <w:tab w:val="left" w:pos="1299"/>
        </w:tabs>
        <w:spacing w:before="245" w:line="480" w:lineRule="auto"/>
        <w:ind w:left="0" w:firstLine="0"/>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Remote group</w:t>
      </w:r>
      <w:r>
        <w:rPr>
          <w:rFonts w:ascii="Times New Roman" w:hAnsi="Times New Roman" w:cs="Times New Roman"/>
          <w:color w:val="000000" w:themeColor="text1"/>
          <w:sz w:val="24"/>
          <w:highlight w:val="none"/>
          <w14:textFill>
            <w14:solidFill>
              <w14:schemeClr w14:val="tx1"/>
            </w14:solidFill>
          </w14:textFill>
        </w:rPr>
        <w:t xml:space="preserve"> versus </w:t>
      </w:r>
      <w:r>
        <w:rPr>
          <w:rFonts w:ascii="Times New Roman" w:hAnsi="Times New Roman" w:eastAsia="宋体" w:cs="Times New Roman"/>
          <w:color w:val="000000" w:themeColor="text1"/>
          <w:sz w:val="24"/>
          <w:highlight w:val="none"/>
          <w:shd w:val="clear" w:color="auto" w:fill="FDFDFE"/>
          <w:lang w:eastAsia="zh-CN"/>
          <w14:textFill>
            <w14:solidFill>
              <w14:schemeClr w14:val="tx1"/>
            </w14:solidFill>
          </w14:textFill>
        </w:rPr>
        <w:t>self-monitoring</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group</w:t>
      </w:r>
    </w:p>
    <w:p w14:paraId="0F8ED16D">
      <w:pPr>
        <w:pStyle w:val="5"/>
        <w:spacing w:line="480" w:lineRule="auto"/>
        <w:ind w:right="267"/>
        <w:outlineLvl w:val="1"/>
        <w:rPr>
          <w:rFonts w:ascii="Times New Roman" w:hAnsi="Times New Roman" w:cs="Times New Roman" w:eastAsiaTheme="minorEastAsia"/>
          <w:color w:val="000000" w:themeColor="text1"/>
          <w:highlight w:val="none"/>
          <w:lang w:eastAsia="zh-CN"/>
          <w14:textFill>
            <w14:solidFill>
              <w14:schemeClr w14:val="tx1"/>
            </w14:solidFill>
          </w14:textFill>
        </w:rPr>
      </w:pPr>
      <w:bookmarkStart w:id="31" w:name="_Toc197892799"/>
      <w:r>
        <w:rPr>
          <w:rStyle w:val="15"/>
          <w:rFonts w:ascii="Times New Roman" w:hAnsi="Times New Roman" w:eastAsia="宋体" w:cs="Times New Roman"/>
          <w:b w:val="0"/>
          <w:color w:val="000000" w:themeColor="text1"/>
          <w:highlight w:val="none"/>
          <w:lang w:eastAsia="zh-CN"/>
          <w14:textFill>
            <w14:solidFill>
              <w14:schemeClr w14:val="tx1"/>
            </w14:solidFill>
          </w14:textFill>
        </w:rPr>
        <w:t xml:space="preserve">12.2 </w:t>
      </w:r>
      <w:r>
        <w:rPr>
          <w:rStyle w:val="15"/>
          <w:rFonts w:ascii="Times New Roman" w:hAnsi="Times New Roman" w:eastAsia="宋体" w:cs="Times New Roman"/>
          <w:b w:val="0"/>
          <w:color w:val="000000" w:themeColor="text1"/>
          <w:highlight w:val="none"/>
          <w14:textFill>
            <w14:solidFill>
              <w14:schemeClr w14:val="tx1"/>
            </w14:solidFill>
          </w14:textFill>
        </w:rPr>
        <w:t xml:space="preserve">Secondary </w:t>
      </w:r>
      <w:r>
        <w:rPr>
          <w:rFonts w:ascii="Times New Roman" w:hAnsi="Times New Roman" w:cs="Times New Roman"/>
          <w:color w:val="000000" w:themeColor="text1"/>
          <w:highlight w:val="none"/>
          <w14:textFill>
            <w14:solidFill>
              <w14:schemeClr w14:val="tx1"/>
            </w14:solidFill>
          </w14:textFill>
        </w:rPr>
        <w:t>analysed</w:t>
      </w:r>
      <w:bookmarkEnd w:id="31"/>
    </w:p>
    <w:p w14:paraId="7504EC68">
      <w:pPr>
        <w:pStyle w:val="5"/>
        <w:spacing w:line="480" w:lineRule="auto"/>
        <w:ind w:right="267"/>
        <w:rPr>
          <w:rFonts w:ascii="Times New Roman" w:hAnsi="Times New Roman" w:cs="Times New Roman" w:eastAsiaTheme="minorEastAsia"/>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Data on</w:t>
      </w:r>
      <w:r>
        <w:rPr>
          <w:rFonts w:ascii="Times New Roman" w:hAnsi="Times New Roman" w:eastAsia="宋体" w:cs="Times New Roman"/>
          <w:color w:val="000000" w:themeColor="text1"/>
          <w:highlight w:val="none"/>
          <w:lang w:eastAsia="zh-CN"/>
          <w14:textFill>
            <w14:solidFill>
              <w14:schemeClr w14:val="tx1"/>
            </w14:solidFill>
          </w14:textFill>
        </w:rPr>
        <w:t xml:space="preserve"> BMI,</w:t>
      </w:r>
      <w:r>
        <w:rPr>
          <w:rFonts w:ascii="Times New Roman" w:hAnsi="Times New Roman" w:eastAsia="宋体" w:cs="Times New Roman"/>
          <w:color w:val="000000" w:themeColor="text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Hours of sleep</w:t>
      </w:r>
      <w:r>
        <w:rPr>
          <w:rFonts w:ascii="Times New Roman" w:hAnsi="Times New Roman" w:eastAsia="宋体" w:cs="Times New Roman"/>
          <w:color w:val="000000" w:themeColor="text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Salt intake</w:t>
      </w:r>
      <w:r>
        <w:rPr>
          <w:rFonts w:ascii="Times New Roman" w:hAnsi="Times New Roman" w:eastAsia="宋体" w:cs="Times New Roman"/>
          <w:color w:val="000000" w:themeColor="text1"/>
          <w:highlight w:val="none"/>
          <w14:textFill>
            <w14:solidFill>
              <w14:schemeClr w14:val="tx1"/>
            </w14:solidFill>
          </w14:textFill>
        </w:rPr>
        <w:t>, mental stress, smoking, and alcohol consumption will be collected through questionnaires and included in the final analysis. The number and percentage of participants experiencing each outcome will be presented by group at each time point.</w:t>
      </w:r>
      <w:r>
        <w:rPr>
          <w:rFonts w:ascii="Times New Roman" w:hAnsi="Times New Roman" w:cs="Times New Roman"/>
          <w:color w:val="000000" w:themeColor="text1"/>
          <w:highlight w:val="none"/>
          <w14:textFill>
            <w14:solidFill>
              <w14:schemeClr w14:val="tx1"/>
            </w14:solidFill>
          </w14:textFill>
        </w:rPr>
        <w:t>Current medication will be analysed by drug class and overall. The use of combination antihypertensive therapy will also be included in the analysis.</w:t>
      </w:r>
    </w:p>
    <w:p w14:paraId="58EE3942">
      <w:pPr>
        <w:pStyle w:val="3"/>
        <w:ind w:left="0" w:firstLine="0"/>
        <w:rPr>
          <w:rFonts w:ascii="Times New Roman" w:hAnsi="Times New Roman" w:cs="Times New Roman"/>
          <w:color w:val="000000" w:themeColor="text1"/>
          <w:sz w:val="24"/>
          <w:szCs w:val="24"/>
          <w:highlight w:val="none"/>
          <w14:textFill>
            <w14:solidFill>
              <w14:schemeClr w14:val="tx1"/>
            </w14:solidFill>
          </w14:textFill>
        </w:rPr>
      </w:pPr>
      <w:bookmarkStart w:id="32" w:name="_TOC_250004"/>
      <w:bookmarkStart w:id="33" w:name="_Toc197892800"/>
      <w:r>
        <w:rPr>
          <w:rFonts w:ascii="Times New Roman" w:hAnsi="Times New Roman" w:eastAsia="宋体" w:cs="Times New Roman"/>
          <w:color w:val="000000" w:themeColor="text1"/>
          <w:spacing w:val="-2"/>
          <w:sz w:val="24"/>
          <w:szCs w:val="24"/>
          <w:highlight w:val="none"/>
          <w:lang w:eastAsia="zh-CN"/>
          <w14:textFill>
            <w14:solidFill>
              <w14:schemeClr w14:val="tx1"/>
            </w14:solidFill>
          </w14:textFill>
        </w:rPr>
        <w:t xml:space="preserve">12.3 </w:t>
      </w:r>
      <w:r>
        <w:rPr>
          <w:rFonts w:ascii="Times New Roman" w:hAnsi="Times New Roman" w:cs="Times New Roman"/>
          <w:color w:val="000000" w:themeColor="text1"/>
          <w:spacing w:val="-2"/>
          <w:sz w:val="24"/>
          <w:szCs w:val="24"/>
          <w:highlight w:val="none"/>
          <w14:textFill>
            <w14:solidFill>
              <w14:schemeClr w14:val="tx1"/>
            </w14:solidFill>
          </w14:textFill>
        </w:rPr>
        <w:t>Subgroup</w:t>
      </w:r>
      <w:r>
        <w:rPr>
          <w:rFonts w:ascii="Times New Roman" w:hAnsi="Times New Roman" w:cs="Times New Roman"/>
          <w:color w:val="000000" w:themeColor="text1"/>
          <w:sz w:val="24"/>
          <w:szCs w:val="24"/>
          <w:highlight w:val="none"/>
          <w14:textFill>
            <w14:solidFill>
              <w14:schemeClr w14:val="tx1"/>
            </w14:solidFill>
          </w14:textFill>
        </w:rPr>
        <w:t xml:space="preserve"> </w:t>
      </w:r>
      <w:bookmarkEnd w:id="32"/>
      <w:r>
        <w:rPr>
          <w:rFonts w:ascii="Times New Roman" w:hAnsi="Times New Roman" w:cs="Times New Roman"/>
          <w:color w:val="000000" w:themeColor="text1"/>
          <w:spacing w:val="-2"/>
          <w:sz w:val="24"/>
          <w:szCs w:val="24"/>
          <w:highlight w:val="none"/>
          <w14:textFill>
            <w14:solidFill>
              <w14:schemeClr w14:val="tx1"/>
            </w14:solidFill>
          </w14:textFill>
        </w:rPr>
        <w:t>Analyses</w:t>
      </w:r>
      <w:bookmarkEnd w:id="33"/>
    </w:p>
    <w:p w14:paraId="46176CF9">
      <w:pPr>
        <w:pStyle w:val="5"/>
        <w:spacing w:before="81" w:line="480" w:lineRule="auto"/>
        <w:ind w:right="279"/>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The following subgroup analyses will be conducted with respect to the primary outcome only.</w:t>
      </w:r>
      <w:r>
        <w:rPr>
          <w:rFonts w:ascii="Times New Roman" w:hAnsi="Times New Roman" w:cs="Times New Roman"/>
          <w:color w:val="000000" w:themeColor="text1"/>
          <w:spacing w:val="40"/>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The</w:t>
      </w:r>
      <w:r>
        <w:rPr>
          <w:rFonts w:ascii="Times New Roman" w:hAnsi="Times New Roman" w:cs="Times New Roman"/>
          <w:color w:val="000000" w:themeColor="text1"/>
          <w:spacing w:val="-3"/>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results</w:t>
      </w:r>
      <w:r>
        <w:rPr>
          <w:rFonts w:ascii="Times New Roman" w:hAnsi="Times New Roman" w:cs="Times New Roman"/>
          <w:color w:val="000000" w:themeColor="text1"/>
          <w:spacing w:val="-2"/>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for</w:t>
      </w:r>
      <w:r>
        <w:rPr>
          <w:rFonts w:ascii="Times New Roman" w:hAnsi="Times New Roman" w:cs="Times New Roman"/>
          <w:color w:val="000000" w:themeColor="text1"/>
          <w:spacing w:val="-6"/>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all</w:t>
      </w:r>
      <w:r>
        <w:rPr>
          <w:rFonts w:ascii="Times New Roman" w:hAnsi="Times New Roman" w:cs="Times New Roman"/>
          <w:color w:val="000000" w:themeColor="text1"/>
          <w:spacing w:val="-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subgroup analyses</w:t>
      </w:r>
      <w:r>
        <w:rPr>
          <w:rFonts w:ascii="Times New Roman" w:hAnsi="Times New Roman" w:cs="Times New Roman"/>
          <w:color w:val="000000" w:themeColor="text1"/>
          <w:spacing w:val="-2"/>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will</w:t>
      </w:r>
      <w:r>
        <w:rPr>
          <w:rFonts w:ascii="Times New Roman" w:hAnsi="Times New Roman" w:cs="Times New Roman"/>
          <w:color w:val="000000" w:themeColor="text1"/>
          <w:spacing w:val="-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be</w:t>
      </w:r>
      <w:r>
        <w:rPr>
          <w:rFonts w:ascii="Times New Roman" w:hAnsi="Times New Roman" w:cs="Times New Roman"/>
          <w:color w:val="000000" w:themeColor="text1"/>
          <w:spacing w:val="-3"/>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reported</w:t>
      </w:r>
      <w:r>
        <w:rPr>
          <w:rFonts w:ascii="Times New Roman" w:hAnsi="Times New Roman" w:cs="Times New Roman"/>
          <w:color w:val="000000" w:themeColor="text1"/>
          <w:spacing w:val="-5"/>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in</w:t>
      </w:r>
      <w:r>
        <w:rPr>
          <w:rFonts w:ascii="Times New Roman" w:hAnsi="Times New Roman" w:cs="Times New Roman"/>
          <w:color w:val="000000" w:themeColor="text1"/>
          <w:spacing w:val="-5"/>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a</w:t>
      </w:r>
      <w:r>
        <w:rPr>
          <w:rFonts w:ascii="Times New Roman" w:hAnsi="Times New Roman" w:cs="Times New Roman"/>
          <w:color w:val="000000" w:themeColor="text1"/>
          <w:spacing w:val="-4"/>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forest</w:t>
      </w:r>
      <w:r>
        <w:rPr>
          <w:rFonts w:ascii="Times New Roman" w:hAnsi="Times New Roman" w:cs="Times New Roman"/>
          <w:color w:val="000000" w:themeColor="text1"/>
          <w:spacing w:val="-3"/>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plot,</w:t>
      </w:r>
      <w:r>
        <w:rPr>
          <w:rFonts w:ascii="Times New Roman" w:hAnsi="Times New Roman" w:cs="Times New Roman"/>
          <w:color w:val="000000" w:themeColor="text1"/>
          <w:spacing w:val="-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along</w:t>
      </w:r>
      <w:r>
        <w:rPr>
          <w:rFonts w:ascii="Times New Roman" w:hAnsi="Times New Roman" w:cs="Times New Roman"/>
          <w:color w:val="000000" w:themeColor="text1"/>
          <w:spacing w:val="-2"/>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with</w:t>
      </w:r>
      <w:r>
        <w:rPr>
          <w:rFonts w:ascii="Times New Roman" w:hAnsi="Times New Roman" w:cs="Times New Roman"/>
          <w:color w:val="000000" w:themeColor="text1"/>
          <w:spacing w:val="-5"/>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the</w:t>
      </w:r>
      <w:r>
        <w:rPr>
          <w:rFonts w:ascii="Times New Roman" w:hAnsi="Times New Roman" w:cs="Times New Roman"/>
          <w:color w:val="000000" w:themeColor="text1"/>
          <w:spacing w:val="-3"/>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overall treatment effect.</w:t>
      </w:r>
      <w:r>
        <w:rPr>
          <w:rFonts w:ascii="Times New Roman" w:hAnsi="Times New Roman" w:cs="Times New Roman"/>
          <w:color w:val="000000" w:themeColor="text1"/>
          <w:spacing w:val="40"/>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In addition to</w:t>
      </w:r>
      <w:r>
        <w:rPr>
          <w:rFonts w:ascii="Times New Roman" w:hAnsi="Times New Roman" w:cs="Times New Roman"/>
          <w:color w:val="000000" w:themeColor="text1"/>
          <w:spacing w:val="-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the effect size and 95% CI for</w:t>
      </w:r>
      <w:r>
        <w:rPr>
          <w:rFonts w:ascii="Times New Roman" w:hAnsi="Times New Roman" w:cs="Times New Roman"/>
          <w:color w:val="000000" w:themeColor="text1"/>
          <w:spacing w:val="-1"/>
          <w:highlight w:val="none"/>
          <w14:textFill>
            <w14:solidFill>
              <w14:schemeClr w14:val="tx1"/>
            </w14:solidFill>
          </w14:textFill>
        </w:rPr>
        <w:t xml:space="preserve"> </w:t>
      </w:r>
      <w:r>
        <w:rPr>
          <w:rFonts w:ascii="Times New Roman" w:hAnsi="Times New Roman" w:cs="Times New Roman"/>
          <w:color w:val="000000" w:themeColor="text1"/>
          <w:highlight w:val="none"/>
          <w14:textFill>
            <w14:solidFill>
              <w14:schemeClr w14:val="tx1"/>
            </w14:solidFill>
          </w14:textFill>
        </w:rPr>
        <w:t>the treatment effect in each level of subgroup, the P value for the interaction term will be reported.</w:t>
      </w:r>
    </w:p>
    <w:p w14:paraId="0BBC57B0">
      <w:pPr>
        <w:pStyle w:val="24"/>
        <w:numPr>
          <w:ilvl w:val="0"/>
          <w:numId w:val="3"/>
        </w:numPr>
        <w:tabs>
          <w:tab w:val="left" w:pos="1659"/>
        </w:tabs>
        <w:spacing w:before="4" w:line="480" w:lineRule="auto"/>
        <w:ind w:left="1659" w:hanging="719"/>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Age</w:t>
      </w:r>
      <w:r>
        <w:rPr>
          <w:rFonts w:ascii="Times New Roman" w:hAnsi="Times New Roman" w:cs="Times New Roman"/>
          <w:color w:val="000000" w:themeColor="text1"/>
          <w:spacing w:val="-1"/>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(two</w:t>
      </w:r>
      <w:r>
        <w:rPr>
          <w:rFonts w:ascii="Times New Roman" w:hAnsi="Times New Roman" w:cs="Times New Roman"/>
          <w:color w:val="000000" w:themeColor="text1"/>
          <w:spacing w:val="-4"/>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categories split</w:t>
      </w:r>
      <w:r>
        <w:rPr>
          <w:rFonts w:ascii="Times New Roman" w:hAnsi="Times New Roman" w:cs="Times New Roman"/>
          <w:color w:val="000000" w:themeColor="text1"/>
          <w:spacing w:val="-1"/>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at </w:t>
      </w:r>
      <w:r>
        <w:rPr>
          <w:rFonts w:ascii="Times New Roman" w:hAnsi="Times New Roman" w:cs="Times New Roman"/>
          <w:color w:val="000000" w:themeColor="text1"/>
          <w:spacing w:val="-2"/>
          <w:sz w:val="24"/>
          <w:highlight w:val="none"/>
          <w14:textFill>
            <w14:solidFill>
              <w14:schemeClr w14:val="tx1"/>
            </w14:solidFill>
          </w14:textFill>
        </w:rPr>
        <w:t>median)</w:t>
      </w:r>
    </w:p>
    <w:p w14:paraId="537CBC80">
      <w:pPr>
        <w:pStyle w:val="24"/>
        <w:numPr>
          <w:ilvl w:val="0"/>
          <w:numId w:val="3"/>
        </w:numPr>
        <w:tabs>
          <w:tab w:val="left" w:pos="1659"/>
        </w:tabs>
        <w:spacing w:before="43" w:line="480" w:lineRule="auto"/>
        <w:ind w:left="1659" w:hanging="719"/>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lang w:eastAsia="zh-CN"/>
          <w14:textFill>
            <w14:solidFill>
              <w14:schemeClr w14:val="tx1"/>
            </w14:solidFill>
          </w14:textFill>
        </w:rPr>
        <w:t>Sex</w:t>
      </w:r>
      <w:r>
        <w:rPr>
          <w:rFonts w:ascii="Times New Roman" w:hAnsi="Times New Roman" w:cs="Times New Roman"/>
          <w:color w:val="000000" w:themeColor="text1"/>
          <w:spacing w:val="-2"/>
          <w:sz w:val="24"/>
          <w:highlight w:val="none"/>
          <w14:textFill>
            <w14:solidFill>
              <w14:schemeClr w14:val="tx1"/>
            </w14:solidFill>
          </w14:textFill>
        </w:rPr>
        <w:t>(male/Female)</w:t>
      </w:r>
    </w:p>
    <w:p w14:paraId="735851DD">
      <w:pPr>
        <w:pStyle w:val="24"/>
        <w:numPr>
          <w:ilvl w:val="0"/>
          <w:numId w:val="3"/>
        </w:numPr>
        <w:tabs>
          <w:tab w:val="left" w:pos="1659"/>
        </w:tabs>
        <w:spacing w:before="43" w:line="480" w:lineRule="auto"/>
        <w:ind w:left="1659" w:hanging="719"/>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Baseline</w:t>
      </w:r>
      <w:r>
        <w:rPr>
          <w:rFonts w:ascii="Times New Roman" w:hAnsi="Times New Roman" w:cs="Times New Roman"/>
          <w:color w:val="000000" w:themeColor="text1"/>
          <w:spacing w:val="-1"/>
          <w:sz w:val="24"/>
          <w:highlight w:val="none"/>
          <w14:textFill>
            <w14:solidFill>
              <w14:schemeClr w14:val="tx1"/>
            </w14:solidFill>
          </w14:textFill>
        </w:rPr>
        <w:t xml:space="preserve"> </w:t>
      </w:r>
      <w:r>
        <w:rPr>
          <w:rFonts w:ascii="Times New Roman" w:hAnsi="Times New Roman" w:eastAsia="宋体" w:cs="Times New Roman"/>
          <w:color w:val="000000" w:themeColor="text1"/>
          <w:spacing w:val="-1"/>
          <w:sz w:val="24"/>
          <w:highlight w:val="none"/>
          <w:lang w:eastAsia="zh-CN"/>
          <w14:textFill>
            <w14:solidFill>
              <w14:schemeClr w14:val="tx1"/>
            </w14:solidFill>
          </w14:textFill>
        </w:rPr>
        <w:t>S</w:t>
      </w:r>
      <w:r>
        <w:rPr>
          <w:rFonts w:ascii="Times New Roman" w:hAnsi="Times New Roman" w:cs="Times New Roman"/>
          <w:color w:val="000000" w:themeColor="text1"/>
          <w:sz w:val="24"/>
          <w:highlight w:val="none"/>
          <w14:textFill>
            <w14:solidFill>
              <w14:schemeClr w14:val="tx1"/>
            </w14:solidFill>
          </w14:textFill>
        </w:rPr>
        <w:t>BP</w:t>
      </w:r>
      <w:r>
        <w:rPr>
          <w:rFonts w:ascii="Times New Roman" w:hAnsi="Times New Roman" w:cs="Times New Roman"/>
          <w:color w:val="000000" w:themeColor="text1"/>
          <w:spacing w:val="-1"/>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w:t>
      </w:r>
      <w:r>
        <w:rPr>
          <w:rFonts w:ascii="Times New Roman" w:hAnsi="Times New Roman" w:eastAsia="宋体" w:cs="Times New Roman"/>
          <w:color w:val="000000" w:themeColor="text1"/>
          <w:sz w:val="24"/>
          <w:highlight w:val="none"/>
          <w:lang w:eastAsia="zh-CN"/>
          <w14:textFill>
            <w14:solidFill>
              <w14:schemeClr w14:val="tx1"/>
            </w14:solidFill>
          </w14:textFill>
        </w:rPr>
        <w:t>140-160; ≥160 mm Hg</w:t>
      </w:r>
      <w:r>
        <w:rPr>
          <w:rFonts w:ascii="Times New Roman" w:hAnsi="Times New Roman" w:cs="Times New Roman"/>
          <w:color w:val="000000" w:themeColor="text1"/>
          <w:spacing w:val="-2"/>
          <w:sz w:val="24"/>
          <w:highlight w:val="none"/>
          <w14:textFill>
            <w14:solidFill>
              <w14:schemeClr w14:val="tx1"/>
            </w14:solidFill>
          </w14:textFill>
        </w:rPr>
        <w:t>)</w:t>
      </w:r>
    </w:p>
    <w:p w14:paraId="1E49838C">
      <w:pPr>
        <w:pStyle w:val="24"/>
        <w:numPr>
          <w:ilvl w:val="0"/>
          <w:numId w:val="3"/>
        </w:numPr>
        <w:tabs>
          <w:tab w:val="left" w:pos="1660"/>
        </w:tabs>
        <w:spacing w:before="48" w:line="480" w:lineRule="auto"/>
        <w:ind w:right="186"/>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History</w:t>
      </w:r>
      <w:r>
        <w:rPr>
          <w:rFonts w:ascii="Times New Roman" w:hAnsi="Times New Roman" w:cs="Times New Roman"/>
          <w:color w:val="000000" w:themeColor="text1"/>
          <w:spacing w:val="-2"/>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of</w:t>
      </w:r>
      <w:r>
        <w:rPr>
          <w:rFonts w:ascii="Times New Roman" w:hAnsi="Times New Roman" w:cs="Times New Roman"/>
          <w:color w:val="000000" w:themeColor="text1"/>
          <w:spacing w:val="-5"/>
          <w:sz w:val="24"/>
          <w:highlight w:val="none"/>
          <w14:textFill>
            <w14:solidFill>
              <w14:schemeClr w14:val="tx1"/>
            </w14:solidFill>
          </w14:textFill>
        </w:rPr>
        <w:t xml:space="preserve"> </w:t>
      </w:r>
      <w:r>
        <w:rPr>
          <w:rFonts w:ascii="Times New Roman" w:hAnsi="Times New Roman" w:eastAsia="宋体" w:cs="Times New Roman"/>
          <w:color w:val="000000" w:themeColor="text1"/>
          <w:sz w:val="24"/>
          <w:highlight w:val="none"/>
          <w:lang w:eastAsia="zh-CN"/>
          <w14:textFill>
            <w14:solidFill>
              <w14:schemeClr w14:val="tx1"/>
            </w14:solidFill>
          </w14:textFill>
        </w:rPr>
        <w:t>DM</w:t>
      </w:r>
    </w:p>
    <w:p w14:paraId="054859DF">
      <w:pPr>
        <w:pStyle w:val="24"/>
        <w:numPr>
          <w:ilvl w:val="0"/>
          <w:numId w:val="3"/>
        </w:numPr>
        <w:tabs>
          <w:tab w:val="left" w:pos="1660"/>
        </w:tabs>
        <w:spacing w:before="48" w:line="480" w:lineRule="auto"/>
        <w:ind w:right="186"/>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lang w:eastAsia="zh-CN"/>
          <w14:textFill>
            <w14:solidFill>
              <w14:schemeClr w14:val="tx1"/>
            </w14:solidFill>
          </w14:textFill>
        </w:rPr>
        <w:t>BMI (&lt;25,25-30,&gt;30</w:t>
      </w:r>
      <w:r>
        <w:rPr>
          <w:rFonts w:ascii="Times New Roman" w:hAnsi="Times New Roman" w:cs="Times New Roman"/>
          <w:color w:val="000000" w:themeColor="text1"/>
          <w:sz w:val="20"/>
          <w:szCs w:val="20"/>
          <w:highlight w:val="none"/>
          <w:lang w:val="en-GB"/>
          <w14:textFill>
            <w14:solidFill>
              <w14:schemeClr w14:val="tx1"/>
            </w14:solidFill>
          </w14:textFill>
        </w:rPr>
        <w:t>, kg/m</w:t>
      </w:r>
      <w:r>
        <w:rPr>
          <w:rFonts w:ascii="Times New Roman" w:hAnsi="Times New Roman" w:cs="Times New Roman"/>
          <w:color w:val="000000" w:themeColor="text1"/>
          <w:sz w:val="20"/>
          <w:szCs w:val="20"/>
          <w:highlight w:val="none"/>
          <w:vertAlign w:val="superscript"/>
          <w:lang w:val="en-GB"/>
          <w14:textFill>
            <w14:solidFill>
              <w14:schemeClr w14:val="tx1"/>
            </w14:solidFill>
          </w14:textFill>
        </w:rPr>
        <w:t>2</w:t>
      </w:r>
      <w:r>
        <w:rPr>
          <w:rFonts w:ascii="Times New Roman" w:hAnsi="Times New Roman" w:eastAsia="宋体" w:cs="Times New Roman"/>
          <w:color w:val="000000" w:themeColor="text1"/>
          <w:sz w:val="24"/>
          <w:highlight w:val="none"/>
          <w:lang w:eastAsia="zh-CN"/>
          <w14:textFill>
            <w14:solidFill>
              <w14:schemeClr w14:val="tx1"/>
            </w14:solidFill>
          </w14:textFill>
        </w:rPr>
        <w:t>)</w:t>
      </w:r>
    </w:p>
    <w:p w14:paraId="43AC627B">
      <w:pPr>
        <w:pStyle w:val="24"/>
        <w:numPr>
          <w:ilvl w:val="0"/>
          <w:numId w:val="3"/>
        </w:numPr>
        <w:tabs>
          <w:tab w:val="left" w:pos="1660"/>
        </w:tabs>
        <w:spacing w:before="48" w:line="480" w:lineRule="auto"/>
        <w:ind w:right="186"/>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lang w:eastAsia="zh-CN"/>
          <w14:textFill>
            <w14:solidFill>
              <w14:schemeClr w14:val="tx1"/>
            </w14:solidFill>
          </w14:textFill>
        </w:rPr>
        <w:t>Anxiety</w:t>
      </w:r>
    </w:p>
    <w:p w14:paraId="474AD170">
      <w:pPr>
        <w:pStyle w:val="24"/>
        <w:numPr>
          <w:ilvl w:val="0"/>
          <w:numId w:val="3"/>
        </w:numPr>
        <w:tabs>
          <w:tab w:val="left" w:pos="1660"/>
        </w:tabs>
        <w:spacing w:before="48" w:line="480" w:lineRule="auto"/>
        <w:ind w:right="186"/>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lang w:eastAsia="zh-CN"/>
          <w14:textFill>
            <w14:solidFill>
              <w14:schemeClr w14:val="tx1"/>
            </w14:solidFill>
          </w14:textFill>
        </w:rPr>
        <w:t>Hours of sleep</w:t>
      </w:r>
    </w:p>
    <w:p w14:paraId="1C519DD7">
      <w:pPr>
        <w:pStyle w:val="2"/>
        <w:rPr>
          <w:rFonts w:ascii="Times New Roman" w:hAnsi="Times New Roman" w:cs="Times New Roman"/>
          <w:b w:val="0"/>
          <w:bCs w:val="0"/>
          <w:color w:val="000000" w:themeColor="text1"/>
          <w:sz w:val="24"/>
          <w:szCs w:val="24"/>
          <w:highlight w:val="none"/>
          <w14:textFill>
            <w14:solidFill>
              <w14:schemeClr w14:val="tx1"/>
            </w14:solidFill>
          </w14:textFill>
        </w:rPr>
      </w:pPr>
      <w:bookmarkStart w:id="34" w:name="_TOC_250002"/>
      <w:bookmarkStart w:id="35" w:name="_Toc197892801"/>
      <w:r>
        <w:rPr>
          <w:rFonts w:ascii="Times New Roman" w:hAnsi="Times New Roman" w:eastAsia="宋体" w:cs="Times New Roman"/>
          <w:b w:val="0"/>
          <w:bCs w:val="0"/>
          <w:color w:val="000000" w:themeColor="text1"/>
          <w:sz w:val="24"/>
          <w:szCs w:val="24"/>
          <w:highlight w:val="none"/>
          <w14:textFill>
            <w14:solidFill>
              <w14:schemeClr w14:val="tx1"/>
            </w14:solidFill>
          </w14:textFill>
        </w:rPr>
        <w:t xml:space="preserve">13 </w:t>
      </w:r>
      <w:r>
        <w:rPr>
          <w:rFonts w:ascii="Times New Roman" w:hAnsi="Times New Roman" w:cs="Times New Roman"/>
          <w:b w:val="0"/>
          <w:bCs w:val="0"/>
          <w:color w:val="000000" w:themeColor="text1"/>
          <w:sz w:val="24"/>
          <w:szCs w:val="24"/>
          <w:highlight w:val="none"/>
          <w14:textFill>
            <w14:solidFill>
              <w14:schemeClr w14:val="tx1"/>
            </w14:solidFill>
          </w14:textFill>
        </w:rPr>
        <w:t>Safety</w:t>
      </w:r>
      <w:r>
        <w:rPr>
          <w:rFonts w:ascii="Times New Roman" w:hAnsi="Times New Roman" w:cs="Times New Roman"/>
          <w:b w:val="0"/>
          <w:bCs w:val="0"/>
          <w:color w:val="000000" w:themeColor="text1"/>
          <w:spacing w:val="-12"/>
          <w:sz w:val="24"/>
          <w:szCs w:val="24"/>
          <w:highlight w:val="none"/>
          <w14:textFill>
            <w14:solidFill>
              <w14:schemeClr w14:val="tx1"/>
            </w14:solidFill>
          </w14:textFill>
        </w:rPr>
        <w:t xml:space="preserve"> </w:t>
      </w:r>
      <w:bookmarkEnd w:id="34"/>
      <w:r>
        <w:rPr>
          <w:rFonts w:ascii="Times New Roman" w:hAnsi="Times New Roman" w:cs="Times New Roman"/>
          <w:b w:val="0"/>
          <w:bCs w:val="0"/>
          <w:color w:val="000000" w:themeColor="text1"/>
          <w:spacing w:val="-2"/>
          <w:sz w:val="24"/>
          <w:szCs w:val="24"/>
          <w:highlight w:val="none"/>
          <w14:textFill>
            <w14:solidFill>
              <w14:schemeClr w14:val="tx1"/>
            </w14:solidFill>
          </w14:textFill>
        </w:rPr>
        <w:t>Analysis</w:t>
      </w:r>
      <w:bookmarkEnd w:id="35"/>
    </w:p>
    <w:p w14:paraId="02210705">
      <w:pPr>
        <w:pStyle w:val="5"/>
        <w:spacing w:before="9" w:line="480" w:lineRule="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Serious adverse events for the entire population will be recorded, although their occurrence is expected to be infrequent. No statistical comparisons will be made with these data.</w:t>
      </w:r>
    </w:p>
    <w:p w14:paraId="4816E9FD">
      <w:pPr>
        <w:pStyle w:val="2"/>
        <w:rPr>
          <w:rFonts w:ascii="Times New Roman" w:hAnsi="Times New Roman" w:eastAsia="宋体" w:cs="Times New Roman"/>
          <w:b w:val="0"/>
          <w:bCs w:val="0"/>
          <w:color w:val="000000" w:themeColor="text1"/>
          <w:sz w:val="24"/>
          <w:szCs w:val="24"/>
          <w:highlight w:val="none"/>
          <w14:textFill>
            <w14:solidFill>
              <w14:schemeClr w14:val="tx1"/>
            </w14:solidFill>
          </w14:textFill>
        </w:rPr>
      </w:pPr>
      <w:bookmarkStart w:id="36" w:name="_Toc197892802"/>
      <w:r>
        <w:rPr>
          <w:rFonts w:hint="eastAsia" w:ascii="Times New Roman" w:hAnsi="Times New Roman" w:eastAsia="宋体" w:cs="Times New Roman"/>
          <w:b w:val="0"/>
          <w:bCs w:val="0"/>
          <w:color w:val="000000" w:themeColor="text1"/>
          <w:sz w:val="24"/>
          <w:szCs w:val="24"/>
          <w:highlight w:val="none"/>
          <w14:textFill>
            <w14:solidFill>
              <w14:schemeClr w14:val="tx1"/>
            </w14:solidFill>
          </w14:textFill>
        </w:rPr>
        <w:t>14 Ethical considerations</w:t>
      </w:r>
      <w:bookmarkEnd w:id="36"/>
      <w:bookmarkStart w:id="37" w:name="_TOC_250001"/>
    </w:p>
    <w:p w14:paraId="321B57F8">
      <w:pPr>
        <w:pStyle w:val="5"/>
        <w:spacing w:before="9" w:line="480" w:lineRule="auto"/>
        <w:rPr>
          <w:rFonts w:ascii="Times New Roman" w:hAnsi="Times New Roman" w:eastAsia="宋体" w:cs="Times New Roman"/>
          <w:color w:val="000000" w:themeColor="text1"/>
          <w:szCs w:val="24"/>
          <w:highlight w:val="none"/>
          <w14:textFill>
            <w14:solidFill>
              <w14:schemeClr w14:val="tx1"/>
            </w14:solidFill>
          </w14:textFill>
        </w:rPr>
      </w:pPr>
      <w:r>
        <w:rPr>
          <w:rFonts w:ascii="Times New Roman" w:hAnsi="Times New Roman" w:eastAsia="宋体" w:cs="Times New Roman"/>
          <w:color w:val="000000" w:themeColor="text1"/>
          <w:szCs w:val="24"/>
          <w:highlight w:val="none"/>
          <w14:textFill>
            <w14:solidFill>
              <w14:schemeClr w14:val="tx1"/>
            </w14:solidFill>
          </w14:textFill>
        </w:rPr>
        <w:t>The study will be conducted in accordance with the ethical principles outlined in the Declaration of Helsinki and relevant local regulations. The study protocol was reviewed and approved by the Ethics Committee of the Qingdao University Affiliated Cardiovascular Hospital (approval number: 2019-01-01).</w:t>
      </w:r>
    </w:p>
    <w:p w14:paraId="5E0A9364">
      <w:pPr>
        <w:pStyle w:val="5"/>
        <w:spacing w:before="9" w:line="480" w:lineRule="auto"/>
        <w:rPr>
          <w:rFonts w:ascii="Times New Roman" w:hAnsi="Times New Roman" w:eastAsia="宋体" w:cs="Times New Roman"/>
          <w:color w:val="000000" w:themeColor="text1"/>
          <w:szCs w:val="24"/>
          <w:highlight w:val="none"/>
          <w14:textFill>
            <w14:solidFill>
              <w14:schemeClr w14:val="tx1"/>
            </w14:solidFill>
          </w14:textFill>
        </w:rPr>
      </w:pPr>
      <w:r>
        <w:rPr>
          <w:rFonts w:ascii="Times New Roman" w:hAnsi="Times New Roman" w:eastAsia="宋体" w:cs="Times New Roman"/>
          <w:color w:val="000000" w:themeColor="text1"/>
          <w:szCs w:val="24"/>
          <w:highlight w:val="none"/>
          <w14:textFill>
            <w14:solidFill>
              <w14:schemeClr w14:val="tx1"/>
            </w14:solidFill>
          </w14:textFill>
        </w:rPr>
        <w:t>No minors or individuals lacking decision-making capacity will be enrolled in this study. The intervention poses no significant risk to participants. However, as self-monitoring and alerts may potentially cause anxiety in some individuals, telephone consultation services are available to provide support and answer participant concerns. All participants will provide written informed consent prior to enrollment, and they are free to withdraw from the study at any time without penalty or impact on their medical care.</w:t>
      </w:r>
    </w:p>
    <w:p w14:paraId="56C55C69">
      <w:pPr>
        <w:pStyle w:val="2"/>
        <w:rPr>
          <w:rFonts w:ascii="Times New Roman" w:hAnsi="Times New Roman" w:cs="Times New Roman"/>
          <w:b w:val="0"/>
          <w:bCs w:val="0"/>
          <w:color w:val="000000" w:themeColor="text1"/>
          <w:sz w:val="24"/>
          <w:szCs w:val="24"/>
          <w:highlight w:val="none"/>
          <w14:textFill>
            <w14:solidFill>
              <w14:schemeClr w14:val="tx1"/>
            </w14:solidFill>
          </w14:textFill>
        </w:rPr>
      </w:pPr>
      <w:bookmarkStart w:id="38" w:name="_Toc197892803"/>
      <w:r>
        <w:rPr>
          <w:rFonts w:ascii="Times New Roman" w:hAnsi="Times New Roman" w:eastAsia="宋体" w:cs="Times New Roman"/>
          <w:b w:val="0"/>
          <w:bCs w:val="0"/>
          <w:color w:val="000000" w:themeColor="text1"/>
          <w:sz w:val="24"/>
          <w:szCs w:val="24"/>
          <w:highlight w:val="none"/>
          <w14:textFill>
            <w14:solidFill>
              <w14:schemeClr w14:val="tx1"/>
            </w14:solidFill>
          </w14:textFill>
        </w:rPr>
        <w:t>1</w:t>
      </w:r>
      <w:r>
        <w:rPr>
          <w:rFonts w:hint="eastAsia" w:ascii="Times New Roman" w:hAnsi="Times New Roman" w:eastAsia="宋体" w:cs="Times New Roman"/>
          <w:b w:val="0"/>
          <w:bCs w:val="0"/>
          <w:color w:val="000000" w:themeColor="text1"/>
          <w:sz w:val="24"/>
          <w:szCs w:val="24"/>
          <w:highlight w:val="none"/>
          <w14:textFill>
            <w14:solidFill>
              <w14:schemeClr w14:val="tx1"/>
            </w14:solidFill>
          </w14:textFill>
        </w:rPr>
        <w:t>5</w:t>
      </w:r>
      <w:r>
        <w:rPr>
          <w:rFonts w:ascii="Times New Roman" w:hAnsi="Times New Roman" w:eastAsia="宋体" w:cs="Times New Roman"/>
          <w:b w:val="0"/>
          <w:bCs w:val="0"/>
          <w:color w:val="000000" w:themeColor="text1"/>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Changes</w:t>
      </w:r>
      <w:r>
        <w:rPr>
          <w:rFonts w:ascii="Times New Roman" w:hAnsi="Times New Roman" w:cs="Times New Roman"/>
          <w:b w:val="0"/>
          <w:bCs w:val="0"/>
          <w:color w:val="000000" w:themeColor="text1"/>
          <w:spacing w:val="-8"/>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to</w:t>
      </w:r>
      <w:r>
        <w:rPr>
          <w:rFonts w:ascii="Times New Roman" w:hAnsi="Times New Roman" w:cs="Times New Roman"/>
          <w:b w:val="0"/>
          <w:bCs w:val="0"/>
          <w:color w:val="000000" w:themeColor="text1"/>
          <w:spacing w:val="-6"/>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protocol</w:t>
      </w:r>
      <w:r>
        <w:rPr>
          <w:rFonts w:ascii="Times New Roman" w:hAnsi="Times New Roman" w:cs="Times New Roman"/>
          <w:b w:val="0"/>
          <w:bCs w:val="0"/>
          <w:color w:val="000000" w:themeColor="text1"/>
          <w:spacing w:val="-7"/>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or</w:t>
      </w:r>
      <w:r>
        <w:rPr>
          <w:rFonts w:ascii="Times New Roman" w:hAnsi="Times New Roman" w:cs="Times New Roman"/>
          <w:b w:val="0"/>
          <w:bCs w:val="0"/>
          <w:color w:val="000000" w:themeColor="text1"/>
          <w:spacing w:val="-7"/>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previous</w:t>
      </w:r>
      <w:r>
        <w:rPr>
          <w:rFonts w:ascii="Times New Roman" w:hAnsi="Times New Roman" w:cs="Times New Roman"/>
          <w:b w:val="0"/>
          <w:bCs w:val="0"/>
          <w:color w:val="000000" w:themeColor="text1"/>
          <w:spacing w:val="-8"/>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versions</w:t>
      </w:r>
      <w:r>
        <w:rPr>
          <w:rFonts w:ascii="Times New Roman" w:hAnsi="Times New Roman" w:cs="Times New Roman"/>
          <w:b w:val="0"/>
          <w:bCs w:val="0"/>
          <w:color w:val="000000" w:themeColor="text1"/>
          <w:spacing w:val="-8"/>
          <w:sz w:val="24"/>
          <w:szCs w:val="24"/>
          <w:highlight w:val="none"/>
          <w14:textFill>
            <w14:solidFill>
              <w14:schemeClr w14:val="tx1"/>
            </w14:solidFill>
          </w14:textFill>
        </w:rPr>
        <w:t xml:space="preserve"> </w:t>
      </w:r>
      <w:r>
        <w:rPr>
          <w:rFonts w:ascii="Times New Roman" w:hAnsi="Times New Roman" w:cs="Times New Roman"/>
          <w:b w:val="0"/>
          <w:bCs w:val="0"/>
          <w:color w:val="000000" w:themeColor="text1"/>
          <w:sz w:val="24"/>
          <w:szCs w:val="24"/>
          <w:highlight w:val="none"/>
          <w14:textFill>
            <w14:solidFill>
              <w14:schemeClr w14:val="tx1"/>
            </w14:solidFill>
          </w14:textFill>
        </w:rPr>
        <w:t>of</w:t>
      </w:r>
      <w:bookmarkEnd w:id="37"/>
      <w:r>
        <w:rPr>
          <w:rFonts w:ascii="Times New Roman" w:hAnsi="Times New Roman" w:cs="Times New Roman"/>
          <w:b w:val="0"/>
          <w:bCs w:val="0"/>
          <w:color w:val="000000" w:themeColor="text1"/>
          <w:spacing w:val="-5"/>
          <w:sz w:val="24"/>
          <w:szCs w:val="24"/>
          <w:highlight w:val="none"/>
          <w14:textFill>
            <w14:solidFill>
              <w14:schemeClr w14:val="tx1"/>
            </w14:solidFill>
          </w14:textFill>
        </w:rPr>
        <w:t xml:space="preserve"> SAP</w:t>
      </w:r>
      <w:bookmarkEnd w:id="38"/>
    </w:p>
    <w:p w14:paraId="6C77165D">
      <w:pPr>
        <w:pStyle w:val="5"/>
        <w:spacing w:before="9" w:line="480" w:lineRule="auto"/>
        <w:rPr>
          <w:rFonts w:ascii="Times New Roman" w:hAnsi="Times New Roman" w:eastAsia="宋体" w:cs="Times New Roman"/>
          <w:color w:val="000000" w:themeColor="text1"/>
          <w:szCs w:val="24"/>
          <w:highlight w:val="none"/>
          <w14:textFill>
            <w14:solidFill>
              <w14:schemeClr w14:val="tx1"/>
            </w14:solidFill>
          </w14:textFill>
        </w:rPr>
      </w:pPr>
      <w:r>
        <w:rPr>
          <w:rFonts w:ascii="Times New Roman" w:hAnsi="Times New Roman" w:eastAsia="宋体" w:cs="Times New Roman"/>
          <w:color w:val="000000" w:themeColor="text1"/>
          <w:szCs w:val="24"/>
          <w:highlight w:val="none"/>
          <w14:textFill>
            <w14:solidFill>
              <w14:schemeClr w14:val="tx1"/>
            </w14:solidFill>
          </w14:textFill>
        </w:rPr>
        <w:t>All changes from the protocol or from previous versions of the stats plan will be detailed in the report.</w:t>
      </w:r>
    </w:p>
    <w:p w14:paraId="2FA1CF0B">
      <w:pPr>
        <w:pStyle w:val="5"/>
        <w:spacing w:before="9" w:line="480" w:lineRule="auto"/>
        <w:rPr>
          <w:rFonts w:ascii="Times New Roman" w:hAnsi="Times New Roman" w:eastAsia="宋体" w:cs="Times New Roman"/>
          <w:color w:val="000000" w:themeColor="text1"/>
          <w:szCs w:val="24"/>
          <w:highlight w:val="none"/>
          <w:lang w:eastAsia="zh-CN"/>
          <w14:textFill>
            <w14:solidFill>
              <w14:schemeClr w14:val="tx1"/>
            </w14:solidFill>
          </w14:textFill>
        </w:rPr>
      </w:pPr>
      <w:r>
        <w:rPr>
          <w:rFonts w:ascii="Times New Roman" w:hAnsi="Times New Roman" w:eastAsia="宋体" w:cs="Times New Roman"/>
          <w:color w:val="000000" w:themeColor="text1"/>
          <w:szCs w:val="24"/>
          <w:highlight w:val="none"/>
          <w:lang w:eastAsia="zh-CN"/>
          <w14:textFill>
            <w14:solidFill>
              <w14:schemeClr w14:val="tx1"/>
            </w14:solidFill>
          </w14:textFill>
        </w:rPr>
        <w:t>Due to the impact of the COVID-19 pandemic, the initiation and recruitment phases of the study were delayed, and the intervention was eventually completed in June 2023. To mitigate potential disruptions caused by strict pandemic control measures, a flexible follow-up window of up to three weeks beyond the scheduled date was permitted, but only during periods of stringent public health restrictions. This strategy aimed to reduce the impact of pandemic-related constraints on participant adherence and ensure data completeness.</w:t>
      </w:r>
    </w:p>
    <w:p w14:paraId="6D90AA24">
      <w:pPr>
        <w:pStyle w:val="11"/>
        <w:widowControl/>
        <w:spacing w:beforeAutospacing="0" w:afterAutospacing="0" w:line="360" w:lineRule="auto"/>
        <w:jc w:val="both"/>
        <w:rPr>
          <w:rStyle w:val="15"/>
          <w:rFonts w:ascii="Times New Roman" w:hAnsi="Times New Roman"/>
          <w:b w:val="0"/>
          <w:bCs/>
          <w:color w:val="000000" w:themeColor="text1"/>
          <w:szCs w:val="24"/>
          <w:highlight w:val="none"/>
          <w14:textFill>
            <w14:solidFill>
              <w14:schemeClr w14:val="tx1"/>
            </w14:solidFill>
          </w14:textFill>
        </w:rPr>
      </w:pPr>
      <w:r>
        <w:rPr>
          <w:rFonts w:ascii="Times New Roman" w:hAnsi="Times New Roman" w:eastAsia="宋体"/>
          <w:color w:val="000000" w:themeColor="text1"/>
          <w:szCs w:val="24"/>
          <w:highlight w:val="none"/>
          <w14:textFill>
            <w14:solidFill>
              <w14:schemeClr w14:val="tx1"/>
            </w14:solidFill>
          </w14:textFill>
        </w:rPr>
        <w:t>In the initial design of the study, a daily dietary fat intake survey was included but later removed due to difficulties in quantification. Additionally, medication adherence was assessed using a self-reported questionnaire: “Are you currently taking your medication regularly and on schedule? │ Yes │ No”. However, this method relied solely on participants’ self-reporting, which may lead to overestimation due to factors such as social desirability or a desire not to disappoint healthcare providers. The binary response format did not capture specific reasons for non-adherence (e.g., forgetfulness, side effects, financial constraints) and could not distinguish between occasional missed doses and complete discontinuation. Furthermore, the data could not be objectively verified; therefore, this assessment was also excluded from the final analysis.</w:t>
      </w:r>
      <w:r>
        <w:rPr>
          <w:rFonts w:hint="eastAsia" w:ascii="Times New Roman" w:hAnsi="Times New Roman" w:eastAsia="宋体"/>
          <w:color w:val="000000" w:themeColor="text1"/>
          <w:szCs w:val="24"/>
          <w:highlight w:val="none"/>
          <w14:textFill>
            <w14:solidFill>
              <w14:schemeClr w14:val="tx1"/>
            </w14:solidFill>
          </w14:textFill>
        </w:rPr>
        <w:t xml:space="preserve"> </w:t>
      </w:r>
      <w:r>
        <w:rPr>
          <w:rFonts w:ascii="Times New Roman" w:hAnsi="Times New Roman" w:eastAsia="宋体"/>
          <w:color w:val="000000" w:themeColor="text1"/>
          <w:szCs w:val="24"/>
          <w:highlight w:val="none"/>
          <w14:textFill>
            <w14:solidFill>
              <w14:schemeClr w14:val="tx1"/>
            </w14:solidFill>
          </w14:textFill>
        </w:rPr>
        <w:t xml:space="preserve">Similarly, in the </w:t>
      </w:r>
      <w:r>
        <w:rPr>
          <w:rFonts w:hint="eastAsia" w:ascii="Times New Roman" w:hAnsi="Times New Roman" w:eastAsia="宋体"/>
          <w:color w:val="000000" w:themeColor="text1"/>
          <w:szCs w:val="24"/>
          <w:highlight w:val="none"/>
          <w14:textFill>
            <w14:solidFill>
              <w14:schemeClr w14:val="tx1"/>
            </w14:solidFill>
          </w14:textFill>
        </w:rPr>
        <w:t xml:space="preserve">original </w:t>
      </w:r>
      <w:r>
        <w:rPr>
          <w:rFonts w:ascii="Times New Roman" w:hAnsi="Times New Roman" w:eastAsia="宋体"/>
          <w:color w:val="000000" w:themeColor="text1"/>
          <w:szCs w:val="24"/>
          <w:highlight w:val="none"/>
          <w14:textFill>
            <w14:solidFill>
              <w14:schemeClr w14:val="tx1"/>
            </w14:solidFill>
          </w14:textFill>
        </w:rPr>
        <w:t>study design, participants' physical activity was assessed via a questionnaire, including the number of exercise days per week, duration per session, and type of activity. However, due to the wide variety of exercise types reported and the lack of detailed categorization for each activity, it was not possible to accurately quantify the total amount of physical activity. As a result, this variable was not included in the final analysis.</w:t>
      </w:r>
      <w:r>
        <w:rPr>
          <w:rFonts w:hint="eastAsia" w:ascii="Times New Roman" w:hAnsi="Times New Roman" w:eastAsia="宋体"/>
          <w:color w:val="000000" w:themeColor="text1"/>
          <w:szCs w:val="24"/>
          <w:highlight w:val="none"/>
          <w14:textFill>
            <w14:solidFill>
              <w14:schemeClr w14:val="tx1"/>
            </w14:solidFill>
          </w14:textFill>
        </w:rPr>
        <w:t xml:space="preserve"> The </w:t>
      </w:r>
      <w:r>
        <w:rPr>
          <w:rFonts w:ascii="Times New Roman" w:hAnsi="Times New Roman" w:eastAsia="宋体"/>
          <w:color w:val="000000" w:themeColor="text1"/>
          <w:szCs w:val="24"/>
          <w:highlight w:val="none"/>
          <w14:textFill>
            <w14:solidFill>
              <w14:schemeClr w14:val="tx1"/>
            </w14:solidFill>
          </w14:textFill>
        </w:rPr>
        <w:t>limitation reduced the comparability and reliability of the physical activity data across participants.</w:t>
      </w:r>
      <w:r>
        <w:rPr>
          <w:rStyle w:val="15"/>
          <w:rFonts w:ascii="Times New Roman" w:hAnsi="Times New Roman"/>
          <w:b w:val="0"/>
          <w:bCs/>
          <w:color w:val="000000" w:themeColor="text1"/>
          <w:szCs w:val="24"/>
          <w:highlight w:val="none"/>
          <w14:textFill>
            <w14:solidFill>
              <w14:schemeClr w14:val="tx1"/>
            </w14:solidFill>
          </w14:textFill>
        </w:rPr>
        <w:t xml:space="preserve"> </w:t>
      </w:r>
      <w:r>
        <w:rPr>
          <w:rStyle w:val="15"/>
          <w:rFonts w:hint="eastAsia" w:ascii="Times New Roman" w:hAnsi="Times New Roman"/>
          <w:b w:val="0"/>
          <w:bCs/>
          <w:color w:val="000000" w:themeColor="text1"/>
          <w:szCs w:val="24"/>
          <w:highlight w:val="none"/>
          <w14:textFill>
            <w14:solidFill>
              <w14:schemeClr w14:val="tx1"/>
            </w14:solidFill>
          </w14:textFill>
        </w:rPr>
        <w:t>D</w:t>
      </w:r>
      <w:r>
        <w:rPr>
          <w:rStyle w:val="15"/>
          <w:rFonts w:ascii="Times New Roman" w:hAnsi="Times New Roman"/>
          <w:b w:val="0"/>
          <w:bCs/>
          <w:color w:val="000000" w:themeColor="text1"/>
          <w:szCs w:val="24"/>
          <w:highlight w:val="none"/>
          <w14:textFill>
            <w14:solidFill>
              <w14:schemeClr w14:val="tx1"/>
            </w14:solidFill>
          </w14:textFill>
        </w:rPr>
        <w:t>ue to limitations in the questionnaire design, we did not collect sufficiently detailed or consistent data on medication dosages</w:t>
      </w:r>
      <w:r>
        <w:rPr>
          <w:rStyle w:val="15"/>
          <w:rFonts w:hint="eastAsia" w:ascii="Times New Roman" w:hAnsi="Times New Roman"/>
          <w:b w:val="0"/>
          <w:bCs/>
          <w:color w:val="000000" w:themeColor="text1"/>
          <w:szCs w:val="24"/>
          <w:highlight w:val="none"/>
          <w14:textFill>
            <w14:solidFill>
              <w14:schemeClr w14:val="tx1"/>
            </w14:solidFill>
          </w14:textFill>
        </w:rPr>
        <w:t xml:space="preserve">, </w:t>
      </w:r>
      <w:r>
        <w:rPr>
          <w:rStyle w:val="15"/>
          <w:rFonts w:ascii="Times New Roman" w:hAnsi="Times New Roman"/>
          <w:b w:val="0"/>
          <w:bCs/>
          <w:color w:val="000000" w:themeColor="text1"/>
          <w:szCs w:val="24"/>
          <w:highlight w:val="none"/>
          <w14:textFill>
            <w14:solidFill>
              <w14:schemeClr w14:val="tx1"/>
            </w14:solidFill>
          </w14:textFill>
        </w:rPr>
        <w:t>thus we were unable to provide a comparative analysis of this aspect.</w:t>
      </w:r>
    </w:p>
    <w:p w14:paraId="61DC1C6A">
      <w:pPr>
        <w:pStyle w:val="5"/>
        <w:spacing w:before="9" w:line="480" w:lineRule="auto"/>
        <w:rPr>
          <w:rFonts w:ascii="Times New Roman" w:hAnsi="Times New Roman" w:eastAsia="宋体" w:cs="Times New Roman"/>
          <w:color w:val="000000" w:themeColor="text1"/>
          <w:szCs w:val="24"/>
          <w:highlight w:val="none"/>
          <w:lang w:eastAsia="zh-CN"/>
          <w14:textFill>
            <w14:solidFill>
              <w14:schemeClr w14:val="tx1"/>
            </w14:solidFill>
          </w14:textFill>
        </w:rPr>
      </w:pPr>
    </w:p>
    <w:p w14:paraId="543AF9BB">
      <w:pPr>
        <w:pStyle w:val="24"/>
        <w:spacing w:line="480" w:lineRule="auto"/>
        <w:ind w:left="0" w:firstLine="0"/>
        <w:outlineLvl w:val="0"/>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bookmarkStart w:id="39" w:name="_Toc197892804"/>
      <w:r>
        <w:rPr>
          <w:rFonts w:hint="eastAsia" w:ascii="Times New Roman" w:hAnsi="Times New Roman" w:eastAsia="宋体" w:cs="Times New Roman"/>
          <w:color w:val="000000" w:themeColor="text1"/>
          <w:sz w:val="24"/>
          <w:highlight w:val="none"/>
          <w:shd w:val="clear" w:color="auto" w:fill="FDFDFE"/>
          <w:lang w:eastAsia="zh-CN"/>
          <w14:textFill>
            <w14:solidFill>
              <w14:schemeClr w14:val="tx1"/>
            </w14:solidFill>
          </w14:textFill>
        </w:rPr>
        <w:t xml:space="preserve">16 </w:t>
      </w: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Appendices</w:t>
      </w:r>
      <w:bookmarkEnd w:id="39"/>
    </w:p>
    <w:p w14:paraId="758B51FF">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Appendix </w:t>
      </w:r>
      <w:r>
        <w:rPr>
          <w:rFonts w:ascii="Times New Roman" w:hAnsi="Times New Roman" w:eastAsia="宋体" w:cs="Times New Roman"/>
          <w:color w:val="000000" w:themeColor="text1"/>
          <w:sz w:val="24"/>
          <w:highlight w:val="none"/>
          <w14:textFill>
            <w14:solidFill>
              <w14:schemeClr w14:val="tx1"/>
            </w14:solidFill>
          </w14:textFill>
        </w:rPr>
        <w:t>Ⅰ</w:t>
      </w:r>
    </w:p>
    <w:p w14:paraId="7CD5A662">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Feasibility Survey on Remote Blood Pressure Management Platform (1)</w:t>
      </w:r>
    </w:p>
    <w:p w14:paraId="2B5CFC7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(To be filled out by patients at the time of enrollment)</w:t>
      </w:r>
    </w:p>
    <w:p w14:paraId="294DDBEA">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Name: ________  Gender: ________  Contact: ________  Date: ________</w:t>
      </w:r>
    </w:p>
    <w:p w14:paraId="2AFA577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1. Have you previously heard about remote blood pressure management outside of the hospital?  </w:t>
      </w:r>
    </w:p>
    <w:p w14:paraId="60F9E6DD">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6E1A9170">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do you think this method can help control your blood pressure?  </w:t>
      </w:r>
    </w:p>
    <w:p w14:paraId="0C4A57C6">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1B15F191">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2. Each time you measure your blood pressure at home, the doctor can remotely view the results. Do you think this method helps better control your blood pressure?  </w:t>
      </w:r>
    </w:p>
    <w:p w14:paraId="33E108B7">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5B18216E">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3. When there is an abnormal fluctuation in your blood pressure that exceeds the safe range, the system will automatically reminding you to pay attention to blood pressure control. Do you think this method helps better control your blood pressure?  </w:t>
      </w:r>
    </w:p>
    <w:p w14:paraId="47C767B4">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47E25010">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4. When the doctor sees through the remote blood pressure management platform that your blood pressure control does not meet the required standards, they will proactively contact you to understand your health condition. Do you think this method helps in controlling your blood pressure?  </w:t>
      </w:r>
    </w:p>
    <w:p w14:paraId="5026505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68E46A2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5. The mobile app of the remote blood pressure management platform provides health knowledge and expert lectures on hypertension. Do you think this method helps in gaining a better understanding of hypertension-related knowledge?  </w:t>
      </w:r>
    </w:p>
    <w:p w14:paraId="1DCA1B0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6D7B13AF">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6. Through the remote blood pressure management platform, doctors can timely understand your blood pressure fluctuations and develop a better treatment plan. Do you think this helps in controlling your blood pressure?  </w:t>
      </w:r>
    </w:p>
    <w:p w14:paraId="25AF195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496CB0C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would you be willing to pay a certain fee?  </w:t>
      </w:r>
    </w:p>
    <w:p w14:paraId="69C640F1">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75B65369">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how much are you willing to pay annually?  </w:t>
      </w:r>
    </w:p>
    <w:p w14:paraId="6EAAD8A1">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100-200 RMB/year □ 200-300 RMB/year □ 300-500 RMB/year □ 500-800 RMB/year</w:t>
      </w:r>
    </w:p>
    <w:p w14:paraId="2B459180">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7. If remote blood pressure management helps control your blood pressure, and you do not yet own a remote electronic blood pressure monitor, would you be willing to purchase one at your own expense?  </w:t>
      </w:r>
    </w:p>
    <w:p w14:paraId="26EB9C77">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37DE4737">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what is the maximum amount you are willing to pay for it?  </w:t>
      </w:r>
    </w:p>
    <w:p w14:paraId="655ED57B">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300-400 RMB □ 400-500 RMB □ 500-600 RMB</w:t>
      </w:r>
    </w:p>
    <w:p w14:paraId="0230BAF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p>
    <w:p w14:paraId="22820D39">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Appendix </w:t>
      </w:r>
      <w:r>
        <w:rPr>
          <w:rFonts w:ascii="Times New Roman" w:hAnsi="Times New Roman" w:eastAsia="宋体" w:cs="Times New Roman"/>
          <w:color w:val="000000" w:themeColor="text1"/>
          <w:sz w:val="24"/>
          <w:highlight w:val="none"/>
          <w14:textFill>
            <w14:solidFill>
              <w14:schemeClr w14:val="tx1"/>
            </w14:solidFill>
          </w14:textFill>
        </w:rPr>
        <w:t>Ⅱ</w:t>
      </w:r>
    </w:p>
    <w:p w14:paraId="7241F59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Feasibility Survey on Remote Blood Pressure Management Platform (2)</w:t>
      </w:r>
    </w:p>
    <w:p w14:paraId="67785176">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(To be filled out by patients during the 24th-month follow-up)</w:t>
      </w:r>
    </w:p>
    <w:p w14:paraId="0DDA1C5F">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Name: ________  Gender: ________  Contact: ________  Date: ________</w:t>
      </w:r>
    </w:p>
    <w:p w14:paraId="037F2FB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1. After 24 months of remote blood pressure monitoring and management, compared to the traditional management model, which one do you think helps better control your blood pressure?  </w:t>
      </w:r>
    </w:p>
    <w:p w14:paraId="41558892">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Remote model □ Traditional model □ Uncertain</w:t>
      </w:r>
    </w:p>
    <w:p w14:paraId="096518C4">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2. Each time you measure your blood pressure at home, the doctor can remotely view the results. Do you think this method helps better control your blood pressure?  </w:t>
      </w:r>
    </w:p>
    <w:p w14:paraId="0673D4DF">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24BA354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3. When there is an abnormal fluctuation in your blood pressure that exceeds the safe range, the system will automatically reminding you to pay attention to blood pressure control. Do you think this method helps better control your blood pressure?  </w:t>
      </w:r>
    </w:p>
    <w:p w14:paraId="169B66A0">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62BCBC9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4. When the doctor sees through the remote blood pressure management platform that your blood pressure control does not meet the required standards, they will proactively contact you to understand your health condition. Do you think this method helps in controlling your blood pressure?  </w:t>
      </w:r>
    </w:p>
    <w:p w14:paraId="7D9B32EF">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45FDEB5E">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5. The mobile app of the remote blood pressure management platform provides health knowledge and expert lectures on hypertension. Do you think this method helps in gaining a better understanding of hypertension-related knowledge?  </w:t>
      </w:r>
    </w:p>
    <w:p w14:paraId="393B486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32551CF7">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6. Through the remote blood pressure management platform, doctors can timely understand your blood pressure fluctuations and develop a better treatment plan. Do you think this helps in controlling your blood pressure?  </w:t>
      </w:r>
    </w:p>
    <w:p w14:paraId="0644F42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1E56DCB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would you be willing to pay a certain fee?  </w:t>
      </w:r>
    </w:p>
    <w:p w14:paraId="055D8DC8">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7114E175">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how much are you willing to pay annually?  </w:t>
      </w:r>
    </w:p>
    <w:p w14:paraId="491A415C">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100-200 RMB/year □ 200-300 RMB/year □ 300-500 RMB/year □ 500-800 RMB/year</w:t>
      </w:r>
    </w:p>
    <w:p w14:paraId="0F4A4A01">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7. If remote blood pressure management helps control your blood pressure, and you do not yet own a remote electronic blood pressure monitor, would you be willing to purchase one at your own expense?  </w:t>
      </w:r>
    </w:p>
    <w:p w14:paraId="3005CB3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69513E4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what is the maximum amount you are willing to pay for it?  </w:t>
      </w:r>
    </w:p>
    <w:p w14:paraId="6CCE8F44">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300-400 RMB □ 400-500 RMB □ 500-600 RMB</w:t>
      </w:r>
    </w:p>
    <w:p w14:paraId="4B5B185E">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8. Do you think remote blood pressure management can effectively improve your initiative in measuring your blood pressure?  </w:t>
      </w:r>
    </w:p>
    <w:p w14:paraId="00C2A0F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Yes □ No □ Uncertain</w:t>
      </w:r>
    </w:p>
    <w:p w14:paraId="45A532BD">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9. The mobile app of the remote blood pressure management platform provides functions such as the latest medical advice, measurement center, health education, doctor-patient interaction, expert consultation, and health settings. Are you using these functions?  </w:t>
      </w:r>
    </w:p>
    <w:p w14:paraId="6D9859CB">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Yes □ No  </w:t>
      </w:r>
    </w:p>
    <w:p w14:paraId="08B9C3F3">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If yes, do you find these functions simple and practical?  </w:t>
      </w:r>
    </w:p>
    <w:p w14:paraId="599EF6DA">
      <w:p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Practical □ Average □ Not practical</w:t>
      </w:r>
    </w:p>
    <w:p w14:paraId="4270DE2A">
      <w:pPr>
        <w:numPr>
          <w:ilvl w:val="0"/>
          <w:numId w:val="4"/>
        </w:numPr>
        <w:spacing w:line="480" w:lineRule="auto"/>
        <w:rPr>
          <w:rFonts w:ascii="Times New Roman" w:hAnsi="Times New Roman" w:eastAsia="Segoe UI" w:cs="Times New Roman"/>
          <w:color w:val="000000" w:themeColor="text1"/>
          <w:sz w:val="24"/>
          <w:highlight w:val="none"/>
          <w:shd w:val="clear" w:color="auto" w:fill="FDFDFE"/>
          <w14:textFill>
            <w14:solidFill>
              <w14:schemeClr w14:val="tx1"/>
            </w14:solidFill>
          </w14:textFill>
        </w:rPr>
      </w:pPr>
      <w:r>
        <w:rPr>
          <w:rFonts w:ascii="Times New Roman" w:hAnsi="Times New Roman" w:eastAsia="Segoe UI" w:cs="Times New Roman"/>
          <w:color w:val="000000" w:themeColor="text1"/>
          <w:sz w:val="24"/>
          <w:highlight w:val="none"/>
          <w:shd w:val="clear" w:color="auto" w:fill="FDFDFE"/>
          <w14:textFill>
            <w14:solidFill>
              <w14:schemeClr w14:val="tx1"/>
            </w14:solidFill>
          </w14:textFill>
        </w:rPr>
        <w:t xml:space="preserve"> What additional features would you like the remote blood pressure management platform to offer?</w:t>
      </w:r>
    </w:p>
    <w:p w14:paraId="7F07CA58">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Appendix Ⅲ</w:t>
      </w:r>
    </w:p>
    <w:p w14:paraId="68EA910C">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Follow-up Data (3M ±3D) </w:t>
      </w:r>
    </w:p>
    <w:p w14:paraId="09CB559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Date：  </w:t>
      </w:r>
    </w:p>
    <w:p w14:paraId="589F990F">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Home Blood Pressure Measurement Records</w:t>
      </w:r>
    </w:p>
    <w:p w14:paraId="7DBFC36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 Are there home blood pressure monitoring records? ………… Yes / No  </w:t>
      </w:r>
    </w:p>
    <w:p w14:paraId="40B8BA16">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For the regular group and self-monitoring group, if "Yes", please collect the home blood pressure record sheet.</w:t>
      </w:r>
    </w:p>
    <w:p w14:paraId="09C7AC25">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Physical Examination  </w:t>
      </w:r>
    </w:p>
    <w:p w14:paraId="4C23CC3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 Height: _____ cm  2. Weight: _____ kg  3. Waist circumference: _____ cm  </w:t>
      </w:r>
    </w:p>
    <w:p w14:paraId="145E9D2C">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Blood Pressure (BP) and Pulse (PR)</w:t>
      </w:r>
    </w:p>
    <w:tbl>
      <w:tblPr>
        <w:tblStyle w:val="13"/>
        <w:tblW w:w="6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1554"/>
        <w:gridCol w:w="1680"/>
        <w:gridCol w:w="1822"/>
      </w:tblGrid>
      <w:tr w14:paraId="12FF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42" w:type="dxa"/>
          </w:tcPr>
          <w:p w14:paraId="0CC05B22">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Serial No.</w:t>
            </w:r>
          </w:p>
        </w:tc>
        <w:tc>
          <w:tcPr>
            <w:tcW w:w="1554" w:type="dxa"/>
          </w:tcPr>
          <w:p w14:paraId="4A74D907">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Systolic Pressure (mmHg)</w:t>
            </w:r>
          </w:p>
        </w:tc>
        <w:tc>
          <w:tcPr>
            <w:tcW w:w="1680" w:type="dxa"/>
          </w:tcPr>
          <w:p w14:paraId="7FB6CBCA">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Diastolic Pressure</w:t>
            </w:r>
          </w:p>
        </w:tc>
        <w:tc>
          <w:tcPr>
            <w:tcW w:w="1822" w:type="dxa"/>
          </w:tcPr>
          <w:p w14:paraId="22B4F3F4">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Pulse</w:t>
            </w:r>
            <w:r>
              <w:rPr>
                <w:rFonts w:ascii="Times New Roman" w:hAnsi="Times New Roman" w:eastAsia="宋体" w:cs="Times New Roman"/>
                <w:color w:val="000000" w:themeColor="text1"/>
                <w:szCs w:val="21"/>
                <w:highlight w:val="none"/>
                <w14:textFill>
                  <w14:solidFill>
                    <w14:schemeClr w14:val="tx1"/>
                  </w14:solidFill>
                </w14:textFill>
              </w:rPr>
              <w:t xml:space="preserve"> (beats/min)</w:t>
            </w:r>
          </w:p>
        </w:tc>
      </w:tr>
      <w:tr w14:paraId="07D6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42" w:type="dxa"/>
            <w:shd w:val="clear" w:color="auto" w:fill="auto"/>
          </w:tcPr>
          <w:p w14:paraId="7334F0CA">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First measurement</w:t>
            </w:r>
          </w:p>
        </w:tc>
        <w:tc>
          <w:tcPr>
            <w:tcW w:w="1554" w:type="dxa"/>
          </w:tcPr>
          <w:p w14:paraId="51065F68">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680" w:type="dxa"/>
          </w:tcPr>
          <w:p w14:paraId="7C86F384">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822" w:type="dxa"/>
          </w:tcPr>
          <w:p w14:paraId="60390DE1">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r>
      <w:tr w14:paraId="11E9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542" w:type="dxa"/>
            <w:shd w:val="clear" w:color="auto" w:fill="auto"/>
          </w:tcPr>
          <w:p w14:paraId="4702B2E1">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Second measurement</w:t>
            </w:r>
          </w:p>
        </w:tc>
        <w:tc>
          <w:tcPr>
            <w:tcW w:w="1554" w:type="dxa"/>
          </w:tcPr>
          <w:p w14:paraId="4D9547B7">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680" w:type="dxa"/>
          </w:tcPr>
          <w:p w14:paraId="72ED197C">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822" w:type="dxa"/>
          </w:tcPr>
          <w:p w14:paraId="0CF79A5E">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r>
      <w:tr w14:paraId="78CD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542" w:type="dxa"/>
            <w:shd w:val="clear" w:color="auto" w:fill="auto"/>
          </w:tcPr>
          <w:p w14:paraId="506DA82C">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Third measurement</w:t>
            </w:r>
          </w:p>
        </w:tc>
        <w:tc>
          <w:tcPr>
            <w:tcW w:w="1554" w:type="dxa"/>
          </w:tcPr>
          <w:p w14:paraId="19D98DC2">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680" w:type="dxa"/>
          </w:tcPr>
          <w:p w14:paraId="4A2002EC">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c>
          <w:tcPr>
            <w:tcW w:w="1822" w:type="dxa"/>
          </w:tcPr>
          <w:p w14:paraId="491D0175">
            <w:pPr>
              <w:spacing w:before="313" w:line="240" w:lineRule="exact"/>
              <w:jc w:val="left"/>
              <w:rPr>
                <w:rFonts w:ascii="Times New Roman" w:hAnsi="Times New Roman" w:eastAsia="宋体" w:cs="Times New Roman"/>
                <w:color w:val="000000" w:themeColor="text1"/>
                <w:szCs w:val="21"/>
                <w:highlight w:val="none"/>
                <w14:textFill>
                  <w14:solidFill>
                    <w14:schemeClr w14:val="tx1"/>
                  </w14:solidFill>
                </w14:textFill>
              </w:rPr>
            </w:pPr>
          </w:p>
        </w:tc>
      </w:tr>
    </w:tbl>
    <w:p w14:paraId="09E4711E">
      <w:pPr>
        <w:spacing w:line="480" w:lineRule="auto"/>
        <w:rPr>
          <w:rFonts w:ascii="Times New Roman" w:hAnsi="Times New Roman" w:cs="Times New Roman"/>
          <w:color w:val="000000" w:themeColor="text1"/>
          <w:spacing w:val="-2"/>
          <w:highlight w:val="none"/>
          <w14:textFill>
            <w14:solidFill>
              <w14:schemeClr w14:val="tx1"/>
            </w14:solidFill>
          </w14:textFill>
        </w:rPr>
      </w:pPr>
    </w:p>
    <w:p w14:paraId="1BD43689">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Medication Information </w:t>
      </w:r>
    </w:p>
    <w:p w14:paraId="373CE6CF">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 Hypertension Medication  </w:t>
      </w:r>
    </w:p>
    <w:tbl>
      <w:tblPr>
        <w:tblStyle w:val="13"/>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1"/>
        <w:gridCol w:w="2915"/>
        <w:gridCol w:w="3200"/>
      </w:tblGrid>
      <w:tr w14:paraId="1382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276" w:type="dxa"/>
          </w:tcPr>
          <w:p w14:paraId="366F6027">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Serial No</w:t>
            </w:r>
          </w:p>
        </w:tc>
        <w:tc>
          <w:tcPr>
            <w:tcW w:w="2977" w:type="dxa"/>
          </w:tcPr>
          <w:p w14:paraId="69C8808C">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Medication Name</w:t>
            </w:r>
          </w:p>
        </w:tc>
        <w:tc>
          <w:tcPr>
            <w:tcW w:w="3260" w:type="dxa"/>
          </w:tcPr>
          <w:p w14:paraId="4BF86688">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Dosage and Administration</w:t>
            </w:r>
          </w:p>
        </w:tc>
      </w:tr>
      <w:tr w14:paraId="6432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76" w:type="dxa"/>
          </w:tcPr>
          <w:p w14:paraId="085AA666">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w:t>
            </w:r>
          </w:p>
        </w:tc>
        <w:tc>
          <w:tcPr>
            <w:tcW w:w="2977" w:type="dxa"/>
          </w:tcPr>
          <w:p w14:paraId="18AE4B5B">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718DB3A7">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r w14:paraId="13F8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6E2E627C">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2</w:t>
            </w:r>
          </w:p>
        </w:tc>
        <w:tc>
          <w:tcPr>
            <w:tcW w:w="2977" w:type="dxa"/>
          </w:tcPr>
          <w:p w14:paraId="048520CB">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0247B509">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r w14:paraId="6411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4B758480">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3</w:t>
            </w:r>
          </w:p>
        </w:tc>
        <w:tc>
          <w:tcPr>
            <w:tcW w:w="2977" w:type="dxa"/>
          </w:tcPr>
          <w:p w14:paraId="7668FB23">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34776959">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r w14:paraId="5243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0653DDCD">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4</w:t>
            </w:r>
          </w:p>
        </w:tc>
        <w:tc>
          <w:tcPr>
            <w:tcW w:w="2977" w:type="dxa"/>
          </w:tcPr>
          <w:p w14:paraId="5A70B09A">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3033E774">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bl>
    <w:p w14:paraId="70BD7095">
      <w:pPr>
        <w:spacing w:line="480" w:lineRule="auto"/>
        <w:rPr>
          <w:rFonts w:ascii="Times New Roman" w:hAnsi="Times New Roman" w:cs="Times New Roman"/>
          <w:color w:val="000000" w:themeColor="text1"/>
          <w:spacing w:val="-2"/>
          <w:highlight w:val="none"/>
          <w14:textFill>
            <w14:solidFill>
              <w14:schemeClr w14:val="tx1"/>
            </w14:solidFill>
          </w14:textFill>
        </w:rPr>
      </w:pPr>
    </w:p>
    <w:p w14:paraId="2E9502AF">
      <w:pPr>
        <w:pStyle w:val="24"/>
        <w:spacing w:before="313" w:line="300" w:lineRule="exact"/>
        <w:ind w:left="0" w:firstLine="0"/>
        <w:rPr>
          <w:rFonts w:ascii="Times New Roman" w:hAnsi="Times New Roman" w:eastAsia="宋体" w:cs="Times New Roman"/>
          <w:color w:val="000000" w:themeColor="text1"/>
          <w:sz w:val="24"/>
          <w:highlight w:val="none"/>
          <w14:textFill>
            <w14:solidFill>
              <w14:schemeClr w14:val="tx1"/>
            </w14:solidFill>
          </w14:textFill>
        </w:rPr>
      </w:pPr>
    </w:p>
    <w:p w14:paraId="2594C579">
      <w:pPr>
        <w:pStyle w:val="24"/>
        <w:spacing w:before="313" w:line="300" w:lineRule="exact"/>
        <w:ind w:left="0" w:firstLine="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Other Disease Medication</w:t>
      </w:r>
    </w:p>
    <w:tbl>
      <w:tblPr>
        <w:tblStyle w:val="13"/>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1"/>
        <w:gridCol w:w="2915"/>
        <w:gridCol w:w="3200"/>
      </w:tblGrid>
      <w:tr w14:paraId="411C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276" w:type="dxa"/>
          </w:tcPr>
          <w:p w14:paraId="57687AE3">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Serial No</w:t>
            </w:r>
          </w:p>
        </w:tc>
        <w:tc>
          <w:tcPr>
            <w:tcW w:w="2977" w:type="dxa"/>
          </w:tcPr>
          <w:p w14:paraId="5E3F3EB0">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Medication Name</w:t>
            </w:r>
          </w:p>
        </w:tc>
        <w:tc>
          <w:tcPr>
            <w:tcW w:w="3260" w:type="dxa"/>
          </w:tcPr>
          <w:p w14:paraId="3B54D92E">
            <w:pPr>
              <w:pStyle w:val="24"/>
              <w:spacing w:before="313" w:line="240" w:lineRule="exact"/>
              <w:ind w:left="0" w:firstLine="0"/>
              <w:jc w:val="left"/>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Dosage and Administration</w:t>
            </w:r>
          </w:p>
        </w:tc>
      </w:tr>
      <w:tr w14:paraId="4757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76" w:type="dxa"/>
          </w:tcPr>
          <w:p w14:paraId="7CAC440D">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w:t>
            </w:r>
          </w:p>
        </w:tc>
        <w:tc>
          <w:tcPr>
            <w:tcW w:w="2977" w:type="dxa"/>
          </w:tcPr>
          <w:p w14:paraId="77BBA739">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750B2353">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r w14:paraId="2894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741230E0">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2</w:t>
            </w:r>
          </w:p>
        </w:tc>
        <w:tc>
          <w:tcPr>
            <w:tcW w:w="2977" w:type="dxa"/>
          </w:tcPr>
          <w:p w14:paraId="78E9E8A0">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c>
          <w:tcPr>
            <w:tcW w:w="3260" w:type="dxa"/>
          </w:tcPr>
          <w:p w14:paraId="408E27A7">
            <w:pPr>
              <w:pStyle w:val="24"/>
              <w:spacing w:before="313" w:line="240" w:lineRule="exact"/>
              <w:ind w:firstLine="0"/>
              <w:jc w:val="center"/>
              <w:rPr>
                <w:rFonts w:ascii="Times New Roman" w:hAnsi="Times New Roman" w:eastAsia="宋体" w:cs="Times New Roman"/>
                <w:color w:val="000000" w:themeColor="text1"/>
                <w:highlight w:val="none"/>
                <w14:textFill>
                  <w14:solidFill>
                    <w14:schemeClr w14:val="tx1"/>
                  </w14:solidFill>
                </w14:textFill>
              </w:rPr>
            </w:pPr>
          </w:p>
        </w:tc>
      </w:tr>
    </w:tbl>
    <w:p w14:paraId="5342439F">
      <w:pPr>
        <w:spacing w:line="480" w:lineRule="auto"/>
        <w:rPr>
          <w:rFonts w:ascii="Times New Roman" w:hAnsi="Times New Roman" w:cs="Times New Roman"/>
          <w:color w:val="000000" w:themeColor="text1"/>
          <w:spacing w:val="-2"/>
          <w:highlight w:val="none"/>
          <w14:textFill>
            <w14:solidFill>
              <w14:schemeClr w14:val="tx1"/>
            </w14:solidFill>
          </w14:textFill>
        </w:rPr>
      </w:pPr>
    </w:p>
    <w:p w14:paraId="302908F3">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Compliance</w:t>
      </w:r>
    </w:p>
    <w:p w14:paraId="3149121E">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Are you able to consciously comply with the current treatment and follow-up plan? ………… Yes / No  </w:t>
      </w:r>
    </w:p>
    <w:p w14:paraId="5B48D972">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Lifestyle and Quality of Life Improvement </w:t>
      </w:r>
    </w:p>
    <w:p w14:paraId="14CACE5F">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 Your drinking habits ( ):  </w:t>
      </w:r>
    </w:p>
    <w:p w14:paraId="435BD1D4">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Drink daily (≥2 liang) ② Drink daily (&lt;2 liang) ③ Drink occasionally ④ Drink rarely ⑤ Do not drink  </w:t>
      </w:r>
    </w:p>
    <w:p w14:paraId="348D7826">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2. Your smoking habits ( ):  </w:t>
      </w:r>
    </w:p>
    <w:p w14:paraId="3247243F">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Smoke more than 10 cigarettes daily ② Smoke 5-10 cigarettes daily ③ Smoke less than 5 cigarettes daily ④ Do not smoke  </w:t>
      </w:r>
    </w:p>
    <w:p w14:paraId="6E464193">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3. Your daily salt intake ( ) (Note: A full cola bottle cap contains exactly 10 grams, a full beer bottle cap contains exactly 4 grams):  </w:t>
      </w:r>
    </w:p>
    <w:p w14:paraId="184EA98D">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≤6 grams ② 6-12 grams ③ &gt;12 grams  </w:t>
      </w:r>
    </w:p>
    <w:p w14:paraId="1CCB5786">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4. Compared to your previous daily salt intake during treatment ( ):  </w:t>
      </w:r>
    </w:p>
    <w:p w14:paraId="3FE9663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Increased ② Decreased ③ Same  </w:t>
      </w:r>
    </w:p>
    <w:p w14:paraId="7803A1E6">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5. Your daily fat intake ( ):  </w:t>
      </w:r>
    </w:p>
    <w:p w14:paraId="3E66E4CC">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High ② Moderate ③ Low ④ Unsure  </w:t>
      </w:r>
    </w:p>
    <w:p w14:paraId="0C6443D9">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6. Your average daily sleep duration ( ):  </w:t>
      </w:r>
    </w:p>
    <w:p w14:paraId="7D8B9839">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Less than 4 hours ② 4-8 hours ③ More than 8 hours  </w:t>
      </w:r>
    </w:p>
    <w:p w14:paraId="6F5BABFB">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7. Do you feel mentally stressed, excited, or agitated ( ):  </w:t>
      </w:r>
    </w:p>
    <w:p w14:paraId="2AE19DF7">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Often ② Sometimes ③ Never  </w:t>
      </w:r>
    </w:p>
    <w:p w14:paraId="2C75E838">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8. Average weekly exercise frequency ( ):  </w:t>
      </w:r>
    </w:p>
    <w:p w14:paraId="425A7DDE">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More than 5 times per week ② 3-5 times per week ③ 2-3 times per week ④ Once per week ⑤ Do not exercise  </w:t>
      </w:r>
    </w:p>
    <w:p w14:paraId="249B791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9. Duration of each exercise session ( ):  </w:t>
      </w:r>
    </w:p>
    <w:p w14:paraId="7B81B0E9">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≤30 minutes ② 30-60 minutes ③ ≥60 minutes ④ Unsure  </w:t>
      </w:r>
    </w:p>
    <w:p w14:paraId="396CCC03">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10. Types of exercise ( ) (You can select multiple):  </w:t>
      </w:r>
    </w:p>
    <w:p w14:paraId="1DDB6230">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① Martial arts, swordplay ② Table tennis, badminton ③ Climbing stairs ④ Running  </w:t>
      </w:r>
    </w:p>
    <w:p w14:paraId="04528FC7">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⑤ Walking ⑥ Dancing ⑦ Shuttlecock kicking ⑧ Hiking ⑨ Others:  </w:t>
      </w:r>
    </w:p>
    <w:p w14:paraId="6E626B94">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MACE Events  </w:t>
      </w:r>
    </w:p>
    <w:p w14:paraId="50C60600">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Including non-fatal acute myocardial infarction, non-fatal stroke, hospitalization for unstable angina, hospitalization for worsening heart failure, arterial revascularization, cardiovascular-related death.  </w:t>
      </w:r>
    </w:p>
    <w:p w14:paraId="57E103F1">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1. Has a MACE event occurred? ………… Yes / No  </w:t>
      </w:r>
    </w:p>
    <w:p w14:paraId="6E611B80">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If "Yes", please specify the details:  </w:t>
      </w:r>
    </w:p>
    <w:p w14:paraId="1E68ED5F">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Event name: ___________ Date: ___________  </w:t>
      </w:r>
    </w:p>
    <w:p w14:paraId="3A671055">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Event name: ___________ Date: ___________  </w:t>
      </w:r>
    </w:p>
    <w:p w14:paraId="1EEA56E9">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Withdrawal or Discontinuation of the Study ………… Yes / No  </w:t>
      </w:r>
    </w:p>
    <w:p w14:paraId="1F14EDCE">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If "Yes", please specify the reason: ___________  </w:t>
      </w:r>
    </w:p>
    <w:p w14:paraId="00F3C46B">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 xml:space="preserve">Next Follow-up Date: ___________  </w:t>
      </w:r>
    </w:p>
    <w:p w14:paraId="22C2E26A">
      <w:pPr>
        <w:spacing w:line="480" w:lineRule="auto"/>
        <w:rPr>
          <w:rFonts w:ascii="Times New Roman" w:hAnsi="Times New Roman" w:cs="Times New Roman"/>
          <w:color w:val="000000" w:themeColor="text1"/>
          <w:spacing w:val="-2"/>
          <w:highlight w:val="none"/>
          <w14:textFill>
            <w14:solidFill>
              <w14:schemeClr w14:val="tx1"/>
            </w14:solidFill>
          </w14:textFill>
        </w:rPr>
      </w:pPr>
      <w:r>
        <w:rPr>
          <w:rFonts w:ascii="Times New Roman" w:hAnsi="Times New Roman" w:cs="Times New Roman"/>
          <w:color w:val="000000" w:themeColor="text1"/>
          <w:spacing w:val="-2"/>
          <w:highlight w:val="none"/>
          <w14:textFill>
            <w14:solidFill>
              <w14:schemeClr w14:val="tx1"/>
            </w14:solidFill>
          </w14:textFill>
        </w:rPr>
        <w:t>Researcher Signature: ___________</w:t>
      </w:r>
    </w:p>
    <w:p w14:paraId="2974B010">
      <w:pPr>
        <w:spacing w:line="480" w:lineRule="auto"/>
        <w:rPr>
          <w:rFonts w:ascii="Times New Roman" w:hAnsi="Times New Roman" w:cs="Times New Roman"/>
          <w:color w:val="000000" w:themeColor="text1"/>
          <w:spacing w:val="-2"/>
          <w:highlight w:val="none"/>
          <w14:textFill>
            <w14:solidFill>
              <w14:schemeClr w14:val="tx1"/>
            </w14:solidFill>
          </w14:textFill>
        </w:rPr>
      </w:pPr>
    </w:p>
    <w:p w14:paraId="7C931396">
      <w:pPr>
        <w:rPr>
          <w:rFonts w:ascii="Times New Roman" w:hAnsi="Times New Roman" w:cs="Times New Roman"/>
          <w:color w:val="000000" w:themeColor="text1"/>
          <w:highlight w:val="none"/>
          <w14:textFill>
            <w14:solidFill>
              <w14:schemeClr w14:val="tx1"/>
            </w14:solidFill>
          </w14:textFill>
        </w:rPr>
      </w:pPr>
    </w:p>
    <w:sectPr>
      <w:footerReference r:id="rId3" w:type="default"/>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A47AD">
    <w:pPr>
      <w:pStyle w:val="7"/>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792EA">
                          <w:pPr>
                            <w:pStyle w:val="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77792EA">
                    <w:pPr>
                      <w:pStyle w:val="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68D10A"/>
    <w:multiLevelType w:val="singleLevel"/>
    <w:tmpl w:val="FD68D10A"/>
    <w:lvl w:ilvl="0" w:tentative="0">
      <w:start w:val="1"/>
      <w:numFmt w:val="upperLetter"/>
      <w:suff w:val="space"/>
      <w:lvlText w:val="(%1)"/>
      <w:lvlJc w:val="left"/>
    </w:lvl>
  </w:abstractNum>
  <w:abstractNum w:abstractNumId="1">
    <w:nsid w:val="FEF71850"/>
    <w:multiLevelType w:val="multilevel"/>
    <w:tmpl w:val="FEF71850"/>
    <w:lvl w:ilvl="0" w:tentative="0">
      <w:start w:val="1"/>
      <w:numFmt w:val="lowerRoman"/>
      <w:lvlText w:val="(%1)"/>
      <w:lvlJc w:val="left"/>
      <w:pPr>
        <w:ind w:left="1660" w:hanging="720"/>
      </w:pPr>
      <w:rPr>
        <w:rFonts w:hint="default" w:ascii="Calibri" w:hAnsi="Calibri" w:eastAsia="Calibri" w:cs="Calibri"/>
        <w:b w:val="0"/>
        <w:bCs w:val="0"/>
        <w:i w:val="0"/>
        <w:iCs w:val="0"/>
        <w:spacing w:val="-1"/>
        <w:w w:val="100"/>
        <w:sz w:val="24"/>
        <w:szCs w:val="24"/>
        <w:lang w:val="en-US" w:eastAsia="en-US" w:bidi="ar-SA"/>
      </w:rPr>
    </w:lvl>
    <w:lvl w:ilvl="1" w:tentative="0">
      <w:start w:val="0"/>
      <w:numFmt w:val="bullet"/>
      <w:lvlText w:val="•"/>
      <w:lvlJc w:val="left"/>
      <w:pPr>
        <w:ind w:left="2474" w:hanging="720"/>
      </w:pPr>
      <w:rPr>
        <w:rFonts w:hint="default"/>
        <w:lang w:val="en-US" w:eastAsia="en-US" w:bidi="ar-SA"/>
      </w:rPr>
    </w:lvl>
    <w:lvl w:ilvl="2" w:tentative="0">
      <w:start w:val="0"/>
      <w:numFmt w:val="bullet"/>
      <w:lvlText w:val="•"/>
      <w:lvlJc w:val="left"/>
      <w:pPr>
        <w:ind w:left="3288" w:hanging="720"/>
      </w:pPr>
      <w:rPr>
        <w:rFonts w:hint="default"/>
        <w:lang w:val="en-US" w:eastAsia="en-US" w:bidi="ar-SA"/>
      </w:rPr>
    </w:lvl>
    <w:lvl w:ilvl="3" w:tentative="0">
      <w:start w:val="0"/>
      <w:numFmt w:val="bullet"/>
      <w:lvlText w:val="•"/>
      <w:lvlJc w:val="left"/>
      <w:pPr>
        <w:ind w:left="4102" w:hanging="720"/>
      </w:pPr>
      <w:rPr>
        <w:rFonts w:hint="default"/>
        <w:lang w:val="en-US" w:eastAsia="en-US" w:bidi="ar-SA"/>
      </w:rPr>
    </w:lvl>
    <w:lvl w:ilvl="4" w:tentative="0">
      <w:start w:val="0"/>
      <w:numFmt w:val="bullet"/>
      <w:lvlText w:val="•"/>
      <w:lvlJc w:val="left"/>
      <w:pPr>
        <w:ind w:left="4916" w:hanging="720"/>
      </w:pPr>
      <w:rPr>
        <w:rFonts w:hint="default"/>
        <w:lang w:val="en-US" w:eastAsia="en-US" w:bidi="ar-SA"/>
      </w:rPr>
    </w:lvl>
    <w:lvl w:ilvl="5" w:tentative="0">
      <w:start w:val="0"/>
      <w:numFmt w:val="bullet"/>
      <w:lvlText w:val="•"/>
      <w:lvlJc w:val="left"/>
      <w:pPr>
        <w:ind w:left="5730" w:hanging="720"/>
      </w:pPr>
      <w:rPr>
        <w:rFonts w:hint="default"/>
        <w:lang w:val="en-US" w:eastAsia="en-US" w:bidi="ar-SA"/>
      </w:rPr>
    </w:lvl>
    <w:lvl w:ilvl="6" w:tentative="0">
      <w:start w:val="0"/>
      <w:numFmt w:val="bullet"/>
      <w:lvlText w:val="•"/>
      <w:lvlJc w:val="left"/>
      <w:pPr>
        <w:ind w:left="6544" w:hanging="720"/>
      </w:pPr>
      <w:rPr>
        <w:rFonts w:hint="default"/>
        <w:lang w:val="en-US" w:eastAsia="en-US" w:bidi="ar-SA"/>
      </w:rPr>
    </w:lvl>
    <w:lvl w:ilvl="7" w:tentative="0">
      <w:start w:val="0"/>
      <w:numFmt w:val="bullet"/>
      <w:lvlText w:val="•"/>
      <w:lvlJc w:val="left"/>
      <w:pPr>
        <w:ind w:left="7358" w:hanging="720"/>
      </w:pPr>
      <w:rPr>
        <w:rFonts w:hint="default"/>
        <w:lang w:val="en-US" w:eastAsia="en-US" w:bidi="ar-SA"/>
      </w:rPr>
    </w:lvl>
    <w:lvl w:ilvl="8" w:tentative="0">
      <w:start w:val="0"/>
      <w:numFmt w:val="bullet"/>
      <w:lvlText w:val="•"/>
      <w:lvlJc w:val="left"/>
      <w:pPr>
        <w:ind w:left="8172" w:hanging="720"/>
      </w:pPr>
      <w:rPr>
        <w:rFonts w:hint="default"/>
        <w:lang w:val="en-US" w:eastAsia="en-US" w:bidi="ar-SA"/>
      </w:rPr>
    </w:lvl>
  </w:abstractNum>
  <w:abstractNum w:abstractNumId="2">
    <w:nsid w:val="5282C52E"/>
    <w:multiLevelType w:val="singleLevel"/>
    <w:tmpl w:val="5282C52E"/>
    <w:lvl w:ilvl="0" w:tentative="0">
      <w:start w:val="10"/>
      <w:numFmt w:val="decimal"/>
      <w:suff w:val="space"/>
      <w:lvlText w:val="%1."/>
      <w:lvlJc w:val="left"/>
    </w:lvl>
  </w:abstractNum>
  <w:abstractNum w:abstractNumId="3">
    <w:nsid w:val="7F7D14D2"/>
    <w:multiLevelType w:val="multilevel"/>
    <w:tmpl w:val="7F7D14D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xNDY3ZWFiM2E2ZWE5ZDU2NzA4ZDc4ZWZkMjhiZjkifQ=="/>
  </w:docVars>
  <w:rsids>
    <w:rsidRoot w:val="00264520"/>
    <w:rsid w:val="000F50F2"/>
    <w:rsid w:val="001B2CE9"/>
    <w:rsid w:val="001C6396"/>
    <w:rsid w:val="001E5673"/>
    <w:rsid w:val="00264520"/>
    <w:rsid w:val="00313A14"/>
    <w:rsid w:val="003A55F6"/>
    <w:rsid w:val="003C2CED"/>
    <w:rsid w:val="004A7452"/>
    <w:rsid w:val="004C4180"/>
    <w:rsid w:val="00567CB9"/>
    <w:rsid w:val="005B2928"/>
    <w:rsid w:val="006235AF"/>
    <w:rsid w:val="0071571B"/>
    <w:rsid w:val="007B04B0"/>
    <w:rsid w:val="00810E7A"/>
    <w:rsid w:val="00996CA6"/>
    <w:rsid w:val="00A7458A"/>
    <w:rsid w:val="00C37651"/>
    <w:rsid w:val="00D1194B"/>
    <w:rsid w:val="00D865E6"/>
    <w:rsid w:val="00E9562B"/>
    <w:rsid w:val="00F57473"/>
    <w:rsid w:val="03B04DCD"/>
    <w:rsid w:val="1F311EE3"/>
    <w:rsid w:val="22CA2920"/>
    <w:rsid w:val="238809ED"/>
    <w:rsid w:val="2F0D166D"/>
    <w:rsid w:val="31ED544A"/>
    <w:rsid w:val="39812F86"/>
    <w:rsid w:val="3D970EE3"/>
    <w:rsid w:val="3E337A2F"/>
    <w:rsid w:val="416113EA"/>
    <w:rsid w:val="48925E7A"/>
    <w:rsid w:val="4DC94B10"/>
    <w:rsid w:val="4F015F3C"/>
    <w:rsid w:val="529052CC"/>
    <w:rsid w:val="536303FC"/>
    <w:rsid w:val="53AF2C1C"/>
    <w:rsid w:val="5B285BDA"/>
    <w:rsid w:val="5DF25423"/>
    <w:rsid w:val="65A36312"/>
    <w:rsid w:val="6E851854"/>
    <w:rsid w:val="6F2D283B"/>
    <w:rsid w:val="712F34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qFormat/>
    <w:uiPriority w:val="1"/>
    <w:pPr>
      <w:ind w:left="1011" w:hanging="431"/>
      <w:outlineLvl w:val="1"/>
    </w:pPr>
    <w:rPr>
      <w:rFonts w:ascii="Calibri Light" w:hAnsi="Calibri Light" w:eastAsia="Calibri Light" w:cs="Calibri Light"/>
      <w:sz w:val="26"/>
      <w:szCs w:val="26"/>
      <w:lang w:eastAsia="en-US"/>
    </w:rPr>
  </w:style>
  <w:style w:type="paragraph" w:styleId="4">
    <w:name w:val="heading 3"/>
    <w:basedOn w:val="1"/>
    <w:next w:val="1"/>
    <w:unhideWhenUsed/>
    <w:qFormat/>
    <w:uiPriority w:val="9"/>
    <w:pPr>
      <w:keepNext/>
      <w:keepLines/>
      <w:spacing w:before="260" w:after="260" w:line="413" w:lineRule="auto"/>
      <w:outlineLvl w:val="2"/>
    </w:pPr>
    <w:rPr>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rFonts w:ascii="Calibri" w:hAnsi="Calibri" w:eastAsia="Calibri" w:cs="Calibri"/>
      <w:sz w:val="24"/>
      <w:lang w:eastAsia="en-US"/>
    </w:r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tabs>
        <w:tab w:val="center" w:pos="4153"/>
        <w:tab w:val="right" w:pos="8306"/>
      </w:tabs>
      <w:snapToGrid w:val="0"/>
      <w:jc w:val="center"/>
    </w:pPr>
    <w:rPr>
      <w:sz w:val="18"/>
      <w:szCs w:val="18"/>
      <w14:ligatures w14:val="standardContextual"/>
    </w:rPr>
  </w:style>
  <w:style w:type="paragraph" w:styleId="9">
    <w:name w:val="toc 1"/>
    <w:basedOn w:val="1"/>
    <w:next w:val="1"/>
    <w:unhideWhenUsed/>
    <w:qFormat/>
    <w:uiPriority w:val="39"/>
    <w:pPr>
      <w:widowControl/>
      <w:spacing w:after="100" w:line="259" w:lineRule="auto"/>
      <w:jc w:val="left"/>
    </w:pPr>
    <w:rPr>
      <w:rFonts w:cs="Times New Roman"/>
      <w:kern w:val="0"/>
      <w:sz w:val="22"/>
    </w:rPr>
  </w:style>
  <w:style w:type="paragraph" w:styleId="10">
    <w:name w:val="toc 2"/>
    <w:basedOn w:val="1"/>
    <w:next w:val="1"/>
    <w:qFormat/>
    <w:uiPriority w:val="39"/>
    <w:pPr>
      <w:ind w:left="420" w:leftChars="200"/>
    </w:pPr>
  </w:style>
  <w:style w:type="paragraph" w:styleId="11">
    <w:name w:val="Normal (Web)"/>
    <w:basedOn w:val="1"/>
    <w:unhideWhenUsed/>
    <w:qFormat/>
    <w:uiPriority w:val="99"/>
    <w:pPr>
      <w:spacing w:beforeAutospacing="1" w:afterAutospacing="1"/>
      <w:jc w:val="left"/>
    </w:pPr>
    <w:rPr>
      <w:rFonts w:cs="Times New Roman"/>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rPr>
  </w:style>
  <w:style w:type="character" w:styleId="16">
    <w:name w:val="page number"/>
    <w:qFormat/>
    <w:uiPriority w:val="0"/>
  </w:style>
  <w:style w:type="character" w:styleId="17">
    <w:name w:val="Hyperlink"/>
    <w:basedOn w:val="14"/>
    <w:unhideWhenUsed/>
    <w:qFormat/>
    <w:uiPriority w:val="99"/>
    <w:rPr>
      <w:color w:val="467886" w:themeColor="hyperlink"/>
      <w:u w:val="single"/>
      <w14:textFill>
        <w14:solidFill>
          <w14:schemeClr w14:val="hlink"/>
        </w14:solidFill>
      </w14:textFill>
    </w:rPr>
  </w:style>
  <w:style w:type="character" w:customStyle="1" w:styleId="18">
    <w:name w:val="页眉 字符"/>
    <w:basedOn w:val="14"/>
    <w:link w:val="8"/>
    <w:qFormat/>
    <w:uiPriority w:val="99"/>
    <w:rPr>
      <w:sz w:val="18"/>
      <w:szCs w:val="18"/>
    </w:rPr>
  </w:style>
  <w:style w:type="character" w:customStyle="1" w:styleId="19">
    <w:name w:val="页脚 字符"/>
    <w:basedOn w:val="14"/>
    <w:link w:val="7"/>
    <w:qFormat/>
    <w:uiPriority w:val="99"/>
    <w:rPr>
      <w:sz w:val="18"/>
      <w:szCs w:val="18"/>
    </w:rPr>
  </w:style>
  <w:style w:type="paragraph" w:customStyle="1" w:styleId="20">
    <w:name w:val="TableHeader"/>
    <w:basedOn w:val="21"/>
    <w:qFormat/>
    <w:uiPriority w:val="0"/>
    <w:pPr>
      <w:spacing w:before="120" w:line="240" w:lineRule="auto"/>
      <w:ind w:firstLine="0"/>
    </w:pPr>
    <w:rPr>
      <w:b/>
    </w:rPr>
  </w:style>
  <w:style w:type="paragraph" w:customStyle="1" w:styleId="21">
    <w:name w:val="Para"/>
    <w:basedOn w:val="1"/>
    <w:qFormat/>
    <w:uiPriority w:val="0"/>
    <w:pPr>
      <w:spacing w:line="360" w:lineRule="auto"/>
      <w:ind w:firstLine="288"/>
    </w:pPr>
  </w:style>
  <w:style w:type="paragraph" w:customStyle="1" w:styleId="22">
    <w:name w:val="TableSubHead"/>
    <w:basedOn w:val="20"/>
    <w:qFormat/>
    <w:uiPriority w:val="0"/>
  </w:style>
  <w:style w:type="paragraph" w:customStyle="1" w:styleId="23">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104862" w:themeColor="accent1" w:themeShade="BF"/>
      <w:kern w:val="0"/>
      <w:sz w:val="32"/>
      <w:szCs w:val="32"/>
    </w:rPr>
  </w:style>
  <w:style w:type="paragraph" w:styleId="24">
    <w:name w:val="List Paragraph"/>
    <w:basedOn w:val="1"/>
    <w:qFormat/>
    <w:uiPriority w:val="1"/>
    <w:pPr>
      <w:ind w:left="1660" w:hanging="360"/>
    </w:pPr>
    <w:rPr>
      <w:rFonts w:ascii="Calibri" w:hAnsi="Calibri" w:eastAsia="Calibri" w:cs="Calibri"/>
      <w:lang w:eastAsia="en-US"/>
    </w:rPr>
  </w:style>
  <w:style w:type="paragraph" w:customStyle="1" w:styleId="25">
    <w:name w:val="TableNote"/>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993</Words>
  <Characters>5881</Characters>
  <Lines>318</Lines>
  <Paragraphs>89</Paragraphs>
  <TotalTime>0</TotalTime>
  <ScaleCrop>false</ScaleCrop>
  <LinksUpToDate>false</LinksUpToDate>
  <CharactersWithSpaces>6861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2024-10-11T09:21:00Z</dcterms:created>
  <dc:creator>天琦 滕</dc:creator>
  <cp:lastModifiedBy>滕天琦</cp:lastModifiedBy>
  <cp:lastPrinted>2024-11-07T04:35:00Z</cp:lastPrinted>
  <dcterms:modified xsi:type="dcterms:W3CDTF">2025-07-04T18:59:41Z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A4068483E1A54E74B8DE07165E996AFD_12</vt:lpwstr>
  </property>
  <property fmtid="{D5CDD505-2E9C-101B-9397-08002B2CF9AE}" pid="4" name="KSOTemplateDocerSaveRecord">
    <vt:lpwstr>eyJoZGlkIjoiOWQxNDY3ZWFiM2E2ZWE5ZDU2NzA4ZDc4ZWZkMjhiZjkiLCJ1c2VySWQiOiIzNDY3NzM4NTMifQ==</vt:lpwstr>
  </property>
</Properties>
</file>