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E73C9" w14:textId="3861BD27" w:rsidR="0024153C" w:rsidRPr="0005197E" w:rsidRDefault="000B55E5" w:rsidP="0024153C">
      <w:pPr>
        <w:pStyle w:val="Style1"/>
        <w:rPr>
          <w:vertAlign w:val="superscript"/>
        </w:rPr>
      </w:pPr>
      <w:bookmarkStart w:id="0" w:name="_Toc178157993"/>
      <w:bookmarkStart w:id="1" w:name="_Toc185241022"/>
      <w:r>
        <w:t xml:space="preserve">Addition file 1, </w:t>
      </w:r>
      <w:r w:rsidR="0024153C" w:rsidRPr="0005197E">
        <w:t xml:space="preserve">Table </w:t>
      </w:r>
      <w:r w:rsidR="0024153C" w:rsidRPr="0005197E">
        <w:fldChar w:fldCharType="begin"/>
      </w:r>
      <w:r w:rsidR="0024153C" w:rsidRPr="0005197E">
        <w:instrText xml:space="preserve"> SEQ eTable \* ARABIC </w:instrText>
      </w:r>
      <w:r w:rsidR="0024153C" w:rsidRPr="0005197E">
        <w:fldChar w:fldCharType="separate"/>
      </w:r>
      <w:r w:rsidR="0024153C" w:rsidRPr="0005197E">
        <w:rPr>
          <w:noProof/>
        </w:rPr>
        <w:t>1</w:t>
      </w:r>
      <w:r w:rsidR="0024153C" w:rsidRPr="0005197E">
        <w:rPr>
          <w:noProof/>
        </w:rPr>
        <w:fldChar w:fldCharType="end"/>
      </w:r>
      <w:r w:rsidR="0024153C" w:rsidRPr="0005197E">
        <w:rPr>
          <w:noProof/>
        </w:rPr>
        <w:t xml:space="preserve"> </w:t>
      </w:r>
      <w:r w:rsidR="0024153C" w:rsidRPr="0005197E">
        <w:t>– Specification of the target trial and its observational emulation</w:t>
      </w:r>
      <w:bookmarkEnd w:id="0"/>
      <w:bookmarkEnd w:id="1"/>
    </w:p>
    <w:tbl>
      <w:tblPr>
        <w:tblStyle w:val="Grilledutableau"/>
        <w:tblW w:w="9067" w:type="dxa"/>
        <w:tblLook w:val="04A0" w:firstRow="1" w:lastRow="0" w:firstColumn="1" w:lastColumn="0" w:noHBand="0" w:noVBand="1"/>
      </w:tblPr>
      <w:tblGrid>
        <w:gridCol w:w="1472"/>
        <w:gridCol w:w="5186"/>
        <w:gridCol w:w="2409"/>
      </w:tblGrid>
      <w:tr w:rsidR="0024153C" w:rsidRPr="0005197E" w14:paraId="01605CC8" w14:textId="77777777" w:rsidTr="00680908">
        <w:trPr>
          <w:trHeight w:val="281"/>
        </w:trPr>
        <w:tc>
          <w:tcPr>
            <w:tcW w:w="1472" w:type="dxa"/>
          </w:tcPr>
          <w:p w14:paraId="0DEC941B" w14:textId="77777777" w:rsidR="0024153C" w:rsidRPr="0005197E" w:rsidRDefault="0024153C" w:rsidP="00680908">
            <w:pPr>
              <w:spacing w:after="120"/>
              <w:rPr>
                <w:b/>
                <w:bCs/>
                <w:i/>
                <w:iCs/>
                <w:color w:val="000000" w:themeColor="text1"/>
                <w:sz w:val="20"/>
                <w:szCs w:val="20"/>
                <w:lang w:val="en-US"/>
              </w:rPr>
            </w:pPr>
            <w:r w:rsidRPr="0005197E">
              <w:rPr>
                <w:b/>
                <w:bCs/>
                <w:i/>
                <w:iCs/>
                <w:color w:val="000000" w:themeColor="text1"/>
                <w:sz w:val="20"/>
                <w:szCs w:val="20"/>
                <w:lang w:val="en-US"/>
              </w:rPr>
              <w:t>Protocol components</w:t>
            </w:r>
          </w:p>
        </w:tc>
        <w:tc>
          <w:tcPr>
            <w:tcW w:w="5186" w:type="dxa"/>
          </w:tcPr>
          <w:p w14:paraId="47FA781F" w14:textId="77777777" w:rsidR="0024153C" w:rsidRPr="0005197E" w:rsidRDefault="0024153C" w:rsidP="00680908">
            <w:pPr>
              <w:spacing w:after="120"/>
              <w:rPr>
                <w:b/>
                <w:bCs/>
                <w:i/>
                <w:iCs/>
                <w:color w:val="000000" w:themeColor="text1"/>
                <w:sz w:val="20"/>
                <w:szCs w:val="20"/>
                <w:lang w:val="en-US"/>
              </w:rPr>
            </w:pPr>
            <w:r w:rsidRPr="0005197E">
              <w:rPr>
                <w:b/>
                <w:bCs/>
                <w:i/>
                <w:iCs/>
                <w:color w:val="000000" w:themeColor="text1"/>
                <w:sz w:val="20"/>
                <w:szCs w:val="20"/>
                <w:lang w:val="en-US"/>
              </w:rPr>
              <w:t>Target trial specification</w:t>
            </w:r>
          </w:p>
        </w:tc>
        <w:tc>
          <w:tcPr>
            <w:tcW w:w="2409" w:type="dxa"/>
          </w:tcPr>
          <w:p w14:paraId="6EDF2376" w14:textId="77777777" w:rsidR="0024153C" w:rsidRPr="0005197E" w:rsidRDefault="0024153C" w:rsidP="00680908">
            <w:pPr>
              <w:spacing w:after="120"/>
              <w:rPr>
                <w:b/>
                <w:bCs/>
                <w:i/>
                <w:iCs/>
                <w:color w:val="000000" w:themeColor="text1"/>
                <w:sz w:val="20"/>
                <w:szCs w:val="20"/>
                <w:lang w:val="en-US"/>
              </w:rPr>
            </w:pPr>
            <w:r w:rsidRPr="0005197E">
              <w:rPr>
                <w:b/>
                <w:bCs/>
                <w:i/>
                <w:iCs/>
                <w:color w:val="000000" w:themeColor="text1"/>
                <w:sz w:val="20"/>
                <w:szCs w:val="20"/>
                <w:lang w:val="en-US"/>
              </w:rPr>
              <w:t xml:space="preserve">Observational emulation </w:t>
            </w:r>
          </w:p>
        </w:tc>
      </w:tr>
      <w:tr w:rsidR="0024153C" w:rsidRPr="0005197E" w14:paraId="1286D0A1" w14:textId="77777777" w:rsidTr="00680908">
        <w:trPr>
          <w:trHeight w:val="269"/>
        </w:trPr>
        <w:tc>
          <w:tcPr>
            <w:tcW w:w="1472" w:type="dxa"/>
          </w:tcPr>
          <w:p w14:paraId="68D42252" w14:textId="77777777" w:rsidR="0024153C" w:rsidRPr="0005197E" w:rsidRDefault="0024153C" w:rsidP="00680908">
            <w:pPr>
              <w:spacing w:after="120"/>
              <w:rPr>
                <w:color w:val="000000" w:themeColor="text1"/>
                <w:sz w:val="20"/>
                <w:szCs w:val="20"/>
                <w:lang w:val="en-US"/>
              </w:rPr>
            </w:pPr>
            <w:r w:rsidRPr="0005197E">
              <w:rPr>
                <w:color w:val="000000" w:themeColor="text1"/>
                <w:sz w:val="20"/>
                <w:szCs w:val="20"/>
                <w:lang w:val="en-US"/>
              </w:rPr>
              <w:t>Eligibility criteria</w:t>
            </w:r>
          </w:p>
        </w:tc>
        <w:tc>
          <w:tcPr>
            <w:tcW w:w="5186" w:type="dxa"/>
          </w:tcPr>
          <w:p w14:paraId="2D359070" w14:textId="77777777" w:rsidR="0024153C" w:rsidRPr="0005197E" w:rsidRDefault="0024153C" w:rsidP="0024153C">
            <w:pPr>
              <w:pStyle w:val="Paragraphedeliste"/>
              <w:numPr>
                <w:ilvl w:val="0"/>
                <w:numId w:val="4"/>
              </w:numPr>
              <w:spacing w:after="120"/>
              <w:rPr>
                <w:color w:val="000000" w:themeColor="text1"/>
                <w:sz w:val="20"/>
                <w:szCs w:val="20"/>
                <w:lang w:val="en-US"/>
              </w:rPr>
            </w:pPr>
            <w:r w:rsidRPr="0005197E">
              <w:rPr>
                <w:bCs/>
                <w:iCs/>
                <w:color w:val="000000" w:themeColor="text1"/>
                <w:sz w:val="20"/>
                <w:szCs w:val="20"/>
                <w:lang w:val="en-US"/>
              </w:rPr>
              <w:t xml:space="preserve">Patients ≥ 75 years old; </w:t>
            </w:r>
          </w:p>
          <w:p w14:paraId="7AF2E629" w14:textId="77777777" w:rsidR="0024153C" w:rsidRPr="0005197E" w:rsidRDefault="0024153C" w:rsidP="0024153C">
            <w:pPr>
              <w:pStyle w:val="Paragraphedeliste"/>
              <w:numPr>
                <w:ilvl w:val="0"/>
                <w:numId w:val="4"/>
              </w:numPr>
              <w:spacing w:after="120"/>
              <w:rPr>
                <w:color w:val="000000" w:themeColor="text1"/>
                <w:sz w:val="20"/>
                <w:szCs w:val="20"/>
                <w:lang w:val="en-US"/>
              </w:rPr>
            </w:pPr>
            <w:r w:rsidRPr="0005197E">
              <w:rPr>
                <w:bCs/>
                <w:iCs/>
                <w:color w:val="000000" w:themeColor="text1"/>
                <w:sz w:val="20"/>
                <w:szCs w:val="20"/>
                <w:lang w:val="en-US"/>
              </w:rPr>
              <w:t xml:space="preserve">With confirmed AF or flutter diagnosed during the hospital stay on an ECG or known comorbidity of the patient (hospitalization or consultation reports, transthoracic echocardiography, Holter ECG); </w:t>
            </w:r>
          </w:p>
          <w:p w14:paraId="5374AC0D" w14:textId="77777777" w:rsidR="0024153C" w:rsidRPr="0005197E" w:rsidRDefault="0024153C" w:rsidP="0024153C">
            <w:pPr>
              <w:pStyle w:val="Paragraphedeliste"/>
              <w:numPr>
                <w:ilvl w:val="0"/>
                <w:numId w:val="4"/>
              </w:numPr>
              <w:spacing w:after="120"/>
              <w:rPr>
                <w:color w:val="000000" w:themeColor="text1"/>
                <w:sz w:val="20"/>
                <w:szCs w:val="20"/>
                <w:lang w:val="en-US"/>
              </w:rPr>
            </w:pPr>
            <w:r w:rsidRPr="0005197E">
              <w:rPr>
                <w:bCs/>
                <w:iCs/>
                <w:color w:val="000000" w:themeColor="text1"/>
                <w:sz w:val="20"/>
                <w:szCs w:val="20"/>
                <w:lang w:val="en-US"/>
              </w:rPr>
              <w:t xml:space="preserve">With confirmed AF defined by a “a heart rhythm with no discernible repetitive P waves and irregular RR intervals on a standard 12-lead ECG recording or a sinusoidal ECG trace lasting </w:t>
            </w:r>
            <w:r w:rsidRPr="0005197E">
              <w:rPr>
                <w:color w:val="000000" w:themeColor="text1"/>
                <w:sz w:val="20"/>
                <w:szCs w:val="20"/>
                <w:lang w:val="en-US"/>
              </w:rPr>
              <w:t>≥</w:t>
            </w:r>
            <w:r w:rsidRPr="0005197E">
              <w:rPr>
                <w:bCs/>
                <w:iCs/>
                <w:color w:val="000000" w:themeColor="text1"/>
                <w:sz w:val="20"/>
                <w:szCs w:val="20"/>
                <w:lang w:val="en-US"/>
              </w:rPr>
              <w:t xml:space="preserve"> 30 s”. AF was therefore considered present if it was diagnosed either during the hospital stay or identified as a pre-existing condition based on prior ECGs, hospitalization or consultation reports, transthoracic echocardiography, or Holter monitoring.</w:t>
            </w:r>
          </w:p>
          <w:p w14:paraId="3DF963FC" w14:textId="77777777" w:rsidR="0024153C" w:rsidRPr="0005197E" w:rsidRDefault="0024153C" w:rsidP="0024153C">
            <w:pPr>
              <w:pStyle w:val="Paragraphedeliste"/>
              <w:numPr>
                <w:ilvl w:val="0"/>
                <w:numId w:val="4"/>
              </w:numPr>
              <w:spacing w:after="120"/>
              <w:rPr>
                <w:color w:val="000000" w:themeColor="text1"/>
                <w:sz w:val="20"/>
                <w:szCs w:val="20"/>
                <w:lang w:val="en-US"/>
              </w:rPr>
            </w:pPr>
            <w:r w:rsidRPr="0005197E">
              <w:rPr>
                <w:bCs/>
                <w:iCs/>
                <w:color w:val="000000" w:themeColor="text1"/>
                <w:sz w:val="20"/>
                <w:szCs w:val="20"/>
                <w:lang w:val="en-US"/>
              </w:rPr>
              <w:t xml:space="preserve">Admitted to hospital from May 2021 and January 2024; </w:t>
            </w:r>
          </w:p>
          <w:p w14:paraId="237D9EA7" w14:textId="77777777" w:rsidR="0024153C" w:rsidRPr="0005197E" w:rsidRDefault="0024153C" w:rsidP="0024153C">
            <w:pPr>
              <w:pStyle w:val="Paragraphedeliste"/>
              <w:numPr>
                <w:ilvl w:val="0"/>
                <w:numId w:val="4"/>
              </w:numPr>
              <w:spacing w:after="120"/>
              <w:rPr>
                <w:color w:val="000000" w:themeColor="text1"/>
                <w:sz w:val="20"/>
                <w:szCs w:val="20"/>
                <w:lang w:val="en-US"/>
              </w:rPr>
            </w:pPr>
            <w:r w:rsidRPr="0005197E">
              <w:rPr>
                <w:bCs/>
                <w:iCs/>
                <w:color w:val="000000" w:themeColor="text1"/>
                <w:sz w:val="20"/>
                <w:szCs w:val="20"/>
                <w:lang w:val="en-US"/>
              </w:rPr>
              <w:t>Not opposed for the use of their medical data</w:t>
            </w:r>
          </w:p>
        </w:tc>
        <w:tc>
          <w:tcPr>
            <w:tcW w:w="2409" w:type="dxa"/>
          </w:tcPr>
          <w:p w14:paraId="253C39EC" w14:textId="77777777" w:rsidR="0024153C" w:rsidRPr="0005197E" w:rsidRDefault="0024153C" w:rsidP="00680908">
            <w:pPr>
              <w:spacing w:after="120"/>
              <w:rPr>
                <w:color w:val="000000" w:themeColor="text1"/>
                <w:sz w:val="20"/>
                <w:szCs w:val="20"/>
                <w:lang w:val="en-US"/>
              </w:rPr>
            </w:pPr>
            <w:r w:rsidRPr="0005197E">
              <w:rPr>
                <w:color w:val="000000" w:themeColor="text1"/>
                <w:sz w:val="20"/>
                <w:szCs w:val="20"/>
                <w:lang w:val="en-US"/>
              </w:rPr>
              <w:t xml:space="preserve">Same as for the target trial </w:t>
            </w:r>
          </w:p>
        </w:tc>
      </w:tr>
      <w:tr w:rsidR="0024153C" w:rsidRPr="0005197E" w14:paraId="78ABFE25" w14:textId="77777777" w:rsidTr="00680908">
        <w:trPr>
          <w:trHeight w:val="269"/>
        </w:trPr>
        <w:tc>
          <w:tcPr>
            <w:tcW w:w="1472" w:type="dxa"/>
          </w:tcPr>
          <w:p w14:paraId="58FE6550" w14:textId="77777777" w:rsidR="0024153C" w:rsidRPr="0005197E" w:rsidRDefault="0024153C" w:rsidP="00680908">
            <w:pPr>
              <w:spacing w:after="120"/>
              <w:rPr>
                <w:color w:val="000000" w:themeColor="text1"/>
                <w:sz w:val="20"/>
                <w:szCs w:val="20"/>
                <w:lang w:val="en-US"/>
              </w:rPr>
            </w:pPr>
            <w:r w:rsidRPr="0005197E">
              <w:rPr>
                <w:color w:val="000000" w:themeColor="text1"/>
                <w:sz w:val="20"/>
                <w:szCs w:val="20"/>
                <w:lang w:val="en-US"/>
              </w:rPr>
              <w:t>Intervention strategies</w:t>
            </w:r>
          </w:p>
        </w:tc>
        <w:tc>
          <w:tcPr>
            <w:tcW w:w="5186" w:type="dxa"/>
          </w:tcPr>
          <w:p w14:paraId="32818A13" w14:textId="77777777" w:rsidR="0024153C" w:rsidRPr="0005197E" w:rsidRDefault="0024153C" w:rsidP="00680908">
            <w:pPr>
              <w:spacing w:after="120"/>
              <w:rPr>
                <w:color w:val="000000" w:themeColor="text1"/>
                <w:sz w:val="20"/>
                <w:szCs w:val="20"/>
                <w:lang w:val="en-US"/>
              </w:rPr>
            </w:pPr>
            <w:r w:rsidRPr="0005197E">
              <w:rPr>
                <w:i/>
                <w:iCs/>
                <w:color w:val="000000" w:themeColor="text1"/>
                <w:sz w:val="20"/>
                <w:szCs w:val="20"/>
                <w:lang w:val="en-US"/>
              </w:rPr>
              <w:t>Intervention arm</w:t>
            </w:r>
            <w:r w:rsidRPr="0005197E">
              <w:rPr>
                <w:color w:val="000000" w:themeColor="text1"/>
                <w:sz w:val="20"/>
                <w:szCs w:val="20"/>
                <w:lang w:val="en-US"/>
              </w:rPr>
              <w:t xml:space="preserve">: Discussion of a patient's specific situation as part of a hospital multidisciplinary team meeting, with final recommendations on the management of antithrombotic treatments (continuation, discontinuation, indication for atrial closure, additional tests, etc.). The final decision is made by the patient's referring physician. Discussion is hospital multidisciplinary team meeting must occur in the 45 days after randomization. </w:t>
            </w:r>
          </w:p>
          <w:p w14:paraId="2E9AD6D7" w14:textId="77777777" w:rsidR="0024153C" w:rsidRPr="0005197E" w:rsidRDefault="0024153C" w:rsidP="00680908">
            <w:pPr>
              <w:spacing w:after="120"/>
              <w:rPr>
                <w:color w:val="000000" w:themeColor="text1"/>
                <w:sz w:val="20"/>
                <w:szCs w:val="20"/>
                <w:lang w:val="en-US"/>
              </w:rPr>
            </w:pPr>
          </w:p>
          <w:p w14:paraId="0530CB14" w14:textId="77777777" w:rsidR="0024153C" w:rsidRPr="0005197E" w:rsidRDefault="0024153C" w:rsidP="00680908">
            <w:pPr>
              <w:spacing w:after="120"/>
              <w:rPr>
                <w:color w:val="000000" w:themeColor="text1"/>
                <w:sz w:val="20"/>
                <w:szCs w:val="20"/>
                <w:lang w:val="en-US"/>
              </w:rPr>
            </w:pPr>
            <w:r w:rsidRPr="0005197E">
              <w:rPr>
                <w:i/>
                <w:iCs/>
                <w:color w:val="000000" w:themeColor="text1"/>
                <w:sz w:val="20"/>
                <w:szCs w:val="20"/>
                <w:lang w:val="en-US"/>
              </w:rPr>
              <w:t>Non-intervention arm:</w:t>
            </w:r>
            <w:r w:rsidRPr="0005197E">
              <w:rPr>
                <w:color w:val="000000" w:themeColor="text1"/>
                <w:sz w:val="20"/>
                <w:szCs w:val="20"/>
                <w:lang w:val="en-US"/>
              </w:rPr>
              <w:t xml:space="preserve"> The decision regarding </w:t>
            </w:r>
            <w:proofErr w:type="spellStart"/>
            <w:r w:rsidRPr="0005197E">
              <w:rPr>
                <w:color w:val="000000" w:themeColor="text1"/>
                <w:sz w:val="20"/>
                <w:szCs w:val="20"/>
                <w:lang w:val="en-US"/>
              </w:rPr>
              <w:t>antithrombotics</w:t>
            </w:r>
            <w:proofErr w:type="spellEnd"/>
            <w:r w:rsidRPr="0005197E">
              <w:rPr>
                <w:color w:val="000000" w:themeColor="text1"/>
                <w:sz w:val="20"/>
                <w:szCs w:val="20"/>
                <w:lang w:val="en-US"/>
              </w:rPr>
              <w:t xml:space="preserve"> management is made by the physician in charge of the patient, without prior consultation with the multidisciplinary team mentioned above.</w:t>
            </w:r>
          </w:p>
          <w:p w14:paraId="3BEB70FE" w14:textId="77777777" w:rsidR="0024153C" w:rsidRPr="0005197E" w:rsidRDefault="0024153C" w:rsidP="00680908">
            <w:pPr>
              <w:spacing w:after="120"/>
              <w:rPr>
                <w:color w:val="000000" w:themeColor="text1"/>
                <w:sz w:val="20"/>
                <w:szCs w:val="20"/>
                <w:lang w:val="en-US"/>
              </w:rPr>
            </w:pPr>
            <w:r w:rsidRPr="0005197E">
              <w:rPr>
                <w:color w:val="000000" w:themeColor="text1"/>
                <w:sz w:val="20"/>
                <w:szCs w:val="20"/>
                <w:lang w:val="en-US"/>
              </w:rPr>
              <w:t>The physician and the participant are aware of the intervention (open-label trial)</w:t>
            </w:r>
          </w:p>
        </w:tc>
        <w:tc>
          <w:tcPr>
            <w:tcW w:w="2409" w:type="dxa"/>
          </w:tcPr>
          <w:p w14:paraId="525A98FD" w14:textId="77777777" w:rsidR="0024153C" w:rsidRPr="0005197E" w:rsidRDefault="0024153C" w:rsidP="00680908">
            <w:pPr>
              <w:spacing w:after="120"/>
              <w:rPr>
                <w:color w:val="000000" w:themeColor="text1"/>
                <w:sz w:val="20"/>
                <w:szCs w:val="20"/>
                <w:lang w:val="en-US"/>
              </w:rPr>
            </w:pPr>
            <w:r w:rsidRPr="0005197E">
              <w:rPr>
                <w:color w:val="000000" w:themeColor="text1"/>
                <w:sz w:val="20"/>
                <w:szCs w:val="20"/>
                <w:lang w:val="en-US"/>
              </w:rPr>
              <w:t>Same as for the target trial, with a 45-day grace period</w:t>
            </w:r>
          </w:p>
        </w:tc>
      </w:tr>
      <w:tr w:rsidR="0024153C" w:rsidRPr="0005197E" w14:paraId="3906AC99" w14:textId="77777777" w:rsidTr="00680908">
        <w:trPr>
          <w:trHeight w:val="269"/>
        </w:trPr>
        <w:tc>
          <w:tcPr>
            <w:tcW w:w="1472" w:type="dxa"/>
          </w:tcPr>
          <w:p w14:paraId="7941C248" w14:textId="77777777" w:rsidR="0024153C" w:rsidRPr="0005197E" w:rsidRDefault="0024153C" w:rsidP="00680908">
            <w:pPr>
              <w:spacing w:after="120"/>
              <w:rPr>
                <w:color w:val="000000" w:themeColor="text1"/>
                <w:sz w:val="20"/>
                <w:szCs w:val="20"/>
                <w:lang w:val="en-US"/>
              </w:rPr>
            </w:pPr>
            <w:r w:rsidRPr="0005197E">
              <w:rPr>
                <w:color w:val="000000" w:themeColor="text1"/>
                <w:sz w:val="20"/>
                <w:szCs w:val="20"/>
                <w:lang w:val="en-US"/>
              </w:rPr>
              <w:t>Assignment procedures</w:t>
            </w:r>
          </w:p>
        </w:tc>
        <w:tc>
          <w:tcPr>
            <w:tcW w:w="5186" w:type="dxa"/>
          </w:tcPr>
          <w:p w14:paraId="6AC7331F" w14:textId="77777777" w:rsidR="0024153C" w:rsidRPr="0005197E" w:rsidRDefault="0024153C" w:rsidP="00680908">
            <w:pPr>
              <w:spacing w:after="120"/>
              <w:rPr>
                <w:color w:val="000000" w:themeColor="text1"/>
                <w:sz w:val="20"/>
                <w:szCs w:val="20"/>
                <w:lang w:val="en-US"/>
              </w:rPr>
            </w:pPr>
            <w:r w:rsidRPr="0005197E">
              <w:rPr>
                <w:color w:val="000000" w:themeColor="text1"/>
                <w:sz w:val="20"/>
                <w:szCs w:val="20"/>
                <w:lang w:val="en-US"/>
              </w:rPr>
              <w:t xml:space="preserve">The participants are randomized to the 2 intervention strategies as soon as they fulfilled the eligibility criteria. </w:t>
            </w:r>
          </w:p>
          <w:p w14:paraId="77012CE9" w14:textId="77777777" w:rsidR="0024153C" w:rsidRPr="0005197E" w:rsidRDefault="0024153C" w:rsidP="00680908">
            <w:pPr>
              <w:spacing w:after="120"/>
              <w:rPr>
                <w:color w:val="000000" w:themeColor="text1"/>
                <w:sz w:val="20"/>
                <w:szCs w:val="20"/>
                <w:lang w:val="en-US"/>
              </w:rPr>
            </w:pPr>
          </w:p>
        </w:tc>
        <w:tc>
          <w:tcPr>
            <w:tcW w:w="2409" w:type="dxa"/>
          </w:tcPr>
          <w:p w14:paraId="0324E235" w14:textId="77777777" w:rsidR="0024153C" w:rsidRPr="0005197E" w:rsidRDefault="0024153C" w:rsidP="00680908">
            <w:pPr>
              <w:spacing w:after="120"/>
              <w:rPr>
                <w:color w:val="000000" w:themeColor="text1"/>
                <w:sz w:val="20"/>
                <w:szCs w:val="20"/>
                <w:lang w:val="en-US"/>
              </w:rPr>
            </w:pPr>
            <w:r w:rsidRPr="0005197E">
              <w:rPr>
                <w:color w:val="000000" w:themeColor="text1"/>
                <w:sz w:val="20"/>
                <w:szCs w:val="20"/>
                <w:lang w:val="en-US"/>
              </w:rPr>
              <w:t>Patients are non-randomly assigned to an intervention strategy. Randomization is emulated via cloning of patients in both arms.</w:t>
            </w:r>
          </w:p>
        </w:tc>
      </w:tr>
      <w:tr w:rsidR="0024153C" w:rsidRPr="0005197E" w14:paraId="1CD8A781" w14:textId="77777777" w:rsidTr="00680908">
        <w:trPr>
          <w:trHeight w:val="269"/>
        </w:trPr>
        <w:tc>
          <w:tcPr>
            <w:tcW w:w="1472" w:type="dxa"/>
          </w:tcPr>
          <w:p w14:paraId="50183CE7" w14:textId="77777777" w:rsidR="0024153C" w:rsidRPr="0005197E" w:rsidRDefault="0024153C" w:rsidP="00680908">
            <w:pPr>
              <w:spacing w:after="120"/>
              <w:rPr>
                <w:color w:val="000000" w:themeColor="text1"/>
                <w:sz w:val="20"/>
                <w:szCs w:val="20"/>
                <w:lang w:val="en-US"/>
              </w:rPr>
            </w:pPr>
            <w:r w:rsidRPr="0005197E">
              <w:rPr>
                <w:color w:val="000000" w:themeColor="text1"/>
                <w:sz w:val="20"/>
                <w:szCs w:val="20"/>
                <w:lang w:val="en-US"/>
              </w:rPr>
              <w:t xml:space="preserve">Follow-up </w:t>
            </w:r>
          </w:p>
        </w:tc>
        <w:tc>
          <w:tcPr>
            <w:tcW w:w="5186" w:type="dxa"/>
          </w:tcPr>
          <w:p w14:paraId="4CE55A29" w14:textId="77777777" w:rsidR="0024153C" w:rsidRPr="0005197E" w:rsidRDefault="0024153C" w:rsidP="00680908">
            <w:pPr>
              <w:spacing w:after="120"/>
              <w:rPr>
                <w:color w:val="000000" w:themeColor="text1"/>
                <w:sz w:val="20"/>
                <w:szCs w:val="20"/>
                <w:lang w:val="en-US"/>
              </w:rPr>
            </w:pPr>
            <w:r w:rsidRPr="0005197E">
              <w:rPr>
                <w:color w:val="000000" w:themeColor="text1"/>
                <w:sz w:val="20"/>
                <w:szCs w:val="20"/>
                <w:lang w:val="en-US"/>
              </w:rPr>
              <w:t xml:space="preserve">The participants are followed from randomization, up to death, major thromboembolic or major or </w:t>
            </w:r>
            <w:r w:rsidRPr="0005197E">
              <w:rPr>
                <w:color w:val="000000" w:themeColor="text1"/>
                <w:sz w:val="20"/>
                <w:szCs w:val="20"/>
                <w:shd w:val="clear" w:color="auto" w:fill="FFFFFF"/>
                <w:lang w:val="en-GB"/>
              </w:rPr>
              <w:t>clinically relevant bleeding events</w:t>
            </w:r>
            <w:r w:rsidRPr="0005197E">
              <w:rPr>
                <w:color w:val="000000" w:themeColor="text1"/>
                <w:sz w:val="20"/>
                <w:szCs w:val="20"/>
                <w:lang w:val="en-US"/>
              </w:rPr>
              <w:t xml:space="preserve">, lost to follow-up or 6 months whichever comes first. </w:t>
            </w:r>
          </w:p>
        </w:tc>
        <w:tc>
          <w:tcPr>
            <w:tcW w:w="2409" w:type="dxa"/>
          </w:tcPr>
          <w:p w14:paraId="15C0B47C" w14:textId="77777777" w:rsidR="0024153C" w:rsidRPr="0005197E" w:rsidRDefault="0024153C" w:rsidP="00680908">
            <w:pPr>
              <w:spacing w:after="120"/>
              <w:rPr>
                <w:color w:val="000000" w:themeColor="text1"/>
                <w:sz w:val="20"/>
                <w:szCs w:val="20"/>
                <w:lang w:val="en-US"/>
              </w:rPr>
            </w:pPr>
            <w:r w:rsidRPr="0005197E">
              <w:rPr>
                <w:color w:val="000000" w:themeColor="text1"/>
                <w:sz w:val="20"/>
                <w:szCs w:val="20"/>
                <w:lang w:val="en-US"/>
              </w:rPr>
              <w:t xml:space="preserve">Follow up starts when participants are eligible to the study (hospital admission or later if AF occurs during hospitalization) </w:t>
            </w:r>
          </w:p>
        </w:tc>
      </w:tr>
      <w:tr w:rsidR="0024153C" w:rsidRPr="0005197E" w14:paraId="392F95A8" w14:textId="77777777" w:rsidTr="00680908">
        <w:trPr>
          <w:trHeight w:val="269"/>
        </w:trPr>
        <w:tc>
          <w:tcPr>
            <w:tcW w:w="1472" w:type="dxa"/>
          </w:tcPr>
          <w:p w14:paraId="3E9ECB04" w14:textId="77777777" w:rsidR="0024153C" w:rsidRPr="0005197E" w:rsidRDefault="0024153C" w:rsidP="00680908">
            <w:pPr>
              <w:spacing w:after="120"/>
              <w:rPr>
                <w:color w:val="000000" w:themeColor="text1"/>
                <w:sz w:val="20"/>
                <w:szCs w:val="20"/>
                <w:lang w:val="en-US"/>
              </w:rPr>
            </w:pPr>
            <w:r w:rsidRPr="0005197E">
              <w:rPr>
                <w:color w:val="000000" w:themeColor="text1"/>
                <w:sz w:val="20"/>
                <w:szCs w:val="20"/>
                <w:lang w:val="en-US"/>
              </w:rPr>
              <w:t>Outcomes</w:t>
            </w:r>
          </w:p>
        </w:tc>
        <w:tc>
          <w:tcPr>
            <w:tcW w:w="5186" w:type="dxa"/>
          </w:tcPr>
          <w:p w14:paraId="6CDF3968" w14:textId="77777777" w:rsidR="0024153C" w:rsidRPr="0005197E" w:rsidRDefault="0024153C" w:rsidP="00680908">
            <w:pPr>
              <w:spacing w:after="120"/>
              <w:rPr>
                <w:bCs/>
                <w:iCs/>
                <w:color w:val="000000" w:themeColor="text1"/>
                <w:sz w:val="20"/>
                <w:szCs w:val="20"/>
                <w:lang w:val="en-US"/>
              </w:rPr>
            </w:pPr>
            <w:r w:rsidRPr="0005197E">
              <w:rPr>
                <w:bCs/>
                <w:i/>
                <w:color w:val="000000" w:themeColor="text1"/>
                <w:sz w:val="20"/>
                <w:szCs w:val="20"/>
                <w:lang w:val="en-US"/>
              </w:rPr>
              <w:t>Primary outcome</w:t>
            </w:r>
            <w:r w:rsidRPr="0005197E">
              <w:rPr>
                <w:bCs/>
                <w:iCs/>
                <w:color w:val="000000" w:themeColor="text1"/>
                <w:sz w:val="20"/>
                <w:szCs w:val="20"/>
                <w:lang w:val="en-US"/>
              </w:rPr>
              <w:t xml:space="preserve"> </w:t>
            </w:r>
            <w:r w:rsidRPr="0005197E">
              <w:rPr>
                <w:bCs/>
                <w:i/>
                <w:color w:val="000000" w:themeColor="text1"/>
                <w:sz w:val="20"/>
                <w:szCs w:val="20"/>
                <w:lang w:val="en-US"/>
              </w:rPr>
              <w:t>(composite):</w:t>
            </w:r>
            <w:r w:rsidRPr="0005197E">
              <w:rPr>
                <w:bCs/>
                <w:iCs/>
                <w:color w:val="000000" w:themeColor="text1"/>
                <w:sz w:val="20"/>
                <w:szCs w:val="20"/>
                <w:lang w:val="en-US"/>
              </w:rPr>
              <w:t xml:space="preserve"> </w:t>
            </w:r>
          </w:p>
          <w:p w14:paraId="4AAA4CA2" w14:textId="77777777" w:rsidR="0024153C" w:rsidRPr="0005197E" w:rsidRDefault="0024153C" w:rsidP="0024153C">
            <w:pPr>
              <w:pStyle w:val="Paragraphedeliste"/>
              <w:numPr>
                <w:ilvl w:val="0"/>
                <w:numId w:val="1"/>
              </w:numPr>
              <w:spacing w:after="120"/>
              <w:rPr>
                <w:color w:val="000000" w:themeColor="text1"/>
                <w:sz w:val="20"/>
                <w:szCs w:val="20"/>
                <w:lang w:val="en-US"/>
              </w:rPr>
            </w:pPr>
            <w:r w:rsidRPr="0005197E">
              <w:rPr>
                <w:color w:val="000000" w:themeColor="text1"/>
                <w:sz w:val="20"/>
                <w:szCs w:val="20"/>
                <w:lang w:val="en-US"/>
              </w:rPr>
              <w:t>Occurrence of major thromboembolic events, major bleeding events or death, whichever occurs first, in the 6 months after inclusion.</w:t>
            </w:r>
          </w:p>
          <w:p w14:paraId="024AB474" w14:textId="77777777" w:rsidR="0024153C" w:rsidRPr="0005197E" w:rsidRDefault="0024153C" w:rsidP="0024153C">
            <w:pPr>
              <w:pStyle w:val="Paragraphedeliste"/>
              <w:numPr>
                <w:ilvl w:val="0"/>
                <w:numId w:val="1"/>
              </w:numPr>
              <w:spacing w:after="120"/>
              <w:rPr>
                <w:color w:val="000000" w:themeColor="text1"/>
                <w:sz w:val="20"/>
                <w:szCs w:val="20"/>
                <w:lang w:val="en-US"/>
              </w:rPr>
            </w:pPr>
            <w:r w:rsidRPr="0005197E">
              <w:rPr>
                <w:color w:val="000000" w:themeColor="text1"/>
                <w:sz w:val="20"/>
                <w:szCs w:val="20"/>
                <w:lang w:val="en-US"/>
              </w:rPr>
              <w:t xml:space="preserve">Major thromboembolic events included: </w:t>
            </w:r>
          </w:p>
          <w:p w14:paraId="06F97234" w14:textId="77777777" w:rsidR="0024153C" w:rsidRPr="0005197E" w:rsidRDefault="0024153C" w:rsidP="0024153C">
            <w:pPr>
              <w:pStyle w:val="Paragraphedeliste"/>
              <w:numPr>
                <w:ilvl w:val="0"/>
                <w:numId w:val="3"/>
              </w:numPr>
              <w:spacing w:after="120"/>
              <w:rPr>
                <w:color w:val="000000" w:themeColor="text1"/>
                <w:sz w:val="20"/>
                <w:szCs w:val="20"/>
                <w:lang w:val="en-US"/>
              </w:rPr>
            </w:pPr>
            <w:r w:rsidRPr="0005197E">
              <w:rPr>
                <w:color w:val="000000" w:themeColor="text1"/>
                <w:sz w:val="20"/>
                <w:szCs w:val="20"/>
                <w:lang w:val="en-US"/>
              </w:rPr>
              <w:t>ACS,</w:t>
            </w:r>
          </w:p>
          <w:p w14:paraId="2A9EE0E1" w14:textId="77777777" w:rsidR="0024153C" w:rsidRPr="0005197E" w:rsidRDefault="0024153C" w:rsidP="0024153C">
            <w:pPr>
              <w:pStyle w:val="Paragraphedeliste"/>
              <w:numPr>
                <w:ilvl w:val="0"/>
                <w:numId w:val="3"/>
              </w:numPr>
              <w:spacing w:after="120"/>
              <w:rPr>
                <w:color w:val="000000" w:themeColor="text1"/>
                <w:sz w:val="20"/>
                <w:szCs w:val="20"/>
                <w:lang w:val="en-US"/>
              </w:rPr>
            </w:pPr>
            <w:r w:rsidRPr="0005197E">
              <w:rPr>
                <w:color w:val="000000" w:themeColor="text1"/>
                <w:sz w:val="20"/>
                <w:szCs w:val="20"/>
                <w:lang w:val="en-US"/>
              </w:rPr>
              <w:t xml:space="preserve">ischemic strokes, </w:t>
            </w:r>
          </w:p>
          <w:p w14:paraId="2C25D3BF" w14:textId="77777777" w:rsidR="0024153C" w:rsidRPr="0005197E" w:rsidRDefault="0024153C" w:rsidP="0024153C">
            <w:pPr>
              <w:pStyle w:val="Paragraphedeliste"/>
              <w:numPr>
                <w:ilvl w:val="0"/>
                <w:numId w:val="3"/>
              </w:numPr>
              <w:spacing w:after="120"/>
              <w:rPr>
                <w:color w:val="000000" w:themeColor="text1"/>
                <w:sz w:val="20"/>
                <w:szCs w:val="20"/>
                <w:lang w:val="en-US"/>
              </w:rPr>
            </w:pPr>
            <w:r w:rsidRPr="0005197E">
              <w:rPr>
                <w:color w:val="000000" w:themeColor="text1"/>
                <w:sz w:val="20"/>
                <w:szCs w:val="20"/>
                <w:lang w:val="en-US"/>
              </w:rPr>
              <w:t>TIA,</w:t>
            </w:r>
          </w:p>
          <w:p w14:paraId="423923EF" w14:textId="77777777" w:rsidR="0024153C" w:rsidRPr="0005197E" w:rsidRDefault="0024153C" w:rsidP="0024153C">
            <w:pPr>
              <w:pStyle w:val="Paragraphedeliste"/>
              <w:numPr>
                <w:ilvl w:val="0"/>
                <w:numId w:val="3"/>
              </w:numPr>
              <w:spacing w:after="120"/>
              <w:rPr>
                <w:color w:val="000000" w:themeColor="text1"/>
                <w:sz w:val="20"/>
                <w:szCs w:val="20"/>
                <w:lang w:val="en-US"/>
              </w:rPr>
            </w:pPr>
            <w:r w:rsidRPr="0005197E">
              <w:rPr>
                <w:color w:val="000000" w:themeColor="text1"/>
                <w:sz w:val="20"/>
                <w:szCs w:val="20"/>
                <w:lang w:val="en-US"/>
              </w:rPr>
              <w:t>arterial embolism,</w:t>
            </w:r>
          </w:p>
          <w:p w14:paraId="25246C58" w14:textId="77777777" w:rsidR="0024153C" w:rsidRPr="0005197E" w:rsidRDefault="0024153C" w:rsidP="0024153C">
            <w:pPr>
              <w:pStyle w:val="Paragraphedeliste"/>
              <w:numPr>
                <w:ilvl w:val="0"/>
                <w:numId w:val="3"/>
              </w:numPr>
              <w:spacing w:after="120"/>
              <w:rPr>
                <w:color w:val="000000" w:themeColor="text1"/>
                <w:sz w:val="20"/>
                <w:szCs w:val="20"/>
                <w:lang w:val="en-US"/>
              </w:rPr>
            </w:pPr>
            <w:r w:rsidRPr="0005197E">
              <w:rPr>
                <w:color w:val="000000" w:themeColor="text1"/>
                <w:sz w:val="20"/>
                <w:szCs w:val="20"/>
                <w:lang w:val="en-US"/>
              </w:rPr>
              <w:t>VTD,</w:t>
            </w:r>
          </w:p>
          <w:p w14:paraId="015D260B" w14:textId="77777777" w:rsidR="0024153C" w:rsidRPr="0005197E" w:rsidRDefault="0024153C" w:rsidP="0024153C">
            <w:pPr>
              <w:pStyle w:val="Paragraphedeliste"/>
              <w:numPr>
                <w:ilvl w:val="0"/>
                <w:numId w:val="3"/>
              </w:numPr>
              <w:spacing w:after="120"/>
              <w:rPr>
                <w:color w:val="000000" w:themeColor="text1"/>
                <w:sz w:val="20"/>
                <w:szCs w:val="20"/>
                <w:lang w:val="en-US"/>
              </w:rPr>
            </w:pPr>
            <w:r w:rsidRPr="0005197E">
              <w:rPr>
                <w:color w:val="000000" w:themeColor="text1"/>
                <w:sz w:val="20"/>
                <w:szCs w:val="20"/>
                <w:lang w:val="en-US"/>
              </w:rPr>
              <w:lastRenderedPageBreak/>
              <w:t xml:space="preserve">including DVT and PE. </w:t>
            </w:r>
          </w:p>
          <w:p w14:paraId="6D891EB4" w14:textId="77777777" w:rsidR="0024153C" w:rsidRPr="0005197E" w:rsidRDefault="0024153C" w:rsidP="0024153C">
            <w:pPr>
              <w:pStyle w:val="Paragraphedeliste"/>
              <w:numPr>
                <w:ilvl w:val="0"/>
                <w:numId w:val="1"/>
              </w:numPr>
              <w:spacing w:after="120"/>
              <w:rPr>
                <w:color w:val="000000" w:themeColor="text1"/>
                <w:sz w:val="20"/>
                <w:szCs w:val="20"/>
                <w:lang w:val="en-US"/>
              </w:rPr>
            </w:pPr>
            <w:r w:rsidRPr="0005197E">
              <w:rPr>
                <w:color w:val="000000" w:themeColor="text1"/>
                <w:sz w:val="20"/>
                <w:szCs w:val="20"/>
                <w:lang w:val="en-US"/>
              </w:rPr>
              <w:t xml:space="preserve">Major or CRB, included any bleeding event requiring medical consultation or hospitalization, i.e.: </w:t>
            </w:r>
          </w:p>
          <w:p w14:paraId="406BCDC3" w14:textId="77777777" w:rsidR="0024153C" w:rsidRPr="0005197E" w:rsidRDefault="0024153C" w:rsidP="0024153C">
            <w:pPr>
              <w:pStyle w:val="Paragraphedeliste"/>
              <w:numPr>
                <w:ilvl w:val="0"/>
                <w:numId w:val="2"/>
              </w:numPr>
              <w:spacing w:after="120"/>
              <w:rPr>
                <w:color w:val="000000" w:themeColor="text1"/>
                <w:sz w:val="20"/>
                <w:szCs w:val="20"/>
                <w:lang w:val="en-US"/>
              </w:rPr>
            </w:pPr>
            <w:r w:rsidRPr="0005197E">
              <w:rPr>
                <w:color w:val="000000" w:themeColor="text1"/>
                <w:sz w:val="20"/>
                <w:szCs w:val="20"/>
                <w:lang w:val="en-US"/>
              </w:rPr>
              <w:t>upper or lower digestive hemorrhage,</w:t>
            </w:r>
          </w:p>
          <w:p w14:paraId="02C18623" w14:textId="77777777" w:rsidR="0024153C" w:rsidRPr="0005197E" w:rsidRDefault="0024153C" w:rsidP="0024153C">
            <w:pPr>
              <w:pStyle w:val="Paragraphedeliste"/>
              <w:numPr>
                <w:ilvl w:val="0"/>
                <w:numId w:val="2"/>
              </w:numPr>
              <w:spacing w:after="120"/>
              <w:rPr>
                <w:color w:val="000000" w:themeColor="text1"/>
                <w:sz w:val="20"/>
                <w:szCs w:val="20"/>
                <w:lang w:val="en-US"/>
              </w:rPr>
            </w:pPr>
            <w:r w:rsidRPr="0005197E">
              <w:rPr>
                <w:color w:val="000000" w:themeColor="text1"/>
                <w:sz w:val="20"/>
                <w:szCs w:val="20"/>
                <w:lang w:val="en-US"/>
              </w:rPr>
              <w:t>subdural or extradural hematoma,</w:t>
            </w:r>
          </w:p>
          <w:p w14:paraId="5543AD74" w14:textId="77777777" w:rsidR="0024153C" w:rsidRPr="0005197E" w:rsidRDefault="0024153C" w:rsidP="0024153C">
            <w:pPr>
              <w:pStyle w:val="Paragraphedeliste"/>
              <w:numPr>
                <w:ilvl w:val="0"/>
                <w:numId w:val="2"/>
              </w:numPr>
              <w:spacing w:after="120"/>
              <w:rPr>
                <w:color w:val="000000" w:themeColor="text1"/>
                <w:sz w:val="20"/>
                <w:szCs w:val="20"/>
                <w:lang w:val="en-US"/>
              </w:rPr>
            </w:pPr>
            <w:r w:rsidRPr="0005197E">
              <w:rPr>
                <w:color w:val="000000" w:themeColor="text1"/>
                <w:sz w:val="20"/>
                <w:szCs w:val="20"/>
                <w:lang w:val="en-US"/>
              </w:rPr>
              <w:t>meningeal hemorrhage,</w:t>
            </w:r>
          </w:p>
          <w:p w14:paraId="20621296" w14:textId="77777777" w:rsidR="0024153C" w:rsidRPr="0005197E" w:rsidRDefault="0024153C" w:rsidP="0024153C">
            <w:pPr>
              <w:pStyle w:val="Paragraphedeliste"/>
              <w:numPr>
                <w:ilvl w:val="0"/>
                <w:numId w:val="2"/>
              </w:numPr>
              <w:spacing w:after="120"/>
              <w:rPr>
                <w:color w:val="000000" w:themeColor="text1"/>
                <w:sz w:val="20"/>
                <w:szCs w:val="20"/>
                <w:lang w:val="en-US"/>
              </w:rPr>
            </w:pPr>
            <w:r w:rsidRPr="0005197E">
              <w:rPr>
                <w:color w:val="000000" w:themeColor="text1"/>
                <w:sz w:val="20"/>
                <w:szCs w:val="20"/>
                <w:lang w:val="en-US"/>
              </w:rPr>
              <w:t>lobar or deep intracerebral hemorrhage,</w:t>
            </w:r>
          </w:p>
          <w:p w14:paraId="6D6FCDFF" w14:textId="77777777" w:rsidR="0024153C" w:rsidRPr="0005197E" w:rsidRDefault="0024153C" w:rsidP="0024153C">
            <w:pPr>
              <w:pStyle w:val="Paragraphedeliste"/>
              <w:numPr>
                <w:ilvl w:val="0"/>
                <w:numId w:val="2"/>
              </w:numPr>
              <w:spacing w:after="120"/>
              <w:rPr>
                <w:color w:val="000000" w:themeColor="text1"/>
                <w:sz w:val="20"/>
                <w:szCs w:val="20"/>
                <w:lang w:val="en-US"/>
              </w:rPr>
            </w:pPr>
            <w:r w:rsidRPr="0005197E">
              <w:rPr>
                <w:color w:val="000000" w:themeColor="text1"/>
                <w:sz w:val="20"/>
                <w:szCs w:val="20"/>
                <w:lang w:val="en-US"/>
              </w:rPr>
              <w:t>deep cerebral contusion,</w:t>
            </w:r>
          </w:p>
          <w:p w14:paraId="753E90BE" w14:textId="77777777" w:rsidR="0024153C" w:rsidRPr="0005197E" w:rsidRDefault="0024153C" w:rsidP="0024153C">
            <w:pPr>
              <w:pStyle w:val="Paragraphedeliste"/>
              <w:numPr>
                <w:ilvl w:val="0"/>
                <w:numId w:val="2"/>
              </w:numPr>
              <w:spacing w:after="120"/>
              <w:rPr>
                <w:color w:val="000000" w:themeColor="text1"/>
                <w:sz w:val="20"/>
                <w:szCs w:val="20"/>
                <w:lang w:val="en-US"/>
              </w:rPr>
            </w:pPr>
            <w:r w:rsidRPr="0005197E">
              <w:rPr>
                <w:color w:val="000000" w:themeColor="text1"/>
                <w:sz w:val="20"/>
                <w:szCs w:val="20"/>
                <w:lang w:val="en-US"/>
              </w:rPr>
              <w:t>psoas hematoma or another deep hematoma,</w:t>
            </w:r>
          </w:p>
          <w:p w14:paraId="7C43B272" w14:textId="77777777" w:rsidR="0024153C" w:rsidRPr="0005197E" w:rsidRDefault="0024153C" w:rsidP="0024153C">
            <w:pPr>
              <w:pStyle w:val="Paragraphedeliste"/>
              <w:numPr>
                <w:ilvl w:val="0"/>
                <w:numId w:val="2"/>
              </w:numPr>
              <w:spacing w:after="120"/>
              <w:rPr>
                <w:color w:val="000000" w:themeColor="text1"/>
                <w:sz w:val="20"/>
                <w:szCs w:val="20"/>
                <w:lang w:val="en-US"/>
              </w:rPr>
            </w:pPr>
            <w:r w:rsidRPr="0005197E">
              <w:rPr>
                <w:color w:val="000000" w:themeColor="text1"/>
                <w:sz w:val="20"/>
                <w:szCs w:val="20"/>
                <w:lang w:val="en-US"/>
              </w:rPr>
              <w:t>hemoptysis,</w:t>
            </w:r>
          </w:p>
          <w:p w14:paraId="4C21AF22" w14:textId="77777777" w:rsidR="0024153C" w:rsidRPr="0005197E" w:rsidRDefault="0024153C" w:rsidP="0024153C">
            <w:pPr>
              <w:pStyle w:val="Paragraphedeliste"/>
              <w:numPr>
                <w:ilvl w:val="0"/>
                <w:numId w:val="2"/>
              </w:numPr>
              <w:spacing w:after="120"/>
              <w:rPr>
                <w:color w:val="000000" w:themeColor="text1"/>
                <w:sz w:val="20"/>
                <w:szCs w:val="20"/>
                <w:lang w:val="en-US"/>
              </w:rPr>
            </w:pPr>
            <w:r w:rsidRPr="0005197E">
              <w:rPr>
                <w:color w:val="000000" w:themeColor="text1"/>
                <w:sz w:val="20"/>
                <w:szCs w:val="20"/>
                <w:lang w:val="en-US"/>
              </w:rPr>
              <w:t>hemothorax or hemoperitoneum,</w:t>
            </w:r>
          </w:p>
          <w:p w14:paraId="43487E99" w14:textId="77777777" w:rsidR="0024153C" w:rsidRPr="0005197E" w:rsidRDefault="0024153C" w:rsidP="0024153C">
            <w:pPr>
              <w:pStyle w:val="Paragraphedeliste"/>
              <w:numPr>
                <w:ilvl w:val="0"/>
                <w:numId w:val="2"/>
              </w:numPr>
              <w:spacing w:after="120"/>
              <w:rPr>
                <w:color w:val="000000" w:themeColor="text1"/>
                <w:sz w:val="20"/>
                <w:szCs w:val="20"/>
                <w:lang w:val="en-US"/>
              </w:rPr>
            </w:pPr>
            <w:r w:rsidRPr="0005197E">
              <w:rPr>
                <w:color w:val="000000" w:themeColor="text1"/>
                <w:sz w:val="20"/>
                <w:szCs w:val="20"/>
                <w:lang w:val="en-US"/>
              </w:rPr>
              <w:t>significant hematuria or epistaxis (consultation, hospitalization or specialized care),</w:t>
            </w:r>
          </w:p>
          <w:p w14:paraId="4F2D85DA" w14:textId="77777777" w:rsidR="0024153C" w:rsidRPr="0005197E" w:rsidRDefault="0024153C" w:rsidP="0024153C">
            <w:pPr>
              <w:pStyle w:val="Paragraphedeliste"/>
              <w:numPr>
                <w:ilvl w:val="0"/>
                <w:numId w:val="2"/>
              </w:numPr>
              <w:spacing w:after="120"/>
              <w:rPr>
                <w:color w:val="000000" w:themeColor="text1"/>
                <w:sz w:val="20"/>
                <w:szCs w:val="20"/>
                <w:lang w:val="en-US"/>
              </w:rPr>
            </w:pPr>
            <w:r w:rsidRPr="0005197E">
              <w:rPr>
                <w:color w:val="000000" w:themeColor="text1"/>
                <w:sz w:val="20"/>
                <w:szCs w:val="20"/>
                <w:lang w:val="en-US"/>
              </w:rPr>
              <w:t>gynecological hemorrhage,</w:t>
            </w:r>
          </w:p>
          <w:p w14:paraId="2074E6F8" w14:textId="77777777" w:rsidR="0024153C" w:rsidRPr="0005197E" w:rsidRDefault="0024153C" w:rsidP="0024153C">
            <w:pPr>
              <w:pStyle w:val="Paragraphedeliste"/>
              <w:numPr>
                <w:ilvl w:val="0"/>
                <w:numId w:val="2"/>
              </w:numPr>
              <w:spacing w:after="120"/>
              <w:rPr>
                <w:color w:val="000000" w:themeColor="text1"/>
                <w:sz w:val="20"/>
                <w:szCs w:val="20"/>
                <w:lang w:val="en-US"/>
              </w:rPr>
            </w:pPr>
            <w:r w:rsidRPr="0005197E">
              <w:rPr>
                <w:color w:val="000000" w:themeColor="text1"/>
                <w:sz w:val="20"/>
                <w:szCs w:val="20"/>
                <w:lang w:val="en-US"/>
              </w:rPr>
              <w:t>ophthalmological bleeding,</w:t>
            </w:r>
          </w:p>
          <w:p w14:paraId="3FCD8BB7" w14:textId="77777777" w:rsidR="0024153C" w:rsidRPr="0005197E" w:rsidRDefault="0024153C" w:rsidP="0024153C">
            <w:pPr>
              <w:pStyle w:val="Paragraphedeliste"/>
              <w:numPr>
                <w:ilvl w:val="0"/>
                <w:numId w:val="2"/>
              </w:numPr>
              <w:spacing w:after="120"/>
              <w:rPr>
                <w:color w:val="000000" w:themeColor="text1"/>
                <w:sz w:val="20"/>
                <w:szCs w:val="20"/>
                <w:lang w:val="en-US"/>
              </w:rPr>
            </w:pPr>
            <w:r w:rsidRPr="0005197E">
              <w:rPr>
                <w:color w:val="000000" w:themeColor="text1"/>
                <w:sz w:val="20"/>
                <w:szCs w:val="20"/>
                <w:lang w:val="en-US"/>
              </w:rPr>
              <w:t>suspected occult bleeding requiring transfusion</w:t>
            </w:r>
          </w:p>
          <w:p w14:paraId="4B75BA3B" w14:textId="77777777" w:rsidR="0024153C" w:rsidRPr="0005197E" w:rsidRDefault="0024153C" w:rsidP="00680908">
            <w:pPr>
              <w:spacing w:after="120"/>
              <w:rPr>
                <w:color w:val="000000" w:themeColor="text1"/>
                <w:sz w:val="20"/>
                <w:szCs w:val="20"/>
                <w:lang w:val="en-US"/>
              </w:rPr>
            </w:pPr>
            <w:r w:rsidRPr="0005197E">
              <w:rPr>
                <w:i/>
                <w:iCs/>
                <w:color w:val="000000" w:themeColor="text1"/>
                <w:sz w:val="20"/>
                <w:szCs w:val="20"/>
                <w:lang w:val="en-US"/>
              </w:rPr>
              <w:t>Secondary outcomes</w:t>
            </w:r>
            <w:r w:rsidRPr="0005197E">
              <w:rPr>
                <w:color w:val="000000" w:themeColor="text1"/>
                <w:sz w:val="20"/>
                <w:szCs w:val="20"/>
                <w:lang w:val="en-US"/>
              </w:rPr>
              <w:t xml:space="preserve"> </w:t>
            </w:r>
          </w:p>
          <w:p w14:paraId="7E763F99" w14:textId="77777777" w:rsidR="0024153C" w:rsidRPr="0005197E" w:rsidRDefault="0024153C" w:rsidP="00680908">
            <w:pPr>
              <w:rPr>
                <w:color w:val="000000" w:themeColor="text1"/>
                <w:sz w:val="20"/>
                <w:szCs w:val="20"/>
                <w:lang w:val="en-US"/>
              </w:rPr>
            </w:pPr>
            <w:r w:rsidRPr="0005197E">
              <w:rPr>
                <w:color w:val="000000" w:themeColor="text1"/>
                <w:sz w:val="20"/>
                <w:szCs w:val="20"/>
                <w:lang w:val="en-US"/>
              </w:rPr>
              <w:t>(1) occurrence of major thromboembolic events, major or CRB or death, whichever occurs first, at 3 months following inclusion</w:t>
            </w:r>
          </w:p>
          <w:p w14:paraId="1972CC71" w14:textId="77777777" w:rsidR="0024153C" w:rsidRPr="0005197E" w:rsidRDefault="0024153C" w:rsidP="00680908">
            <w:pPr>
              <w:rPr>
                <w:color w:val="000000" w:themeColor="text1"/>
                <w:sz w:val="20"/>
                <w:szCs w:val="20"/>
                <w:lang w:val="en-US"/>
              </w:rPr>
            </w:pPr>
            <w:r w:rsidRPr="0005197E">
              <w:rPr>
                <w:color w:val="000000" w:themeColor="text1"/>
                <w:sz w:val="20"/>
                <w:szCs w:val="20"/>
                <w:lang w:val="en-US"/>
              </w:rPr>
              <w:t xml:space="preserve">(2) occurrence of major thromboembolic events, major or CRB or death, separately, at 3- and 6-months following inclusion; </w:t>
            </w:r>
          </w:p>
          <w:p w14:paraId="6419C844" w14:textId="77777777" w:rsidR="0024153C" w:rsidRPr="0005197E" w:rsidRDefault="0024153C" w:rsidP="00680908">
            <w:pPr>
              <w:rPr>
                <w:color w:val="000000" w:themeColor="text1"/>
                <w:sz w:val="20"/>
                <w:szCs w:val="20"/>
                <w:lang w:val="en-US"/>
              </w:rPr>
            </w:pPr>
            <w:r w:rsidRPr="0005197E">
              <w:rPr>
                <w:color w:val="000000" w:themeColor="text1"/>
                <w:sz w:val="20"/>
                <w:szCs w:val="20"/>
                <w:lang w:val="en-US"/>
              </w:rPr>
              <w:t xml:space="preserve">(3) adherence to </w:t>
            </w:r>
            <w:r w:rsidRPr="0005197E">
              <w:rPr>
                <w:bCs/>
                <w:iCs/>
                <w:color w:val="000000" w:themeColor="text1"/>
                <w:sz w:val="20"/>
                <w:szCs w:val="20"/>
                <w:lang w:val="en-US"/>
              </w:rPr>
              <w:t>multidisciplinary team recommendations</w:t>
            </w:r>
            <w:r w:rsidRPr="0005197E">
              <w:rPr>
                <w:color w:val="000000" w:themeColor="text1"/>
                <w:sz w:val="20"/>
                <w:szCs w:val="20"/>
                <w:lang w:val="en-US"/>
              </w:rPr>
              <w:t xml:space="preserve">, at 3 and 6 months </w:t>
            </w:r>
          </w:p>
        </w:tc>
        <w:tc>
          <w:tcPr>
            <w:tcW w:w="2409" w:type="dxa"/>
          </w:tcPr>
          <w:p w14:paraId="4C24C1E7" w14:textId="77777777" w:rsidR="0024153C" w:rsidRPr="0005197E" w:rsidRDefault="0024153C" w:rsidP="00680908">
            <w:pPr>
              <w:spacing w:after="120"/>
              <w:rPr>
                <w:color w:val="000000" w:themeColor="text1"/>
                <w:sz w:val="20"/>
                <w:szCs w:val="20"/>
                <w:lang w:val="en-US"/>
              </w:rPr>
            </w:pPr>
            <w:r w:rsidRPr="0005197E">
              <w:rPr>
                <w:color w:val="000000" w:themeColor="text1"/>
                <w:sz w:val="20"/>
                <w:szCs w:val="20"/>
                <w:lang w:val="en-US"/>
              </w:rPr>
              <w:lastRenderedPageBreak/>
              <w:t>Same as for the target trial</w:t>
            </w:r>
          </w:p>
        </w:tc>
      </w:tr>
      <w:tr w:rsidR="0024153C" w:rsidRPr="0005197E" w14:paraId="7094B15F" w14:textId="77777777" w:rsidTr="00680908">
        <w:trPr>
          <w:trHeight w:val="269"/>
        </w:trPr>
        <w:tc>
          <w:tcPr>
            <w:tcW w:w="1472" w:type="dxa"/>
          </w:tcPr>
          <w:p w14:paraId="718D2698" w14:textId="77777777" w:rsidR="0024153C" w:rsidRPr="0005197E" w:rsidRDefault="0024153C" w:rsidP="00680908">
            <w:pPr>
              <w:spacing w:after="120"/>
              <w:rPr>
                <w:color w:val="000000" w:themeColor="text1"/>
                <w:sz w:val="20"/>
                <w:szCs w:val="20"/>
                <w:lang w:val="en-US"/>
              </w:rPr>
            </w:pPr>
            <w:r w:rsidRPr="0005197E">
              <w:rPr>
                <w:color w:val="000000" w:themeColor="text1"/>
                <w:sz w:val="20"/>
                <w:szCs w:val="20"/>
                <w:lang w:val="en-US"/>
              </w:rPr>
              <w:t>Causal contrast</w:t>
            </w:r>
          </w:p>
        </w:tc>
        <w:tc>
          <w:tcPr>
            <w:tcW w:w="5186" w:type="dxa"/>
          </w:tcPr>
          <w:p w14:paraId="4F0E89E2" w14:textId="77777777" w:rsidR="0024153C" w:rsidRPr="0005197E" w:rsidRDefault="0024153C" w:rsidP="00680908">
            <w:pPr>
              <w:spacing w:after="120"/>
              <w:rPr>
                <w:i/>
                <w:iCs/>
                <w:color w:val="000000" w:themeColor="text1"/>
                <w:sz w:val="20"/>
                <w:szCs w:val="20"/>
                <w:lang w:val="en-US"/>
              </w:rPr>
            </w:pPr>
            <w:r w:rsidRPr="0005197E">
              <w:rPr>
                <w:i/>
                <w:iCs/>
                <w:color w:val="000000" w:themeColor="text1"/>
                <w:sz w:val="20"/>
                <w:szCs w:val="20"/>
                <w:lang w:val="en-US"/>
              </w:rPr>
              <w:t>Intention to treat analysis</w:t>
            </w:r>
          </w:p>
          <w:p w14:paraId="7BCC75E5" w14:textId="77777777" w:rsidR="0024153C" w:rsidRPr="0005197E" w:rsidRDefault="0024153C" w:rsidP="00680908">
            <w:pPr>
              <w:spacing w:after="120"/>
              <w:rPr>
                <w:i/>
                <w:iCs/>
                <w:color w:val="000000" w:themeColor="text1"/>
                <w:sz w:val="20"/>
                <w:szCs w:val="20"/>
                <w:lang w:val="en-US"/>
              </w:rPr>
            </w:pPr>
            <w:r w:rsidRPr="0005197E">
              <w:rPr>
                <w:i/>
                <w:iCs/>
                <w:color w:val="000000" w:themeColor="text1"/>
                <w:sz w:val="20"/>
                <w:szCs w:val="20"/>
                <w:lang w:val="en-US"/>
              </w:rPr>
              <w:t>Per protocol analysis</w:t>
            </w:r>
          </w:p>
        </w:tc>
        <w:tc>
          <w:tcPr>
            <w:tcW w:w="2409" w:type="dxa"/>
          </w:tcPr>
          <w:p w14:paraId="6DD3C760" w14:textId="77777777" w:rsidR="0024153C" w:rsidRPr="0005197E" w:rsidRDefault="0024153C" w:rsidP="00680908">
            <w:pPr>
              <w:spacing w:after="120"/>
              <w:rPr>
                <w:color w:val="000000" w:themeColor="text1"/>
                <w:sz w:val="20"/>
                <w:szCs w:val="20"/>
                <w:lang w:val="en-US"/>
              </w:rPr>
            </w:pPr>
            <w:r w:rsidRPr="0005197E">
              <w:rPr>
                <w:i/>
                <w:iCs/>
                <w:color w:val="000000" w:themeColor="text1"/>
                <w:sz w:val="20"/>
                <w:szCs w:val="20"/>
                <w:lang w:val="en-US"/>
              </w:rPr>
              <w:t>Observational analogue of a per-protocol analysis</w:t>
            </w:r>
          </w:p>
        </w:tc>
      </w:tr>
      <w:tr w:rsidR="0024153C" w:rsidRPr="0005197E" w14:paraId="4EC46945" w14:textId="77777777" w:rsidTr="00680908">
        <w:trPr>
          <w:trHeight w:val="269"/>
        </w:trPr>
        <w:tc>
          <w:tcPr>
            <w:tcW w:w="1472" w:type="dxa"/>
          </w:tcPr>
          <w:p w14:paraId="13658153" w14:textId="77777777" w:rsidR="0024153C" w:rsidRPr="0005197E" w:rsidRDefault="0024153C" w:rsidP="00680908">
            <w:pPr>
              <w:spacing w:after="120"/>
              <w:rPr>
                <w:color w:val="000000" w:themeColor="text1"/>
                <w:sz w:val="20"/>
                <w:szCs w:val="20"/>
                <w:lang w:val="en-US"/>
              </w:rPr>
            </w:pPr>
            <w:r w:rsidRPr="0005197E">
              <w:rPr>
                <w:color w:val="000000" w:themeColor="text1"/>
                <w:sz w:val="20"/>
                <w:szCs w:val="20"/>
                <w:lang w:val="en-US"/>
              </w:rPr>
              <w:t>Statistical analysis plan</w:t>
            </w:r>
          </w:p>
        </w:tc>
        <w:tc>
          <w:tcPr>
            <w:tcW w:w="5186" w:type="dxa"/>
          </w:tcPr>
          <w:p w14:paraId="381F11B6" w14:textId="77777777" w:rsidR="0024153C" w:rsidRPr="0005197E" w:rsidRDefault="0024153C" w:rsidP="00680908">
            <w:pPr>
              <w:spacing w:after="120"/>
              <w:rPr>
                <w:color w:val="000000" w:themeColor="text1"/>
                <w:sz w:val="20"/>
                <w:szCs w:val="20"/>
                <w:lang w:val="en-US"/>
              </w:rPr>
            </w:pPr>
            <w:r w:rsidRPr="0005197E">
              <w:rPr>
                <w:i/>
                <w:iCs/>
                <w:color w:val="000000" w:themeColor="text1"/>
                <w:sz w:val="20"/>
                <w:szCs w:val="20"/>
                <w:lang w:val="en-US"/>
              </w:rPr>
              <w:t xml:space="preserve">- Primary outcome: </w:t>
            </w:r>
            <w:r w:rsidRPr="0005197E">
              <w:rPr>
                <w:color w:val="000000" w:themeColor="text1"/>
                <w:sz w:val="20"/>
                <w:szCs w:val="20"/>
                <w:lang w:val="en-US"/>
              </w:rPr>
              <w:t xml:space="preserve">Cox model with estimation of the hazard ratio of occurrence of the event </w:t>
            </w:r>
          </w:p>
          <w:p w14:paraId="1AF754AD" w14:textId="77777777" w:rsidR="0024153C" w:rsidRPr="0005197E" w:rsidRDefault="0024153C" w:rsidP="00680908">
            <w:pPr>
              <w:spacing w:after="120"/>
              <w:rPr>
                <w:color w:val="000000" w:themeColor="text1"/>
                <w:sz w:val="20"/>
                <w:szCs w:val="20"/>
                <w:lang w:val="en-US"/>
              </w:rPr>
            </w:pPr>
            <w:r w:rsidRPr="0005197E">
              <w:rPr>
                <w:color w:val="000000" w:themeColor="text1"/>
                <w:sz w:val="20"/>
                <w:szCs w:val="20"/>
                <w:lang w:val="en-US"/>
              </w:rPr>
              <w:t xml:space="preserve">- </w:t>
            </w:r>
            <w:r w:rsidRPr="0005197E">
              <w:rPr>
                <w:i/>
                <w:iCs/>
                <w:color w:val="000000" w:themeColor="text1"/>
                <w:sz w:val="20"/>
                <w:szCs w:val="20"/>
                <w:lang w:val="en-US"/>
              </w:rPr>
              <w:t xml:space="preserve">Secondary outcomes: </w:t>
            </w:r>
            <w:r w:rsidRPr="0005197E">
              <w:rPr>
                <w:color w:val="000000" w:themeColor="text1"/>
                <w:sz w:val="20"/>
                <w:szCs w:val="20"/>
                <w:lang w:val="en-US"/>
              </w:rPr>
              <w:t xml:space="preserve">(1) as for the primary endpoint; (2) subgroups analysis according to age at hospitalization in years (75-84, 85-90, ≥90), history of AF (recent or known prior to hospitalization) and presence of valvular or non-valvular AF (3) </w:t>
            </w:r>
            <w:r w:rsidRPr="0005197E">
              <w:rPr>
                <w:bCs/>
                <w:iCs/>
                <w:color w:val="000000" w:themeColor="text1"/>
                <w:sz w:val="20"/>
                <w:szCs w:val="20"/>
                <w:lang w:val="en-US"/>
              </w:rPr>
              <w:t>rate of compliance with multidisciplinary team recommendations among patients who have benefited from it,</w:t>
            </w:r>
            <w:r w:rsidRPr="0005197E">
              <w:rPr>
                <w:color w:val="000000" w:themeColor="text1"/>
                <w:sz w:val="20"/>
                <w:szCs w:val="20"/>
                <w:lang w:val="en-US"/>
              </w:rPr>
              <w:t xml:space="preserve"> </w:t>
            </w:r>
            <w:r w:rsidRPr="0005197E">
              <w:rPr>
                <w:bCs/>
                <w:iCs/>
                <w:color w:val="000000" w:themeColor="text1"/>
                <w:sz w:val="20"/>
                <w:szCs w:val="20"/>
                <w:lang w:val="en-US"/>
              </w:rPr>
              <w:t>rate of compliance with multidisciplinary team recommendations among patients who have benefited from it</w:t>
            </w:r>
          </w:p>
        </w:tc>
        <w:tc>
          <w:tcPr>
            <w:tcW w:w="2409" w:type="dxa"/>
          </w:tcPr>
          <w:p w14:paraId="1D78375C" w14:textId="77777777" w:rsidR="0024153C" w:rsidRPr="0005197E" w:rsidRDefault="0024153C" w:rsidP="00680908">
            <w:pPr>
              <w:spacing w:after="120"/>
              <w:rPr>
                <w:color w:val="000000" w:themeColor="text1"/>
                <w:sz w:val="20"/>
                <w:szCs w:val="20"/>
                <w:lang w:val="en-US"/>
              </w:rPr>
            </w:pPr>
            <w:r w:rsidRPr="0005197E">
              <w:rPr>
                <w:color w:val="000000" w:themeColor="text1"/>
                <w:sz w:val="20"/>
                <w:szCs w:val="20"/>
                <w:lang w:val="en-US"/>
              </w:rPr>
              <w:t xml:space="preserve">- </w:t>
            </w:r>
            <w:r w:rsidRPr="0005197E">
              <w:rPr>
                <w:i/>
                <w:iCs/>
                <w:color w:val="000000" w:themeColor="text1"/>
                <w:sz w:val="20"/>
                <w:szCs w:val="20"/>
                <w:lang w:val="en-US"/>
              </w:rPr>
              <w:t xml:space="preserve">Clone-censor-weight method </w:t>
            </w:r>
            <w:r w:rsidRPr="0005197E">
              <w:rPr>
                <w:color w:val="000000" w:themeColor="text1"/>
                <w:sz w:val="20"/>
                <w:szCs w:val="20"/>
                <w:lang w:val="en-US"/>
              </w:rPr>
              <w:t>to account for confounding at baseline</w:t>
            </w:r>
            <w:r w:rsidRPr="0005197E">
              <w:rPr>
                <w:color w:val="000000" w:themeColor="text1"/>
                <w:sz w:val="20"/>
                <w:szCs w:val="20"/>
                <w:vertAlign w:val="superscript"/>
                <w:lang w:val="en-US"/>
              </w:rPr>
              <w:t xml:space="preserve"> </w:t>
            </w:r>
            <w:r w:rsidRPr="0005197E">
              <w:rPr>
                <w:color w:val="000000" w:themeColor="text1"/>
                <w:sz w:val="20"/>
                <w:szCs w:val="20"/>
                <w:lang w:val="en-US"/>
              </w:rPr>
              <w:t>and immortal time bias.</w:t>
            </w:r>
          </w:p>
          <w:p w14:paraId="27F074FA" w14:textId="77777777" w:rsidR="0024153C" w:rsidRPr="0005197E" w:rsidRDefault="0024153C" w:rsidP="00680908">
            <w:pPr>
              <w:spacing w:after="120"/>
              <w:rPr>
                <w:color w:val="000000" w:themeColor="text1"/>
                <w:sz w:val="20"/>
                <w:szCs w:val="20"/>
                <w:lang w:val="en-US"/>
              </w:rPr>
            </w:pPr>
            <w:r w:rsidRPr="0005197E">
              <w:rPr>
                <w:i/>
                <w:iCs/>
                <w:color w:val="000000" w:themeColor="text1"/>
                <w:sz w:val="20"/>
                <w:szCs w:val="20"/>
                <w:lang w:val="en-US"/>
              </w:rPr>
              <w:t xml:space="preserve">- Time-to-event outcomes: </w:t>
            </w:r>
            <w:r w:rsidRPr="0005197E">
              <w:rPr>
                <w:color w:val="000000" w:themeColor="text1"/>
                <w:sz w:val="20"/>
                <w:szCs w:val="20"/>
                <w:lang w:val="en-US"/>
              </w:rPr>
              <w:t>Weighted non parametric Kaplan Meier estimator of the cumulative outcome incidence at 6 months and differences between the arms</w:t>
            </w:r>
          </w:p>
        </w:tc>
      </w:tr>
    </w:tbl>
    <w:p w14:paraId="60075CB9" w14:textId="77777777" w:rsidR="0024153C" w:rsidRPr="0005197E" w:rsidRDefault="0024153C" w:rsidP="0024153C">
      <w:pPr>
        <w:rPr>
          <w:color w:val="000000" w:themeColor="text1"/>
          <w:sz w:val="16"/>
          <w:szCs w:val="16"/>
          <w:lang w:val="en-US"/>
        </w:rPr>
      </w:pPr>
    </w:p>
    <w:p w14:paraId="157D0B30" w14:textId="77777777" w:rsidR="0024153C" w:rsidRPr="0005197E" w:rsidRDefault="0024153C" w:rsidP="0024153C">
      <w:pPr>
        <w:rPr>
          <w:color w:val="000000" w:themeColor="text1"/>
          <w:sz w:val="16"/>
          <w:szCs w:val="16"/>
          <w:lang w:val="en-US"/>
        </w:rPr>
      </w:pPr>
      <w:r w:rsidRPr="0005197E">
        <w:rPr>
          <w:color w:val="000000" w:themeColor="text1"/>
          <w:sz w:val="16"/>
          <w:szCs w:val="16"/>
          <w:lang w:val="en-US"/>
        </w:rPr>
        <w:t xml:space="preserve">Abbreviations: AT, </w:t>
      </w:r>
      <w:proofErr w:type="spellStart"/>
      <w:r w:rsidRPr="0005197E">
        <w:rPr>
          <w:color w:val="000000" w:themeColor="text1"/>
          <w:sz w:val="16"/>
          <w:szCs w:val="16"/>
          <w:lang w:val="en-US"/>
        </w:rPr>
        <w:t>antithrombotics</w:t>
      </w:r>
      <w:proofErr w:type="spellEnd"/>
      <w:r w:rsidRPr="0005197E">
        <w:rPr>
          <w:color w:val="000000" w:themeColor="text1"/>
          <w:sz w:val="16"/>
          <w:szCs w:val="16"/>
          <w:lang w:val="en-US"/>
        </w:rPr>
        <w:t>; AF, atrial fibrillation; ECG, electrocardiogram; ACS, acute coronary syndromes; TIA, transient ischemic attack; VTD, venous thromboembolic disease; DVT, deep vein thrombosis; PE, pulmonary embolism; CRB, clinically relevant bleeding</w:t>
      </w:r>
    </w:p>
    <w:p w14:paraId="10B0960F" w14:textId="77777777" w:rsidR="00C60051" w:rsidRDefault="00C60051"/>
    <w:sectPr w:rsidR="00C600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A3047"/>
    <w:multiLevelType w:val="hybridMultilevel"/>
    <w:tmpl w:val="85ACC1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A92774"/>
    <w:multiLevelType w:val="hybridMultilevel"/>
    <w:tmpl w:val="7164996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50924031"/>
    <w:multiLevelType w:val="hybridMultilevel"/>
    <w:tmpl w:val="410841D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682F1CBD"/>
    <w:multiLevelType w:val="hybridMultilevel"/>
    <w:tmpl w:val="75EC834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89459958">
    <w:abstractNumId w:val="2"/>
  </w:num>
  <w:num w:numId="2" w16cid:durableId="1836722504">
    <w:abstractNumId w:val="3"/>
  </w:num>
  <w:num w:numId="3" w16cid:durableId="1654410068">
    <w:abstractNumId w:val="0"/>
  </w:num>
  <w:num w:numId="4" w16cid:durableId="1693652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53C"/>
    <w:rsid w:val="000B55E5"/>
    <w:rsid w:val="000C289F"/>
    <w:rsid w:val="0024153C"/>
    <w:rsid w:val="00C60051"/>
    <w:rsid w:val="00D34D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841F8A7"/>
  <w15:chartTrackingRefBased/>
  <w15:docId w15:val="{A6432043-0435-4146-BF4F-24BA1B8A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53C"/>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2415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2415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24153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24153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24153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24153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4153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4153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4153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4153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24153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24153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4153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4153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4153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4153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4153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4153C"/>
    <w:rPr>
      <w:rFonts w:eastAsiaTheme="majorEastAsia" w:cstheme="majorBidi"/>
      <w:color w:val="272727" w:themeColor="text1" w:themeTint="D8"/>
    </w:rPr>
  </w:style>
  <w:style w:type="paragraph" w:styleId="Titre">
    <w:name w:val="Title"/>
    <w:basedOn w:val="Normal"/>
    <w:next w:val="Normal"/>
    <w:link w:val="TitreCar"/>
    <w:uiPriority w:val="10"/>
    <w:qFormat/>
    <w:rsid w:val="0024153C"/>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4153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4153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4153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4153C"/>
    <w:pPr>
      <w:spacing w:before="160"/>
      <w:jc w:val="center"/>
    </w:pPr>
    <w:rPr>
      <w:i/>
      <w:iCs/>
      <w:color w:val="404040" w:themeColor="text1" w:themeTint="BF"/>
    </w:rPr>
  </w:style>
  <w:style w:type="character" w:customStyle="1" w:styleId="CitationCar">
    <w:name w:val="Citation Car"/>
    <w:basedOn w:val="Policepardfaut"/>
    <w:link w:val="Citation"/>
    <w:uiPriority w:val="29"/>
    <w:rsid w:val="0024153C"/>
    <w:rPr>
      <w:i/>
      <w:iCs/>
      <w:color w:val="404040" w:themeColor="text1" w:themeTint="BF"/>
    </w:rPr>
  </w:style>
  <w:style w:type="paragraph" w:styleId="Paragraphedeliste">
    <w:name w:val="List Paragraph"/>
    <w:basedOn w:val="Normal"/>
    <w:uiPriority w:val="34"/>
    <w:qFormat/>
    <w:rsid w:val="0024153C"/>
    <w:pPr>
      <w:ind w:left="720"/>
      <w:contextualSpacing/>
    </w:pPr>
  </w:style>
  <w:style w:type="character" w:styleId="Accentuationintense">
    <w:name w:val="Intense Emphasis"/>
    <w:basedOn w:val="Policepardfaut"/>
    <w:uiPriority w:val="21"/>
    <w:qFormat/>
    <w:rsid w:val="0024153C"/>
    <w:rPr>
      <w:i/>
      <w:iCs/>
      <w:color w:val="2F5496" w:themeColor="accent1" w:themeShade="BF"/>
    </w:rPr>
  </w:style>
  <w:style w:type="paragraph" w:styleId="Citationintense">
    <w:name w:val="Intense Quote"/>
    <w:basedOn w:val="Normal"/>
    <w:next w:val="Normal"/>
    <w:link w:val="CitationintenseCar"/>
    <w:uiPriority w:val="30"/>
    <w:qFormat/>
    <w:rsid w:val="002415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24153C"/>
    <w:rPr>
      <w:i/>
      <w:iCs/>
      <w:color w:val="2F5496" w:themeColor="accent1" w:themeShade="BF"/>
    </w:rPr>
  </w:style>
  <w:style w:type="character" w:styleId="Rfrenceintense">
    <w:name w:val="Intense Reference"/>
    <w:basedOn w:val="Policepardfaut"/>
    <w:uiPriority w:val="32"/>
    <w:qFormat/>
    <w:rsid w:val="0024153C"/>
    <w:rPr>
      <w:b/>
      <w:bCs/>
      <w:smallCaps/>
      <w:color w:val="2F5496" w:themeColor="accent1" w:themeShade="BF"/>
      <w:spacing w:val="5"/>
    </w:rPr>
  </w:style>
  <w:style w:type="table" w:styleId="Grilledutableau">
    <w:name w:val="Table Grid"/>
    <w:basedOn w:val="TableauNormal"/>
    <w:uiPriority w:val="39"/>
    <w:rsid w:val="00241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autoRedefine/>
    <w:qFormat/>
    <w:rsid w:val="0024153C"/>
    <w:pPr>
      <w:spacing w:before="100" w:beforeAutospacing="1" w:line="360" w:lineRule="auto"/>
    </w:pPr>
    <w:rPr>
      <w:b/>
      <w:iCs/>
      <w:color w:val="000000" w:themeColor="tex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741</Words>
  <Characters>4076</Characters>
  <Application>Microsoft Office Word</Application>
  <DocSecurity>0</DocSecurity>
  <Lines>33</Lines>
  <Paragraphs>9</Paragraphs>
  <ScaleCrop>false</ScaleCrop>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Lorène Zerah</dc:creator>
  <cp:keywords/>
  <dc:description/>
  <cp:lastModifiedBy>Lorène Zerah</cp:lastModifiedBy>
  <cp:revision>2</cp:revision>
  <dcterms:created xsi:type="dcterms:W3CDTF">2025-07-16T13:01:00Z</dcterms:created>
  <dcterms:modified xsi:type="dcterms:W3CDTF">2025-07-16T13:02:00Z</dcterms:modified>
</cp:coreProperties>
</file>