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1BDBC" w14:textId="52508B0C" w:rsidR="00FA7466" w:rsidRPr="0005197E" w:rsidRDefault="00FA7466" w:rsidP="00FA7466">
      <w:pPr>
        <w:pStyle w:val="Style1"/>
      </w:pPr>
      <w:bookmarkStart w:id="0" w:name="_Toc185241025"/>
      <w:r>
        <w:t xml:space="preserve">Additional File 4: </w:t>
      </w:r>
      <w:r w:rsidRPr="0005197E">
        <w:t xml:space="preserve">Table </w:t>
      </w:r>
      <w:r w:rsidRPr="0005197E">
        <w:fldChar w:fldCharType="begin"/>
      </w:r>
      <w:r w:rsidRPr="0005197E">
        <w:instrText xml:space="preserve"> SEQ eTable \* ARABIC </w:instrText>
      </w:r>
      <w:r w:rsidRPr="0005197E">
        <w:fldChar w:fldCharType="separate"/>
      </w:r>
      <w:r w:rsidRPr="0005197E">
        <w:rPr>
          <w:noProof/>
        </w:rPr>
        <w:t>4</w:t>
      </w:r>
      <w:r w:rsidRPr="0005197E">
        <w:rPr>
          <w:noProof/>
        </w:rPr>
        <w:fldChar w:fldCharType="end"/>
      </w:r>
      <w:r w:rsidRPr="0005197E">
        <w:rPr>
          <w:noProof/>
        </w:rPr>
        <w:t xml:space="preserve"> </w:t>
      </w:r>
      <w:r w:rsidRPr="0005197E">
        <w:t>– Supplemental information on data collection</w:t>
      </w:r>
      <w:bookmarkEnd w:id="0"/>
    </w:p>
    <w:tbl>
      <w:tblPr>
        <w:tblStyle w:val="Grilledutableau"/>
        <w:tblW w:w="10065" w:type="dxa"/>
        <w:tblInd w:w="-431" w:type="dxa"/>
        <w:tblLook w:val="04A0" w:firstRow="1" w:lastRow="0" w:firstColumn="1" w:lastColumn="0" w:noHBand="0" w:noVBand="1"/>
      </w:tblPr>
      <w:tblGrid>
        <w:gridCol w:w="2694"/>
        <w:gridCol w:w="7371"/>
      </w:tblGrid>
      <w:tr w:rsidR="00FA7466" w:rsidRPr="0005197E" w14:paraId="4E277A3B" w14:textId="77777777" w:rsidTr="00680908">
        <w:trPr>
          <w:trHeight w:val="618"/>
        </w:trPr>
        <w:tc>
          <w:tcPr>
            <w:tcW w:w="2694" w:type="dxa"/>
          </w:tcPr>
          <w:p w14:paraId="55F89270" w14:textId="77777777" w:rsidR="00FA7466" w:rsidRPr="0005197E" w:rsidRDefault="00FA7466" w:rsidP="00680908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Characteristics collected on admission</w:t>
            </w:r>
          </w:p>
        </w:tc>
        <w:tc>
          <w:tcPr>
            <w:tcW w:w="7371" w:type="dxa"/>
          </w:tcPr>
          <w:p w14:paraId="3C16B4EB" w14:textId="77777777" w:rsidR="00FA7466" w:rsidRPr="0005197E" w:rsidRDefault="00FA7466" w:rsidP="00680908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A7466" w:rsidRPr="0005197E" w14:paraId="55BCD291" w14:textId="77777777" w:rsidTr="00680908">
        <w:tc>
          <w:tcPr>
            <w:tcW w:w="2694" w:type="dxa"/>
          </w:tcPr>
          <w:p w14:paraId="5B89019F" w14:textId="0FD26E0F" w:rsidR="00FA7466" w:rsidRPr="00E95CC8" w:rsidRDefault="00E95CC8" w:rsidP="0068090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95CC8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General data</w:t>
            </w:r>
          </w:p>
        </w:tc>
        <w:tc>
          <w:tcPr>
            <w:tcW w:w="7371" w:type="dxa"/>
          </w:tcPr>
          <w:p w14:paraId="321028F3" w14:textId="77777777" w:rsidR="00FA7466" w:rsidRPr="0005197E" w:rsidRDefault="00FA7466" w:rsidP="006809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Inclusion center number</w:t>
            </w:r>
          </w:p>
          <w:p w14:paraId="30FFB33E" w14:textId="77777777" w:rsidR="00FA7466" w:rsidRPr="0005197E" w:rsidRDefault="00FA7466" w:rsidP="006809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Recruiting investigator</w:t>
            </w:r>
          </w:p>
          <w:p w14:paraId="5C8C1781" w14:textId="77777777" w:rsidR="00FA7466" w:rsidRPr="0005197E" w:rsidRDefault="00FA7466" w:rsidP="006809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Date of inclusion </w:t>
            </w:r>
          </w:p>
          <w:p w14:paraId="056EA2BB" w14:textId="77777777" w:rsidR="00FA7466" w:rsidRPr="0005197E" w:rsidRDefault="00FA7466" w:rsidP="006809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Sex </w:t>
            </w:r>
          </w:p>
          <w:p w14:paraId="0065A4DF" w14:textId="77777777" w:rsidR="00FA7466" w:rsidRPr="0005197E" w:rsidRDefault="00FA7466" w:rsidP="006809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Month and year of birth </w:t>
            </w:r>
          </w:p>
          <w:p w14:paraId="5672B6AF" w14:textId="77777777" w:rsidR="00FA7466" w:rsidRPr="0005197E" w:rsidRDefault="00FA7466" w:rsidP="006809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Documented AF or flutter </w:t>
            </w:r>
          </w:p>
          <w:p w14:paraId="09D72FD8" w14:textId="77777777" w:rsidR="00FA7466" w:rsidRPr="0005197E" w:rsidRDefault="00FA7466" w:rsidP="006809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Age ≥ 75 years </w:t>
            </w:r>
          </w:p>
          <w:p w14:paraId="1F533249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No objection collected</w:t>
            </w:r>
          </w:p>
        </w:tc>
      </w:tr>
      <w:tr w:rsidR="00FA7466" w:rsidRPr="0005197E" w14:paraId="6720BF3E" w14:textId="77777777" w:rsidTr="00680908">
        <w:tc>
          <w:tcPr>
            <w:tcW w:w="2694" w:type="dxa"/>
          </w:tcPr>
          <w:p w14:paraId="47E6D96B" w14:textId="0212511A" w:rsidR="00FA7466" w:rsidRPr="00E95CC8" w:rsidRDefault="00E95CC8" w:rsidP="0068090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95CC8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Socio-demographic data </w:t>
            </w:r>
          </w:p>
        </w:tc>
        <w:tc>
          <w:tcPr>
            <w:tcW w:w="7371" w:type="dxa"/>
          </w:tcPr>
          <w:p w14:paraId="7E2FC86A" w14:textId="77777777" w:rsidR="00FA7466" w:rsidRPr="0005197E" w:rsidRDefault="00FA7466" w:rsidP="006809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Hospitalization or consultation</w:t>
            </w:r>
          </w:p>
          <w:p w14:paraId="0A2895F4" w14:textId="77777777" w:rsidR="00FA7466" w:rsidRPr="0005197E" w:rsidRDefault="00FA7466" w:rsidP="006809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Type of hospital ward </w:t>
            </w:r>
          </w:p>
          <w:p w14:paraId="520D6677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Date of admission and discharge, weight (&lt; 3 months) and height</w:t>
            </w:r>
          </w:p>
        </w:tc>
      </w:tr>
      <w:tr w:rsidR="00FA7466" w:rsidRPr="0005197E" w14:paraId="5492A16A" w14:textId="77777777" w:rsidTr="00680908">
        <w:tc>
          <w:tcPr>
            <w:tcW w:w="2694" w:type="dxa"/>
          </w:tcPr>
          <w:p w14:paraId="6E558975" w14:textId="78DCA419" w:rsidR="00FA7466" w:rsidRPr="00E95CC8" w:rsidRDefault="00E95CC8" w:rsidP="0068090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95CC8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Comorbidities at inclusion</w:t>
            </w:r>
          </w:p>
        </w:tc>
        <w:tc>
          <w:tcPr>
            <w:tcW w:w="7371" w:type="dxa"/>
          </w:tcPr>
          <w:p w14:paraId="628748D6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Dementia (MMSE score ≤24 performed outside an acute context or notion of "cognitive disorders" or "memory disorders" noted in previous medical reports)</w:t>
            </w:r>
          </w:p>
          <w:p w14:paraId="7B0212D4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Depression with or without treatment ("depressive anxiety syndrome" or "depression" or "mood sadness" noted as such)</w:t>
            </w:r>
          </w:p>
          <w:p w14:paraId="19994E19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Parkinson's disease or treated parkinsonian syndrome</w:t>
            </w:r>
          </w:p>
          <w:p w14:paraId="2955CAF5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Hypertension (or conventional antihypertensive treatment in background therapy with no other indication)</w:t>
            </w:r>
          </w:p>
          <w:p w14:paraId="5B57E37B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Diabetes including cortico-induced with or without microangiopathic complications</w:t>
            </w:r>
          </w:p>
          <w:p w14:paraId="55BED4A7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Coronary insufficiency</w:t>
            </w:r>
          </w:p>
          <w:p w14:paraId="14F0E4E2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Heart failure (history of LVEF ≤40%, specific treatment, background diuretics, recurrent cardiac decompensation or mentioned)</w:t>
            </w:r>
          </w:p>
          <w:p w14:paraId="78898040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Ischemic or hemorrhagic stroke or TIA, including if ischemic spot-on MRI or stroke with evidence or arguments to rule out another cause</w:t>
            </w:r>
          </w:p>
          <w:p w14:paraId="4E0A0266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Venous thromboembolic episodes: segmental or subsegmental pulmonary embolism, deep vein thrombosis, superficial vein thrombosis only if recurrent (recurrent, currently treated or not, first episode under treatment, or single history)</w:t>
            </w:r>
          </w:p>
          <w:p w14:paraId="710AD326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Obesity (BMI &gt; 30 kg/m</w:t>
            </w:r>
            <w:r w:rsidRPr="0005197E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 or history)</w:t>
            </w:r>
          </w:p>
          <w:p w14:paraId="47535FAD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Peptic ulcer disease, gastritis, esophagitis or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Biermer's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 disease</w:t>
            </w:r>
          </w:p>
          <w:p w14:paraId="648A47E3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PAD, abdominal aortic aneurysm, carotid stenosis, coronary insufficiency or "atheroma" noted as such</w:t>
            </w:r>
          </w:p>
          <w:p w14:paraId="27F4B9B7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Recent or known AF prior to hospitalization, even if ablated [prior to the start of the full hospital stay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. e.g. before the emergency room or intensive care unit visit that led to hospitalization]</w:t>
            </w:r>
          </w:p>
          <w:p w14:paraId="72856AAF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Presence and type of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valvulopathy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 (only if severe or "very tight" or described as such or with specific follow-up, or presence of a prosthesis)</w:t>
            </w:r>
          </w:p>
          <w:p w14:paraId="035AA72D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Type of valve prosthesis</w:t>
            </w:r>
          </w:p>
          <w:p w14:paraId="47CC1687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Hemiplegia or significative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hemiparaparesis</w:t>
            </w:r>
            <w:proofErr w:type="spellEnd"/>
          </w:p>
          <w:p w14:paraId="7B89272F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Tobacco or alcohol intoxication with or without withdrawal (alcoholic intoxication if noted as such, or from 2 drinks/meal twice a day)</w:t>
            </w:r>
          </w:p>
          <w:p w14:paraId="57B136BA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Chronic lung disease (excluding uncomplicated bronchial dilatation and old tuberculosis)</w:t>
            </w:r>
          </w:p>
          <w:p w14:paraId="448D52C4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Chronic renal insufficiency with GFR according to Cockroft &lt; 30 ml/min. Creatinine level is the reference creatinine level, noted in the history, or the discharge creatinine after resolution of acute problems</w:t>
            </w:r>
          </w:p>
          <w:p w14:paraId="7CACF0D5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Connective tissue disease</w:t>
            </w:r>
          </w:p>
          <w:p w14:paraId="11A00E19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Complicated or uncomplicated hepatic insufficiency (transaminase level &gt; 10 times normal for &gt; 1 month)</w:t>
            </w:r>
          </w:p>
          <w:p w14:paraId="44498C28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Solid cancer with or without metastasis excluding basal cell carcinomas and meningiomas, lymphoma, HIV infection</w:t>
            </w:r>
          </w:p>
        </w:tc>
      </w:tr>
      <w:tr w:rsidR="00FA7466" w:rsidRPr="0005197E" w14:paraId="449FAB4F" w14:textId="77777777" w:rsidTr="00680908">
        <w:tc>
          <w:tcPr>
            <w:tcW w:w="2694" w:type="dxa"/>
          </w:tcPr>
          <w:p w14:paraId="184732E8" w14:textId="2FA4A498" w:rsidR="00FA7466" w:rsidRPr="00E95CC8" w:rsidRDefault="00E95CC8" w:rsidP="0068090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95CC8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Bleeding history including anticoagulant accident </w:t>
            </w:r>
          </w:p>
        </w:tc>
        <w:tc>
          <w:tcPr>
            <w:tcW w:w="7371" w:type="dxa"/>
          </w:tcPr>
          <w:p w14:paraId="7E78A81F" w14:textId="77777777" w:rsidR="00FA7466" w:rsidRPr="0005197E" w:rsidRDefault="00FA7466" w:rsidP="00680908">
            <w:pPr>
              <w:ind w:left="3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Major bleeding events included any bleeding event requiring medical consultation and/or hospitalization, i.e.:</w:t>
            </w:r>
          </w:p>
          <w:p w14:paraId="75D6B627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Upper or lower digestive hemorrhage</w:t>
            </w:r>
          </w:p>
          <w:p w14:paraId="4916F0FA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Subdural or extradural hematoma</w:t>
            </w:r>
          </w:p>
          <w:p w14:paraId="10277593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Meningeal hemorrhage</w:t>
            </w:r>
          </w:p>
          <w:p w14:paraId="54D63835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Lobar or deep intracerebral hemorrhage</w:t>
            </w:r>
          </w:p>
          <w:p w14:paraId="39371EBF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Deep cerebral contusion</w:t>
            </w:r>
          </w:p>
          <w:p w14:paraId="12A368E5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Psoas hematoma or other deep hematoma including stent leakage</w:t>
            </w:r>
          </w:p>
          <w:p w14:paraId="21FBD510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Hemoptysis</w:t>
            </w:r>
          </w:p>
          <w:p w14:paraId="55297F4F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Hemothorax or hemoperitoneum</w:t>
            </w:r>
          </w:p>
          <w:p w14:paraId="3405D1E4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Significant hematuria or epistaxis (consultation, hospitalization or specialized care)</w:t>
            </w:r>
          </w:p>
          <w:p w14:paraId="5E51E9A6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Hemarthrosis</w:t>
            </w:r>
          </w:p>
          <w:p w14:paraId="077D6CA2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Gynecological hemorrhage</w:t>
            </w:r>
          </w:p>
          <w:p w14:paraId="71BD48D5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Ophthalmological bleeding</w:t>
            </w:r>
          </w:p>
          <w:p w14:paraId="05A0063F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Suspected occult bleeding requiring transfusion</w:t>
            </w:r>
          </w:p>
          <w:p w14:paraId="671C63E5" w14:textId="77777777" w:rsidR="00FA7466" w:rsidRPr="0005197E" w:rsidRDefault="00FA7466" w:rsidP="00FA7466">
            <w:pPr>
              <w:pStyle w:val="Paragraphedeliste"/>
              <w:numPr>
                <w:ilvl w:val="1"/>
                <w:numId w:val="1"/>
              </w:numPr>
              <w:spacing w:after="120"/>
              <w:ind w:hanging="357"/>
              <w:contextualSpacing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Significant bleeding from another site</w:t>
            </w:r>
          </w:p>
          <w:p w14:paraId="47312D32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Not included: microbleeds, bleeding occurring &lt; 7 days post-operatively, transfusions for worsening anemia in known hematological disease and/or severe CKD with aggravating factor of transient inflammation. </w:t>
            </w:r>
          </w:p>
        </w:tc>
      </w:tr>
      <w:tr w:rsidR="00FA7466" w:rsidRPr="0005197E" w14:paraId="27CB4779" w14:textId="77777777" w:rsidTr="00680908">
        <w:tc>
          <w:tcPr>
            <w:tcW w:w="2694" w:type="dxa"/>
          </w:tcPr>
          <w:p w14:paraId="3C7BCEDD" w14:textId="1433B98C" w:rsidR="00FA7466" w:rsidRPr="00E95CC8" w:rsidRDefault="00E95CC8" w:rsidP="0068090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95CC8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Other linked items</w:t>
            </w:r>
          </w:p>
        </w:tc>
        <w:tc>
          <w:tcPr>
            <w:tcW w:w="7371" w:type="dxa"/>
          </w:tcPr>
          <w:p w14:paraId="74BBD3F7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Current antithrombotic treatment at the time of the bleeding event</w:t>
            </w:r>
          </w:p>
          <w:p w14:paraId="64BFA935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Recalculated CHADS2-VASC 2 and HAS BLED scores. </w:t>
            </w:r>
          </w:p>
        </w:tc>
      </w:tr>
      <w:tr w:rsidR="00FA7466" w:rsidRPr="0005197E" w14:paraId="308D4776" w14:textId="77777777" w:rsidTr="00680908">
        <w:tc>
          <w:tcPr>
            <w:tcW w:w="2694" w:type="dxa"/>
          </w:tcPr>
          <w:p w14:paraId="3C81B20B" w14:textId="094CCC90" w:rsidR="00FA7466" w:rsidRPr="00E95CC8" w:rsidRDefault="00E95CC8" w:rsidP="0068090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95CC8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Lifestyle</w:t>
            </w:r>
          </w:p>
        </w:tc>
        <w:tc>
          <w:tcPr>
            <w:tcW w:w="7371" w:type="dxa"/>
          </w:tcPr>
          <w:p w14:paraId="5698159A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Activities of daily living score</w:t>
            </w:r>
          </w:p>
          <w:p w14:paraId="2381AB56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MMSE score</w:t>
            </w:r>
          </w:p>
          <w:p w14:paraId="4096B56B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Patient living at home or institutionalized</w:t>
            </w:r>
          </w:p>
          <w:p w14:paraId="70BAA608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Walking with or without assistance</w:t>
            </w:r>
          </w:p>
          <w:p w14:paraId="43806AC8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Recent falls and frequency</w:t>
            </w:r>
          </w:p>
        </w:tc>
      </w:tr>
      <w:tr w:rsidR="00FA7466" w:rsidRPr="0005197E" w14:paraId="56C3012D" w14:textId="77777777" w:rsidTr="00680908">
        <w:tc>
          <w:tcPr>
            <w:tcW w:w="2694" w:type="dxa"/>
          </w:tcPr>
          <w:p w14:paraId="36FB3450" w14:textId="44164B44" w:rsidR="00FA7466" w:rsidRPr="00E95CC8" w:rsidRDefault="00E95CC8" w:rsidP="0068090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95CC8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Usual home treatment</w:t>
            </w:r>
          </w:p>
        </w:tc>
        <w:tc>
          <w:tcPr>
            <w:tcW w:w="7371" w:type="dxa"/>
          </w:tcPr>
          <w:p w14:paraId="5E12AE9D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Type of antithrombotics, dose and frequency</w:t>
            </w:r>
          </w:p>
          <w:p w14:paraId="0DC196CD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Type of other most frequent treatment classes (amiodarone, digoxin, beta-blockers, statins, ACE inhibitors,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angiotension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 2 receptor antagonists, calcium channel blockers, diuretics, PPIs, insulin, oral antidiabetics, NSAIDs, corticoids, benzodiazepines and related, antidepressants (specifying if SSRIs), neuroleptics; total number of different molecules</w:t>
            </w:r>
          </w:p>
        </w:tc>
      </w:tr>
      <w:tr w:rsidR="00FA7466" w:rsidRPr="0005197E" w14:paraId="359C03F8" w14:textId="77777777" w:rsidTr="00680908">
        <w:tc>
          <w:tcPr>
            <w:tcW w:w="2694" w:type="dxa"/>
          </w:tcPr>
          <w:p w14:paraId="1210F8DC" w14:textId="3E634517" w:rsidR="00FA7466" w:rsidRPr="00E95CC8" w:rsidRDefault="00E95CC8" w:rsidP="0068090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95CC8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Recent biology</w:t>
            </w:r>
          </w:p>
        </w:tc>
        <w:tc>
          <w:tcPr>
            <w:tcW w:w="7371" w:type="dxa"/>
          </w:tcPr>
          <w:p w14:paraId="3027DDC6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Reference creatinine level</w:t>
            </w:r>
          </w:p>
          <w:p w14:paraId="0473C435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Hemoglobin level and platelet count at entry</w:t>
            </w:r>
          </w:p>
          <w:p w14:paraId="683ADF79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Albumin level</w:t>
            </w:r>
          </w:p>
        </w:tc>
      </w:tr>
      <w:tr w:rsidR="00FA7466" w:rsidRPr="0005197E" w14:paraId="1D163FB1" w14:textId="77777777" w:rsidTr="00680908">
        <w:tc>
          <w:tcPr>
            <w:tcW w:w="2694" w:type="dxa"/>
          </w:tcPr>
          <w:p w14:paraId="3D5100DC" w14:textId="1BD0FCD9" w:rsidR="00FA7466" w:rsidRPr="00E95CC8" w:rsidRDefault="00E95CC8" w:rsidP="0068090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95CC8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Antithrombotic multidisciplinary team data if applicable</w:t>
            </w:r>
          </w:p>
        </w:tc>
        <w:tc>
          <w:tcPr>
            <w:tcW w:w="7371" w:type="dxa"/>
          </w:tcPr>
          <w:p w14:paraId="679AC180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Date of meeting</w:t>
            </w:r>
          </w:p>
          <w:p w14:paraId="36FE3394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Category of question asked</w:t>
            </w:r>
          </w:p>
          <w:p w14:paraId="510D73B4" w14:textId="77777777" w:rsidR="00FA7466" w:rsidRPr="0005197E" w:rsidRDefault="00FA7466" w:rsidP="00680908">
            <w:pPr>
              <w:spacing w:after="120"/>
              <w:ind w:left="36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(1) bleeding risk: patients with a history of bleeding, anemia on probable occult bleeding, repeated falls, etc.</w:t>
            </w:r>
          </w:p>
          <w:p w14:paraId="0C1CB069" w14:textId="77777777" w:rsidR="00FA7466" w:rsidRPr="0005197E" w:rsidRDefault="00FA7466" w:rsidP="00680908">
            <w:pPr>
              <w:spacing w:after="120"/>
              <w:ind w:left="36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(2) embolic risk: patients who have had an embolic complication while on anticoagulant therapy or just after stopping anticoagulant therapy</w:t>
            </w:r>
          </w:p>
          <w:p w14:paraId="43A874D3" w14:textId="77777777" w:rsidR="00FA7466" w:rsidRPr="0005197E" w:rsidRDefault="00FA7466" w:rsidP="00680908">
            <w:pPr>
              <w:spacing w:after="120"/>
              <w:ind w:left="36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(3) patients who have had an objectified episode of atrial fibrillation but in an acute setting and with rapid resolution (symptomatic atrial fibrillation)</w:t>
            </w:r>
          </w:p>
          <w:p w14:paraId="3096A3D6" w14:textId="77777777" w:rsidR="00FA7466" w:rsidRPr="0005197E" w:rsidRDefault="00FA7466" w:rsidP="00680908">
            <w:pPr>
              <w:spacing w:after="120"/>
              <w:ind w:left="36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(4) other (manipulation of antithrombotics around an operation/choice of one anticoagulant rather than another/accumulation of AT etc.)</w:t>
            </w:r>
          </w:p>
          <w:p w14:paraId="1E1812C6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Category of advice given </w:t>
            </w:r>
          </w:p>
          <w:p w14:paraId="1C94FB17" w14:textId="77777777" w:rsidR="00FA7466" w:rsidRPr="0005197E" w:rsidRDefault="00FA7466" w:rsidP="00680908">
            <w:pPr>
              <w:spacing w:after="120"/>
              <w:ind w:left="36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(1) indication for anticoagulant treatment (continuation, initiation)</w:t>
            </w:r>
          </w:p>
          <w:p w14:paraId="1A716DEF" w14:textId="77777777" w:rsidR="00FA7466" w:rsidRPr="0005197E" w:rsidRDefault="00FA7466" w:rsidP="00680908">
            <w:pPr>
              <w:spacing w:after="120"/>
              <w:ind w:left="36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(2) no indication for anticoagulant treatment or indication for discontinuation of anticoagulant treatment</w:t>
            </w:r>
          </w:p>
          <w:p w14:paraId="0C9335BB" w14:textId="77777777" w:rsidR="00FA7466" w:rsidRPr="0005197E" w:rsidRDefault="00FA7466" w:rsidP="00680908">
            <w:pPr>
              <w:spacing w:after="120"/>
              <w:ind w:left="36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(3) closure of auricle</w:t>
            </w:r>
          </w:p>
          <w:p w14:paraId="0680FA7D" w14:textId="77777777" w:rsidR="00FA7466" w:rsidRPr="0005197E" w:rsidRDefault="00FA7466" w:rsidP="00680908">
            <w:pPr>
              <w:spacing w:after="120"/>
              <w:ind w:left="36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(4) other, including additional tests</w:t>
            </w:r>
          </w:p>
        </w:tc>
      </w:tr>
      <w:tr w:rsidR="00FA7466" w:rsidRPr="0005197E" w14:paraId="3F7006FD" w14:textId="77777777" w:rsidTr="00680908">
        <w:tc>
          <w:tcPr>
            <w:tcW w:w="2694" w:type="dxa"/>
          </w:tcPr>
          <w:p w14:paraId="79961834" w14:textId="77777777" w:rsidR="00FA7466" w:rsidRPr="00E95CC8" w:rsidRDefault="00FA7466" w:rsidP="00680908">
            <w:pPr>
              <w:spacing w:after="120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95CC8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Treatment on discharge from hospital, or after antithrombotic multidisciplinary team meeting if this took place after discharge</w:t>
            </w:r>
          </w:p>
        </w:tc>
        <w:tc>
          <w:tcPr>
            <w:tcW w:w="7371" w:type="dxa"/>
          </w:tcPr>
          <w:p w14:paraId="0E2B77DB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Type of antithrombotics, dose and frequency</w:t>
            </w:r>
          </w:p>
          <w:p w14:paraId="34A1D4DE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Suitability or unsuitability of the advice given at the </w:t>
            </w:r>
            <w:r w:rsidRPr="0005197E"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  <w:t>antithrombotic multidisciplinary team</w:t>
            </w:r>
          </w:p>
        </w:tc>
      </w:tr>
      <w:tr w:rsidR="00FA7466" w:rsidRPr="0005197E" w14:paraId="0DFD7DC5" w14:textId="77777777" w:rsidTr="00680908">
        <w:trPr>
          <w:trHeight w:val="2258"/>
        </w:trPr>
        <w:tc>
          <w:tcPr>
            <w:tcW w:w="2694" w:type="dxa"/>
          </w:tcPr>
          <w:p w14:paraId="47C8F68B" w14:textId="77777777" w:rsidR="00FA7466" w:rsidRPr="00E95CC8" w:rsidRDefault="00FA7466" w:rsidP="0068090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E95CC8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Event dates collected during monitoring</w:t>
            </w:r>
          </w:p>
        </w:tc>
        <w:tc>
          <w:tcPr>
            <w:tcW w:w="7371" w:type="dxa"/>
          </w:tcPr>
          <w:p w14:paraId="03A71C26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Status lost to follow-up at 3 and 6 months</w:t>
            </w:r>
          </w:p>
          <w:p w14:paraId="3CEF95A0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Date of death if applicable</w:t>
            </w:r>
          </w:p>
          <w:p w14:paraId="4E4C0154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Date of a major thromboembolic (ACS, TIA, VTD, including DVT and PE) or major or </w:t>
            </w:r>
            <w:r w:rsidRPr="0005197E">
              <w:rPr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clinically relevant bleeding</w:t>
            </w: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 event (similar to those described in the "Bleeding history" section)</w:t>
            </w:r>
          </w:p>
          <w:p w14:paraId="54DBC410" w14:textId="77777777" w:rsidR="00FA7466" w:rsidRPr="0005197E" w:rsidRDefault="00FA7466" w:rsidP="00680908">
            <w:pPr>
              <w:spacing w:after="12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Current antithrombotic treatment at 3 and 6 months (and whether it is adapted to the advice given at the time of </w:t>
            </w:r>
            <w:r w:rsidRPr="0005197E"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  <w:t>antithrombotic multidisciplinary team</w:t>
            </w: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, if applicable)</w:t>
            </w:r>
          </w:p>
        </w:tc>
      </w:tr>
    </w:tbl>
    <w:p w14:paraId="50CEADE1" w14:textId="77777777" w:rsidR="00FA7466" w:rsidRPr="0005197E" w:rsidRDefault="00FA7466" w:rsidP="00FA7466">
      <w:pPr>
        <w:spacing w:before="240"/>
        <w:rPr>
          <w:color w:val="000000" w:themeColor="text1"/>
          <w:sz w:val="20"/>
          <w:szCs w:val="20"/>
          <w:lang w:val="en-US"/>
        </w:rPr>
      </w:pPr>
      <w:r w:rsidRPr="0005197E">
        <w:rPr>
          <w:color w:val="000000" w:themeColor="text1"/>
          <w:sz w:val="20"/>
          <w:szCs w:val="20"/>
          <w:lang w:val="en-US"/>
        </w:rPr>
        <w:t>Abbreviations: AF, atrial fibrillation; MMSE, Mini Mental State Examination; LVEF, left ventricular ejection fraction; TIA, transient ischemic attack; BMI, body mass index; PAD, peripheral arterial disease; GFR, glomerular filtration rate; CKD, chronic kidney disease; CHADS2-VASC 2, Congestive heart failure, Hypertension, Age ≥ 75 years, Diabetes mellitus, prior stroke or thromboembolism, Vascular disease, Age 65–74 years, Sex; HAS BLED, Hypertension, Abnormal renal and liver function, Stroke, Bleeding, Labile international normalized ratio, elderly, drugs or alcohol); ACE, angiotensin-converting enzyme; PPI, proton-pump inhibitor; NSAID, non-steroidal anti-inflammatory drug; SSRI, selective serotonin reuptake inhibitor; AT, antithrombotics; ACS, acute coronary syndromes; VTD, venous thromboembolic disease; DVT, deep vein thrombosis; PE, pulmonary embolism</w:t>
      </w:r>
    </w:p>
    <w:p w14:paraId="23F17D3D" w14:textId="77777777" w:rsidR="00FA7466" w:rsidRPr="0005197E" w:rsidRDefault="00FA7466" w:rsidP="00FA7466">
      <w:pPr>
        <w:spacing w:before="240"/>
        <w:rPr>
          <w:color w:val="000000" w:themeColor="text1"/>
          <w:sz w:val="16"/>
          <w:szCs w:val="16"/>
          <w:lang w:val="en-US"/>
        </w:rPr>
      </w:pPr>
    </w:p>
    <w:p w14:paraId="025E413D" w14:textId="77777777" w:rsidR="00FA7466" w:rsidRPr="0005197E" w:rsidRDefault="00FA7466" w:rsidP="00FA7466">
      <w:pPr>
        <w:rPr>
          <w:b/>
          <w:bCs/>
          <w:color w:val="000000" w:themeColor="text1"/>
          <w:sz w:val="21"/>
          <w:szCs w:val="21"/>
          <w:lang w:val="en-US"/>
        </w:rPr>
      </w:pPr>
    </w:p>
    <w:p w14:paraId="74F97DD9" w14:textId="77777777" w:rsidR="00FA7466" w:rsidRPr="0005197E" w:rsidRDefault="00FA7466" w:rsidP="00FA7466">
      <w:pPr>
        <w:rPr>
          <w:b/>
          <w:bCs/>
          <w:color w:val="000000" w:themeColor="text1"/>
          <w:sz w:val="32"/>
          <w:szCs w:val="32"/>
          <w:lang w:val="en-US"/>
        </w:rPr>
      </w:pPr>
    </w:p>
    <w:p w14:paraId="433C5759" w14:textId="77777777" w:rsidR="00C60051" w:rsidRDefault="00C60051"/>
    <w:sectPr w:rsidR="00C60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E499D"/>
    <w:multiLevelType w:val="hybridMultilevel"/>
    <w:tmpl w:val="3F66B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952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66"/>
    <w:rsid w:val="000C289F"/>
    <w:rsid w:val="00B524D2"/>
    <w:rsid w:val="00C60051"/>
    <w:rsid w:val="00D34D46"/>
    <w:rsid w:val="00E95CC8"/>
    <w:rsid w:val="00FA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D70601"/>
  <w15:chartTrackingRefBased/>
  <w15:docId w15:val="{6A2A1E27-ECEA-0748-8F6A-C0D31FC9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466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A7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7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74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A7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A74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74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A74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74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A74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74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A74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A74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A746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A746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A746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A746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A746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A746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A74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A7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A7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A7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A7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A746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A746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A746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74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746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A7466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A7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autoRedefine/>
    <w:qFormat/>
    <w:rsid w:val="00FA7466"/>
    <w:pPr>
      <w:spacing w:before="100" w:beforeAutospacing="1" w:line="360" w:lineRule="auto"/>
    </w:pPr>
    <w:rPr>
      <w:b/>
      <w:iCs/>
      <w:color w:val="000000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1076</Words>
  <Characters>5922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Lorène Zerah</dc:creator>
  <cp:keywords/>
  <dc:description/>
  <cp:lastModifiedBy>Lorène Zerah</cp:lastModifiedBy>
  <cp:revision>2</cp:revision>
  <dcterms:created xsi:type="dcterms:W3CDTF">2025-07-16T13:05:00Z</dcterms:created>
  <dcterms:modified xsi:type="dcterms:W3CDTF">2025-07-17T07:10:00Z</dcterms:modified>
</cp:coreProperties>
</file>