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E593" w14:textId="0E14E619" w:rsidR="00FE6BF3" w:rsidRPr="0005197E" w:rsidRDefault="00FE6BF3" w:rsidP="00FE6BF3">
      <w:pPr>
        <w:pStyle w:val="Style1"/>
      </w:pPr>
      <w:bookmarkStart w:id="0" w:name="_Toc178157996"/>
      <w:bookmarkStart w:id="1" w:name="_Toc185241026"/>
      <w:r w:rsidRPr="00FE6BF3">
        <w:t>Additional File 7: Table 5</w:t>
      </w:r>
      <w:r w:rsidR="00A14662" w:rsidRPr="0005197E">
        <w:t xml:space="preserve"> – </w:t>
      </w:r>
      <w:r w:rsidRPr="00FE6BF3">
        <w:t>Occurrence of primary and secondary outcomes by time,</w:t>
      </w:r>
      <w:r w:rsidRPr="0005197E">
        <w:t xml:space="preserve"> with detailed breakdown</w:t>
      </w:r>
      <w:bookmarkEnd w:id="0"/>
      <w:bookmarkEnd w:id="1"/>
    </w:p>
    <w:tbl>
      <w:tblPr>
        <w:tblStyle w:val="Grilledutableau"/>
        <w:tblW w:w="9952" w:type="dxa"/>
        <w:tblLook w:val="04A0" w:firstRow="1" w:lastRow="0" w:firstColumn="1" w:lastColumn="0" w:noHBand="0" w:noVBand="1"/>
      </w:tblPr>
      <w:tblGrid>
        <w:gridCol w:w="3055"/>
        <w:gridCol w:w="1530"/>
        <w:gridCol w:w="1783"/>
        <w:gridCol w:w="1428"/>
        <w:gridCol w:w="2156"/>
      </w:tblGrid>
      <w:tr w:rsidR="00FE6BF3" w:rsidRPr="0005197E" w14:paraId="284CF0E1" w14:textId="77777777" w:rsidTr="00680908">
        <w:tc>
          <w:tcPr>
            <w:tcW w:w="3055" w:type="dxa"/>
          </w:tcPr>
          <w:p w14:paraId="00B53D54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43FE7BD5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Death</w:t>
            </w:r>
          </w:p>
        </w:tc>
        <w:tc>
          <w:tcPr>
            <w:tcW w:w="1783" w:type="dxa"/>
          </w:tcPr>
          <w:p w14:paraId="14E17CB0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Major thromboembolic events</w:t>
            </w:r>
          </w:p>
        </w:tc>
        <w:tc>
          <w:tcPr>
            <w:tcW w:w="1428" w:type="dxa"/>
          </w:tcPr>
          <w:p w14:paraId="297936DE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Major or clinically relevant bleeding events</w:t>
            </w:r>
          </w:p>
        </w:tc>
        <w:tc>
          <w:tcPr>
            <w:tcW w:w="2156" w:type="dxa"/>
          </w:tcPr>
          <w:p w14:paraId="2A3AAEB4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Death, major thromboembolic events or major or c</w:t>
            </w:r>
            <w:r w:rsidRPr="0005197E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linically relevant bleeding events</w:t>
            </w:r>
          </w:p>
        </w:tc>
      </w:tr>
      <w:tr w:rsidR="00FE6BF3" w:rsidRPr="0005197E" w14:paraId="4127ECCF" w14:textId="77777777" w:rsidTr="00680908">
        <w:tc>
          <w:tcPr>
            <w:tcW w:w="3055" w:type="dxa"/>
          </w:tcPr>
          <w:p w14:paraId="2AC1B823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Total before 6 months</w:t>
            </w:r>
          </w:p>
        </w:tc>
        <w:tc>
          <w:tcPr>
            <w:tcW w:w="1530" w:type="dxa"/>
            <w:vAlign w:val="center"/>
          </w:tcPr>
          <w:p w14:paraId="64C1ECBB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248 (30.3)</w:t>
            </w:r>
          </w:p>
        </w:tc>
        <w:tc>
          <w:tcPr>
            <w:tcW w:w="1783" w:type="dxa"/>
            <w:vAlign w:val="center"/>
          </w:tcPr>
          <w:p w14:paraId="7EA3AFDA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23 (2.8)</w:t>
            </w:r>
          </w:p>
        </w:tc>
        <w:tc>
          <w:tcPr>
            <w:tcW w:w="1428" w:type="dxa"/>
            <w:vAlign w:val="center"/>
          </w:tcPr>
          <w:p w14:paraId="689E29F1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69 (8.4)</w:t>
            </w:r>
          </w:p>
        </w:tc>
        <w:tc>
          <w:tcPr>
            <w:tcW w:w="2156" w:type="dxa"/>
            <w:vAlign w:val="center"/>
          </w:tcPr>
          <w:p w14:paraId="16BBE409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285 (34.8)</w:t>
            </w:r>
          </w:p>
        </w:tc>
      </w:tr>
      <w:tr w:rsidR="00FE6BF3" w:rsidRPr="0005197E" w14:paraId="4E9B03C4" w14:textId="77777777" w:rsidTr="00680908">
        <w:tc>
          <w:tcPr>
            <w:tcW w:w="3055" w:type="dxa"/>
          </w:tcPr>
          <w:p w14:paraId="33B49C3D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Before 5 months</w:t>
            </w:r>
          </w:p>
        </w:tc>
        <w:tc>
          <w:tcPr>
            <w:tcW w:w="1530" w:type="dxa"/>
            <w:vAlign w:val="center"/>
          </w:tcPr>
          <w:p w14:paraId="32DA9E3D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218 (26.7)</w:t>
            </w:r>
          </w:p>
        </w:tc>
        <w:tc>
          <w:tcPr>
            <w:tcW w:w="1783" w:type="dxa"/>
            <w:vAlign w:val="center"/>
          </w:tcPr>
          <w:p w14:paraId="07F547FB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19 (2.3)</w:t>
            </w:r>
          </w:p>
        </w:tc>
        <w:tc>
          <w:tcPr>
            <w:tcW w:w="1428" w:type="dxa"/>
            <w:vAlign w:val="center"/>
          </w:tcPr>
          <w:p w14:paraId="67D7160A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58 (7.1)</w:t>
            </w:r>
          </w:p>
        </w:tc>
        <w:tc>
          <w:tcPr>
            <w:tcW w:w="2156" w:type="dxa"/>
            <w:vAlign w:val="center"/>
          </w:tcPr>
          <w:p w14:paraId="41755DC4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250 (30.6)</w:t>
            </w:r>
          </w:p>
        </w:tc>
      </w:tr>
      <w:tr w:rsidR="00FE6BF3" w:rsidRPr="0005197E" w14:paraId="2D336EE0" w14:textId="77777777" w:rsidTr="00680908">
        <w:tc>
          <w:tcPr>
            <w:tcW w:w="3055" w:type="dxa"/>
          </w:tcPr>
          <w:p w14:paraId="2BEC4EB2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Before 4 months</w:t>
            </w:r>
          </w:p>
        </w:tc>
        <w:tc>
          <w:tcPr>
            <w:tcW w:w="1530" w:type="dxa"/>
            <w:vAlign w:val="center"/>
          </w:tcPr>
          <w:p w14:paraId="2393C9FF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207 (25.3)</w:t>
            </w:r>
          </w:p>
        </w:tc>
        <w:tc>
          <w:tcPr>
            <w:tcW w:w="1783" w:type="dxa"/>
            <w:vAlign w:val="center"/>
          </w:tcPr>
          <w:p w14:paraId="77B9127A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18 (2.2)</w:t>
            </w:r>
          </w:p>
        </w:tc>
        <w:tc>
          <w:tcPr>
            <w:tcW w:w="1428" w:type="dxa"/>
            <w:vAlign w:val="center"/>
          </w:tcPr>
          <w:p w14:paraId="1206C02B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43 (5.3)</w:t>
            </w:r>
          </w:p>
        </w:tc>
        <w:tc>
          <w:tcPr>
            <w:tcW w:w="2156" w:type="dxa"/>
            <w:vAlign w:val="center"/>
          </w:tcPr>
          <w:p w14:paraId="2806F00A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230 (28.1)</w:t>
            </w:r>
          </w:p>
        </w:tc>
      </w:tr>
      <w:tr w:rsidR="00FE6BF3" w:rsidRPr="0005197E" w14:paraId="1FA44E3B" w14:textId="77777777" w:rsidTr="00680908">
        <w:tc>
          <w:tcPr>
            <w:tcW w:w="3055" w:type="dxa"/>
          </w:tcPr>
          <w:p w14:paraId="2931468B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Before 3 months</w:t>
            </w:r>
          </w:p>
        </w:tc>
        <w:tc>
          <w:tcPr>
            <w:tcW w:w="1530" w:type="dxa"/>
            <w:vAlign w:val="center"/>
          </w:tcPr>
          <w:p w14:paraId="626BFAB1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186 (22.7)</w:t>
            </w:r>
          </w:p>
        </w:tc>
        <w:tc>
          <w:tcPr>
            <w:tcW w:w="1783" w:type="dxa"/>
            <w:vAlign w:val="center"/>
          </w:tcPr>
          <w:p w14:paraId="637D3AFB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12 (1.5)</w:t>
            </w:r>
          </w:p>
        </w:tc>
        <w:tc>
          <w:tcPr>
            <w:tcW w:w="1428" w:type="dxa"/>
            <w:vAlign w:val="center"/>
          </w:tcPr>
          <w:p w14:paraId="564C917D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34 (4.2)</w:t>
            </w:r>
          </w:p>
        </w:tc>
        <w:tc>
          <w:tcPr>
            <w:tcW w:w="2156" w:type="dxa"/>
            <w:vAlign w:val="center"/>
          </w:tcPr>
          <w:p w14:paraId="52764E3D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201 (24.6)</w:t>
            </w:r>
          </w:p>
        </w:tc>
      </w:tr>
      <w:tr w:rsidR="00FE6BF3" w:rsidRPr="0005197E" w14:paraId="679AAC80" w14:textId="77777777" w:rsidTr="00680908">
        <w:tc>
          <w:tcPr>
            <w:tcW w:w="3055" w:type="dxa"/>
          </w:tcPr>
          <w:p w14:paraId="7D59FFA0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Before 2 months </w:t>
            </w:r>
          </w:p>
        </w:tc>
        <w:tc>
          <w:tcPr>
            <w:tcW w:w="1530" w:type="dxa"/>
            <w:vAlign w:val="center"/>
          </w:tcPr>
          <w:p w14:paraId="00B0A74C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146 (17.8)</w:t>
            </w:r>
          </w:p>
        </w:tc>
        <w:tc>
          <w:tcPr>
            <w:tcW w:w="1783" w:type="dxa"/>
            <w:vAlign w:val="center"/>
          </w:tcPr>
          <w:p w14:paraId="140EBFFD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9 (1.1)</w:t>
            </w:r>
          </w:p>
        </w:tc>
        <w:tc>
          <w:tcPr>
            <w:tcW w:w="1428" w:type="dxa"/>
            <w:vAlign w:val="center"/>
          </w:tcPr>
          <w:p w14:paraId="14E81B4A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21 (2.6)</w:t>
            </w:r>
          </w:p>
        </w:tc>
        <w:tc>
          <w:tcPr>
            <w:tcW w:w="2156" w:type="dxa"/>
            <w:vAlign w:val="center"/>
          </w:tcPr>
          <w:p w14:paraId="276BA4B6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162 (19.8)</w:t>
            </w:r>
          </w:p>
        </w:tc>
      </w:tr>
      <w:tr w:rsidR="00FE6BF3" w:rsidRPr="0005197E" w14:paraId="632E677C" w14:textId="77777777" w:rsidTr="00680908">
        <w:tc>
          <w:tcPr>
            <w:tcW w:w="3055" w:type="dxa"/>
          </w:tcPr>
          <w:p w14:paraId="33D88C8B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Before 45 days (grace period)</w:t>
            </w:r>
          </w:p>
        </w:tc>
        <w:tc>
          <w:tcPr>
            <w:tcW w:w="1530" w:type="dxa"/>
            <w:vAlign w:val="center"/>
          </w:tcPr>
          <w:p w14:paraId="15949128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121 (14.8)</w:t>
            </w:r>
          </w:p>
        </w:tc>
        <w:tc>
          <w:tcPr>
            <w:tcW w:w="1783" w:type="dxa"/>
            <w:vAlign w:val="center"/>
          </w:tcPr>
          <w:p w14:paraId="7F916B24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9 (1.1)</w:t>
            </w:r>
          </w:p>
        </w:tc>
        <w:tc>
          <w:tcPr>
            <w:tcW w:w="1428" w:type="dxa"/>
            <w:vAlign w:val="center"/>
          </w:tcPr>
          <w:p w14:paraId="08C84C74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15 (1.8)</w:t>
            </w:r>
          </w:p>
        </w:tc>
        <w:tc>
          <w:tcPr>
            <w:tcW w:w="2156" w:type="dxa"/>
            <w:vAlign w:val="center"/>
          </w:tcPr>
          <w:p w14:paraId="0729A1BC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133 (16.3)</w:t>
            </w:r>
          </w:p>
        </w:tc>
      </w:tr>
      <w:tr w:rsidR="00FE6BF3" w:rsidRPr="0005197E" w14:paraId="42304DAC" w14:textId="77777777" w:rsidTr="00680908">
        <w:tc>
          <w:tcPr>
            <w:tcW w:w="3055" w:type="dxa"/>
          </w:tcPr>
          <w:p w14:paraId="0644F71D" w14:textId="77777777" w:rsidR="00FE6BF3" w:rsidRPr="0005197E" w:rsidRDefault="00FE6BF3" w:rsidP="0068090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Before 1 month</w:t>
            </w:r>
          </w:p>
        </w:tc>
        <w:tc>
          <w:tcPr>
            <w:tcW w:w="1530" w:type="dxa"/>
            <w:vAlign w:val="center"/>
          </w:tcPr>
          <w:p w14:paraId="1EC8B8B4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86 (10.5)</w:t>
            </w:r>
          </w:p>
        </w:tc>
        <w:tc>
          <w:tcPr>
            <w:tcW w:w="1783" w:type="dxa"/>
            <w:vAlign w:val="center"/>
          </w:tcPr>
          <w:p w14:paraId="15628877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7 (0.9)</w:t>
            </w:r>
          </w:p>
        </w:tc>
        <w:tc>
          <w:tcPr>
            <w:tcW w:w="1428" w:type="dxa"/>
            <w:vAlign w:val="center"/>
          </w:tcPr>
          <w:p w14:paraId="001A041E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9 (1.1)</w:t>
            </w:r>
          </w:p>
        </w:tc>
        <w:tc>
          <w:tcPr>
            <w:tcW w:w="2156" w:type="dxa"/>
            <w:vAlign w:val="center"/>
          </w:tcPr>
          <w:p w14:paraId="011C9FEF" w14:textId="77777777" w:rsidR="00FE6BF3" w:rsidRPr="0005197E" w:rsidRDefault="00FE6BF3" w:rsidP="00680908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98 (12.0)</w:t>
            </w:r>
          </w:p>
        </w:tc>
      </w:tr>
    </w:tbl>
    <w:p w14:paraId="52208A06" w14:textId="77777777" w:rsidR="00FE6BF3" w:rsidRPr="0005197E" w:rsidRDefault="00FE6BF3" w:rsidP="00FE6BF3">
      <w:pPr>
        <w:spacing w:line="360" w:lineRule="auto"/>
        <w:rPr>
          <w:color w:val="000000" w:themeColor="text1"/>
          <w:sz w:val="20"/>
          <w:szCs w:val="20"/>
          <w:lang w:val="en-US"/>
        </w:rPr>
      </w:pPr>
      <w:r w:rsidRPr="0005197E">
        <w:rPr>
          <w:color w:val="000000" w:themeColor="text1"/>
          <w:sz w:val="20"/>
          <w:szCs w:val="20"/>
          <w:lang w:val="en-US"/>
        </w:rPr>
        <w:t>Data are n (%).</w:t>
      </w:r>
    </w:p>
    <w:p w14:paraId="734FDDA8" w14:textId="3D37E52D" w:rsidR="00C60051" w:rsidRPr="00FE6BF3" w:rsidRDefault="00C60051">
      <w:pPr>
        <w:rPr>
          <w:b/>
          <w:bCs/>
          <w:color w:val="000000" w:themeColor="text1"/>
          <w:lang w:val="en-US"/>
        </w:rPr>
      </w:pPr>
    </w:p>
    <w:sectPr w:rsidR="00C60051" w:rsidRPr="00FE6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F3"/>
    <w:rsid w:val="000C289F"/>
    <w:rsid w:val="00A14662"/>
    <w:rsid w:val="00C60051"/>
    <w:rsid w:val="00D34D46"/>
    <w:rsid w:val="00F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D686E0"/>
  <w15:chartTrackingRefBased/>
  <w15:docId w15:val="{ADD62B92-C2E9-554D-AE76-6C2D3701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BF3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E6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6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6B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6B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6B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6BF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6BF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6BF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6BF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6B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6B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6B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6BF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6BF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6BF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6BF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6BF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6BF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6B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E6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6B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E6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6BF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E6BF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6BF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E6BF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6B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6BF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6BF3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E6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autoRedefine/>
    <w:qFormat/>
    <w:rsid w:val="00FE6BF3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594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2</cp:revision>
  <dcterms:created xsi:type="dcterms:W3CDTF">2025-07-16T13:09:00Z</dcterms:created>
  <dcterms:modified xsi:type="dcterms:W3CDTF">2025-07-16T13:10:00Z</dcterms:modified>
</cp:coreProperties>
</file>