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E3C3" w14:textId="77777777" w:rsidR="00C07DB5" w:rsidRPr="0005197E" w:rsidRDefault="00C07DB5" w:rsidP="00C07DB5">
      <w:pPr>
        <w:rPr>
          <w:b/>
          <w:bCs/>
          <w:iCs/>
          <w:color w:val="000000" w:themeColor="text1"/>
          <w:sz w:val="20"/>
          <w:szCs w:val="20"/>
          <w:lang w:val="en-GB"/>
        </w:rPr>
      </w:pPr>
      <w:bookmarkStart w:id="0" w:name="_Toc178157997"/>
    </w:p>
    <w:p w14:paraId="21A46052" w14:textId="12C2A0CB" w:rsidR="00C07DB5" w:rsidRPr="0005197E" w:rsidRDefault="00C07DB5" w:rsidP="00C07DB5">
      <w:pPr>
        <w:pStyle w:val="Style1"/>
        <w:rPr>
          <w:rStyle w:val="Accentuation"/>
          <w:rFonts w:eastAsiaTheme="majorEastAsia"/>
          <w:i w:val="0"/>
          <w:iCs/>
          <w:vertAlign w:val="superscript"/>
        </w:rPr>
      </w:pPr>
      <w:bookmarkStart w:id="1" w:name="_Toc185241028"/>
      <w:r>
        <w:t>Additional File 12</w:t>
      </w:r>
      <w:r w:rsidR="00964990">
        <w:t xml:space="preserve">: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7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>– Adherence to hospital multidisciplinary team recommendations at 3 and 6 months</w:t>
      </w:r>
      <w:r w:rsidRPr="0005197E">
        <w:rPr>
          <w:vertAlign w:val="superscript"/>
        </w:rPr>
        <w:t>a</w:t>
      </w:r>
      <w:bookmarkEnd w:id="0"/>
      <w:bookmarkEnd w:id="1"/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C07DB5" w:rsidRPr="0005197E" w14:paraId="72131CFB" w14:textId="77777777" w:rsidTr="00680908">
        <w:trPr>
          <w:trHeight w:val="625"/>
        </w:trPr>
        <w:tc>
          <w:tcPr>
            <w:tcW w:w="2500" w:type="pct"/>
          </w:tcPr>
          <w:p w14:paraId="3A0FF146" w14:textId="77777777" w:rsidR="00C07DB5" w:rsidRPr="0005197E" w:rsidRDefault="00C07DB5" w:rsidP="0068090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Adherence to recommendations </w:t>
            </w:r>
          </w:p>
          <w:p w14:paraId="10A7DFDA" w14:textId="77777777" w:rsidR="00C07DB5" w:rsidRPr="0005197E" w:rsidRDefault="00C07DB5" w:rsidP="0068090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Cs/>
                <w:color w:val="000000" w:themeColor="text1"/>
                <w:sz w:val="20"/>
                <w:szCs w:val="20"/>
                <w:lang w:val="en-US"/>
              </w:rPr>
              <w:t>at 3 months, % (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500" w:type="pct"/>
          </w:tcPr>
          <w:p w14:paraId="1343645F" w14:textId="77777777" w:rsidR="00C07DB5" w:rsidRPr="0005197E" w:rsidRDefault="00C07DB5" w:rsidP="0068090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Adherence to recommendations </w:t>
            </w:r>
          </w:p>
          <w:p w14:paraId="1B6E5081" w14:textId="77777777" w:rsidR="00C07DB5" w:rsidRPr="0005197E" w:rsidRDefault="00C07DB5" w:rsidP="00680908">
            <w:pPr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bCs/>
                <w:color w:val="000000" w:themeColor="text1"/>
                <w:sz w:val="20"/>
                <w:szCs w:val="20"/>
                <w:lang w:val="en-US"/>
              </w:rPr>
              <w:t>at 6 months, % (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lang w:val="en-US"/>
              </w:rPr>
              <w:t>95% CI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b</w:t>
            </w: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07DB5" w:rsidRPr="0005197E" w14:paraId="6BC119DE" w14:textId="77777777" w:rsidTr="00680908">
        <w:trPr>
          <w:trHeight w:val="530"/>
        </w:trPr>
        <w:tc>
          <w:tcPr>
            <w:tcW w:w="2500" w:type="pct"/>
            <w:vAlign w:val="center"/>
          </w:tcPr>
          <w:p w14:paraId="624BCB42" w14:textId="77777777" w:rsidR="00C07DB5" w:rsidRPr="0005197E" w:rsidRDefault="00C07DB5" w:rsidP="00680908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83.1 (76.7–88.3)</w:t>
            </w:r>
          </w:p>
        </w:tc>
        <w:tc>
          <w:tcPr>
            <w:tcW w:w="2500" w:type="pct"/>
            <w:vAlign w:val="center"/>
          </w:tcPr>
          <w:p w14:paraId="10C18968" w14:textId="77777777" w:rsidR="00C07DB5" w:rsidRPr="0005197E" w:rsidRDefault="00C07DB5" w:rsidP="00680908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87.3 (81.1–92.0)</w:t>
            </w:r>
          </w:p>
        </w:tc>
      </w:tr>
    </w:tbl>
    <w:p w14:paraId="6A0A579A" w14:textId="77777777" w:rsidR="00C07DB5" w:rsidRPr="0005197E" w:rsidRDefault="00C07DB5" w:rsidP="00C07DB5">
      <w:pPr>
        <w:spacing w:before="120"/>
        <w:rPr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vertAlign w:val="superscript"/>
          <w:lang w:val="en-US"/>
        </w:rPr>
        <w:t>a</w:t>
      </w:r>
      <w:r w:rsidRPr="0005197E">
        <w:rPr>
          <w:color w:val="000000" w:themeColor="text1"/>
          <w:sz w:val="20"/>
          <w:szCs w:val="20"/>
          <w:lang w:val="en-US"/>
        </w:rPr>
        <w:t xml:space="preserve"> Rates are calculated for patients who survived beyond 3 and 6 months.</w:t>
      </w:r>
    </w:p>
    <w:p w14:paraId="29CF95D3" w14:textId="77777777" w:rsidR="00C07DB5" w:rsidRPr="0005197E" w:rsidRDefault="00C07DB5" w:rsidP="00C07DB5">
      <w:pPr>
        <w:spacing w:after="480"/>
        <w:rPr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vertAlign w:val="superscript"/>
          <w:lang w:val="en-US"/>
        </w:rPr>
        <w:t xml:space="preserve">b </w:t>
      </w:r>
      <w:r w:rsidRPr="0005197E">
        <w:rPr>
          <w:color w:val="000000" w:themeColor="text1"/>
          <w:sz w:val="20"/>
          <w:szCs w:val="20"/>
          <w:lang w:val="en-US"/>
        </w:rPr>
        <w:t>Clopper-Pearson confidence interval</w:t>
      </w:r>
    </w:p>
    <w:p w14:paraId="190738A2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B5"/>
    <w:rsid w:val="000C289F"/>
    <w:rsid w:val="00964990"/>
    <w:rsid w:val="00C07DB5"/>
    <w:rsid w:val="00C60051"/>
    <w:rsid w:val="00D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5F57B3"/>
  <w15:chartTrackingRefBased/>
  <w15:docId w15:val="{AAC5A61A-C6A9-B04F-AF00-5582BAAF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DB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07D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7D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7D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7D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7D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7D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7D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7D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7D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7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7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7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7DB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7DB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7D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7D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7D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7D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7D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07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7D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0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7D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07D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7D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07DB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7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7DB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7DB5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C07DB5"/>
    <w:rPr>
      <w:i/>
      <w:iCs/>
    </w:rPr>
  </w:style>
  <w:style w:type="table" w:styleId="Grilledutableau">
    <w:name w:val="Table Grid"/>
    <w:basedOn w:val="TableauNormal"/>
    <w:uiPriority w:val="39"/>
    <w:rsid w:val="00C0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C07DB5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2025-07-16T13:14:00Z</dcterms:created>
  <dcterms:modified xsi:type="dcterms:W3CDTF">2025-07-16T13:14:00Z</dcterms:modified>
</cp:coreProperties>
</file>