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E8D9" w14:textId="13198416" w:rsidR="007D4C05" w:rsidRPr="0005197E" w:rsidRDefault="007D4C05" w:rsidP="007D4C05">
      <w:pPr>
        <w:pStyle w:val="Style1"/>
        <w:rPr>
          <w:vertAlign w:val="superscript"/>
        </w:rPr>
      </w:pPr>
      <w:bookmarkStart w:id="0" w:name="_Toc178157999"/>
      <w:bookmarkStart w:id="1" w:name="_Toc185241030"/>
      <w:r>
        <w:t xml:space="preserve">Additional File 16, </w:t>
      </w:r>
      <w:r w:rsidRPr="0005197E">
        <w:t xml:space="preserve">Table </w:t>
      </w:r>
      <w:r w:rsidRPr="0005197E">
        <w:fldChar w:fldCharType="begin"/>
      </w:r>
      <w:r w:rsidRPr="0005197E">
        <w:instrText xml:space="preserve"> SEQ eTable \* ARABIC </w:instrText>
      </w:r>
      <w:r w:rsidRPr="0005197E">
        <w:fldChar w:fldCharType="separate"/>
      </w:r>
      <w:r w:rsidRPr="0005197E">
        <w:rPr>
          <w:noProof/>
        </w:rPr>
        <w:t>9</w:t>
      </w:r>
      <w:r w:rsidRPr="0005197E">
        <w:rPr>
          <w:noProof/>
        </w:rPr>
        <w:fldChar w:fldCharType="end"/>
      </w:r>
      <w:r w:rsidRPr="0005197E">
        <w:rPr>
          <w:noProof/>
        </w:rPr>
        <w:t xml:space="preserve"> </w:t>
      </w:r>
      <w:r w:rsidRPr="0005197E">
        <w:t xml:space="preserve">– Sensitivity analysis: complete-cases analysis. Weighted cumulative incidence and risk differences for composite outcome at 3 and 6 </w:t>
      </w:r>
      <w:proofErr w:type="spellStart"/>
      <w:r w:rsidRPr="0005197E">
        <w:t>months</w:t>
      </w:r>
      <w:r w:rsidRPr="0005197E">
        <w:rPr>
          <w:vertAlign w:val="superscript"/>
        </w:rPr>
        <w:t>a</w:t>
      </w:r>
      <w:bookmarkEnd w:id="0"/>
      <w:bookmarkEnd w:id="1"/>
      <w:proofErr w:type="spellEnd"/>
    </w:p>
    <w:tbl>
      <w:tblPr>
        <w:tblStyle w:val="Grilledutableau"/>
        <w:tblpPr w:leftFromText="141" w:rightFromText="141" w:vertAnchor="text" w:horzAnchor="margin" w:tblpX="-294" w:tblpY="168"/>
        <w:tblW w:w="5162" w:type="pct"/>
        <w:tblLook w:val="0420" w:firstRow="1" w:lastRow="0" w:firstColumn="0" w:lastColumn="0" w:noHBand="0" w:noVBand="1"/>
      </w:tblPr>
      <w:tblGrid>
        <w:gridCol w:w="3056"/>
        <w:gridCol w:w="2047"/>
        <w:gridCol w:w="1098"/>
        <w:gridCol w:w="2058"/>
        <w:gridCol w:w="1097"/>
      </w:tblGrid>
      <w:tr w:rsidR="007D4C05" w:rsidRPr="0005197E" w14:paraId="0271C0FB" w14:textId="77777777" w:rsidTr="00680908">
        <w:tc>
          <w:tcPr>
            <w:tcW w:w="1633" w:type="pct"/>
          </w:tcPr>
          <w:p w14:paraId="0BB0A148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94" w:type="pct"/>
          </w:tcPr>
          <w:p w14:paraId="1227EF79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 xml:space="preserve">3-month 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lang w:val="en-US"/>
              </w:rPr>
              <w:t>cumulative incidence, % (95% CI)</w:t>
            </w:r>
          </w:p>
        </w:tc>
        <w:tc>
          <w:tcPr>
            <w:tcW w:w="587" w:type="pct"/>
          </w:tcPr>
          <w:p w14:paraId="211A9DCC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100" w:type="pct"/>
          </w:tcPr>
          <w:p w14:paraId="15244E5D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 xml:space="preserve">6-month 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lang w:val="en-US"/>
              </w:rPr>
              <w:t>cumulative incidence, % (95% CI)</w:t>
            </w:r>
          </w:p>
        </w:tc>
        <w:tc>
          <w:tcPr>
            <w:tcW w:w="586" w:type="pct"/>
          </w:tcPr>
          <w:p w14:paraId="2CDF028E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7D4C05" w:rsidRPr="0005197E" w14:paraId="03C23D9F" w14:textId="77777777" w:rsidTr="00680908">
        <w:tc>
          <w:tcPr>
            <w:tcW w:w="1633" w:type="pct"/>
          </w:tcPr>
          <w:p w14:paraId="610503EB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Major or clinically relevant bleeding event, </w:t>
            </w:r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  <w:lang w:val="en-US"/>
              </w:rPr>
              <w:t xml:space="preserve">major thromboembolic event or death </w:t>
            </w:r>
          </w:p>
        </w:tc>
        <w:tc>
          <w:tcPr>
            <w:tcW w:w="1094" w:type="pct"/>
          </w:tcPr>
          <w:p w14:paraId="18744B0F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7" w:type="pct"/>
          </w:tcPr>
          <w:p w14:paraId="40702C28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0" w:type="pct"/>
          </w:tcPr>
          <w:p w14:paraId="2A5ACCBB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6" w:type="pct"/>
          </w:tcPr>
          <w:p w14:paraId="786CDF5F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D4C05" w:rsidRPr="0005197E" w14:paraId="1DC42FB3" w14:textId="77777777" w:rsidTr="00680908">
        <w:tc>
          <w:tcPr>
            <w:tcW w:w="1633" w:type="pct"/>
          </w:tcPr>
          <w:p w14:paraId="4DC2A4D9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>Intervention arm (n = 129)</w:t>
            </w:r>
          </w:p>
        </w:tc>
        <w:tc>
          <w:tcPr>
            <w:tcW w:w="1094" w:type="pct"/>
          </w:tcPr>
          <w:p w14:paraId="3F3AF97D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17.2 (11.7–23.9)</w:t>
            </w:r>
          </w:p>
        </w:tc>
        <w:tc>
          <w:tcPr>
            <w:tcW w:w="587" w:type="pct"/>
            <w:vMerge w:val="restart"/>
          </w:tcPr>
          <w:p w14:paraId="54821663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100" w:type="pct"/>
          </w:tcPr>
          <w:p w14:paraId="1DA1B5F9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26.8 (17.4–37.8)</w:t>
            </w:r>
          </w:p>
        </w:tc>
        <w:tc>
          <w:tcPr>
            <w:tcW w:w="586" w:type="pct"/>
            <w:vMerge w:val="restart"/>
          </w:tcPr>
          <w:p w14:paraId="5FCEDB69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0.53</w:t>
            </w:r>
          </w:p>
        </w:tc>
      </w:tr>
      <w:tr w:rsidR="007D4C05" w:rsidRPr="0005197E" w14:paraId="398ABAF1" w14:textId="77777777" w:rsidTr="00680908">
        <w:tc>
          <w:tcPr>
            <w:tcW w:w="1633" w:type="pct"/>
          </w:tcPr>
          <w:p w14:paraId="0A66B6BB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 Control arm (n = 450)</w:t>
            </w:r>
          </w:p>
        </w:tc>
        <w:tc>
          <w:tcPr>
            <w:tcW w:w="1094" w:type="pct"/>
          </w:tcPr>
          <w:p w14:paraId="217CC91A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18.8 (15.0–22.7)</w:t>
            </w:r>
          </w:p>
        </w:tc>
        <w:tc>
          <w:tcPr>
            <w:tcW w:w="587" w:type="pct"/>
            <w:vMerge/>
          </w:tcPr>
          <w:p w14:paraId="4B3BA184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pct"/>
          </w:tcPr>
          <w:p w14:paraId="49B03233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30.2 (25.7–34.7)</w:t>
            </w:r>
          </w:p>
        </w:tc>
        <w:tc>
          <w:tcPr>
            <w:tcW w:w="586" w:type="pct"/>
            <w:vMerge/>
          </w:tcPr>
          <w:p w14:paraId="0782A1ED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D4C05" w:rsidRPr="0005197E" w14:paraId="4F58E7BB" w14:textId="77777777" w:rsidTr="00680908">
        <w:tc>
          <w:tcPr>
            <w:tcW w:w="1633" w:type="pct"/>
          </w:tcPr>
          <w:p w14:paraId="1A329216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 </w:t>
            </w:r>
            <w:proofErr w:type="spellStart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>Difference</w:t>
            </w:r>
            <w:proofErr w:type="spellEnd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94" w:type="pct"/>
          </w:tcPr>
          <w:p w14:paraId="211B0400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-1.6 (-7.0–5.3)</w:t>
            </w:r>
          </w:p>
        </w:tc>
        <w:tc>
          <w:tcPr>
            <w:tcW w:w="587" w:type="pct"/>
            <w:vMerge/>
          </w:tcPr>
          <w:p w14:paraId="24753BB5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0" w:type="pct"/>
          </w:tcPr>
          <w:p w14:paraId="40806213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-3.4 (-13.3–7.8)</w:t>
            </w:r>
          </w:p>
        </w:tc>
        <w:tc>
          <w:tcPr>
            <w:tcW w:w="586" w:type="pct"/>
            <w:vMerge/>
          </w:tcPr>
          <w:p w14:paraId="183F4C25" w14:textId="77777777" w:rsidR="007D4C05" w:rsidRPr="0005197E" w:rsidRDefault="007D4C05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0BEC4EE" w14:textId="77777777" w:rsidR="007D4C05" w:rsidRPr="0005197E" w:rsidRDefault="007D4C05" w:rsidP="007D4C05">
      <w:pPr>
        <w:rPr>
          <w:color w:val="000000" w:themeColor="text1"/>
          <w:sz w:val="16"/>
          <w:szCs w:val="16"/>
          <w:vertAlign w:val="superscript"/>
          <w:lang w:val="en-US"/>
        </w:rPr>
      </w:pPr>
    </w:p>
    <w:p w14:paraId="5195A9B0" w14:textId="77777777" w:rsidR="007D4C05" w:rsidRPr="0005197E" w:rsidRDefault="007D4C05" w:rsidP="007D4C05">
      <w:pPr>
        <w:rPr>
          <w:color w:val="000000" w:themeColor="text1"/>
          <w:sz w:val="20"/>
          <w:szCs w:val="20"/>
          <w:lang w:val="en-US"/>
        </w:rPr>
      </w:pPr>
      <w:proofErr w:type="spellStart"/>
      <w:r w:rsidRPr="0005197E">
        <w:rPr>
          <w:color w:val="000000" w:themeColor="text1"/>
          <w:sz w:val="20"/>
          <w:szCs w:val="20"/>
          <w:vertAlign w:val="superscript"/>
          <w:lang w:val="en-US"/>
        </w:rPr>
        <w:t>a</w:t>
      </w:r>
      <w:r w:rsidRPr="0005197E">
        <w:rPr>
          <w:color w:val="000000" w:themeColor="text1"/>
          <w:sz w:val="20"/>
          <w:szCs w:val="20"/>
          <w:lang w:val="en-US"/>
        </w:rPr>
        <w:t>The</w:t>
      </w:r>
      <w:proofErr w:type="spellEnd"/>
      <w:r w:rsidRPr="0005197E">
        <w:rPr>
          <w:color w:val="000000" w:themeColor="text1"/>
          <w:sz w:val="20"/>
          <w:szCs w:val="20"/>
          <w:lang w:val="en-US"/>
        </w:rPr>
        <w:t xml:space="preserve"> analysis involved 579 patients with complete data.</w:t>
      </w:r>
    </w:p>
    <w:p w14:paraId="759BACDC" w14:textId="77777777" w:rsidR="007D4C05" w:rsidRPr="0005197E" w:rsidRDefault="007D4C05" w:rsidP="007D4C05">
      <w:pPr>
        <w:rPr>
          <w:b/>
          <w:bCs/>
          <w:color w:val="000000" w:themeColor="text1"/>
          <w:lang w:val="en-US"/>
        </w:rPr>
      </w:pPr>
      <w:r w:rsidRPr="0005197E">
        <w:rPr>
          <w:color w:val="000000" w:themeColor="text1"/>
          <w:sz w:val="20"/>
          <w:szCs w:val="20"/>
          <w:lang w:val="en-US"/>
        </w:rPr>
        <w:t>Abbreviation: CI, confidence interval</w:t>
      </w:r>
    </w:p>
    <w:p w14:paraId="542FBBC0" w14:textId="77777777" w:rsidR="00C60051" w:rsidRDefault="00C60051"/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05"/>
    <w:rsid w:val="000C289F"/>
    <w:rsid w:val="007D4C05"/>
    <w:rsid w:val="00C60051"/>
    <w:rsid w:val="00D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DE781"/>
  <w15:chartTrackingRefBased/>
  <w15:docId w15:val="{B0AD4AD3-0402-1646-9BC7-6C4D0736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C05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D4C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4C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4C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4C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4C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4C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4C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4C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4C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4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4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4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4C0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4C0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4C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4C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4C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4C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4C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D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4C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D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4C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D4C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4C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D4C0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4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4C0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4C05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D4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7D4C05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1</cp:revision>
  <dcterms:created xsi:type="dcterms:W3CDTF">2025-07-16T13:17:00Z</dcterms:created>
  <dcterms:modified xsi:type="dcterms:W3CDTF">2025-07-16T13:17:00Z</dcterms:modified>
</cp:coreProperties>
</file>