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339B5" w14:textId="641A0D82" w:rsidR="005A7696" w:rsidRPr="005A7696" w:rsidRDefault="005A7696" w:rsidP="005A7696">
      <w:pPr>
        <w:pStyle w:val="Style1"/>
      </w:pPr>
      <w:bookmarkStart w:id="0" w:name="_Toc185241031"/>
      <w:r>
        <w:t xml:space="preserve">Additional File 17, </w:t>
      </w:r>
      <w:r w:rsidRPr="0005197E">
        <w:t xml:space="preserve">Table </w:t>
      </w:r>
      <w:r w:rsidRPr="0005197E">
        <w:fldChar w:fldCharType="begin"/>
      </w:r>
      <w:r w:rsidRPr="0005197E">
        <w:instrText xml:space="preserve"> SEQ eTable \* ARABIC </w:instrText>
      </w:r>
      <w:r w:rsidRPr="0005197E">
        <w:fldChar w:fldCharType="separate"/>
      </w:r>
      <w:r w:rsidRPr="0005197E">
        <w:rPr>
          <w:noProof/>
        </w:rPr>
        <w:t>10</w:t>
      </w:r>
      <w:r w:rsidRPr="0005197E">
        <w:rPr>
          <w:noProof/>
        </w:rPr>
        <w:fldChar w:fldCharType="end"/>
      </w:r>
      <w:r w:rsidRPr="0005197E">
        <w:rPr>
          <w:noProof/>
        </w:rPr>
        <w:t xml:space="preserve"> </w:t>
      </w:r>
      <w:r w:rsidRPr="0005197E">
        <w:t xml:space="preserve">– Sensitivity analysis: Cox proportional-hazards analysis of composite outcome using propensity score and 45-day landmark </w:t>
      </w:r>
      <w:proofErr w:type="spellStart"/>
      <w:r w:rsidRPr="0005197E">
        <w:t>time</w:t>
      </w:r>
      <w:r w:rsidRPr="0005197E">
        <w:rPr>
          <w:vertAlign w:val="superscript"/>
        </w:rPr>
        <w:t>a</w:t>
      </w:r>
      <w:bookmarkEnd w:id="0"/>
      <w:proofErr w:type="spellEnd"/>
    </w:p>
    <w:tbl>
      <w:tblPr>
        <w:tblStyle w:val="Grilledutableau"/>
        <w:tblW w:w="5000" w:type="pct"/>
        <w:tblLook w:val="0420" w:firstRow="1" w:lastRow="0" w:firstColumn="0" w:lastColumn="0" w:noHBand="0" w:noVBand="1"/>
      </w:tblPr>
      <w:tblGrid>
        <w:gridCol w:w="3081"/>
        <w:gridCol w:w="4141"/>
        <w:gridCol w:w="1840"/>
      </w:tblGrid>
      <w:tr w:rsidR="005A7696" w:rsidRPr="0005197E" w14:paraId="249062E9" w14:textId="77777777" w:rsidTr="00680908">
        <w:tc>
          <w:tcPr>
            <w:tcW w:w="1700" w:type="pct"/>
          </w:tcPr>
          <w:p w14:paraId="1209A228" w14:textId="77777777" w:rsidR="005A7696" w:rsidRPr="0005197E" w:rsidRDefault="005A7696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85" w:type="pct"/>
          </w:tcPr>
          <w:p w14:paraId="169EA45D" w14:textId="77777777" w:rsidR="005A7696" w:rsidRPr="0005197E" w:rsidRDefault="005A7696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05197E">
              <w:rPr>
                <w:rFonts w:eastAsia="Helvetica"/>
                <w:color w:val="000000" w:themeColor="text1"/>
                <w:sz w:val="20"/>
                <w:szCs w:val="20"/>
                <w:lang w:val="en-US"/>
              </w:rPr>
              <w:t>HR (95% CI)</w:t>
            </w:r>
          </w:p>
        </w:tc>
        <w:tc>
          <w:tcPr>
            <w:tcW w:w="1015" w:type="pct"/>
          </w:tcPr>
          <w:p w14:paraId="5F14305E" w14:textId="77777777" w:rsidR="005A7696" w:rsidRPr="0005197E" w:rsidRDefault="005A7696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05197E">
              <w:rPr>
                <w:rFonts w:eastAsia="Helvetica"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</w:tr>
      <w:tr w:rsidR="005A7696" w:rsidRPr="0005197E" w14:paraId="497246B7" w14:textId="77777777" w:rsidTr="00680908">
        <w:tc>
          <w:tcPr>
            <w:tcW w:w="1700" w:type="pct"/>
          </w:tcPr>
          <w:p w14:paraId="522F598A" w14:textId="77777777" w:rsidR="005A7696" w:rsidRPr="0005197E" w:rsidRDefault="005A7696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 xml:space="preserve">Major or clinically relevant bleeding event, </w:t>
            </w:r>
            <w:r w:rsidRPr="0005197E">
              <w:rPr>
                <w:rFonts w:eastAsia="Helvetica"/>
                <w:b/>
                <w:color w:val="000000" w:themeColor="text1"/>
                <w:sz w:val="20"/>
                <w:szCs w:val="20"/>
                <w:lang w:val="en-US"/>
              </w:rPr>
              <w:t>major thromboembolic event or death in intervention arm (n = 154) vs control arm (n = 549)</w:t>
            </w:r>
          </w:p>
        </w:tc>
        <w:tc>
          <w:tcPr>
            <w:tcW w:w="2285" w:type="pct"/>
          </w:tcPr>
          <w:p w14:paraId="7D8AD540" w14:textId="77777777" w:rsidR="005A7696" w:rsidRPr="0005197E" w:rsidRDefault="005A7696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1.0 (0.6–1.6)</w:t>
            </w:r>
          </w:p>
        </w:tc>
        <w:tc>
          <w:tcPr>
            <w:tcW w:w="1015" w:type="pct"/>
          </w:tcPr>
          <w:p w14:paraId="5223FB73" w14:textId="77777777" w:rsidR="005A7696" w:rsidRPr="0005197E" w:rsidRDefault="005A7696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0.36</w:t>
            </w:r>
          </w:p>
        </w:tc>
      </w:tr>
    </w:tbl>
    <w:p w14:paraId="400FAF73" w14:textId="77777777" w:rsidR="005A7696" w:rsidRPr="0005197E" w:rsidRDefault="005A7696" w:rsidP="005A7696">
      <w:pPr>
        <w:rPr>
          <w:color w:val="000000" w:themeColor="text1"/>
          <w:sz w:val="16"/>
          <w:szCs w:val="16"/>
          <w:lang w:val="en-US"/>
        </w:rPr>
      </w:pPr>
    </w:p>
    <w:p w14:paraId="34CAA7DE" w14:textId="77777777" w:rsidR="005A7696" w:rsidRPr="0005197E" w:rsidRDefault="005A7696" w:rsidP="005A7696">
      <w:pPr>
        <w:rPr>
          <w:color w:val="000000" w:themeColor="text1"/>
          <w:sz w:val="16"/>
          <w:szCs w:val="16"/>
          <w:lang w:val="en-US"/>
        </w:rPr>
      </w:pPr>
      <w:proofErr w:type="spellStart"/>
      <w:r w:rsidRPr="0005197E">
        <w:rPr>
          <w:color w:val="000000" w:themeColor="text1"/>
          <w:sz w:val="16"/>
          <w:szCs w:val="16"/>
          <w:vertAlign w:val="superscript"/>
          <w:lang w:val="en-US"/>
        </w:rPr>
        <w:t>a</w:t>
      </w:r>
      <w:proofErr w:type="spellEnd"/>
      <w:r w:rsidRPr="0005197E">
        <w:rPr>
          <w:color w:val="000000" w:themeColor="text1"/>
          <w:sz w:val="16"/>
          <w:szCs w:val="16"/>
          <w:lang w:val="en-US"/>
        </w:rPr>
        <w:t xml:space="preserve"> </w:t>
      </w:r>
      <w:proofErr w:type="gramStart"/>
      <w:r w:rsidRPr="0005197E">
        <w:rPr>
          <w:color w:val="000000" w:themeColor="text1"/>
          <w:sz w:val="16"/>
          <w:szCs w:val="16"/>
          <w:lang w:val="en-US"/>
        </w:rPr>
        <w:t>The</w:t>
      </w:r>
      <w:proofErr w:type="gramEnd"/>
      <w:r w:rsidRPr="0005197E">
        <w:rPr>
          <w:color w:val="000000" w:themeColor="text1"/>
          <w:sz w:val="16"/>
          <w:szCs w:val="16"/>
          <w:lang w:val="en-US"/>
        </w:rPr>
        <w:t xml:space="preserve"> analysis involved 703 patients alive at 45 days after admission</w:t>
      </w:r>
    </w:p>
    <w:p w14:paraId="1A6F398E" w14:textId="5D96C85D" w:rsidR="00C60051" w:rsidRDefault="005A7696" w:rsidP="005A7696">
      <w:r w:rsidRPr="0005197E">
        <w:rPr>
          <w:color w:val="000000" w:themeColor="text1"/>
          <w:sz w:val="15"/>
          <w:szCs w:val="15"/>
          <w:lang w:val="en-US"/>
        </w:rPr>
        <w:t>Abbreviations:</w:t>
      </w:r>
      <w:r w:rsidRPr="0005197E">
        <w:rPr>
          <w:b/>
          <w:bCs/>
          <w:color w:val="000000" w:themeColor="text1"/>
          <w:sz w:val="15"/>
          <w:szCs w:val="15"/>
          <w:lang w:val="en-US"/>
        </w:rPr>
        <w:t xml:space="preserve"> </w:t>
      </w:r>
      <w:r w:rsidRPr="0005197E">
        <w:rPr>
          <w:color w:val="000000" w:themeColor="text1"/>
          <w:sz w:val="15"/>
          <w:szCs w:val="15"/>
          <w:lang w:val="en-US"/>
        </w:rPr>
        <w:t>HR: hazard ratio, 95% CI: 95% confidence interval</w:t>
      </w:r>
    </w:p>
    <w:sectPr w:rsidR="00C60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696"/>
    <w:rsid w:val="000C289F"/>
    <w:rsid w:val="005A7696"/>
    <w:rsid w:val="00C60051"/>
    <w:rsid w:val="00D3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DF9A24"/>
  <w15:chartTrackingRefBased/>
  <w15:docId w15:val="{D1200A6A-B4F2-1D4F-AD9E-FA684D9A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696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A769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A769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A769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A769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A769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A769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A769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A769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A769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A76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A76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A76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A769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A769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A769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A769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A769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A769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A76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5A76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A769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5A76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A769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5A769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A769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5A769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A76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A769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A7696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A7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autoRedefine/>
    <w:qFormat/>
    <w:rsid w:val="005A7696"/>
    <w:pPr>
      <w:spacing w:before="100" w:beforeAutospacing="1" w:line="360" w:lineRule="auto"/>
    </w:pPr>
    <w:rPr>
      <w:b/>
      <w:iCs/>
      <w:color w:val="000000" w:themeColor="text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420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Lorène Zerah</dc:creator>
  <cp:keywords/>
  <dc:description/>
  <cp:lastModifiedBy>Lorène Zerah</cp:lastModifiedBy>
  <cp:revision>1</cp:revision>
  <dcterms:created xsi:type="dcterms:W3CDTF">2025-07-16T13:17:00Z</dcterms:created>
  <dcterms:modified xsi:type="dcterms:W3CDTF">2025-07-16T13:18:00Z</dcterms:modified>
</cp:coreProperties>
</file>