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156514">
      <w:pPr>
        <w:spacing w:line="360" w:lineRule="auto"/>
        <w:jc w:val="center"/>
        <w:rPr>
          <w:rFonts w:eastAsia="微软雅黑"/>
          <w:bCs/>
          <w:sz w:val="28"/>
          <w:szCs w:val="28"/>
        </w:rPr>
      </w:pPr>
      <w:r>
        <w:rPr>
          <w:rFonts w:eastAsia="微软雅黑"/>
          <w:bCs/>
          <w:sz w:val="28"/>
          <w:szCs w:val="28"/>
        </w:rPr>
        <w:t>Protocol</w:t>
      </w:r>
    </w:p>
    <w:p w14:paraId="2EEDCC0E">
      <w:pPr>
        <w:spacing w:line="360" w:lineRule="auto"/>
        <w:jc w:val="both"/>
        <w:rPr>
          <w:rFonts w:eastAsia="微软雅黑"/>
          <w:bCs/>
          <w:sz w:val="24"/>
        </w:rPr>
      </w:pPr>
      <w:r>
        <w:rPr>
          <w:rFonts w:eastAsia="微软雅黑"/>
          <w:bCs/>
          <w:sz w:val="24"/>
        </w:rPr>
        <w:t xml:space="preserve">Protocol for: Supplement to: </w:t>
      </w:r>
      <w:r>
        <w:rPr>
          <w:rFonts w:hint="default" w:ascii="Times New Roman" w:hAnsi="Times New Roman" w:eastAsia="微软雅黑" w:cs="Times New Roman"/>
          <w:b/>
          <w:bCs w:val="0"/>
          <w:sz w:val="24"/>
        </w:rPr>
        <w:t xml:space="preserve">Long-term Oncological Outcomes of Indocyanine Green Fluorescence Imaging-Guided Laparoscopic </w:t>
      </w:r>
      <w:bookmarkStart w:id="0" w:name="_Hlk107428926"/>
      <w:r>
        <w:rPr>
          <w:rFonts w:hint="default" w:ascii="Times New Roman" w:hAnsi="Times New Roman" w:eastAsia="微软雅黑" w:cs="Times New Roman"/>
          <w:b/>
          <w:bCs w:val="0"/>
          <w:sz w:val="24"/>
        </w:rPr>
        <w:t>Lymphadenectomy</w:t>
      </w:r>
      <w:bookmarkEnd w:id="0"/>
      <w:r>
        <w:rPr>
          <w:rFonts w:hint="default" w:ascii="Times New Roman" w:hAnsi="Times New Roman" w:eastAsia="微软雅黑" w:cs="Times New Roman"/>
          <w:b/>
          <w:bCs w:val="0"/>
          <w:sz w:val="24"/>
        </w:rPr>
        <w:t xml:space="preserve"> for Gastric Cancer: Five-Year Outcomes From the FUGES-012 Randomized Clinical Trial</w:t>
      </w:r>
      <w:r>
        <w:rPr>
          <w:rFonts w:hint="eastAsia" w:eastAsia="微软雅黑" w:cs="Times New Roman"/>
          <w:b/>
          <w:bCs w:val="0"/>
          <w:sz w:val="24"/>
          <w:lang w:val="en-US" w:eastAsia="zh-CN"/>
        </w:rPr>
        <w:t>.</w:t>
      </w:r>
      <w:r>
        <w:rPr>
          <w:rFonts w:hint="eastAsia" w:eastAsia="微软雅黑" w:cs="Times New Roman"/>
          <w:bCs/>
          <w:sz w:val="24"/>
          <w:lang w:val="en-US" w:eastAsia="zh-CN"/>
        </w:rPr>
        <w:t xml:space="preserve"> </w:t>
      </w:r>
      <w:r>
        <w:rPr>
          <w:rFonts w:eastAsia="微软雅黑"/>
          <w:bCs/>
          <w:sz w:val="24"/>
        </w:rPr>
        <w:t>This trial protocol has been provided by the authors to give read</w:t>
      </w:r>
      <w:bookmarkStart w:id="155" w:name="_GoBack"/>
      <w:bookmarkEnd w:id="155"/>
      <w:r>
        <w:rPr>
          <w:rFonts w:eastAsia="微软雅黑"/>
          <w:bCs/>
          <w:sz w:val="24"/>
        </w:rPr>
        <w:t>ers additional information about the work.</w:t>
      </w:r>
    </w:p>
    <w:p w14:paraId="5D8AEAF4">
      <w:pPr>
        <w:spacing w:line="360" w:lineRule="auto"/>
        <w:jc w:val="left"/>
        <w:rPr>
          <w:rFonts w:eastAsia="微软雅黑"/>
          <w:bCs/>
          <w:sz w:val="24"/>
        </w:rPr>
      </w:pPr>
    </w:p>
    <w:p w14:paraId="0FE2CA72">
      <w:pPr>
        <w:spacing w:line="360" w:lineRule="auto"/>
        <w:jc w:val="left"/>
        <w:rPr>
          <w:rFonts w:eastAsia="微软雅黑"/>
          <w:bCs/>
          <w:sz w:val="24"/>
        </w:rPr>
      </w:pPr>
    </w:p>
    <w:p w14:paraId="12507448">
      <w:pPr>
        <w:spacing w:line="360" w:lineRule="auto"/>
        <w:jc w:val="left"/>
        <w:rPr>
          <w:rFonts w:eastAsia="微软雅黑"/>
          <w:bCs/>
          <w:sz w:val="24"/>
        </w:rPr>
      </w:pPr>
    </w:p>
    <w:p w14:paraId="33C56C4A">
      <w:pPr>
        <w:spacing w:line="360" w:lineRule="auto"/>
        <w:jc w:val="left"/>
        <w:rPr>
          <w:rFonts w:eastAsia="微软雅黑"/>
          <w:bCs/>
          <w:sz w:val="24"/>
        </w:rPr>
      </w:pPr>
    </w:p>
    <w:p w14:paraId="06D8937D">
      <w:pPr>
        <w:spacing w:line="360" w:lineRule="auto"/>
        <w:jc w:val="left"/>
        <w:rPr>
          <w:rFonts w:eastAsia="微软雅黑"/>
          <w:bCs/>
          <w:sz w:val="24"/>
        </w:rPr>
      </w:pPr>
    </w:p>
    <w:p w14:paraId="1CD57ACC">
      <w:pPr>
        <w:spacing w:line="360" w:lineRule="auto"/>
        <w:jc w:val="left"/>
        <w:rPr>
          <w:rFonts w:eastAsia="微软雅黑"/>
          <w:bCs/>
          <w:sz w:val="24"/>
        </w:rPr>
      </w:pPr>
    </w:p>
    <w:p w14:paraId="47BC24A0">
      <w:pPr>
        <w:spacing w:line="360" w:lineRule="auto"/>
        <w:jc w:val="left"/>
        <w:rPr>
          <w:rFonts w:eastAsia="微软雅黑"/>
          <w:bCs/>
          <w:sz w:val="24"/>
        </w:rPr>
      </w:pPr>
    </w:p>
    <w:p w14:paraId="4174D61E">
      <w:pPr>
        <w:spacing w:line="360" w:lineRule="auto"/>
        <w:jc w:val="left"/>
        <w:rPr>
          <w:rFonts w:eastAsia="微软雅黑"/>
          <w:bCs/>
          <w:sz w:val="24"/>
        </w:rPr>
      </w:pPr>
    </w:p>
    <w:p w14:paraId="12396576">
      <w:pPr>
        <w:spacing w:line="360" w:lineRule="auto"/>
        <w:jc w:val="left"/>
        <w:rPr>
          <w:rFonts w:eastAsia="微软雅黑"/>
          <w:bCs/>
          <w:sz w:val="24"/>
        </w:rPr>
      </w:pPr>
    </w:p>
    <w:p w14:paraId="30DAF949">
      <w:pPr>
        <w:spacing w:line="360" w:lineRule="auto"/>
        <w:jc w:val="left"/>
        <w:rPr>
          <w:rFonts w:eastAsia="微软雅黑"/>
          <w:bCs/>
          <w:sz w:val="24"/>
        </w:rPr>
      </w:pPr>
    </w:p>
    <w:p w14:paraId="026FFC71">
      <w:pPr>
        <w:spacing w:line="360" w:lineRule="auto"/>
        <w:jc w:val="left"/>
        <w:rPr>
          <w:rFonts w:eastAsia="微软雅黑"/>
          <w:bCs/>
          <w:sz w:val="24"/>
        </w:rPr>
      </w:pPr>
    </w:p>
    <w:p w14:paraId="4EF20D53">
      <w:pPr>
        <w:spacing w:line="360" w:lineRule="auto"/>
        <w:jc w:val="left"/>
        <w:rPr>
          <w:rFonts w:eastAsia="微软雅黑"/>
          <w:bCs/>
          <w:sz w:val="24"/>
        </w:rPr>
      </w:pPr>
    </w:p>
    <w:p w14:paraId="5EEA1DF7">
      <w:pPr>
        <w:spacing w:line="360" w:lineRule="auto"/>
        <w:jc w:val="left"/>
        <w:rPr>
          <w:rFonts w:eastAsia="微软雅黑"/>
          <w:bCs/>
          <w:sz w:val="24"/>
        </w:rPr>
      </w:pPr>
    </w:p>
    <w:p w14:paraId="77F789E6">
      <w:pPr>
        <w:spacing w:line="360" w:lineRule="auto"/>
        <w:jc w:val="left"/>
        <w:rPr>
          <w:rFonts w:eastAsia="微软雅黑"/>
          <w:bCs/>
          <w:sz w:val="24"/>
        </w:rPr>
      </w:pPr>
    </w:p>
    <w:p w14:paraId="0F066225">
      <w:pPr>
        <w:spacing w:line="360" w:lineRule="auto"/>
        <w:jc w:val="left"/>
        <w:rPr>
          <w:rFonts w:eastAsia="微软雅黑"/>
          <w:bCs/>
          <w:sz w:val="24"/>
        </w:rPr>
      </w:pPr>
    </w:p>
    <w:p w14:paraId="10F9EEAD">
      <w:pPr>
        <w:spacing w:line="360" w:lineRule="auto"/>
        <w:jc w:val="left"/>
        <w:rPr>
          <w:rFonts w:eastAsia="微软雅黑"/>
          <w:bCs/>
          <w:sz w:val="24"/>
        </w:rPr>
      </w:pPr>
    </w:p>
    <w:p w14:paraId="4552F17C">
      <w:pPr>
        <w:spacing w:line="360" w:lineRule="auto"/>
        <w:jc w:val="left"/>
        <w:rPr>
          <w:rFonts w:eastAsia="微软雅黑"/>
          <w:bCs/>
          <w:sz w:val="24"/>
        </w:rPr>
      </w:pPr>
    </w:p>
    <w:p w14:paraId="261DA7C5">
      <w:pPr>
        <w:spacing w:line="360" w:lineRule="auto"/>
        <w:jc w:val="left"/>
        <w:rPr>
          <w:rFonts w:eastAsia="微软雅黑"/>
          <w:bCs/>
          <w:sz w:val="24"/>
        </w:rPr>
      </w:pPr>
    </w:p>
    <w:p w14:paraId="4DFA2C39">
      <w:pPr>
        <w:spacing w:line="360" w:lineRule="auto"/>
        <w:jc w:val="left"/>
        <w:rPr>
          <w:rFonts w:eastAsia="微软雅黑"/>
          <w:bCs/>
          <w:sz w:val="24"/>
        </w:rPr>
      </w:pPr>
    </w:p>
    <w:p w14:paraId="42DF5CEB">
      <w:pPr>
        <w:spacing w:line="360" w:lineRule="auto"/>
        <w:jc w:val="center"/>
        <w:rPr>
          <w:rFonts w:eastAsia="微软雅黑"/>
          <w:b/>
          <w:sz w:val="24"/>
        </w:rPr>
      </w:pPr>
    </w:p>
    <w:p w14:paraId="2462F4C5">
      <w:pPr>
        <w:spacing w:line="360" w:lineRule="auto"/>
        <w:jc w:val="center"/>
        <w:rPr>
          <w:rFonts w:eastAsia="微软雅黑"/>
          <w:b/>
          <w:sz w:val="24"/>
        </w:rPr>
      </w:pPr>
    </w:p>
    <w:p w14:paraId="7CF58E80">
      <w:pPr>
        <w:spacing w:line="360" w:lineRule="auto"/>
        <w:jc w:val="center"/>
        <w:rPr>
          <w:rFonts w:eastAsia="微软雅黑"/>
          <w:b/>
          <w:sz w:val="24"/>
        </w:rPr>
      </w:pPr>
    </w:p>
    <w:p w14:paraId="3314B73C">
      <w:pPr>
        <w:spacing w:line="360" w:lineRule="auto"/>
        <w:jc w:val="left"/>
        <w:rPr>
          <w:rFonts w:eastAsia="微软雅黑"/>
          <w:b/>
          <w:sz w:val="24"/>
        </w:rPr>
        <w:sectPr>
          <w:headerReference r:id="rId4" w:type="first"/>
          <w:headerReference r:id="rId3" w:type="default"/>
          <w:footerReference r:id="rId5" w:type="default"/>
          <w:pgSz w:w="11906" w:h="16838"/>
          <w:pgMar w:top="1440" w:right="1644" w:bottom="1440" w:left="1797" w:header="851" w:footer="992" w:gutter="0"/>
          <w:pgNumType w:start="1"/>
          <w:cols w:space="425" w:num="1"/>
          <w:titlePg/>
          <w:docGrid w:type="lines" w:linePitch="312" w:charSpace="0"/>
        </w:sectPr>
      </w:pPr>
    </w:p>
    <w:p w14:paraId="3C0A0AB2">
      <w:pPr>
        <w:spacing w:line="360" w:lineRule="auto"/>
        <w:jc w:val="left"/>
        <w:rPr>
          <w:rFonts w:eastAsia="微软雅黑"/>
          <w:b/>
          <w:sz w:val="24"/>
        </w:rPr>
      </w:pPr>
      <w:r>
        <w:rPr>
          <w:rFonts w:eastAsia="微软雅黑"/>
          <w:b/>
          <w:sz w:val="24"/>
        </w:rPr>
        <w:t xml:space="preserve">Protocol and Statistical Analysis Plan (SAP)  </w:t>
      </w:r>
    </w:p>
    <w:p w14:paraId="040A0F5C">
      <w:pPr>
        <w:spacing w:line="360" w:lineRule="auto"/>
        <w:jc w:val="left"/>
        <w:rPr>
          <w:rFonts w:eastAsia="微软雅黑"/>
          <w:b/>
          <w:sz w:val="24"/>
        </w:rPr>
      </w:pPr>
    </w:p>
    <w:p w14:paraId="45A88947">
      <w:pPr>
        <w:spacing w:line="360" w:lineRule="auto"/>
        <w:jc w:val="left"/>
        <w:outlineLvl w:val="0"/>
        <w:rPr>
          <w:rFonts w:eastAsia="微软雅黑"/>
          <w:b/>
          <w:sz w:val="24"/>
        </w:rPr>
      </w:pPr>
      <w:bookmarkStart w:id="1" w:name="_Toc4295"/>
      <w:r>
        <w:rPr>
          <w:rFonts w:eastAsia="微软雅黑"/>
          <w:b/>
          <w:sz w:val="24"/>
        </w:rPr>
        <w:t>Table of Contents</w:t>
      </w:r>
      <w:bookmarkEnd w:id="1"/>
      <w:r>
        <w:rPr>
          <w:rFonts w:eastAsia="微软雅黑"/>
          <w:b/>
          <w:sz w:val="24"/>
        </w:rPr>
        <w:t xml:space="preserve"> </w:t>
      </w:r>
    </w:p>
    <w:p w14:paraId="514D1179">
      <w:pPr>
        <w:spacing w:line="360" w:lineRule="auto"/>
        <w:jc w:val="right"/>
        <w:rPr>
          <w:rFonts w:eastAsia="微软雅黑"/>
          <w:b/>
          <w:sz w:val="24"/>
        </w:rPr>
      </w:pPr>
      <w:r>
        <w:rPr>
          <w:rFonts w:eastAsia="微软雅黑"/>
          <w:b/>
          <w:sz w:val="24"/>
        </w:rPr>
        <w:t xml:space="preserve">                         page </w:t>
      </w:r>
    </w:p>
    <w:p w14:paraId="1345018A">
      <w:pPr>
        <w:spacing w:line="360" w:lineRule="auto"/>
        <w:jc w:val="left"/>
        <w:rPr>
          <w:rFonts w:eastAsia="微软雅黑"/>
          <w:b/>
          <w:sz w:val="24"/>
        </w:rPr>
      </w:pPr>
      <w:r>
        <w:rPr>
          <w:rFonts w:eastAsia="微软雅黑"/>
          <w:b/>
          <w:sz w:val="24"/>
        </w:rPr>
        <w:t xml:space="preserve">Original protocol (ver. 1.2)                            </w:t>
      </w:r>
      <w:r>
        <w:rPr>
          <w:rFonts w:eastAsia="微软雅黑"/>
          <w:b/>
          <w:sz w:val="28"/>
          <w:szCs w:val="28"/>
        </w:rPr>
        <w:t xml:space="preserve"> </w:t>
      </w:r>
      <w:r>
        <w:rPr>
          <w:rFonts w:eastAsia="微软雅黑"/>
          <w:b/>
          <w:sz w:val="24"/>
        </w:rPr>
        <w:t xml:space="preserve">                 </w:t>
      </w:r>
      <w:r>
        <w:rPr>
          <w:rFonts w:hint="eastAsia" w:eastAsia="微软雅黑"/>
          <w:b/>
          <w:sz w:val="24"/>
          <w:lang w:val="en-US" w:eastAsia="zh-CN"/>
        </w:rPr>
        <w:t>2</w:t>
      </w:r>
      <w:r>
        <w:rPr>
          <w:rFonts w:eastAsia="微软雅黑"/>
          <w:b/>
          <w:sz w:val="24"/>
        </w:rPr>
        <w:t xml:space="preserve"> </w:t>
      </w:r>
    </w:p>
    <w:p w14:paraId="4A924590">
      <w:pPr>
        <w:spacing w:line="360" w:lineRule="auto"/>
        <w:jc w:val="left"/>
        <w:rPr>
          <w:rFonts w:eastAsia="微软雅黑"/>
          <w:b/>
          <w:sz w:val="24"/>
        </w:rPr>
      </w:pPr>
      <w:r>
        <w:rPr>
          <w:rFonts w:eastAsia="微软雅黑"/>
          <w:b/>
          <w:sz w:val="24"/>
        </w:rPr>
        <w:t xml:space="preserve">Final protocol (ver. 2.1)                                   </w:t>
      </w:r>
      <w:r>
        <w:rPr>
          <w:rFonts w:eastAsia="微软雅黑"/>
          <w:b/>
          <w:sz w:val="28"/>
          <w:szCs w:val="28"/>
        </w:rPr>
        <w:t xml:space="preserve"> </w:t>
      </w:r>
      <w:r>
        <w:rPr>
          <w:rFonts w:eastAsia="微软雅黑"/>
          <w:b/>
          <w:sz w:val="24"/>
        </w:rPr>
        <w:t xml:space="preserve">            64  </w:t>
      </w:r>
    </w:p>
    <w:p w14:paraId="45626CD2">
      <w:pPr>
        <w:spacing w:line="360" w:lineRule="auto"/>
        <w:jc w:val="left"/>
        <w:rPr>
          <w:rFonts w:hint="eastAsia" w:eastAsia="微软雅黑"/>
          <w:b/>
          <w:sz w:val="24"/>
          <w:lang w:eastAsia="zh-CN"/>
        </w:rPr>
      </w:pPr>
      <w:r>
        <w:rPr>
          <w:rFonts w:eastAsia="微软雅黑"/>
          <w:b/>
          <w:sz w:val="24"/>
        </w:rPr>
        <w:t xml:space="preserve">Summary of changes to the protocol                               </w:t>
      </w:r>
      <w:r>
        <w:rPr>
          <w:rFonts w:eastAsia="微软雅黑"/>
          <w:b/>
          <w:sz w:val="36"/>
          <w:szCs w:val="36"/>
        </w:rPr>
        <w:t xml:space="preserve"> </w:t>
      </w:r>
      <w:r>
        <w:rPr>
          <w:rFonts w:eastAsia="微软雅黑"/>
          <w:b/>
          <w:sz w:val="24"/>
        </w:rPr>
        <w:t xml:space="preserve">    13</w:t>
      </w:r>
      <w:r>
        <w:rPr>
          <w:rFonts w:hint="eastAsia" w:eastAsia="微软雅黑"/>
          <w:b/>
          <w:sz w:val="24"/>
          <w:lang w:val="en-US" w:eastAsia="zh-CN"/>
        </w:rPr>
        <w:t>2</w:t>
      </w:r>
    </w:p>
    <w:p w14:paraId="71AFBEF8">
      <w:pPr>
        <w:spacing w:line="360" w:lineRule="auto"/>
        <w:jc w:val="left"/>
        <w:rPr>
          <w:rFonts w:eastAsia="微软雅黑"/>
          <w:b/>
          <w:sz w:val="24"/>
        </w:rPr>
      </w:pPr>
      <w:r>
        <w:rPr>
          <w:rFonts w:eastAsia="微软雅黑"/>
          <w:b/>
          <w:sz w:val="24"/>
        </w:rPr>
        <w:t>Original statistical analysis plan                                        13</w:t>
      </w:r>
      <w:r>
        <w:rPr>
          <w:rFonts w:hint="eastAsia" w:eastAsia="微软雅黑"/>
          <w:b/>
          <w:sz w:val="24"/>
          <w:lang w:val="en-US" w:eastAsia="zh-CN"/>
        </w:rPr>
        <w:t>3</w:t>
      </w:r>
      <w:r>
        <w:rPr>
          <w:rFonts w:eastAsia="微软雅黑"/>
          <w:b/>
          <w:sz w:val="24"/>
        </w:rPr>
        <w:t xml:space="preserve"> </w:t>
      </w:r>
    </w:p>
    <w:p w14:paraId="3FDF1E95">
      <w:pPr>
        <w:spacing w:line="360" w:lineRule="auto"/>
        <w:jc w:val="left"/>
        <w:rPr>
          <w:rFonts w:eastAsia="微软雅黑"/>
          <w:b/>
          <w:sz w:val="24"/>
        </w:rPr>
      </w:pPr>
      <w:r>
        <w:rPr>
          <w:rFonts w:eastAsia="微软雅黑"/>
          <w:b/>
          <w:sz w:val="24"/>
        </w:rPr>
        <w:t xml:space="preserve">Final statistical analysis plan                                </w:t>
      </w:r>
      <w:r>
        <w:rPr>
          <w:rFonts w:eastAsia="微软雅黑"/>
          <w:b/>
          <w:sz w:val="32"/>
          <w:szCs w:val="32"/>
        </w:rPr>
        <w:t xml:space="preserve"> </w:t>
      </w:r>
      <w:r>
        <w:rPr>
          <w:rFonts w:eastAsia="微软雅黑"/>
          <w:b/>
          <w:sz w:val="28"/>
          <w:szCs w:val="28"/>
        </w:rPr>
        <w:t xml:space="preserve">  </w:t>
      </w:r>
      <w:r>
        <w:rPr>
          <w:rFonts w:eastAsia="微软雅黑"/>
          <w:b/>
          <w:sz w:val="24"/>
        </w:rPr>
        <w:t xml:space="preserve">       13</w:t>
      </w:r>
      <w:r>
        <w:rPr>
          <w:rFonts w:hint="eastAsia" w:eastAsia="微软雅黑"/>
          <w:b/>
          <w:sz w:val="24"/>
          <w:lang w:val="en-US" w:eastAsia="zh-CN"/>
        </w:rPr>
        <w:t>8</w:t>
      </w:r>
      <w:r>
        <w:rPr>
          <w:rFonts w:eastAsia="微软雅黑"/>
          <w:b/>
          <w:sz w:val="24"/>
        </w:rPr>
        <w:t xml:space="preserve"> </w:t>
      </w:r>
    </w:p>
    <w:p w14:paraId="2E31EB70">
      <w:pPr>
        <w:spacing w:line="360" w:lineRule="auto"/>
        <w:jc w:val="left"/>
        <w:rPr>
          <w:rFonts w:hint="eastAsia" w:eastAsia="微软雅黑"/>
          <w:b/>
          <w:sz w:val="24"/>
          <w:lang w:eastAsia="zh-CN"/>
        </w:rPr>
      </w:pPr>
      <w:r>
        <w:rPr>
          <w:rFonts w:eastAsia="微软雅黑"/>
          <w:b/>
          <w:sz w:val="24"/>
        </w:rPr>
        <w:t>Summary of changes to the statistical analysis plan                        15</w:t>
      </w:r>
      <w:r>
        <w:rPr>
          <w:rFonts w:hint="eastAsia" w:eastAsia="微软雅黑"/>
          <w:b/>
          <w:sz w:val="24"/>
          <w:lang w:val="en-US" w:eastAsia="zh-CN"/>
        </w:rPr>
        <w:t>2</w:t>
      </w:r>
    </w:p>
    <w:p w14:paraId="22F08F44">
      <w:pPr>
        <w:spacing w:line="360" w:lineRule="auto"/>
        <w:jc w:val="center"/>
        <w:rPr>
          <w:rFonts w:eastAsia="微软雅黑"/>
          <w:b/>
          <w:sz w:val="24"/>
        </w:rPr>
      </w:pPr>
    </w:p>
    <w:p w14:paraId="5A74016E">
      <w:pPr>
        <w:spacing w:line="360" w:lineRule="auto"/>
        <w:jc w:val="center"/>
        <w:rPr>
          <w:rFonts w:eastAsia="微软雅黑"/>
          <w:b/>
          <w:sz w:val="24"/>
        </w:rPr>
      </w:pPr>
    </w:p>
    <w:p w14:paraId="73932362">
      <w:pPr>
        <w:spacing w:line="360" w:lineRule="auto"/>
        <w:jc w:val="center"/>
        <w:rPr>
          <w:rFonts w:eastAsia="微软雅黑"/>
          <w:b/>
          <w:sz w:val="24"/>
        </w:rPr>
      </w:pPr>
    </w:p>
    <w:p w14:paraId="44C13878">
      <w:pPr>
        <w:spacing w:line="360" w:lineRule="auto"/>
        <w:jc w:val="center"/>
        <w:rPr>
          <w:rFonts w:eastAsia="微软雅黑"/>
          <w:b/>
          <w:sz w:val="24"/>
        </w:rPr>
      </w:pPr>
    </w:p>
    <w:p w14:paraId="0AE16BDD">
      <w:pPr>
        <w:spacing w:line="360" w:lineRule="auto"/>
        <w:jc w:val="center"/>
        <w:rPr>
          <w:rFonts w:eastAsia="微软雅黑"/>
          <w:b/>
          <w:sz w:val="24"/>
        </w:rPr>
      </w:pPr>
    </w:p>
    <w:p w14:paraId="2065C9C5">
      <w:pPr>
        <w:spacing w:line="360" w:lineRule="auto"/>
        <w:jc w:val="center"/>
        <w:rPr>
          <w:rFonts w:eastAsia="微软雅黑"/>
          <w:b/>
          <w:sz w:val="24"/>
        </w:rPr>
      </w:pPr>
    </w:p>
    <w:p w14:paraId="0DFECD3C">
      <w:pPr>
        <w:spacing w:line="360" w:lineRule="auto"/>
        <w:jc w:val="center"/>
        <w:rPr>
          <w:rFonts w:eastAsia="微软雅黑"/>
          <w:b/>
          <w:sz w:val="24"/>
        </w:rPr>
      </w:pPr>
    </w:p>
    <w:p w14:paraId="39DE8454">
      <w:pPr>
        <w:spacing w:line="360" w:lineRule="auto"/>
        <w:jc w:val="center"/>
        <w:rPr>
          <w:rFonts w:eastAsia="微软雅黑"/>
          <w:b/>
          <w:sz w:val="24"/>
        </w:rPr>
      </w:pPr>
    </w:p>
    <w:p w14:paraId="5775D7BC">
      <w:pPr>
        <w:spacing w:line="360" w:lineRule="auto"/>
        <w:jc w:val="center"/>
        <w:rPr>
          <w:rFonts w:eastAsia="微软雅黑"/>
          <w:b/>
          <w:sz w:val="24"/>
        </w:rPr>
      </w:pPr>
    </w:p>
    <w:p w14:paraId="501761D7">
      <w:pPr>
        <w:spacing w:line="360" w:lineRule="auto"/>
        <w:jc w:val="center"/>
        <w:rPr>
          <w:rFonts w:eastAsia="微软雅黑"/>
          <w:b/>
          <w:sz w:val="24"/>
        </w:rPr>
      </w:pPr>
    </w:p>
    <w:p w14:paraId="224B8CE1">
      <w:pPr>
        <w:spacing w:line="360" w:lineRule="auto"/>
        <w:jc w:val="center"/>
        <w:rPr>
          <w:rFonts w:eastAsia="微软雅黑"/>
          <w:b/>
          <w:sz w:val="24"/>
        </w:rPr>
      </w:pPr>
    </w:p>
    <w:p w14:paraId="7B10CF0E">
      <w:pPr>
        <w:spacing w:line="360" w:lineRule="auto"/>
        <w:jc w:val="center"/>
        <w:rPr>
          <w:rFonts w:eastAsia="微软雅黑"/>
          <w:b/>
          <w:sz w:val="24"/>
        </w:rPr>
      </w:pPr>
    </w:p>
    <w:p w14:paraId="0AA5514F">
      <w:pPr>
        <w:spacing w:line="360" w:lineRule="auto"/>
        <w:jc w:val="center"/>
        <w:rPr>
          <w:rFonts w:eastAsia="微软雅黑"/>
          <w:b/>
          <w:sz w:val="24"/>
        </w:rPr>
      </w:pPr>
    </w:p>
    <w:p w14:paraId="02F69F78">
      <w:pPr>
        <w:spacing w:line="360" w:lineRule="auto"/>
        <w:jc w:val="center"/>
        <w:rPr>
          <w:rFonts w:eastAsia="微软雅黑"/>
          <w:b/>
          <w:sz w:val="24"/>
        </w:rPr>
      </w:pPr>
    </w:p>
    <w:p w14:paraId="6603B0CF">
      <w:pPr>
        <w:spacing w:line="360" w:lineRule="auto"/>
        <w:jc w:val="center"/>
        <w:rPr>
          <w:rFonts w:eastAsia="微软雅黑"/>
          <w:b/>
          <w:sz w:val="24"/>
        </w:rPr>
      </w:pPr>
    </w:p>
    <w:p w14:paraId="3380330B">
      <w:pPr>
        <w:spacing w:line="360" w:lineRule="auto"/>
        <w:jc w:val="center"/>
        <w:rPr>
          <w:rFonts w:eastAsia="微软雅黑"/>
          <w:b/>
          <w:sz w:val="24"/>
        </w:rPr>
      </w:pPr>
    </w:p>
    <w:p w14:paraId="1E8FE71D">
      <w:pPr>
        <w:spacing w:line="360" w:lineRule="auto"/>
        <w:jc w:val="center"/>
        <w:rPr>
          <w:rFonts w:eastAsia="微软雅黑"/>
          <w:b/>
          <w:sz w:val="24"/>
        </w:rPr>
      </w:pPr>
    </w:p>
    <w:p w14:paraId="313F5E1D">
      <w:pPr>
        <w:spacing w:line="360" w:lineRule="auto"/>
        <w:jc w:val="center"/>
        <w:rPr>
          <w:rFonts w:eastAsia="微软雅黑"/>
          <w:b/>
          <w:sz w:val="24"/>
        </w:rPr>
      </w:pPr>
    </w:p>
    <w:p w14:paraId="4020AEAF">
      <w:pPr>
        <w:spacing w:line="360" w:lineRule="auto"/>
        <w:jc w:val="center"/>
        <w:rPr>
          <w:rFonts w:eastAsia="微软雅黑"/>
          <w:b/>
          <w:sz w:val="24"/>
        </w:rPr>
      </w:pPr>
    </w:p>
    <w:p w14:paraId="02B90401">
      <w:pPr>
        <w:spacing w:line="360" w:lineRule="auto"/>
        <w:jc w:val="center"/>
        <w:rPr>
          <w:rFonts w:eastAsia="微软雅黑"/>
          <w:b/>
          <w:sz w:val="24"/>
        </w:rPr>
      </w:pPr>
    </w:p>
    <w:p w14:paraId="4294C4A3">
      <w:pPr>
        <w:spacing w:line="360" w:lineRule="auto"/>
        <w:jc w:val="center"/>
        <w:outlineLvl w:val="0"/>
        <w:rPr>
          <w:rFonts w:eastAsia="微软雅黑"/>
          <w:b/>
          <w:sz w:val="24"/>
        </w:rPr>
      </w:pPr>
      <w:bookmarkStart w:id="2" w:name="_Toc20646"/>
    </w:p>
    <w:p w14:paraId="4188BC8E">
      <w:pPr>
        <w:spacing w:line="360" w:lineRule="auto"/>
        <w:jc w:val="center"/>
        <w:outlineLvl w:val="0"/>
        <w:rPr>
          <w:rFonts w:eastAsia="微软雅黑"/>
          <w:b/>
          <w:sz w:val="24"/>
        </w:rPr>
      </w:pPr>
    </w:p>
    <w:p w14:paraId="3DD914E3">
      <w:pPr>
        <w:spacing w:line="360" w:lineRule="auto"/>
        <w:jc w:val="center"/>
        <w:outlineLvl w:val="0"/>
        <w:rPr>
          <w:rFonts w:eastAsia="微软雅黑"/>
          <w:b/>
          <w:sz w:val="24"/>
        </w:rPr>
      </w:pPr>
    </w:p>
    <w:p w14:paraId="3FE65799">
      <w:pPr>
        <w:spacing w:line="360" w:lineRule="auto"/>
        <w:jc w:val="center"/>
        <w:outlineLvl w:val="0"/>
        <w:rPr>
          <w:rFonts w:eastAsia="微软雅黑"/>
          <w:b/>
          <w:sz w:val="24"/>
        </w:rPr>
      </w:pPr>
    </w:p>
    <w:p w14:paraId="63D59C8D">
      <w:pPr>
        <w:spacing w:line="360" w:lineRule="auto"/>
        <w:jc w:val="center"/>
        <w:outlineLvl w:val="0"/>
        <w:rPr>
          <w:rFonts w:eastAsia="微软雅黑"/>
          <w:b/>
          <w:sz w:val="24"/>
        </w:rPr>
      </w:pPr>
    </w:p>
    <w:p w14:paraId="1F490801">
      <w:pPr>
        <w:spacing w:line="360" w:lineRule="auto"/>
        <w:jc w:val="center"/>
        <w:outlineLvl w:val="0"/>
        <w:rPr>
          <w:rFonts w:eastAsia="微软雅黑"/>
          <w:b/>
          <w:sz w:val="24"/>
        </w:rPr>
      </w:pPr>
    </w:p>
    <w:p w14:paraId="42DA170D">
      <w:pPr>
        <w:spacing w:line="360" w:lineRule="auto"/>
        <w:jc w:val="center"/>
        <w:outlineLvl w:val="0"/>
        <w:rPr>
          <w:rFonts w:eastAsia="微软雅黑"/>
          <w:b/>
          <w:sz w:val="24"/>
        </w:rPr>
      </w:pPr>
    </w:p>
    <w:p w14:paraId="3C1AB7AB">
      <w:pPr>
        <w:spacing w:line="360" w:lineRule="auto"/>
        <w:jc w:val="center"/>
        <w:outlineLvl w:val="0"/>
        <w:rPr>
          <w:rFonts w:eastAsia="微软雅黑"/>
          <w:b/>
          <w:sz w:val="24"/>
        </w:rPr>
      </w:pPr>
    </w:p>
    <w:p w14:paraId="6BFF7088">
      <w:pPr>
        <w:spacing w:line="360" w:lineRule="auto"/>
        <w:jc w:val="center"/>
        <w:outlineLvl w:val="0"/>
        <w:rPr>
          <w:rFonts w:eastAsia="微软雅黑"/>
          <w:b/>
          <w:sz w:val="24"/>
        </w:rPr>
      </w:pPr>
    </w:p>
    <w:p w14:paraId="183D6A63">
      <w:pPr>
        <w:spacing w:line="360" w:lineRule="auto"/>
        <w:jc w:val="center"/>
        <w:outlineLvl w:val="0"/>
        <w:rPr>
          <w:rFonts w:eastAsia="微软雅黑"/>
          <w:b/>
          <w:sz w:val="24"/>
        </w:rPr>
      </w:pPr>
    </w:p>
    <w:p w14:paraId="022CAB0D">
      <w:pPr>
        <w:spacing w:line="360" w:lineRule="auto"/>
        <w:jc w:val="center"/>
        <w:outlineLvl w:val="0"/>
        <w:rPr>
          <w:rFonts w:eastAsia="微软雅黑"/>
          <w:b/>
          <w:sz w:val="48"/>
          <w:szCs w:val="48"/>
        </w:rPr>
      </w:pPr>
      <w:r>
        <w:rPr>
          <w:rFonts w:eastAsia="微软雅黑"/>
          <w:b/>
          <w:sz w:val="48"/>
          <w:szCs w:val="48"/>
        </w:rPr>
        <w:t>Original protocol</w:t>
      </w:r>
      <w:bookmarkEnd w:id="2"/>
    </w:p>
    <w:p w14:paraId="49CD06C5">
      <w:pPr>
        <w:spacing w:line="360" w:lineRule="auto"/>
        <w:jc w:val="center"/>
        <w:rPr>
          <w:rFonts w:eastAsia="微软雅黑"/>
          <w:b/>
          <w:sz w:val="24"/>
        </w:rPr>
      </w:pPr>
    </w:p>
    <w:p w14:paraId="1747D7D5">
      <w:pPr>
        <w:spacing w:line="360" w:lineRule="auto"/>
        <w:jc w:val="center"/>
        <w:rPr>
          <w:rFonts w:eastAsia="微软雅黑"/>
          <w:b/>
          <w:sz w:val="24"/>
        </w:rPr>
      </w:pPr>
    </w:p>
    <w:p w14:paraId="78507EE7">
      <w:pPr>
        <w:spacing w:line="360" w:lineRule="auto"/>
        <w:jc w:val="center"/>
        <w:rPr>
          <w:rFonts w:eastAsia="微软雅黑"/>
          <w:b/>
          <w:sz w:val="24"/>
        </w:rPr>
      </w:pPr>
    </w:p>
    <w:p w14:paraId="50D222A9">
      <w:pPr>
        <w:spacing w:line="360" w:lineRule="auto"/>
        <w:jc w:val="center"/>
        <w:rPr>
          <w:rFonts w:eastAsia="微软雅黑"/>
          <w:b/>
          <w:sz w:val="24"/>
        </w:rPr>
      </w:pPr>
    </w:p>
    <w:p w14:paraId="1FCF4FB7">
      <w:pPr>
        <w:spacing w:line="360" w:lineRule="auto"/>
        <w:jc w:val="center"/>
        <w:rPr>
          <w:rFonts w:eastAsia="微软雅黑"/>
          <w:b/>
          <w:sz w:val="24"/>
        </w:rPr>
      </w:pPr>
    </w:p>
    <w:p w14:paraId="65FAB7B2">
      <w:pPr>
        <w:spacing w:line="360" w:lineRule="auto"/>
        <w:jc w:val="center"/>
        <w:rPr>
          <w:rFonts w:eastAsia="微软雅黑"/>
          <w:b/>
          <w:sz w:val="24"/>
        </w:rPr>
      </w:pPr>
    </w:p>
    <w:p w14:paraId="1C347D65">
      <w:pPr>
        <w:spacing w:line="360" w:lineRule="auto"/>
        <w:jc w:val="center"/>
        <w:rPr>
          <w:rFonts w:eastAsia="微软雅黑"/>
          <w:b/>
          <w:sz w:val="24"/>
        </w:rPr>
      </w:pPr>
    </w:p>
    <w:p w14:paraId="3212F0FF">
      <w:pPr>
        <w:spacing w:line="360" w:lineRule="auto"/>
        <w:jc w:val="center"/>
        <w:rPr>
          <w:rFonts w:eastAsia="微软雅黑"/>
          <w:b/>
          <w:sz w:val="24"/>
        </w:rPr>
      </w:pPr>
    </w:p>
    <w:p w14:paraId="10FB632E">
      <w:pPr>
        <w:spacing w:line="360" w:lineRule="auto"/>
        <w:jc w:val="center"/>
        <w:rPr>
          <w:rFonts w:eastAsia="微软雅黑"/>
          <w:b/>
          <w:sz w:val="24"/>
        </w:rPr>
      </w:pPr>
    </w:p>
    <w:p w14:paraId="6279DFE4">
      <w:pPr>
        <w:spacing w:line="360" w:lineRule="auto"/>
        <w:jc w:val="center"/>
        <w:rPr>
          <w:rFonts w:eastAsia="微软雅黑"/>
          <w:b/>
          <w:sz w:val="24"/>
        </w:rPr>
      </w:pPr>
    </w:p>
    <w:p w14:paraId="406D48F0">
      <w:pPr>
        <w:spacing w:line="360" w:lineRule="auto"/>
        <w:jc w:val="center"/>
        <w:rPr>
          <w:rFonts w:eastAsia="微软雅黑"/>
          <w:b/>
          <w:sz w:val="24"/>
        </w:rPr>
      </w:pPr>
    </w:p>
    <w:p w14:paraId="30D0D8A5">
      <w:pPr>
        <w:spacing w:line="360" w:lineRule="auto"/>
        <w:jc w:val="center"/>
        <w:rPr>
          <w:rFonts w:eastAsia="微软雅黑"/>
          <w:b/>
          <w:sz w:val="24"/>
        </w:rPr>
      </w:pPr>
    </w:p>
    <w:p w14:paraId="76E789AF">
      <w:pPr>
        <w:spacing w:line="360" w:lineRule="auto"/>
        <w:jc w:val="center"/>
        <w:rPr>
          <w:rFonts w:eastAsia="微软雅黑"/>
          <w:b/>
          <w:sz w:val="24"/>
        </w:rPr>
      </w:pPr>
    </w:p>
    <w:p w14:paraId="3C9D3F2B">
      <w:pPr>
        <w:spacing w:line="360" w:lineRule="auto"/>
        <w:jc w:val="center"/>
        <w:rPr>
          <w:rFonts w:eastAsia="微软雅黑"/>
          <w:b/>
          <w:sz w:val="24"/>
        </w:rPr>
      </w:pPr>
    </w:p>
    <w:p w14:paraId="11BF1ACC">
      <w:pPr>
        <w:spacing w:line="360" w:lineRule="auto"/>
        <w:jc w:val="center"/>
        <w:rPr>
          <w:rFonts w:eastAsia="微软雅黑"/>
          <w:b/>
          <w:sz w:val="24"/>
        </w:rPr>
      </w:pPr>
    </w:p>
    <w:p w14:paraId="705C9E0E">
      <w:pPr>
        <w:spacing w:line="360" w:lineRule="auto"/>
        <w:jc w:val="center"/>
        <w:rPr>
          <w:rFonts w:eastAsia="微软雅黑"/>
          <w:b/>
          <w:sz w:val="24"/>
        </w:rPr>
      </w:pPr>
    </w:p>
    <w:p w14:paraId="1EE0A3E5">
      <w:pPr>
        <w:spacing w:line="360" w:lineRule="auto"/>
        <w:jc w:val="center"/>
        <w:rPr>
          <w:rFonts w:eastAsia="微软雅黑"/>
          <w:b/>
          <w:sz w:val="24"/>
        </w:rPr>
      </w:pPr>
    </w:p>
    <w:p w14:paraId="031F75EE">
      <w:pPr>
        <w:spacing w:line="360" w:lineRule="auto"/>
        <w:jc w:val="both"/>
        <w:rPr>
          <w:rFonts w:eastAsia="微软雅黑"/>
          <w:b/>
          <w:sz w:val="24"/>
        </w:rPr>
      </w:pPr>
    </w:p>
    <w:p w14:paraId="53CAF041">
      <w:pPr>
        <w:spacing w:line="360" w:lineRule="auto"/>
        <w:jc w:val="center"/>
        <w:rPr>
          <w:rFonts w:eastAsia="微软雅黑"/>
          <w:b/>
          <w:sz w:val="24"/>
        </w:rPr>
      </w:pPr>
      <w:r>
        <w:rPr>
          <w:rFonts w:eastAsia="微软雅黑"/>
          <w:b/>
          <w:sz w:val="24"/>
        </w:rPr>
        <w:t>Prospective Randomized Controlled Trials on Clinical Outcomes of Indocyanine Green Tracer Using in Laparoscopic Gastrectomy with Lymph Node Dissection for Gastric Cancer</w:t>
      </w:r>
      <w:r>
        <w:rPr>
          <w:sz w:val="24"/>
        </w:rPr>
        <w:t xml:space="preserve"> </w:t>
      </w:r>
      <w:r>
        <w:rPr>
          <w:b/>
          <w:bCs/>
          <w:sz w:val="24"/>
        </w:rPr>
        <w:t>(</w:t>
      </w:r>
      <w:r>
        <w:rPr>
          <w:rFonts w:eastAsia="微软雅黑"/>
          <w:b/>
          <w:bCs/>
          <w:sz w:val="24"/>
        </w:rPr>
        <w:t>F</w:t>
      </w:r>
      <w:r>
        <w:rPr>
          <w:rFonts w:eastAsia="微软雅黑"/>
          <w:b/>
          <w:sz w:val="24"/>
        </w:rPr>
        <w:t>UGES-012)</w:t>
      </w:r>
    </w:p>
    <w:p w14:paraId="1A75DE10">
      <w:pPr>
        <w:widowControl/>
        <w:adjustRightInd w:val="0"/>
        <w:snapToGrid w:val="0"/>
        <w:spacing w:after="200" w:line="360" w:lineRule="auto"/>
        <w:jc w:val="center"/>
        <w:outlineLvl w:val="0"/>
        <w:rPr>
          <w:rFonts w:eastAsia="微软雅黑"/>
          <w:b/>
          <w:bCs/>
          <w:kern w:val="0"/>
          <w:sz w:val="24"/>
        </w:rPr>
      </w:pPr>
      <w:bookmarkStart w:id="3" w:name="_Toc25120"/>
      <w:r>
        <w:rPr>
          <w:rFonts w:eastAsia="微软雅黑"/>
          <w:b/>
          <w:bCs/>
          <w:kern w:val="0"/>
          <w:sz w:val="24"/>
        </w:rPr>
        <w:t>Study protocol</w:t>
      </w:r>
      <w:bookmarkEnd w:id="3"/>
    </w:p>
    <w:p w14:paraId="4A1C61D8">
      <w:pPr>
        <w:widowControl/>
        <w:adjustRightInd w:val="0"/>
        <w:snapToGrid w:val="0"/>
        <w:spacing w:after="200" w:line="360" w:lineRule="auto"/>
        <w:rPr>
          <w:rFonts w:eastAsia="微软雅黑"/>
          <w:b/>
          <w:kern w:val="0"/>
          <w:szCs w:val="21"/>
        </w:rPr>
      </w:pPr>
    </w:p>
    <w:p w14:paraId="175BDF31">
      <w:pPr>
        <w:widowControl/>
        <w:adjustRightInd w:val="0"/>
        <w:snapToGrid w:val="0"/>
        <w:spacing w:after="200" w:line="360" w:lineRule="auto"/>
        <w:rPr>
          <w:sz w:val="28"/>
          <w:szCs w:val="28"/>
          <w:lang w:bidi="ar"/>
        </w:rPr>
      </w:pPr>
      <w:r>
        <w:rPr>
          <w:rFonts w:eastAsia="微软雅黑"/>
          <w:b/>
          <w:kern w:val="0"/>
          <w:sz w:val="28"/>
          <w:szCs w:val="28"/>
        </w:rPr>
        <w:t>Bidding party:</w:t>
      </w:r>
      <w:r>
        <w:rPr>
          <w:sz w:val="28"/>
          <w:szCs w:val="28"/>
          <w:lang w:bidi="ar"/>
        </w:rPr>
        <w:t xml:space="preserve"> </w:t>
      </w:r>
      <w:bookmarkStart w:id="4" w:name="OLE_LINK76"/>
      <w:r>
        <w:rPr>
          <w:sz w:val="28"/>
          <w:szCs w:val="28"/>
          <w:lang w:bidi="ar"/>
        </w:rPr>
        <w:t>Fujian Medical University Union Hospital</w:t>
      </w:r>
      <w:bookmarkEnd w:id="4"/>
    </w:p>
    <w:p w14:paraId="0D70C73B">
      <w:pPr>
        <w:widowControl/>
        <w:adjustRightInd w:val="0"/>
        <w:snapToGrid w:val="0"/>
        <w:spacing w:after="200" w:line="360" w:lineRule="auto"/>
        <w:rPr>
          <w:sz w:val="28"/>
          <w:szCs w:val="28"/>
          <w:lang w:bidi="ar"/>
        </w:rPr>
      </w:pPr>
    </w:p>
    <w:p w14:paraId="40E108EA">
      <w:pPr>
        <w:widowControl/>
        <w:adjustRightInd w:val="0"/>
        <w:snapToGrid w:val="0"/>
        <w:spacing w:line="360" w:lineRule="auto"/>
        <w:rPr>
          <w:b/>
          <w:sz w:val="28"/>
          <w:szCs w:val="28"/>
        </w:rPr>
      </w:pPr>
      <w:r>
        <w:rPr>
          <w:b/>
          <w:sz w:val="28"/>
          <w:szCs w:val="28"/>
        </w:rPr>
        <w:t>Principle Investigator:</w:t>
      </w:r>
    </w:p>
    <w:p w14:paraId="4D7503FC">
      <w:pPr>
        <w:widowControl/>
        <w:adjustRightInd w:val="0"/>
        <w:snapToGrid w:val="0"/>
        <w:spacing w:after="200" w:line="360" w:lineRule="auto"/>
        <w:rPr>
          <w:rFonts w:eastAsia="微软雅黑"/>
          <w:szCs w:val="21"/>
          <w:lang w:bidi="ar"/>
        </w:rPr>
      </w:pPr>
      <w:r>
        <w:rPr>
          <w:rFonts w:eastAsia="微软雅黑"/>
          <w:szCs w:val="21"/>
        </w:rPr>
        <w:t xml:space="preserve">Prof. </w:t>
      </w:r>
      <w:r>
        <w:rPr>
          <w:rFonts w:eastAsia="微软雅黑"/>
          <w:szCs w:val="21"/>
          <w:lang w:bidi="ar"/>
        </w:rPr>
        <w:t>Chang-Ming Huang, M.D.</w:t>
      </w:r>
    </w:p>
    <w:p w14:paraId="6C0FD767">
      <w:pPr>
        <w:widowControl/>
        <w:adjustRightInd w:val="0"/>
        <w:snapToGrid w:val="0"/>
        <w:spacing w:after="200" w:line="360" w:lineRule="auto"/>
        <w:rPr>
          <w:rFonts w:eastAsia="微软雅黑"/>
          <w:kern w:val="0"/>
          <w:szCs w:val="21"/>
        </w:rPr>
      </w:pPr>
      <w:r>
        <w:rPr>
          <w:rFonts w:eastAsia="微软雅黑"/>
          <w:kern w:val="0"/>
          <w:szCs w:val="21"/>
        </w:rPr>
        <w:t xml:space="preserve">Department of Gastric Surgery, Fujian Medical University Union Hospital, </w:t>
      </w:r>
    </w:p>
    <w:p w14:paraId="155AD612">
      <w:pPr>
        <w:widowControl/>
        <w:adjustRightInd w:val="0"/>
        <w:snapToGrid w:val="0"/>
        <w:spacing w:after="200" w:line="360" w:lineRule="auto"/>
        <w:rPr>
          <w:rFonts w:eastAsia="微软雅黑"/>
          <w:kern w:val="0"/>
          <w:szCs w:val="21"/>
        </w:rPr>
      </w:pPr>
      <w:r>
        <w:rPr>
          <w:rFonts w:eastAsia="微软雅黑"/>
          <w:kern w:val="0"/>
          <w:szCs w:val="21"/>
        </w:rPr>
        <w:t xml:space="preserve">Address: No. 29 Xinquan Road, Fuzhou 350001 Fujian Province, China. </w:t>
      </w:r>
    </w:p>
    <w:p w14:paraId="68B72502">
      <w:pPr>
        <w:widowControl/>
        <w:adjustRightInd w:val="0"/>
        <w:snapToGrid w:val="0"/>
        <w:spacing w:after="200" w:line="360" w:lineRule="auto"/>
        <w:outlineLvl w:val="0"/>
        <w:rPr>
          <w:rFonts w:eastAsia="微软雅黑"/>
          <w:kern w:val="0"/>
          <w:szCs w:val="21"/>
        </w:rPr>
      </w:pPr>
      <w:bookmarkStart w:id="5" w:name="_Toc11421"/>
      <w:r>
        <w:rPr>
          <w:rFonts w:eastAsia="微软雅黑"/>
          <w:kern w:val="0"/>
          <w:szCs w:val="21"/>
        </w:rPr>
        <w:t>Telephone: +86-591-83363366, Fax: +86-591-83363366</w:t>
      </w:r>
      <w:bookmarkEnd w:id="5"/>
    </w:p>
    <w:p w14:paraId="06EFFA1A">
      <w:pPr>
        <w:widowControl/>
        <w:adjustRightInd w:val="0"/>
        <w:snapToGrid w:val="0"/>
        <w:spacing w:line="360" w:lineRule="auto"/>
        <w:rPr>
          <w:rFonts w:eastAsia="微软雅黑"/>
          <w:kern w:val="0"/>
          <w:sz w:val="30"/>
          <w:szCs w:val="30"/>
        </w:rPr>
      </w:pPr>
    </w:p>
    <w:p w14:paraId="549BECE5">
      <w:pPr>
        <w:widowControl/>
        <w:adjustRightInd w:val="0"/>
        <w:snapToGrid w:val="0"/>
        <w:spacing w:after="200" w:line="360" w:lineRule="auto"/>
        <w:outlineLvl w:val="0"/>
        <w:rPr>
          <w:rFonts w:eastAsia="微软雅黑"/>
          <w:kern w:val="0"/>
          <w:sz w:val="28"/>
          <w:szCs w:val="28"/>
        </w:rPr>
      </w:pPr>
      <w:bookmarkStart w:id="6" w:name="_Toc14803"/>
      <w:r>
        <w:rPr>
          <w:rFonts w:eastAsia="微软雅黑"/>
          <w:b/>
          <w:kern w:val="0"/>
          <w:sz w:val="28"/>
          <w:szCs w:val="28"/>
        </w:rPr>
        <w:t xml:space="preserve">No. of edition: </w:t>
      </w:r>
      <w:r>
        <w:rPr>
          <w:rFonts w:eastAsia="微软雅黑"/>
          <w:kern w:val="0"/>
          <w:sz w:val="28"/>
          <w:szCs w:val="28"/>
        </w:rPr>
        <w:t>V1.</w:t>
      </w:r>
      <w:bookmarkEnd w:id="6"/>
      <w:r>
        <w:rPr>
          <w:rFonts w:eastAsia="微软雅黑"/>
          <w:kern w:val="0"/>
          <w:sz w:val="28"/>
          <w:szCs w:val="28"/>
        </w:rPr>
        <w:t>2</w:t>
      </w:r>
    </w:p>
    <w:p w14:paraId="1CF6E26A">
      <w:pPr>
        <w:widowControl/>
        <w:adjustRightInd w:val="0"/>
        <w:snapToGrid w:val="0"/>
        <w:spacing w:line="360" w:lineRule="auto"/>
        <w:rPr>
          <w:rFonts w:eastAsia="微软雅黑"/>
          <w:kern w:val="0"/>
          <w:sz w:val="30"/>
          <w:szCs w:val="30"/>
        </w:rPr>
      </w:pPr>
    </w:p>
    <w:p w14:paraId="3877562B">
      <w:pPr>
        <w:widowControl/>
        <w:adjustRightInd w:val="0"/>
        <w:snapToGrid w:val="0"/>
        <w:spacing w:after="200" w:line="360" w:lineRule="auto"/>
        <w:rPr>
          <w:rFonts w:eastAsia="微软雅黑"/>
          <w:b/>
          <w:kern w:val="0"/>
          <w:szCs w:val="21"/>
        </w:rPr>
      </w:pPr>
    </w:p>
    <w:p w14:paraId="273BF6F1">
      <w:pPr>
        <w:widowControl/>
        <w:adjustRightInd w:val="0"/>
        <w:snapToGrid w:val="0"/>
        <w:spacing w:line="360" w:lineRule="auto"/>
        <w:jc w:val="left"/>
        <w:outlineLvl w:val="0"/>
        <w:rPr>
          <w:rFonts w:eastAsia="微软雅黑"/>
          <w:b/>
          <w:kern w:val="0"/>
          <w:sz w:val="24"/>
        </w:rPr>
      </w:pPr>
      <w:bookmarkStart w:id="7" w:name="_Toc20442"/>
      <w:r>
        <w:rPr>
          <w:rFonts w:eastAsia="微软雅黑"/>
          <w:b/>
          <w:kern w:val="0"/>
          <w:sz w:val="24"/>
        </w:rPr>
        <w:t>Summary</w:t>
      </w:r>
      <w:bookmarkEnd w:id="7"/>
    </w:p>
    <w:tbl>
      <w:tblPr>
        <w:tblStyle w:val="13"/>
        <w:tblW w:w="8789"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7371"/>
      </w:tblGrid>
      <w:tr w14:paraId="4F9DE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738457F5">
            <w:pPr>
              <w:pStyle w:val="33"/>
              <w:snapToGrid w:val="0"/>
              <w:spacing w:line="360" w:lineRule="auto"/>
              <w:jc w:val="center"/>
              <w:rPr>
                <w:rFonts w:ascii="Times New Roman" w:hAnsi="Times New Roman" w:eastAsia="微软雅黑" w:cs="Times New Roman"/>
                <w:color w:val="auto"/>
              </w:rPr>
            </w:pPr>
            <w:r>
              <w:rPr>
                <w:rFonts w:ascii="Times New Roman" w:hAnsi="Times New Roman" w:eastAsia="微软雅黑" w:cs="Times New Roman"/>
                <w:color w:val="auto"/>
                <w:kern w:val="2"/>
              </w:rPr>
              <w:t>Scenario Title</w:t>
            </w:r>
          </w:p>
        </w:tc>
        <w:tc>
          <w:tcPr>
            <w:tcW w:w="7371" w:type="dxa"/>
          </w:tcPr>
          <w:p w14:paraId="2A41841D">
            <w:pPr>
              <w:adjustRightInd w:val="0"/>
              <w:snapToGrid w:val="0"/>
              <w:spacing w:line="360" w:lineRule="auto"/>
              <w:rPr>
                <w:rFonts w:eastAsia="微软雅黑"/>
                <w:sz w:val="24"/>
              </w:rPr>
            </w:pPr>
            <w:r>
              <w:rPr>
                <w:rFonts w:eastAsia="微软雅黑"/>
                <w:sz w:val="24"/>
              </w:rPr>
              <w:t>Prospective Randomized Controlled Trials on Clinical Outcomes of Indocyanine Green Tracer Using in Laparoscopic Gastrectomy with Lymph Node Dissection for Gastric Cancer (FUGES-012)</w:t>
            </w:r>
          </w:p>
        </w:tc>
      </w:tr>
      <w:tr w14:paraId="0B66B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2A7E819B">
            <w:pPr>
              <w:pStyle w:val="33"/>
              <w:snapToGrid w:val="0"/>
              <w:spacing w:line="360" w:lineRule="auto"/>
              <w:jc w:val="center"/>
              <w:rPr>
                <w:rFonts w:ascii="Times New Roman" w:hAnsi="Times New Roman" w:eastAsia="微软雅黑" w:cs="Times New Roman"/>
                <w:color w:val="auto"/>
              </w:rPr>
            </w:pPr>
            <w:r>
              <w:rPr>
                <w:rFonts w:ascii="Times New Roman" w:hAnsi="Times New Roman" w:eastAsia="微软雅黑" w:cs="Times New Roman"/>
                <w:color w:val="auto"/>
                <w:kern w:val="2"/>
              </w:rPr>
              <w:t>Scenario Version</w:t>
            </w:r>
          </w:p>
        </w:tc>
        <w:tc>
          <w:tcPr>
            <w:tcW w:w="7371" w:type="dxa"/>
          </w:tcPr>
          <w:p w14:paraId="206F1470">
            <w:pPr>
              <w:adjustRightInd w:val="0"/>
              <w:snapToGrid w:val="0"/>
              <w:spacing w:line="360" w:lineRule="auto"/>
              <w:rPr>
                <w:rFonts w:eastAsia="微软雅黑"/>
                <w:sz w:val="24"/>
              </w:rPr>
            </w:pPr>
            <w:r>
              <w:rPr>
                <w:rFonts w:eastAsia="微软雅黑"/>
                <w:kern w:val="0"/>
                <w:sz w:val="24"/>
              </w:rPr>
              <w:t>V1.2</w:t>
            </w:r>
          </w:p>
        </w:tc>
      </w:tr>
      <w:tr w14:paraId="1D200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2FF40243">
            <w:pPr>
              <w:pStyle w:val="33"/>
              <w:snapToGrid w:val="0"/>
              <w:spacing w:line="360" w:lineRule="auto"/>
              <w:jc w:val="center"/>
              <w:rPr>
                <w:rFonts w:ascii="Times New Roman" w:hAnsi="Times New Roman" w:eastAsia="微软雅黑" w:cs="Times New Roman"/>
                <w:color w:val="auto"/>
              </w:rPr>
            </w:pPr>
            <w:r>
              <w:rPr>
                <w:rFonts w:ascii="Times New Roman" w:hAnsi="Times New Roman" w:eastAsia="微软雅黑" w:cs="Times New Roman"/>
                <w:color w:val="auto"/>
                <w:kern w:val="2"/>
              </w:rPr>
              <w:t>Sponsor</w:t>
            </w:r>
          </w:p>
        </w:tc>
        <w:tc>
          <w:tcPr>
            <w:tcW w:w="7371" w:type="dxa"/>
            <w:vAlign w:val="center"/>
          </w:tcPr>
          <w:p w14:paraId="321C77B6">
            <w:pPr>
              <w:adjustRightInd w:val="0"/>
              <w:snapToGrid w:val="0"/>
              <w:spacing w:line="360" w:lineRule="auto"/>
              <w:jc w:val="left"/>
              <w:rPr>
                <w:rFonts w:eastAsia="微软雅黑"/>
                <w:sz w:val="24"/>
              </w:rPr>
            </w:pPr>
            <w:r>
              <w:rPr>
                <w:sz w:val="24"/>
                <w:lang w:bidi="ar"/>
              </w:rPr>
              <w:t>Chang-Ming Huang</w:t>
            </w:r>
          </w:p>
        </w:tc>
      </w:tr>
      <w:tr w14:paraId="59EDE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718BFE7C">
            <w:pPr>
              <w:pStyle w:val="33"/>
              <w:snapToGrid w:val="0"/>
              <w:spacing w:line="360" w:lineRule="auto"/>
              <w:jc w:val="center"/>
              <w:rPr>
                <w:rFonts w:ascii="Times New Roman" w:hAnsi="Times New Roman" w:eastAsia="微软雅黑" w:cs="Times New Roman"/>
                <w:color w:val="auto"/>
              </w:rPr>
            </w:pPr>
            <w:r>
              <w:rPr>
                <w:rFonts w:ascii="Times New Roman" w:hAnsi="Times New Roman" w:eastAsia="微软雅黑" w:cs="Times New Roman"/>
                <w:color w:val="auto"/>
                <w:kern w:val="2"/>
              </w:rPr>
              <w:t>Research Center</w:t>
            </w:r>
          </w:p>
        </w:tc>
        <w:tc>
          <w:tcPr>
            <w:tcW w:w="7371" w:type="dxa"/>
            <w:vAlign w:val="center"/>
          </w:tcPr>
          <w:p w14:paraId="23C21ECA">
            <w:pPr>
              <w:widowControl/>
              <w:adjustRightInd w:val="0"/>
              <w:snapToGrid w:val="0"/>
              <w:spacing w:line="360" w:lineRule="auto"/>
              <w:jc w:val="left"/>
              <w:rPr>
                <w:rFonts w:eastAsia="微软雅黑"/>
                <w:kern w:val="0"/>
                <w:sz w:val="24"/>
              </w:rPr>
            </w:pPr>
            <w:r>
              <w:rPr>
                <w:sz w:val="24"/>
                <w:lang w:bidi="ar"/>
              </w:rPr>
              <w:t>Fujian Medical University Union Hospital</w:t>
            </w:r>
          </w:p>
        </w:tc>
      </w:tr>
      <w:tr w14:paraId="21D8E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3E16DD39">
            <w:pPr>
              <w:pStyle w:val="33"/>
              <w:snapToGrid w:val="0"/>
              <w:spacing w:line="360" w:lineRule="auto"/>
              <w:jc w:val="center"/>
              <w:rPr>
                <w:rFonts w:ascii="Times New Roman" w:hAnsi="Times New Roman" w:eastAsia="微软雅黑" w:cs="Times New Roman"/>
                <w:color w:val="auto"/>
              </w:rPr>
            </w:pPr>
            <w:r>
              <w:rPr>
                <w:rFonts w:ascii="Times New Roman" w:hAnsi="Times New Roman" w:eastAsia="微软雅黑" w:cs="Times New Roman"/>
                <w:color w:val="auto"/>
                <w:kern w:val="2"/>
              </w:rPr>
              <w:t>Indications</w:t>
            </w:r>
          </w:p>
        </w:tc>
        <w:tc>
          <w:tcPr>
            <w:tcW w:w="7371" w:type="dxa"/>
          </w:tcPr>
          <w:p w14:paraId="02B7A2DE">
            <w:pPr>
              <w:pStyle w:val="33"/>
              <w:snapToGrid w:val="0"/>
              <w:spacing w:line="360" w:lineRule="auto"/>
              <w:jc w:val="both"/>
              <w:rPr>
                <w:rFonts w:ascii="Times New Roman" w:hAnsi="Times New Roman" w:eastAsia="微软雅黑" w:cs="Times New Roman"/>
                <w:color w:val="auto"/>
              </w:rPr>
            </w:pPr>
            <w:r>
              <w:rPr>
                <w:rFonts w:ascii="Times New Roman" w:hAnsi="Times New Roman" w:eastAsia="微软雅黑" w:cs="Times New Roman"/>
                <w:color w:val="auto"/>
              </w:rPr>
              <w:t>Patients with potentially resectable gastric adenocarcinoma (cT1-4a, N0/+, M0)</w:t>
            </w:r>
          </w:p>
        </w:tc>
      </w:tr>
      <w:tr w14:paraId="5328D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737644BA">
            <w:pPr>
              <w:pStyle w:val="33"/>
              <w:snapToGrid w:val="0"/>
              <w:spacing w:line="360" w:lineRule="auto"/>
              <w:jc w:val="center"/>
              <w:rPr>
                <w:rFonts w:ascii="Times New Roman" w:hAnsi="Times New Roman" w:eastAsia="微软雅黑" w:cs="Times New Roman"/>
                <w:color w:val="auto"/>
              </w:rPr>
            </w:pPr>
            <w:r>
              <w:rPr>
                <w:rFonts w:ascii="Times New Roman" w:hAnsi="Times New Roman" w:eastAsia="微软雅黑" w:cs="Times New Roman"/>
                <w:color w:val="auto"/>
              </w:rPr>
              <w:t>Purpose of research</w:t>
            </w:r>
          </w:p>
        </w:tc>
        <w:tc>
          <w:tcPr>
            <w:tcW w:w="7371" w:type="dxa"/>
          </w:tcPr>
          <w:p w14:paraId="533705E0">
            <w:pPr>
              <w:adjustRightInd w:val="0"/>
              <w:snapToGrid w:val="0"/>
              <w:spacing w:line="360" w:lineRule="auto"/>
              <w:rPr>
                <w:rFonts w:eastAsia="微软雅黑"/>
                <w:sz w:val="24"/>
              </w:rPr>
            </w:pPr>
            <w:r>
              <w:rPr>
                <w:sz w:val="24"/>
                <w:lang w:bidi="ar"/>
              </w:rPr>
              <w:t>To investigate the safety, efficacy, and feasibility of ICG near-infrared imaging tracing in guiding laparoscopic D2 lymph node (LN) dissection for gastric cancer</w:t>
            </w:r>
          </w:p>
        </w:tc>
      </w:tr>
      <w:tr w14:paraId="6BCB8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4532DF8B">
            <w:pPr>
              <w:pStyle w:val="33"/>
              <w:snapToGrid w:val="0"/>
              <w:spacing w:line="360" w:lineRule="auto"/>
              <w:jc w:val="center"/>
              <w:rPr>
                <w:rFonts w:ascii="Times New Roman" w:hAnsi="Times New Roman" w:eastAsia="微软雅黑" w:cs="Times New Roman"/>
                <w:color w:val="auto"/>
              </w:rPr>
            </w:pPr>
            <w:r>
              <w:rPr>
                <w:rFonts w:ascii="Times New Roman" w:hAnsi="Times New Roman" w:eastAsia="微软雅黑" w:cs="Times New Roman"/>
                <w:color w:val="auto"/>
              </w:rPr>
              <w:t>Research design</w:t>
            </w:r>
          </w:p>
        </w:tc>
        <w:tc>
          <w:tcPr>
            <w:tcW w:w="7371" w:type="dxa"/>
          </w:tcPr>
          <w:p w14:paraId="67B0F4BC">
            <w:pPr>
              <w:adjustRightInd w:val="0"/>
              <w:snapToGrid w:val="0"/>
              <w:spacing w:line="360" w:lineRule="auto"/>
              <w:rPr>
                <w:rFonts w:eastAsia="微软雅黑"/>
                <w:sz w:val="24"/>
              </w:rPr>
            </w:pPr>
            <w:r>
              <w:rPr>
                <w:sz w:val="24"/>
                <w:lang w:bidi="ar"/>
              </w:rPr>
              <w:t>Single center, prospective, open-label, randomized controlled</w:t>
            </w:r>
          </w:p>
        </w:tc>
      </w:tr>
      <w:tr w14:paraId="3B3ED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11928F66">
            <w:pPr>
              <w:pStyle w:val="33"/>
              <w:snapToGrid w:val="0"/>
              <w:spacing w:line="360" w:lineRule="auto"/>
              <w:jc w:val="center"/>
              <w:rPr>
                <w:rFonts w:ascii="Times New Roman" w:hAnsi="Times New Roman" w:eastAsia="微软雅黑" w:cs="Times New Roman"/>
                <w:color w:val="auto"/>
              </w:rPr>
            </w:pPr>
            <w:r>
              <w:rPr>
                <w:rFonts w:ascii="Times New Roman" w:hAnsi="Times New Roman" w:eastAsia="微软雅黑" w:cs="Times New Roman"/>
                <w:color w:val="auto"/>
              </w:rPr>
              <w:t>Case grouping</w:t>
            </w:r>
          </w:p>
        </w:tc>
        <w:tc>
          <w:tcPr>
            <w:tcW w:w="7371" w:type="dxa"/>
          </w:tcPr>
          <w:p w14:paraId="051CB163">
            <w:pPr>
              <w:pStyle w:val="33"/>
              <w:snapToGrid w:val="0"/>
              <w:spacing w:line="360" w:lineRule="auto"/>
              <w:rPr>
                <w:rFonts w:ascii="Times New Roman" w:hAnsi="Times New Roman" w:eastAsia="微软雅黑" w:cs="Times New Roman"/>
                <w:color w:val="auto"/>
              </w:rPr>
            </w:pPr>
            <w:r>
              <w:rPr>
                <w:rFonts w:ascii="Times New Roman" w:hAnsi="Times New Roman" w:eastAsia="微软雅黑" w:cs="Times New Roman"/>
                <w:color w:val="auto"/>
              </w:rPr>
              <w:t>Group A (Study Group): Laparoscopic gastrectomy Group with</w:t>
            </w:r>
            <w:r>
              <w:rPr>
                <w:rFonts w:ascii="Times New Roman" w:hAnsi="Times New Roman" w:cs="Times New Roman"/>
                <w:color w:val="auto"/>
              </w:rPr>
              <w:t xml:space="preserve"> the use of near-infrared imaging</w:t>
            </w:r>
            <w:r>
              <w:rPr>
                <w:rFonts w:ascii="Times New Roman" w:hAnsi="Times New Roman" w:eastAsia="微软雅黑" w:cs="Times New Roman"/>
                <w:color w:val="auto"/>
              </w:rPr>
              <w:t xml:space="preserve"> (ICG group) </w:t>
            </w:r>
          </w:p>
          <w:p w14:paraId="5CFBFBC7">
            <w:pPr>
              <w:pStyle w:val="33"/>
              <w:snapToGrid w:val="0"/>
              <w:spacing w:line="360" w:lineRule="auto"/>
              <w:jc w:val="both"/>
              <w:rPr>
                <w:rFonts w:ascii="Times New Roman" w:hAnsi="Times New Roman" w:eastAsia="微软雅黑" w:cs="Times New Roman"/>
                <w:color w:val="auto"/>
              </w:rPr>
            </w:pPr>
            <w:r>
              <w:rPr>
                <w:rFonts w:ascii="Times New Roman" w:hAnsi="Times New Roman" w:eastAsia="微软雅黑" w:cs="Times New Roman"/>
                <w:color w:val="auto"/>
              </w:rPr>
              <w:t xml:space="preserve">Group B (Control Group): Laparoscopic gastrectomy Group without the use of near-infrared imaging (Non-ICG group) </w:t>
            </w:r>
          </w:p>
        </w:tc>
      </w:tr>
      <w:tr w14:paraId="20125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7D5965CE">
            <w:pPr>
              <w:pStyle w:val="33"/>
              <w:snapToGrid w:val="0"/>
              <w:spacing w:line="360" w:lineRule="auto"/>
              <w:jc w:val="center"/>
              <w:rPr>
                <w:rFonts w:ascii="Times New Roman" w:hAnsi="Times New Roman" w:eastAsia="微软雅黑" w:cs="Times New Roman"/>
                <w:color w:val="auto"/>
              </w:rPr>
            </w:pPr>
            <w:r>
              <w:rPr>
                <w:rFonts w:ascii="Times New Roman" w:hAnsi="Times New Roman" w:eastAsia="微软雅黑" w:cs="Times New Roman"/>
                <w:color w:val="auto"/>
              </w:rPr>
              <w:t>The basis for determining the sample size</w:t>
            </w:r>
          </w:p>
        </w:tc>
        <w:tc>
          <w:tcPr>
            <w:tcW w:w="7371" w:type="dxa"/>
          </w:tcPr>
          <w:p w14:paraId="672A26B8">
            <w:pPr>
              <w:adjustRightInd w:val="0"/>
              <w:snapToGrid w:val="0"/>
              <w:spacing w:line="360" w:lineRule="auto"/>
              <w:rPr>
                <w:rFonts w:eastAsia="微软雅黑"/>
                <w:sz w:val="24"/>
              </w:rPr>
            </w:pPr>
            <w:r>
              <w:rPr>
                <w:rFonts w:eastAsia="微软雅黑"/>
                <w:sz w:val="24"/>
              </w:rPr>
              <w:t>This study is a superiority test (unilateral), whose primary outcome measure is the total number of retrieving LNs. According to the previous study results and related literature reports, the total number of LN dissections in the control group was about 32.9, This analysis was based on an α of 0.05, a power of 80%, and a margin delta of 15%, revealing that at least 107 patients would be necessary per group. Considering an expected dropout rate of 20%, it was determined that each group needed at least 133 patients, for a total of 266 cases.</w:t>
            </w:r>
          </w:p>
        </w:tc>
      </w:tr>
      <w:tr w14:paraId="0FE35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480889FF">
            <w:pPr>
              <w:pStyle w:val="33"/>
              <w:snapToGrid w:val="0"/>
              <w:spacing w:line="360" w:lineRule="auto"/>
              <w:jc w:val="center"/>
              <w:rPr>
                <w:rFonts w:ascii="Times New Roman" w:hAnsi="Times New Roman" w:eastAsia="微软雅黑" w:cs="Times New Roman"/>
                <w:color w:val="auto"/>
              </w:rPr>
            </w:pPr>
            <w:r>
              <w:rPr>
                <w:rFonts w:ascii="Times New Roman" w:hAnsi="Times New Roman" w:eastAsia="微软雅黑" w:cs="Times New Roman"/>
                <w:color w:val="auto"/>
                <w:kern w:val="2"/>
              </w:rPr>
              <w:t>Inclusion criteria</w:t>
            </w:r>
          </w:p>
        </w:tc>
        <w:tc>
          <w:tcPr>
            <w:tcW w:w="7371" w:type="dxa"/>
          </w:tcPr>
          <w:p w14:paraId="46988EB9">
            <w:pPr>
              <w:pStyle w:val="25"/>
              <w:numPr>
                <w:ilvl w:val="0"/>
                <w:numId w:val="1"/>
              </w:numPr>
              <w:adjustRightInd w:val="0"/>
              <w:snapToGrid w:val="0"/>
              <w:spacing w:line="360" w:lineRule="auto"/>
              <w:ind w:firstLineChars="0"/>
              <w:rPr>
                <w:rFonts w:eastAsia="微软雅黑"/>
                <w:sz w:val="24"/>
              </w:rPr>
            </w:pPr>
            <w:bookmarkStart w:id="8" w:name="_Hlk114416666"/>
            <w:bookmarkStart w:id="9" w:name="_Hlk20467311"/>
            <w:r>
              <w:rPr>
                <w:rFonts w:eastAsia="微软雅黑"/>
                <w:sz w:val="24"/>
              </w:rPr>
              <w:t>Age from 18 to 75 years (not including 18 and 75 years old)</w:t>
            </w:r>
          </w:p>
          <w:bookmarkEnd w:id="8"/>
          <w:p w14:paraId="5D8C6931">
            <w:pPr>
              <w:pStyle w:val="25"/>
              <w:numPr>
                <w:ilvl w:val="0"/>
                <w:numId w:val="1"/>
              </w:numPr>
              <w:adjustRightInd w:val="0"/>
              <w:snapToGrid w:val="0"/>
              <w:spacing w:line="360" w:lineRule="auto"/>
              <w:ind w:firstLineChars="0"/>
              <w:rPr>
                <w:rFonts w:eastAsia="微软雅黑"/>
                <w:sz w:val="24"/>
              </w:rPr>
            </w:pPr>
            <w:r>
              <w:rPr>
                <w:rFonts w:eastAsia="微软雅黑"/>
                <w:sz w:val="24"/>
              </w:rPr>
              <w:t>Primary gastric adenocarcinoma (papillary, tubular, mucinous, signet ring cell, or poorly differentiated) confirmed pathologically by endoscopic biopsy</w:t>
            </w:r>
          </w:p>
          <w:p w14:paraId="1B9F89F0">
            <w:pPr>
              <w:pStyle w:val="25"/>
              <w:numPr>
                <w:ilvl w:val="0"/>
                <w:numId w:val="1"/>
              </w:numPr>
              <w:adjustRightInd w:val="0"/>
              <w:snapToGrid w:val="0"/>
              <w:spacing w:line="360" w:lineRule="auto"/>
              <w:ind w:firstLineChars="0"/>
              <w:rPr>
                <w:rFonts w:eastAsia="微软雅黑"/>
                <w:sz w:val="24"/>
              </w:rPr>
            </w:pPr>
            <w:r>
              <w:rPr>
                <w:rFonts w:eastAsia="微软雅黑"/>
                <w:sz w:val="24"/>
              </w:rPr>
              <w:t>Clinical stage tumor T1-4a (cT1-4a), N-/+, M0 at preoperative evaluation according to the American Joint Committee on Cancer (AJCC) Cancer Staging Manual Seventh Edition</w:t>
            </w:r>
          </w:p>
          <w:p w14:paraId="086AB882">
            <w:pPr>
              <w:pStyle w:val="25"/>
              <w:numPr>
                <w:ilvl w:val="0"/>
                <w:numId w:val="1"/>
              </w:numPr>
              <w:adjustRightInd w:val="0"/>
              <w:snapToGrid w:val="0"/>
              <w:spacing w:line="360" w:lineRule="auto"/>
              <w:ind w:firstLineChars="0"/>
              <w:rPr>
                <w:rFonts w:eastAsia="微软雅黑"/>
                <w:sz w:val="24"/>
              </w:rPr>
            </w:pPr>
            <w:r>
              <w:rPr>
                <w:rFonts w:eastAsia="微软雅黑"/>
                <w:sz w:val="24"/>
              </w:rPr>
              <w:t>No distant metastasis, no direct invasion of pancreas, spleen or other organs nearby in the preoperative examinations</w:t>
            </w:r>
          </w:p>
          <w:p w14:paraId="4902D84D">
            <w:pPr>
              <w:pStyle w:val="25"/>
              <w:numPr>
                <w:ilvl w:val="0"/>
                <w:numId w:val="1"/>
              </w:numPr>
              <w:adjustRightInd w:val="0"/>
              <w:snapToGrid w:val="0"/>
              <w:spacing w:line="360" w:lineRule="auto"/>
              <w:ind w:firstLineChars="0"/>
              <w:rPr>
                <w:rFonts w:eastAsia="微软雅黑"/>
                <w:sz w:val="24"/>
              </w:rPr>
            </w:pPr>
            <w:r>
              <w:rPr>
                <w:rFonts w:eastAsia="微软雅黑"/>
                <w:sz w:val="24"/>
              </w:rPr>
              <w:t>Performance status of 0 or 1 on Eastern Cooperative Oncology Group scale (ECOG)</w:t>
            </w:r>
          </w:p>
          <w:p w14:paraId="57863543">
            <w:pPr>
              <w:pStyle w:val="25"/>
              <w:numPr>
                <w:ilvl w:val="0"/>
                <w:numId w:val="1"/>
              </w:numPr>
              <w:adjustRightInd w:val="0"/>
              <w:snapToGrid w:val="0"/>
              <w:spacing w:line="360" w:lineRule="auto"/>
              <w:ind w:firstLineChars="0"/>
              <w:rPr>
                <w:rFonts w:eastAsia="微软雅黑"/>
                <w:sz w:val="24"/>
              </w:rPr>
            </w:pPr>
            <w:r>
              <w:rPr>
                <w:rFonts w:eastAsia="微软雅黑"/>
                <w:sz w:val="24"/>
              </w:rPr>
              <w:t>American Society of Anesthesiology score (ASA) class I, II, or III</w:t>
            </w:r>
          </w:p>
          <w:p w14:paraId="59BF4E2C">
            <w:pPr>
              <w:pStyle w:val="25"/>
              <w:numPr>
                <w:ilvl w:val="0"/>
                <w:numId w:val="1"/>
              </w:numPr>
              <w:adjustRightInd w:val="0"/>
              <w:snapToGrid w:val="0"/>
              <w:spacing w:line="360" w:lineRule="auto"/>
              <w:ind w:firstLineChars="0"/>
              <w:rPr>
                <w:rFonts w:eastAsia="微软雅黑"/>
                <w:sz w:val="24"/>
              </w:rPr>
            </w:pPr>
            <w:r>
              <w:rPr>
                <w:rFonts w:eastAsia="微软雅黑"/>
                <w:sz w:val="24"/>
              </w:rPr>
              <w:t>Written informed consent</w:t>
            </w:r>
            <w:bookmarkEnd w:id="9"/>
          </w:p>
        </w:tc>
      </w:tr>
      <w:tr w14:paraId="4CDBD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41D7C8DB">
            <w:pPr>
              <w:pStyle w:val="33"/>
              <w:snapToGrid w:val="0"/>
              <w:spacing w:line="360" w:lineRule="auto"/>
              <w:jc w:val="center"/>
              <w:rPr>
                <w:rFonts w:ascii="Times New Roman" w:hAnsi="Times New Roman" w:eastAsia="微软雅黑" w:cs="Times New Roman"/>
                <w:color w:val="auto"/>
              </w:rPr>
            </w:pPr>
            <w:r>
              <w:rPr>
                <w:rFonts w:ascii="Times New Roman" w:hAnsi="Times New Roman" w:eastAsia="微软雅黑" w:cs="Times New Roman"/>
                <w:color w:val="auto"/>
                <w:kern w:val="2"/>
              </w:rPr>
              <w:t>Exclusion criteria</w:t>
            </w:r>
          </w:p>
        </w:tc>
        <w:tc>
          <w:tcPr>
            <w:tcW w:w="7371" w:type="dxa"/>
          </w:tcPr>
          <w:p w14:paraId="1156A075">
            <w:pPr>
              <w:pStyle w:val="25"/>
              <w:numPr>
                <w:ilvl w:val="0"/>
                <w:numId w:val="2"/>
              </w:numPr>
              <w:adjustRightInd w:val="0"/>
              <w:snapToGrid w:val="0"/>
              <w:spacing w:line="360" w:lineRule="auto"/>
              <w:ind w:firstLineChars="0"/>
              <w:rPr>
                <w:rFonts w:eastAsia="微软雅黑"/>
                <w:sz w:val="24"/>
              </w:rPr>
            </w:pPr>
            <w:r>
              <w:rPr>
                <w:rFonts w:eastAsia="微软雅黑"/>
                <w:sz w:val="24"/>
              </w:rPr>
              <w:t>Women during pregnancy or breast-feeding</w:t>
            </w:r>
          </w:p>
          <w:p w14:paraId="53F2D5CA">
            <w:pPr>
              <w:pStyle w:val="25"/>
              <w:numPr>
                <w:ilvl w:val="0"/>
                <w:numId w:val="2"/>
              </w:numPr>
              <w:adjustRightInd w:val="0"/>
              <w:snapToGrid w:val="0"/>
              <w:spacing w:line="360" w:lineRule="auto"/>
              <w:ind w:firstLineChars="0"/>
              <w:rPr>
                <w:rFonts w:eastAsia="微软雅黑"/>
                <w:sz w:val="24"/>
              </w:rPr>
            </w:pPr>
            <w:r>
              <w:rPr>
                <w:rFonts w:eastAsia="微软雅黑"/>
                <w:sz w:val="24"/>
              </w:rPr>
              <w:t>Severe mental disorder</w:t>
            </w:r>
          </w:p>
          <w:p w14:paraId="2402530F">
            <w:pPr>
              <w:pStyle w:val="25"/>
              <w:numPr>
                <w:ilvl w:val="0"/>
                <w:numId w:val="2"/>
              </w:numPr>
              <w:adjustRightInd w:val="0"/>
              <w:snapToGrid w:val="0"/>
              <w:spacing w:line="360" w:lineRule="auto"/>
              <w:ind w:firstLineChars="0"/>
              <w:rPr>
                <w:rFonts w:eastAsia="微软雅黑"/>
                <w:sz w:val="24"/>
              </w:rPr>
            </w:pPr>
            <w:r>
              <w:rPr>
                <w:rFonts w:eastAsia="微软雅黑"/>
                <w:sz w:val="24"/>
              </w:rPr>
              <w:t>History of previous upper abdominal surgery (except laparoscopic cholecystectomy)</w:t>
            </w:r>
          </w:p>
          <w:p w14:paraId="10705909">
            <w:pPr>
              <w:pStyle w:val="25"/>
              <w:numPr>
                <w:ilvl w:val="0"/>
                <w:numId w:val="2"/>
              </w:numPr>
              <w:adjustRightInd w:val="0"/>
              <w:snapToGrid w:val="0"/>
              <w:spacing w:line="360" w:lineRule="auto"/>
              <w:ind w:firstLineChars="0"/>
              <w:rPr>
                <w:rFonts w:eastAsia="微软雅黑"/>
                <w:sz w:val="24"/>
              </w:rPr>
            </w:pPr>
            <w:r>
              <w:rPr>
                <w:rFonts w:eastAsia="微软雅黑"/>
                <w:sz w:val="24"/>
              </w:rPr>
              <w:t>History of previous gastrectomy, endoscopic mucosal resection or endoscopic submucosal dissection</w:t>
            </w:r>
          </w:p>
          <w:p w14:paraId="5DC577A4">
            <w:pPr>
              <w:pStyle w:val="25"/>
              <w:numPr>
                <w:ilvl w:val="0"/>
                <w:numId w:val="2"/>
              </w:numPr>
              <w:adjustRightInd w:val="0"/>
              <w:snapToGrid w:val="0"/>
              <w:spacing w:line="360" w:lineRule="auto"/>
              <w:ind w:firstLineChars="0"/>
              <w:rPr>
                <w:rFonts w:eastAsia="微软雅黑"/>
                <w:sz w:val="24"/>
              </w:rPr>
            </w:pPr>
            <w:r>
              <w:rPr>
                <w:rFonts w:eastAsia="微软雅黑"/>
                <w:sz w:val="24"/>
              </w:rPr>
              <w:t>History of allergy to iodine agents</w:t>
            </w:r>
          </w:p>
          <w:p w14:paraId="4553B650">
            <w:pPr>
              <w:pStyle w:val="25"/>
              <w:numPr>
                <w:ilvl w:val="0"/>
                <w:numId w:val="2"/>
              </w:numPr>
              <w:adjustRightInd w:val="0"/>
              <w:snapToGrid w:val="0"/>
              <w:spacing w:line="360" w:lineRule="auto"/>
              <w:ind w:firstLineChars="0"/>
              <w:rPr>
                <w:rFonts w:eastAsia="微软雅黑"/>
                <w:sz w:val="24"/>
              </w:rPr>
            </w:pPr>
            <w:r>
              <w:rPr>
                <w:rFonts w:eastAsia="微软雅黑"/>
                <w:sz w:val="24"/>
              </w:rPr>
              <w:t>Enlarged or bulky regional LN diameter over 3cm by preoperative imaging</w:t>
            </w:r>
          </w:p>
          <w:p w14:paraId="37E65C5E">
            <w:pPr>
              <w:pStyle w:val="25"/>
              <w:numPr>
                <w:ilvl w:val="0"/>
                <w:numId w:val="2"/>
              </w:numPr>
              <w:adjustRightInd w:val="0"/>
              <w:snapToGrid w:val="0"/>
              <w:spacing w:line="360" w:lineRule="auto"/>
              <w:ind w:firstLineChars="0"/>
              <w:rPr>
                <w:rFonts w:eastAsia="微软雅黑"/>
                <w:sz w:val="24"/>
              </w:rPr>
            </w:pPr>
            <w:r>
              <w:rPr>
                <w:rFonts w:eastAsia="微软雅黑"/>
                <w:sz w:val="24"/>
              </w:rPr>
              <w:t>History of other malignant disease within past five years</w:t>
            </w:r>
          </w:p>
          <w:p w14:paraId="45260FB4">
            <w:pPr>
              <w:pStyle w:val="25"/>
              <w:numPr>
                <w:ilvl w:val="0"/>
                <w:numId w:val="2"/>
              </w:numPr>
              <w:adjustRightInd w:val="0"/>
              <w:snapToGrid w:val="0"/>
              <w:spacing w:line="360" w:lineRule="auto"/>
              <w:ind w:firstLineChars="0"/>
              <w:rPr>
                <w:rFonts w:eastAsia="微软雅黑"/>
                <w:sz w:val="24"/>
              </w:rPr>
            </w:pPr>
            <w:r>
              <w:rPr>
                <w:rFonts w:eastAsia="微软雅黑"/>
                <w:sz w:val="24"/>
              </w:rPr>
              <w:t>History of previous neoadjuvant chemotherapy or radiotherapy</w:t>
            </w:r>
          </w:p>
          <w:p w14:paraId="205B5127">
            <w:pPr>
              <w:pStyle w:val="25"/>
              <w:numPr>
                <w:ilvl w:val="0"/>
                <w:numId w:val="2"/>
              </w:numPr>
              <w:adjustRightInd w:val="0"/>
              <w:snapToGrid w:val="0"/>
              <w:spacing w:line="360" w:lineRule="auto"/>
              <w:ind w:firstLineChars="0"/>
              <w:rPr>
                <w:rFonts w:eastAsia="微软雅黑"/>
                <w:sz w:val="24"/>
              </w:rPr>
            </w:pPr>
            <w:r>
              <w:rPr>
                <w:rFonts w:eastAsia="微软雅黑"/>
                <w:sz w:val="24"/>
              </w:rPr>
              <w:t>History of unstable angina or myocardial infarction within past six months</w:t>
            </w:r>
          </w:p>
          <w:p w14:paraId="7979AA99">
            <w:pPr>
              <w:pStyle w:val="25"/>
              <w:numPr>
                <w:ilvl w:val="0"/>
                <w:numId w:val="2"/>
              </w:numPr>
              <w:adjustRightInd w:val="0"/>
              <w:snapToGrid w:val="0"/>
              <w:spacing w:line="360" w:lineRule="auto"/>
              <w:ind w:firstLineChars="0"/>
              <w:rPr>
                <w:rFonts w:eastAsia="微软雅黑"/>
                <w:sz w:val="24"/>
              </w:rPr>
            </w:pPr>
            <w:r>
              <w:rPr>
                <w:rFonts w:eastAsia="微软雅黑"/>
                <w:sz w:val="24"/>
              </w:rPr>
              <w:t>History of cerebrovascular accident within past six months</w:t>
            </w:r>
          </w:p>
          <w:p w14:paraId="6E9DEB61">
            <w:pPr>
              <w:pStyle w:val="25"/>
              <w:numPr>
                <w:ilvl w:val="0"/>
                <w:numId w:val="2"/>
              </w:numPr>
              <w:adjustRightInd w:val="0"/>
              <w:snapToGrid w:val="0"/>
              <w:spacing w:line="360" w:lineRule="auto"/>
              <w:ind w:firstLineChars="0"/>
              <w:rPr>
                <w:rFonts w:eastAsia="微软雅黑"/>
                <w:sz w:val="24"/>
              </w:rPr>
            </w:pPr>
            <w:r>
              <w:rPr>
                <w:rFonts w:eastAsia="微软雅黑"/>
                <w:sz w:val="24"/>
              </w:rPr>
              <w:t>History of continuous systematic administration of corticosteroids within one month</w:t>
            </w:r>
          </w:p>
          <w:p w14:paraId="3E824C32">
            <w:pPr>
              <w:pStyle w:val="25"/>
              <w:numPr>
                <w:ilvl w:val="0"/>
                <w:numId w:val="2"/>
              </w:numPr>
              <w:adjustRightInd w:val="0"/>
              <w:snapToGrid w:val="0"/>
              <w:spacing w:line="360" w:lineRule="auto"/>
              <w:ind w:firstLineChars="0"/>
              <w:rPr>
                <w:rFonts w:eastAsia="微软雅黑"/>
                <w:sz w:val="24"/>
              </w:rPr>
            </w:pPr>
            <w:r>
              <w:rPr>
                <w:rFonts w:eastAsia="微软雅黑"/>
                <w:sz w:val="24"/>
              </w:rPr>
              <w:t>Requirement of simultaneous surgery for other disease</w:t>
            </w:r>
          </w:p>
          <w:p w14:paraId="01CFB607">
            <w:pPr>
              <w:pStyle w:val="25"/>
              <w:numPr>
                <w:ilvl w:val="0"/>
                <w:numId w:val="2"/>
              </w:numPr>
              <w:adjustRightInd w:val="0"/>
              <w:snapToGrid w:val="0"/>
              <w:spacing w:line="360" w:lineRule="auto"/>
              <w:ind w:firstLineChars="0"/>
              <w:rPr>
                <w:rFonts w:eastAsia="微软雅黑"/>
                <w:sz w:val="24"/>
              </w:rPr>
            </w:pPr>
            <w:r>
              <w:rPr>
                <w:rFonts w:eastAsia="微软雅黑"/>
                <w:sz w:val="24"/>
              </w:rPr>
              <w:t>Emergency surgery due to complication (bleeding, obstruction or perforation) caused by gastric cancer</w:t>
            </w:r>
          </w:p>
          <w:p w14:paraId="274E7B03">
            <w:pPr>
              <w:pStyle w:val="25"/>
              <w:numPr>
                <w:ilvl w:val="0"/>
                <w:numId w:val="2"/>
              </w:numPr>
              <w:adjustRightInd w:val="0"/>
              <w:snapToGrid w:val="0"/>
              <w:spacing w:line="360" w:lineRule="auto"/>
              <w:ind w:firstLineChars="0"/>
              <w:rPr>
                <w:rFonts w:eastAsia="微软雅黑"/>
                <w:sz w:val="24"/>
              </w:rPr>
            </w:pPr>
            <w:r>
              <w:rPr>
                <w:rFonts w:eastAsia="微软雅黑"/>
                <w:sz w:val="24"/>
              </w:rPr>
              <w:t>FEV1＜50% of predicted values</w:t>
            </w:r>
          </w:p>
          <w:p w14:paraId="2CE1C5F1">
            <w:pPr>
              <w:pStyle w:val="25"/>
              <w:numPr>
                <w:ilvl w:val="0"/>
                <w:numId w:val="2"/>
              </w:numPr>
              <w:adjustRightInd w:val="0"/>
              <w:snapToGrid w:val="0"/>
              <w:spacing w:line="360" w:lineRule="auto"/>
              <w:ind w:firstLineChars="0"/>
              <w:rPr>
                <w:rFonts w:eastAsia="微软雅黑"/>
                <w:sz w:val="24"/>
              </w:rPr>
            </w:pPr>
            <w:r>
              <w:rPr>
                <w:rFonts w:eastAsia="微软雅黑"/>
                <w:sz w:val="24"/>
              </w:rPr>
              <w:t>Linitis plastica, Widespread</w:t>
            </w:r>
          </w:p>
        </w:tc>
      </w:tr>
      <w:tr w14:paraId="22DD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13BFE3E0">
            <w:pPr>
              <w:pStyle w:val="33"/>
              <w:snapToGrid w:val="0"/>
              <w:spacing w:line="360" w:lineRule="auto"/>
              <w:jc w:val="center"/>
              <w:rPr>
                <w:rFonts w:ascii="Times New Roman" w:hAnsi="Times New Roman" w:eastAsia="微软雅黑" w:cs="Times New Roman"/>
                <w:color w:val="auto"/>
              </w:rPr>
            </w:pPr>
            <w:r>
              <w:rPr>
                <w:rFonts w:hint="eastAsia" w:ascii="Times New Roman" w:hAnsi="Times New Roman" w:eastAsia="微软雅黑" w:cs="Times New Roman"/>
                <w:color w:val="auto"/>
                <w:kern w:val="2"/>
              </w:rPr>
              <w:t>Withdrawal</w:t>
            </w:r>
            <w:r>
              <w:rPr>
                <w:rFonts w:ascii="Times New Roman" w:hAnsi="Times New Roman" w:eastAsia="微软雅黑" w:cs="Times New Roman"/>
                <w:color w:val="auto"/>
                <w:kern w:val="2"/>
              </w:rPr>
              <w:t xml:space="preserve"> criteria</w:t>
            </w:r>
          </w:p>
        </w:tc>
        <w:tc>
          <w:tcPr>
            <w:tcW w:w="7371" w:type="dxa"/>
          </w:tcPr>
          <w:p w14:paraId="54E71498">
            <w:pPr>
              <w:pStyle w:val="25"/>
              <w:numPr>
                <w:ilvl w:val="0"/>
                <w:numId w:val="3"/>
              </w:numPr>
              <w:adjustRightInd w:val="0"/>
              <w:snapToGrid w:val="0"/>
              <w:spacing w:line="360" w:lineRule="auto"/>
              <w:ind w:firstLineChars="0"/>
              <w:rPr>
                <w:rFonts w:eastAsia="微软雅黑"/>
                <w:sz w:val="24"/>
              </w:rPr>
            </w:pPr>
            <w:r>
              <w:rPr>
                <w:rFonts w:eastAsia="微软雅黑"/>
                <w:sz w:val="24"/>
              </w:rPr>
              <w:t xml:space="preserve">M1 tumor confirmed intraoperatively or postoperatively: distant metastasis only found by intraoperative exploration or postoperative pathological biopsy or a positive postoperative peritoneal lavage cytology examination </w:t>
            </w:r>
          </w:p>
          <w:p w14:paraId="15CB4602">
            <w:pPr>
              <w:pStyle w:val="25"/>
              <w:numPr>
                <w:ilvl w:val="0"/>
                <w:numId w:val="3"/>
              </w:numPr>
              <w:adjustRightInd w:val="0"/>
              <w:snapToGrid w:val="0"/>
              <w:spacing w:line="360" w:lineRule="auto"/>
              <w:ind w:firstLineChars="0"/>
              <w:rPr>
                <w:rFonts w:eastAsia="微软雅黑"/>
                <w:sz w:val="24"/>
              </w:rPr>
            </w:pPr>
            <w:r>
              <w:rPr>
                <w:rFonts w:eastAsia="微软雅黑"/>
                <w:sz w:val="24"/>
              </w:rPr>
              <w:t>Patients intraoperatively/postoperatively confirmed as T4b, or tumor invading the duodenum;</w:t>
            </w:r>
          </w:p>
          <w:p w14:paraId="613BCB84">
            <w:pPr>
              <w:pStyle w:val="25"/>
              <w:numPr>
                <w:ilvl w:val="0"/>
                <w:numId w:val="3"/>
              </w:numPr>
              <w:adjustRightInd w:val="0"/>
              <w:snapToGrid w:val="0"/>
              <w:spacing w:line="360" w:lineRule="auto"/>
              <w:ind w:firstLineChars="0"/>
              <w:rPr>
                <w:rFonts w:eastAsia="微软雅黑"/>
                <w:sz w:val="24"/>
              </w:rPr>
            </w:pPr>
            <w:r>
              <w:rPr>
                <w:rFonts w:eastAsia="微软雅黑"/>
                <w:sz w:val="24"/>
              </w:rPr>
              <w:t xml:space="preserve">Patients intraoperatively confirmed as unable to complete D2 LN dissection/R0 resection due to tumor: unable to complete R0 resection due to regional LN integration into a mass or surrounded with important blood vessels, which cannot be resected; </w:t>
            </w:r>
          </w:p>
          <w:p w14:paraId="45506600">
            <w:pPr>
              <w:pStyle w:val="25"/>
              <w:numPr>
                <w:ilvl w:val="0"/>
                <w:numId w:val="3"/>
              </w:numPr>
              <w:adjustRightInd w:val="0"/>
              <w:snapToGrid w:val="0"/>
              <w:spacing w:line="360" w:lineRule="auto"/>
              <w:ind w:firstLineChars="0"/>
              <w:rPr>
                <w:rFonts w:eastAsia="微软雅黑"/>
                <w:sz w:val="24"/>
              </w:rPr>
            </w:pPr>
            <w:r>
              <w:rPr>
                <w:rFonts w:eastAsia="微软雅黑"/>
                <w:sz w:val="24"/>
              </w:rPr>
              <w:t xml:space="preserve">Patients requiring simultaneous surgical treatment of other diseases;   </w:t>
            </w:r>
          </w:p>
          <w:p w14:paraId="6ABEDB3F">
            <w:pPr>
              <w:pStyle w:val="25"/>
              <w:numPr>
                <w:ilvl w:val="0"/>
                <w:numId w:val="3"/>
              </w:numPr>
              <w:adjustRightInd w:val="0"/>
              <w:snapToGrid w:val="0"/>
              <w:spacing w:line="360" w:lineRule="auto"/>
              <w:ind w:firstLineChars="0"/>
              <w:rPr>
                <w:rFonts w:eastAsia="微软雅黑"/>
                <w:sz w:val="24"/>
              </w:rPr>
            </w:pPr>
            <w:r>
              <w:rPr>
                <w:rFonts w:eastAsia="微软雅黑"/>
                <w:sz w:val="24"/>
              </w:rPr>
              <w:t xml:space="preserve">Sudden severe complications during the perioperative period (intolerable surgery or anesthesia), which renders it unsuitable or unfeasible to implement the study treatment protocol as scheduled;   </w:t>
            </w:r>
          </w:p>
          <w:p w14:paraId="33E6A8A2">
            <w:pPr>
              <w:pStyle w:val="25"/>
              <w:numPr>
                <w:ilvl w:val="0"/>
                <w:numId w:val="3"/>
              </w:numPr>
              <w:adjustRightInd w:val="0"/>
              <w:snapToGrid w:val="0"/>
              <w:spacing w:line="360" w:lineRule="auto"/>
              <w:ind w:firstLineChars="0"/>
              <w:rPr>
                <w:rFonts w:eastAsia="微软雅黑"/>
                <w:sz w:val="24"/>
              </w:rPr>
            </w:pPr>
            <w:r>
              <w:rPr>
                <w:rFonts w:eastAsia="微软雅黑"/>
                <w:sz w:val="24"/>
              </w:rPr>
              <w:t xml:space="preserve">Patients confirmed to require emergency surgery by attending physicians due to changes in the patient’s condition after inclusion in this study; </w:t>
            </w:r>
          </w:p>
          <w:p w14:paraId="76678758">
            <w:pPr>
              <w:pStyle w:val="25"/>
              <w:numPr>
                <w:ilvl w:val="0"/>
                <w:numId w:val="3"/>
              </w:numPr>
              <w:adjustRightInd w:val="0"/>
              <w:snapToGrid w:val="0"/>
              <w:spacing w:line="360" w:lineRule="auto"/>
              <w:ind w:firstLineChars="0"/>
              <w:rPr>
                <w:rFonts w:eastAsia="微软雅黑"/>
                <w:sz w:val="24"/>
              </w:rPr>
            </w:pPr>
            <w:r>
              <w:rPr>
                <w:rFonts w:eastAsia="微软雅黑"/>
                <w:sz w:val="24"/>
              </w:rPr>
              <w:t xml:space="preserve">Patients who voluntarily quit or discontinue treatment for personal reasons at any stage after inclusion in this study; </w:t>
            </w:r>
          </w:p>
          <w:p w14:paraId="598C1A07">
            <w:pPr>
              <w:pStyle w:val="25"/>
              <w:numPr>
                <w:ilvl w:val="0"/>
                <w:numId w:val="3"/>
              </w:numPr>
              <w:adjustRightInd w:val="0"/>
              <w:snapToGrid w:val="0"/>
              <w:spacing w:line="360" w:lineRule="auto"/>
              <w:ind w:firstLineChars="0"/>
              <w:rPr>
                <w:rFonts w:eastAsia="微软雅黑"/>
                <w:sz w:val="24"/>
              </w:rPr>
            </w:pPr>
            <w:r>
              <w:rPr>
                <w:rFonts w:eastAsia="微软雅黑"/>
                <w:sz w:val="24"/>
              </w:rPr>
              <w:t>Treatment implemented is proven to violate study protocol.</w:t>
            </w:r>
          </w:p>
        </w:tc>
      </w:tr>
      <w:tr w14:paraId="3749A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6750377B">
            <w:pPr>
              <w:pStyle w:val="33"/>
              <w:snapToGrid w:val="0"/>
              <w:spacing w:line="360" w:lineRule="auto"/>
              <w:jc w:val="center"/>
              <w:rPr>
                <w:rFonts w:ascii="Times New Roman" w:hAnsi="Times New Roman" w:eastAsia="微软雅黑" w:cs="Times New Roman"/>
                <w:color w:val="auto"/>
              </w:rPr>
            </w:pPr>
            <w:r>
              <w:rPr>
                <w:rFonts w:ascii="Times New Roman" w:hAnsi="Times New Roman" w:eastAsia="微软雅黑" w:cs="Times New Roman"/>
                <w:color w:val="auto"/>
              </w:rPr>
              <w:t>Intervention</w:t>
            </w:r>
          </w:p>
        </w:tc>
        <w:tc>
          <w:tcPr>
            <w:tcW w:w="7371" w:type="dxa"/>
          </w:tcPr>
          <w:p w14:paraId="6F573E49">
            <w:pPr>
              <w:pStyle w:val="25"/>
              <w:adjustRightInd w:val="0"/>
              <w:snapToGrid w:val="0"/>
              <w:spacing w:line="360" w:lineRule="auto"/>
              <w:ind w:firstLine="0" w:firstLineChars="0"/>
              <w:rPr>
                <w:rFonts w:eastAsia="微软雅黑"/>
                <w:sz w:val="24"/>
              </w:rPr>
            </w:pPr>
            <w:r>
              <w:rPr>
                <w:rFonts w:eastAsia="微软雅黑"/>
                <w:sz w:val="24"/>
              </w:rPr>
              <w:t>For patients who were assigned to ICG group, endoscopic injection of ICG one day before surgery (Video 1). As a fluorescent developer, ICG (Dandong Yichuang Pharmaceutical Co., Ltd) was dissolved into 1.25 mg/ml solutions in sterile water. 0.5 mL of the prepared solution, containing 0.625mg of ICG was injected along the submucosa of the stomach at four points around the primary tumor, respectively, for a total volume of 2ml (a total 2.5mg ICG) .</w:t>
            </w:r>
          </w:p>
        </w:tc>
      </w:tr>
      <w:tr w14:paraId="6D9A0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1B187881">
            <w:pPr>
              <w:pStyle w:val="33"/>
              <w:snapToGrid w:val="0"/>
              <w:spacing w:line="360" w:lineRule="auto"/>
              <w:jc w:val="center"/>
              <w:rPr>
                <w:rFonts w:ascii="Times New Roman" w:hAnsi="Times New Roman" w:eastAsia="微软雅黑" w:cs="Times New Roman"/>
                <w:color w:val="auto"/>
              </w:rPr>
            </w:pPr>
            <w:bookmarkStart w:id="10" w:name="_Hlk20469275"/>
            <w:r>
              <w:rPr>
                <w:rFonts w:ascii="Times New Roman" w:hAnsi="Times New Roman" w:eastAsia="微软雅黑" w:cs="Times New Roman"/>
                <w:color w:val="auto"/>
                <w:kern w:val="2"/>
              </w:rPr>
              <w:t>Outcome Measures</w:t>
            </w:r>
          </w:p>
        </w:tc>
        <w:tc>
          <w:tcPr>
            <w:tcW w:w="7371" w:type="dxa"/>
          </w:tcPr>
          <w:p w14:paraId="213BF930">
            <w:pPr>
              <w:pStyle w:val="25"/>
              <w:numPr>
                <w:ilvl w:val="255"/>
                <w:numId w:val="0"/>
              </w:numPr>
              <w:adjustRightInd w:val="0"/>
              <w:snapToGrid w:val="0"/>
              <w:spacing w:line="360" w:lineRule="auto"/>
              <w:rPr>
                <w:rFonts w:eastAsia="微软雅黑"/>
                <w:sz w:val="24"/>
              </w:rPr>
            </w:pPr>
            <w:r>
              <w:rPr>
                <w:rFonts w:eastAsia="微软雅黑"/>
                <w:b/>
                <w:sz w:val="24"/>
              </w:rPr>
              <w:t>Primary Outcome Measures</w:t>
            </w:r>
            <w:r>
              <w:rPr>
                <w:rFonts w:eastAsia="微软雅黑"/>
                <w:sz w:val="24"/>
              </w:rPr>
              <w:t>:</w:t>
            </w:r>
          </w:p>
          <w:p w14:paraId="5E041EBE">
            <w:pPr>
              <w:pStyle w:val="25"/>
              <w:numPr>
                <w:ilvl w:val="0"/>
                <w:numId w:val="4"/>
              </w:numPr>
              <w:adjustRightInd w:val="0"/>
              <w:snapToGrid w:val="0"/>
              <w:spacing w:line="360" w:lineRule="auto"/>
              <w:ind w:firstLineChars="0"/>
              <w:rPr>
                <w:rFonts w:eastAsia="微软雅黑"/>
                <w:sz w:val="24"/>
              </w:rPr>
            </w:pPr>
            <w:r>
              <w:rPr>
                <w:rFonts w:eastAsia="微软雅黑"/>
                <w:sz w:val="24"/>
              </w:rPr>
              <w:t xml:space="preserve">Total number of retrieved LNs </w:t>
            </w:r>
          </w:p>
          <w:p w14:paraId="52210B52">
            <w:pPr>
              <w:adjustRightInd w:val="0"/>
              <w:snapToGrid w:val="0"/>
              <w:spacing w:line="360" w:lineRule="auto"/>
              <w:rPr>
                <w:rFonts w:eastAsia="微软雅黑"/>
                <w:sz w:val="24"/>
              </w:rPr>
            </w:pPr>
            <w:r>
              <w:rPr>
                <w:rFonts w:eastAsia="微软雅黑"/>
                <w:b/>
                <w:sz w:val="24"/>
              </w:rPr>
              <w:t>Secondary Outcome Measures</w:t>
            </w:r>
            <w:r>
              <w:rPr>
                <w:rFonts w:eastAsia="微软雅黑"/>
                <w:sz w:val="24"/>
              </w:rPr>
              <w:t>:</w:t>
            </w:r>
          </w:p>
          <w:p w14:paraId="310D752C">
            <w:pPr>
              <w:pStyle w:val="25"/>
              <w:numPr>
                <w:ilvl w:val="0"/>
                <w:numId w:val="4"/>
              </w:numPr>
              <w:adjustRightInd w:val="0"/>
              <w:snapToGrid w:val="0"/>
              <w:spacing w:line="360" w:lineRule="auto"/>
              <w:ind w:firstLineChars="0"/>
              <w:rPr>
                <w:rFonts w:eastAsia="微软雅黑"/>
                <w:sz w:val="24"/>
              </w:rPr>
            </w:pPr>
            <w:r>
              <w:rPr>
                <w:rFonts w:eastAsia="微软雅黑"/>
                <w:sz w:val="24"/>
              </w:rPr>
              <w:t xml:space="preserve">The rate of fluorescence </w:t>
            </w:r>
          </w:p>
          <w:p w14:paraId="02AF3678">
            <w:pPr>
              <w:pStyle w:val="25"/>
              <w:numPr>
                <w:ilvl w:val="0"/>
                <w:numId w:val="4"/>
              </w:numPr>
              <w:adjustRightInd w:val="0"/>
              <w:snapToGrid w:val="0"/>
              <w:spacing w:line="360" w:lineRule="auto"/>
              <w:ind w:firstLineChars="0"/>
              <w:rPr>
                <w:rFonts w:eastAsia="微软雅黑"/>
                <w:sz w:val="24"/>
              </w:rPr>
            </w:pPr>
            <w:r>
              <w:rPr>
                <w:rFonts w:eastAsia="微软雅黑"/>
                <w:sz w:val="24"/>
              </w:rPr>
              <w:t>Positive rate</w:t>
            </w:r>
          </w:p>
          <w:p w14:paraId="6BC1BF0E">
            <w:pPr>
              <w:pStyle w:val="25"/>
              <w:numPr>
                <w:ilvl w:val="0"/>
                <w:numId w:val="4"/>
              </w:numPr>
              <w:adjustRightInd w:val="0"/>
              <w:snapToGrid w:val="0"/>
              <w:spacing w:line="360" w:lineRule="auto"/>
              <w:ind w:firstLineChars="0"/>
              <w:rPr>
                <w:rFonts w:eastAsia="微软雅黑"/>
                <w:sz w:val="24"/>
              </w:rPr>
            </w:pPr>
            <w:r>
              <w:rPr>
                <w:rFonts w:eastAsia="微软雅黑"/>
                <w:sz w:val="24"/>
              </w:rPr>
              <w:t>False positive rate</w:t>
            </w:r>
          </w:p>
          <w:p w14:paraId="72753E8E">
            <w:pPr>
              <w:pStyle w:val="25"/>
              <w:numPr>
                <w:ilvl w:val="0"/>
                <w:numId w:val="4"/>
              </w:numPr>
              <w:adjustRightInd w:val="0"/>
              <w:snapToGrid w:val="0"/>
              <w:spacing w:line="360" w:lineRule="auto"/>
              <w:ind w:firstLineChars="0"/>
              <w:rPr>
                <w:rFonts w:eastAsia="微软雅黑"/>
                <w:sz w:val="24"/>
              </w:rPr>
            </w:pPr>
            <w:r>
              <w:rPr>
                <w:rFonts w:eastAsia="微软雅黑"/>
                <w:sz w:val="24"/>
              </w:rPr>
              <w:t>Negative rate</w:t>
            </w:r>
          </w:p>
          <w:p w14:paraId="0E438BBE">
            <w:pPr>
              <w:pStyle w:val="25"/>
              <w:numPr>
                <w:ilvl w:val="0"/>
                <w:numId w:val="4"/>
              </w:numPr>
              <w:adjustRightInd w:val="0"/>
              <w:snapToGrid w:val="0"/>
              <w:spacing w:line="360" w:lineRule="auto"/>
              <w:ind w:firstLineChars="0"/>
              <w:rPr>
                <w:rFonts w:eastAsia="微软雅黑"/>
                <w:sz w:val="24"/>
              </w:rPr>
            </w:pPr>
            <w:r>
              <w:rPr>
                <w:rFonts w:eastAsia="微软雅黑"/>
                <w:sz w:val="24"/>
              </w:rPr>
              <w:t>False negative rate</w:t>
            </w:r>
          </w:p>
          <w:p w14:paraId="330BA54B">
            <w:pPr>
              <w:pStyle w:val="25"/>
              <w:numPr>
                <w:ilvl w:val="0"/>
                <w:numId w:val="4"/>
              </w:numPr>
              <w:adjustRightInd w:val="0"/>
              <w:snapToGrid w:val="0"/>
              <w:spacing w:line="360" w:lineRule="auto"/>
              <w:ind w:firstLineChars="0"/>
              <w:rPr>
                <w:rFonts w:eastAsia="微软雅黑"/>
                <w:sz w:val="24"/>
              </w:rPr>
            </w:pPr>
            <w:r>
              <w:rPr>
                <w:rFonts w:eastAsia="微软雅黑"/>
                <w:sz w:val="24"/>
              </w:rPr>
              <w:t>Number of metastatic LNs</w:t>
            </w:r>
          </w:p>
          <w:p w14:paraId="16B495F2">
            <w:pPr>
              <w:pStyle w:val="25"/>
              <w:numPr>
                <w:ilvl w:val="0"/>
                <w:numId w:val="4"/>
              </w:numPr>
              <w:adjustRightInd w:val="0"/>
              <w:snapToGrid w:val="0"/>
              <w:spacing w:line="360" w:lineRule="auto"/>
              <w:ind w:firstLineChars="0"/>
              <w:rPr>
                <w:rFonts w:eastAsia="微软雅黑"/>
                <w:sz w:val="24"/>
              </w:rPr>
            </w:pPr>
            <w:r>
              <w:rPr>
                <w:rFonts w:eastAsia="微软雅黑"/>
                <w:sz w:val="24"/>
              </w:rPr>
              <w:t>Metastatic rate of LN</w:t>
            </w:r>
          </w:p>
          <w:p w14:paraId="7908E767">
            <w:pPr>
              <w:pStyle w:val="25"/>
              <w:numPr>
                <w:ilvl w:val="0"/>
                <w:numId w:val="4"/>
              </w:numPr>
              <w:adjustRightInd w:val="0"/>
              <w:snapToGrid w:val="0"/>
              <w:spacing w:line="360" w:lineRule="auto"/>
              <w:ind w:firstLineChars="0"/>
              <w:rPr>
                <w:rFonts w:eastAsia="微软雅黑"/>
                <w:sz w:val="24"/>
              </w:rPr>
            </w:pPr>
            <w:r>
              <w:rPr>
                <w:rFonts w:eastAsia="微软雅黑"/>
                <w:sz w:val="24"/>
              </w:rPr>
              <w:t>Morbidity and mortality rates</w:t>
            </w:r>
          </w:p>
          <w:p w14:paraId="48FFAE3D">
            <w:pPr>
              <w:pStyle w:val="25"/>
              <w:numPr>
                <w:ilvl w:val="0"/>
                <w:numId w:val="4"/>
              </w:numPr>
              <w:adjustRightInd w:val="0"/>
              <w:snapToGrid w:val="0"/>
              <w:spacing w:line="360" w:lineRule="auto"/>
              <w:ind w:firstLineChars="0"/>
              <w:rPr>
                <w:rFonts w:eastAsia="微软雅黑"/>
                <w:sz w:val="24"/>
              </w:rPr>
            </w:pPr>
            <w:r>
              <w:rPr>
                <w:rFonts w:eastAsia="微软雅黑"/>
                <w:sz w:val="24"/>
              </w:rPr>
              <w:t>3-year disease-free survival rate</w:t>
            </w:r>
          </w:p>
          <w:p w14:paraId="277A5588">
            <w:pPr>
              <w:pStyle w:val="25"/>
              <w:numPr>
                <w:ilvl w:val="0"/>
                <w:numId w:val="4"/>
              </w:numPr>
              <w:adjustRightInd w:val="0"/>
              <w:snapToGrid w:val="0"/>
              <w:spacing w:line="360" w:lineRule="auto"/>
              <w:ind w:firstLineChars="0"/>
              <w:rPr>
                <w:rFonts w:eastAsia="微软雅黑"/>
                <w:sz w:val="24"/>
              </w:rPr>
            </w:pPr>
            <w:r>
              <w:rPr>
                <w:rFonts w:eastAsia="微软雅黑"/>
                <w:sz w:val="24"/>
              </w:rPr>
              <w:t xml:space="preserve">3-year </w:t>
            </w:r>
            <w:r>
              <w:rPr>
                <w:rFonts w:hint="eastAsia" w:eastAsia="微软雅黑"/>
                <w:sz w:val="24"/>
                <w:lang w:val="en-US" w:eastAsia="zh-CN"/>
              </w:rPr>
              <w:t>overall</w:t>
            </w:r>
            <w:r>
              <w:rPr>
                <w:rFonts w:eastAsia="微软雅黑"/>
                <w:sz w:val="24"/>
              </w:rPr>
              <w:t xml:space="preserve"> survival rate</w:t>
            </w:r>
          </w:p>
          <w:p w14:paraId="206A4B0E">
            <w:pPr>
              <w:pStyle w:val="25"/>
              <w:numPr>
                <w:ilvl w:val="0"/>
                <w:numId w:val="4"/>
              </w:numPr>
              <w:adjustRightInd w:val="0"/>
              <w:snapToGrid w:val="0"/>
              <w:spacing w:line="360" w:lineRule="auto"/>
              <w:ind w:firstLineChars="0"/>
              <w:rPr>
                <w:rFonts w:eastAsia="微软雅黑"/>
                <w:sz w:val="24"/>
              </w:rPr>
            </w:pPr>
            <w:r>
              <w:rPr>
                <w:rFonts w:eastAsia="微软雅黑"/>
                <w:sz w:val="24"/>
              </w:rPr>
              <w:t>3-year recurrence pattern</w:t>
            </w:r>
          </w:p>
          <w:p w14:paraId="34BAA59B">
            <w:pPr>
              <w:pStyle w:val="25"/>
              <w:numPr>
                <w:ilvl w:val="0"/>
                <w:numId w:val="4"/>
              </w:numPr>
              <w:adjustRightInd w:val="0"/>
              <w:snapToGrid w:val="0"/>
              <w:spacing w:line="360" w:lineRule="auto"/>
              <w:ind w:firstLineChars="0"/>
              <w:rPr>
                <w:rFonts w:eastAsia="微软雅黑"/>
                <w:sz w:val="24"/>
              </w:rPr>
            </w:pPr>
            <w:r>
              <w:rPr>
                <w:rFonts w:hint="eastAsia" w:eastAsia="微软雅黑"/>
                <w:sz w:val="24"/>
                <w:lang w:val="en-US" w:eastAsia="zh-CN"/>
              </w:rPr>
              <w:t>5</w:t>
            </w:r>
            <w:r>
              <w:rPr>
                <w:rFonts w:eastAsia="微软雅黑"/>
                <w:sz w:val="24"/>
              </w:rPr>
              <w:t>-year disease-free survival rate</w:t>
            </w:r>
          </w:p>
          <w:p w14:paraId="0F3C54E1">
            <w:pPr>
              <w:pStyle w:val="25"/>
              <w:numPr>
                <w:ilvl w:val="0"/>
                <w:numId w:val="4"/>
              </w:numPr>
              <w:adjustRightInd w:val="0"/>
              <w:snapToGrid w:val="0"/>
              <w:spacing w:line="360" w:lineRule="auto"/>
              <w:ind w:firstLineChars="0"/>
              <w:rPr>
                <w:rFonts w:eastAsia="微软雅黑"/>
                <w:sz w:val="24"/>
              </w:rPr>
            </w:pPr>
            <w:r>
              <w:rPr>
                <w:rFonts w:hint="eastAsia" w:eastAsia="微软雅黑"/>
                <w:sz w:val="24"/>
                <w:lang w:val="en-US" w:eastAsia="zh-CN"/>
              </w:rPr>
              <w:t>5</w:t>
            </w:r>
            <w:r>
              <w:rPr>
                <w:rFonts w:eastAsia="微软雅黑"/>
                <w:sz w:val="24"/>
              </w:rPr>
              <w:t xml:space="preserve">-year </w:t>
            </w:r>
            <w:r>
              <w:rPr>
                <w:rFonts w:hint="eastAsia" w:eastAsia="微软雅黑"/>
                <w:sz w:val="24"/>
                <w:lang w:val="en-US" w:eastAsia="zh-CN"/>
              </w:rPr>
              <w:t>overall</w:t>
            </w:r>
            <w:r>
              <w:rPr>
                <w:rFonts w:eastAsia="微软雅黑"/>
                <w:sz w:val="24"/>
              </w:rPr>
              <w:t xml:space="preserve"> survival rate</w:t>
            </w:r>
          </w:p>
          <w:p w14:paraId="36881622">
            <w:pPr>
              <w:pStyle w:val="25"/>
              <w:numPr>
                <w:ilvl w:val="0"/>
                <w:numId w:val="4"/>
              </w:numPr>
              <w:adjustRightInd w:val="0"/>
              <w:snapToGrid w:val="0"/>
              <w:spacing w:line="360" w:lineRule="auto"/>
              <w:ind w:firstLineChars="0"/>
              <w:rPr>
                <w:rFonts w:eastAsia="微软雅黑"/>
                <w:sz w:val="24"/>
              </w:rPr>
            </w:pPr>
            <w:r>
              <w:rPr>
                <w:rFonts w:hint="eastAsia" w:eastAsia="微软雅黑"/>
                <w:sz w:val="24"/>
                <w:lang w:val="en-US" w:eastAsia="zh-CN"/>
              </w:rPr>
              <w:t>5</w:t>
            </w:r>
            <w:r>
              <w:rPr>
                <w:rFonts w:eastAsia="微软雅黑"/>
                <w:sz w:val="24"/>
              </w:rPr>
              <w:t>-year recurrence pattern</w:t>
            </w:r>
          </w:p>
          <w:p w14:paraId="3C7523C8">
            <w:pPr>
              <w:pStyle w:val="25"/>
              <w:numPr>
                <w:ilvl w:val="0"/>
                <w:numId w:val="4"/>
              </w:numPr>
              <w:adjustRightInd w:val="0"/>
              <w:snapToGrid w:val="0"/>
              <w:spacing w:line="360" w:lineRule="auto"/>
              <w:ind w:firstLineChars="0"/>
              <w:rPr>
                <w:rFonts w:eastAsia="微软雅黑"/>
                <w:sz w:val="24"/>
              </w:rPr>
            </w:pPr>
            <w:r>
              <w:rPr>
                <w:rFonts w:eastAsia="微软雅黑"/>
                <w:sz w:val="24"/>
              </w:rPr>
              <w:t>Postoperative recovery course</w:t>
            </w:r>
          </w:p>
          <w:p w14:paraId="33A5C61E">
            <w:pPr>
              <w:pStyle w:val="25"/>
              <w:numPr>
                <w:ilvl w:val="0"/>
                <w:numId w:val="4"/>
              </w:numPr>
              <w:adjustRightInd w:val="0"/>
              <w:snapToGrid w:val="0"/>
              <w:spacing w:line="360" w:lineRule="auto"/>
              <w:ind w:firstLineChars="0"/>
              <w:rPr>
                <w:rFonts w:eastAsia="微软雅黑"/>
                <w:sz w:val="24"/>
              </w:rPr>
            </w:pPr>
            <w:r>
              <w:rPr>
                <w:rFonts w:eastAsia="微软雅黑"/>
                <w:sz w:val="24"/>
              </w:rPr>
              <w:t>Operation time</w:t>
            </w:r>
          </w:p>
          <w:p w14:paraId="4FEAB0B4">
            <w:pPr>
              <w:pStyle w:val="25"/>
              <w:numPr>
                <w:ilvl w:val="0"/>
                <w:numId w:val="4"/>
              </w:numPr>
              <w:adjustRightInd w:val="0"/>
              <w:snapToGrid w:val="0"/>
              <w:spacing w:line="360" w:lineRule="auto"/>
              <w:ind w:firstLineChars="0"/>
              <w:rPr>
                <w:rFonts w:eastAsia="微软雅黑"/>
                <w:sz w:val="24"/>
              </w:rPr>
            </w:pPr>
            <w:r>
              <w:rPr>
                <w:rFonts w:eastAsia="微软雅黑"/>
                <w:sz w:val="24"/>
              </w:rPr>
              <w:t>The variation of weight</w:t>
            </w:r>
          </w:p>
          <w:p w14:paraId="5609F15F">
            <w:pPr>
              <w:pStyle w:val="25"/>
              <w:numPr>
                <w:ilvl w:val="0"/>
                <w:numId w:val="4"/>
              </w:numPr>
              <w:adjustRightInd w:val="0"/>
              <w:snapToGrid w:val="0"/>
              <w:spacing w:line="360" w:lineRule="auto"/>
              <w:ind w:firstLineChars="0"/>
              <w:rPr>
                <w:rFonts w:eastAsia="微软雅黑"/>
                <w:sz w:val="24"/>
              </w:rPr>
            </w:pPr>
            <w:r>
              <w:rPr>
                <w:rFonts w:eastAsia="微软雅黑"/>
                <w:sz w:val="24"/>
              </w:rPr>
              <w:t>Intraoperative blood loss</w:t>
            </w:r>
          </w:p>
          <w:p w14:paraId="499A7015">
            <w:pPr>
              <w:pStyle w:val="25"/>
              <w:numPr>
                <w:ilvl w:val="0"/>
                <w:numId w:val="4"/>
              </w:numPr>
              <w:adjustRightInd w:val="0"/>
              <w:snapToGrid w:val="0"/>
              <w:spacing w:line="360" w:lineRule="auto"/>
              <w:ind w:firstLineChars="0"/>
              <w:rPr>
                <w:rFonts w:eastAsia="微软雅黑"/>
                <w:sz w:val="24"/>
              </w:rPr>
            </w:pPr>
            <w:r>
              <w:rPr>
                <w:rFonts w:eastAsia="微软雅黑"/>
                <w:sz w:val="24"/>
              </w:rPr>
              <w:t>Conversive rate</w:t>
            </w:r>
          </w:p>
          <w:p w14:paraId="0C70C1E0">
            <w:pPr>
              <w:pStyle w:val="25"/>
              <w:numPr>
                <w:ilvl w:val="0"/>
                <w:numId w:val="4"/>
              </w:numPr>
              <w:adjustRightInd w:val="0"/>
              <w:snapToGrid w:val="0"/>
              <w:spacing w:line="360" w:lineRule="auto"/>
              <w:ind w:firstLineChars="0"/>
              <w:rPr>
                <w:rFonts w:eastAsia="微软雅黑"/>
                <w:sz w:val="24"/>
              </w:rPr>
            </w:pPr>
            <w:r>
              <w:rPr>
                <w:rFonts w:eastAsia="微软雅黑"/>
                <w:sz w:val="24"/>
              </w:rPr>
              <w:t>Intraoperative morbidity rates</w:t>
            </w:r>
          </w:p>
          <w:p w14:paraId="5ED705EC">
            <w:pPr>
              <w:pStyle w:val="25"/>
              <w:numPr>
                <w:ilvl w:val="0"/>
                <w:numId w:val="4"/>
              </w:numPr>
              <w:adjustRightInd w:val="0"/>
              <w:snapToGrid w:val="0"/>
              <w:spacing w:line="360" w:lineRule="auto"/>
              <w:ind w:firstLineChars="0"/>
              <w:rPr>
                <w:rFonts w:eastAsia="微软雅黑"/>
                <w:sz w:val="24"/>
              </w:rPr>
            </w:pPr>
            <w:r>
              <w:rPr>
                <w:rFonts w:eastAsia="微软雅黑"/>
                <w:sz w:val="24"/>
              </w:rPr>
              <w:t>Incision length</w:t>
            </w:r>
          </w:p>
          <w:p w14:paraId="56BC8969">
            <w:pPr>
              <w:pStyle w:val="25"/>
              <w:numPr>
                <w:ilvl w:val="0"/>
                <w:numId w:val="4"/>
              </w:numPr>
              <w:adjustRightInd w:val="0"/>
              <w:snapToGrid w:val="0"/>
              <w:spacing w:line="360" w:lineRule="auto"/>
              <w:ind w:firstLineChars="0"/>
              <w:rPr>
                <w:rFonts w:eastAsia="微软雅黑"/>
                <w:sz w:val="24"/>
              </w:rPr>
            </w:pPr>
            <w:r>
              <w:rPr>
                <w:rFonts w:eastAsia="微软雅黑"/>
                <w:sz w:val="24"/>
              </w:rPr>
              <w:t>The variation of cholesterol</w:t>
            </w:r>
          </w:p>
          <w:p w14:paraId="04A42079">
            <w:pPr>
              <w:pStyle w:val="25"/>
              <w:numPr>
                <w:ilvl w:val="0"/>
                <w:numId w:val="4"/>
              </w:numPr>
              <w:adjustRightInd w:val="0"/>
              <w:snapToGrid w:val="0"/>
              <w:spacing w:line="360" w:lineRule="auto"/>
              <w:ind w:firstLineChars="0"/>
              <w:rPr>
                <w:rFonts w:eastAsia="微软雅黑"/>
                <w:sz w:val="24"/>
              </w:rPr>
            </w:pPr>
            <w:r>
              <w:rPr>
                <w:rFonts w:eastAsia="微软雅黑"/>
                <w:sz w:val="24"/>
              </w:rPr>
              <w:t>The variation of album</w:t>
            </w:r>
          </w:p>
          <w:p w14:paraId="15CCDED5">
            <w:pPr>
              <w:pStyle w:val="25"/>
              <w:numPr>
                <w:ilvl w:val="0"/>
                <w:numId w:val="4"/>
              </w:numPr>
              <w:adjustRightInd w:val="0"/>
              <w:snapToGrid w:val="0"/>
              <w:spacing w:line="360" w:lineRule="auto"/>
              <w:ind w:firstLineChars="0"/>
              <w:rPr>
                <w:rFonts w:eastAsia="微软雅黑"/>
                <w:sz w:val="24"/>
              </w:rPr>
            </w:pPr>
            <w:r>
              <w:rPr>
                <w:rFonts w:eastAsia="微软雅黑"/>
                <w:sz w:val="24"/>
              </w:rPr>
              <w:t>The results of endoscopy</w:t>
            </w:r>
          </w:p>
          <w:p w14:paraId="4DB8DE00">
            <w:pPr>
              <w:pStyle w:val="25"/>
              <w:numPr>
                <w:ilvl w:val="0"/>
                <w:numId w:val="4"/>
              </w:numPr>
              <w:adjustRightInd w:val="0"/>
              <w:snapToGrid w:val="0"/>
              <w:spacing w:line="360" w:lineRule="auto"/>
              <w:ind w:firstLineChars="0"/>
              <w:rPr>
                <w:rFonts w:eastAsia="微软雅黑"/>
                <w:sz w:val="24"/>
              </w:rPr>
            </w:pPr>
            <w:r>
              <w:rPr>
                <w:rFonts w:eastAsia="微软雅黑"/>
                <w:sz w:val="24"/>
              </w:rPr>
              <w:t>The variation of body temperature</w:t>
            </w:r>
          </w:p>
          <w:p w14:paraId="6507F9DE">
            <w:pPr>
              <w:pStyle w:val="25"/>
              <w:numPr>
                <w:ilvl w:val="0"/>
                <w:numId w:val="4"/>
              </w:numPr>
              <w:adjustRightInd w:val="0"/>
              <w:snapToGrid w:val="0"/>
              <w:spacing w:line="360" w:lineRule="auto"/>
              <w:ind w:firstLineChars="0"/>
              <w:rPr>
                <w:rFonts w:eastAsia="微软雅黑"/>
                <w:sz w:val="24"/>
              </w:rPr>
            </w:pPr>
            <w:r>
              <w:rPr>
                <w:rFonts w:eastAsia="微软雅黑"/>
                <w:sz w:val="24"/>
              </w:rPr>
              <w:t>The variation of white blood cell count</w:t>
            </w:r>
          </w:p>
          <w:p w14:paraId="1724964B">
            <w:pPr>
              <w:pStyle w:val="25"/>
              <w:numPr>
                <w:ilvl w:val="0"/>
                <w:numId w:val="4"/>
              </w:numPr>
              <w:adjustRightInd w:val="0"/>
              <w:snapToGrid w:val="0"/>
              <w:spacing w:line="360" w:lineRule="auto"/>
              <w:ind w:firstLineChars="0"/>
              <w:rPr>
                <w:rFonts w:eastAsia="微软雅黑"/>
                <w:sz w:val="24"/>
              </w:rPr>
            </w:pPr>
            <w:r>
              <w:rPr>
                <w:rFonts w:eastAsia="微软雅黑"/>
                <w:sz w:val="24"/>
              </w:rPr>
              <w:t>The variation of hemoglobin</w:t>
            </w:r>
          </w:p>
          <w:p w14:paraId="67515C8E">
            <w:pPr>
              <w:pStyle w:val="25"/>
              <w:numPr>
                <w:ilvl w:val="0"/>
                <w:numId w:val="4"/>
              </w:numPr>
              <w:adjustRightInd w:val="0"/>
              <w:snapToGrid w:val="0"/>
              <w:spacing w:line="360" w:lineRule="auto"/>
              <w:ind w:firstLineChars="0"/>
              <w:rPr>
                <w:rFonts w:eastAsia="微软雅黑"/>
                <w:sz w:val="24"/>
              </w:rPr>
            </w:pPr>
            <w:r>
              <w:rPr>
                <w:rFonts w:eastAsia="微软雅黑"/>
                <w:sz w:val="24"/>
              </w:rPr>
              <w:t>The variation of C-reactive protein</w:t>
            </w:r>
          </w:p>
          <w:p w14:paraId="04708BB5">
            <w:pPr>
              <w:pStyle w:val="25"/>
              <w:numPr>
                <w:ilvl w:val="0"/>
                <w:numId w:val="4"/>
              </w:numPr>
              <w:adjustRightInd w:val="0"/>
              <w:snapToGrid w:val="0"/>
              <w:spacing w:line="360" w:lineRule="auto"/>
              <w:ind w:firstLineChars="0"/>
              <w:rPr>
                <w:rFonts w:eastAsia="微软雅黑"/>
                <w:sz w:val="24"/>
              </w:rPr>
            </w:pPr>
            <w:r>
              <w:rPr>
                <w:rFonts w:eastAsia="微软雅黑"/>
                <w:sz w:val="24"/>
              </w:rPr>
              <w:t>The variation of prealbumin</w:t>
            </w:r>
          </w:p>
        </w:tc>
      </w:tr>
      <w:bookmarkEnd w:id="10"/>
      <w:tr w14:paraId="3B399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2C385829">
            <w:pPr>
              <w:pStyle w:val="33"/>
              <w:snapToGrid w:val="0"/>
              <w:spacing w:line="360" w:lineRule="auto"/>
              <w:jc w:val="center"/>
              <w:rPr>
                <w:rFonts w:ascii="Times New Roman" w:hAnsi="Times New Roman" w:eastAsia="微软雅黑" w:cs="Times New Roman"/>
                <w:color w:val="auto"/>
              </w:rPr>
            </w:pPr>
            <w:r>
              <w:rPr>
                <w:rFonts w:ascii="Times New Roman" w:hAnsi="Times New Roman" w:eastAsia="微软雅黑" w:cs="Times New Roman"/>
                <w:color w:val="auto"/>
              </w:rPr>
              <w:t xml:space="preserve">Statistical considerations </w:t>
            </w:r>
          </w:p>
        </w:tc>
        <w:tc>
          <w:tcPr>
            <w:tcW w:w="7371" w:type="dxa"/>
          </w:tcPr>
          <w:p w14:paraId="117DBD76">
            <w:pPr>
              <w:pStyle w:val="33"/>
              <w:snapToGrid w:val="0"/>
              <w:spacing w:line="360" w:lineRule="auto"/>
              <w:jc w:val="both"/>
              <w:rPr>
                <w:rFonts w:ascii="Times New Roman" w:hAnsi="Times New Roman" w:eastAsia="微软雅黑" w:cs="Times New Roman"/>
                <w:color w:val="auto"/>
                <w:kern w:val="2"/>
              </w:rPr>
            </w:pPr>
            <w:bookmarkStart w:id="11" w:name="OLE_LINK67"/>
            <w:r>
              <w:rPr>
                <w:rFonts w:ascii="Times New Roman" w:hAnsi="Times New Roman" w:eastAsia="微软雅黑" w:cs="Times New Roman"/>
                <w:color w:val="auto"/>
                <w:kern w:val="2"/>
              </w:rPr>
              <w:t xml:space="preserve">All data analyses will be performed using the SAS statistical package (Version 9.2, SAS Institute, Cary, North Carolina, USA). </w:t>
            </w:r>
          </w:p>
          <w:p w14:paraId="0465ED1F">
            <w:pPr>
              <w:pStyle w:val="33"/>
              <w:snapToGrid w:val="0"/>
              <w:spacing w:line="360" w:lineRule="auto"/>
              <w:jc w:val="both"/>
              <w:rPr>
                <w:rFonts w:ascii="Times New Roman" w:hAnsi="Times New Roman" w:eastAsia="微软雅黑" w:cs="Times New Roman"/>
                <w:color w:val="auto"/>
                <w:kern w:val="2"/>
              </w:rPr>
            </w:pPr>
            <w:r>
              <w:rPr>
                <w:rFonts w:ascii="Times New Roman" w:hAnsi="Times New Roman" w:eastAsia="微软雅黑" w:cs="Times New Roman"/>
                <w:color w:val="auto"/>
                <w:kern w:val="2"/>
              </w:rPr>
              <w:t>The analysis for the primary endpoint of total number of retrieved LNs will be conducted, while the test method of difference for secondary endpoints. All the statistical tests were tested by two sides. A p-value &lt;0.05 is considered statistically significant. The confidence interval of the parameters is estimated with a 95% confidence interval. Baseline data and validity analyses will be conducted on a modified intent-to-treat (MITT) basis, and the primary endpoint will also be analyzed on a per-protocol (PP) basis, with the MITT analysis results prevailing. SAP analysis is used for safety assessment, and this study does not fill in missing values. Normally distributed continuous variables will be presented as mean and standard deviation and compared using the t-test if normally distributed, or as median and interquartile range and compared using the Wilcoxon rank-sum test if non-normally distributed; while categorical data will be presented as number and percentages and compared using the χ2 test or the Fisher exact test, as appropriate. Survival data will be analyzed using the Kaplan-Meier method and Cox's proportional hazards model. Sensitivity analysis is used for extreme outlier data. The central effect analysis and subgroup analysis are conducted according to the specific situation. Interim analysis will not be conducted in this study.</w:t>
            </w:r>
            <w:bookmarkEnd w:id="11"/>
          </w:p>
        </w:tc>
      </w:tr>
    </w:tbl>
    <w:p w14:paraId="4CDA1A03">
      <w:pPr>
        <w:tabs>
          <w:tab w:val="center" w:pos="4232"/>
        </w:tabs>
        <w:spacing w:line="360" w:lineRule="auto"/>
        <w:rPr>
          <w:rFonts w:eastAsia="微软雅黑"/>
          <w:szCs w:val="21"/>
        </w:rPr>
      </w:pPr>
    </w:p>
    <w:p w14:paraId="4C0FD5EE">
      <w:pPr>
        <w:pStyle w:val="2"/>
        <w:numPr>
          <w:ilvl w:val="0"/>
          <w:numId w:val="5"/>
        </w:numPr>
        <w:adjustRightInd w:val="0"/>
        <w:snapToGrid w:val="0"/>
        <w:spacing w:before="0" w:after="0" w:line="360" w:lineRule="auto"/>
        <w:rPr>
          <w:rFonts w:eastAsia="微软雅黑"/>
          <w:bCs w:val="0"/>
          <w:kern w:val="2"/>
          <w:sz w:val="24"/>
          <w:szCs w:val="24"/>
        </w:rPr>
      </w:pPr>
      <w:bookmarkStart w:id="12" w:name="_Toc2493"/>
      <w:bookmarkStart w:id="13" w:name="_Hlk20426988"/>
      <w:r>
        <w:rPr>
          <w:rFonts w:eastAsia="微软雅黑"/>
          <w:sz w:val="24"/>
          <w:szCs w:val="24"/>
        </w:rPr>
        <w:t>Research background</w:t>
      </w:r>
      <w:bookmarkEnd w:id="12"/>
    </w:p>
    <w:p w14:paraId="7E8EC08C">
      <w:pPr>
        <w:spacing w:line="360" w:lineRule="auto"/>
        <w:ind w:firstLine="480" w:firstLineChars="200"/>
        <w:rPr>
          <w:bCs/>
          <w:sz w:val="24"/>
        </w:rPr>
      </w:pPr>
      <w:bookmarkStart w:id="14" w:name="_Hlk20426352"/>
      <w:bookmarkStart w:id="15" w:name="OLE_LINK14"/>
      <w:r>
        <w:rPr>
          <w:bCs/>
          <w:sz w:val="24"/>
        </w:rPr>
        <w:t xml:space="preserve">The </w:t>
      </w:r>
      <w:r>
        <w:rPr>
          <w:bCs/>
          <w:sz w:val="24"/>
          <w:u w:color="19A0DC"/>
        </w:rPr>
        <w:t>effective</w:t>
      </w:r>
      <w:r>
        <w:rPr>
          <w:bCs/>
          <w:sz w:val="24"/>
        </w:rPr>
        <w:t xml:space="preserve"> treatment of gastric cancer (GC) relies on surgery-centre comprehensive treatment, and complete resection of the tumor and radical lymph node (LN) dissection are the focus of surgery. Radical LN dissection can significantly improve the long-term survival and the accuracy of tumor staging of GC patients.</w:t>
      </w:r>
      <w:r>
        <w:rPr>
          <w:bCs/>
          <w:sz w:val="24"/>
        </w:rPr>
        <w:fldChar w:fldCharType="begin">
          <w:fldData xml:space="preserve">PEVuZE5vdGU+PENpdGU+PEF1dGhvcj5TbWl0aDwvQXV0aG9yPjxZZWFyPjIwMDU8L1llYXI+PFJl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</w:fldData>
        </w:fldChar>
      </w:r>
      <w:r>
        <w:rPr>
          <w:bCs/>
          <w:sz w:val="24"/>
        </w:rPr>
        <w:instrText xml:space="preserve"> ADDIN EN.CITE </w:instrText>
      </w:r>
      <w:r>
        <w:rPr>
          <w:bCs/>
          <w:sz w:val="24"/>
        </w:rPr>
        <w:fldChar w:fldCharType="begin">
          <w:fldData xml:space="preserve">PEVuZE5vdGU+PENpdGU+PEF1dGhvcj5TbWl0aDwvQXV0aG9yPjxZZWFyPjIwMDU8L1llYXI+PFJl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</w:fldData>
        </w:fldChar>
      </w:r>
      <w:r>
        <w:rPr>
          <w:bCs/>
          <w:sz w:val="24"/>
        </w:rPr>
        <w:instrText xml:space="preserve"> ADDIN EN.CITE.DATA </w:instrText>
      </w:r>
      <w:r>
        <w:rPr>
          <w:bCs/>
          <w:sz w:val="24"/>
        </w:rPr>
        <w:fldChar w:fldCharType="end"/>
      </w:r>
      <w:r>
        <w:rPr>
          <w:bCs/>
          <w:sz w:val="24"/>
        </w:rPr>
        <w:fldChar w:fldCharType="separate"/>
      </w:r>
      <w:r>
        <w:rPr>
          <w:bCs/>
          <w:sz w:val="24"/>
          <w:vertAlign w:val="superscript"/>
        </w:rPr>
        <w:t>1-4</w:t>
      </w:r>
      <w:r>
        <w:rPr>
          <w:bCs/>
          <w:sz w:val="24"/>
        </w:rPr>
        <w:fldChar w:fldCharType="end"/>
      </w:r>
      <w:r>
        <w:rPr>
          <w:bCs/>
          <w:sz w:val="24"/>
        </w:rPr>
        <w:t xml:space="preserve"> Therefore, D2 LN dissection has become the standard for radical surgery of GC.</w:t>
      </w:r>
      <w:r>
        <w:rPr>
          <w:bCs/>
          <w:sz w:val="24"/>
        </w:rPr>
        <w:fldChar w:fldCharType="begin">
          <w:fldData xml:space="preserve">PEVuZE5vdGU+PENpdGU+PEF1dGhvcj5Bc3NvY2lhdGlvbjwvQXV0aG9yPjxZZWFyPjIwMTc8L1ll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</w:fldData>
        </w:fldChar>
      </w:r>
      <w:r>
        <w:rPr>
          <w:bCs/>
          <w:sz w:val="24"/>
        </w:rPr>
        <w:instrText xml:space="preserve"> ADDIN EN.CITE </w:instrText>
      </w:r>
      <w:r>
        <w:rPr>
          <w:bCs/>
          <w:sz w:val="24"/>
        </w:rPr>
        <w:fldChar w:fldCharType="begin">
          <w:fldData xml:space="preserve">PEVuZE5vdGU+PENpdGU+PEF1dGhvcj5Bc3NvY2lhdGlvbjwvQXV0aG9yPjxZZWFyPjIwMTc8L1ll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</w:fldData>
        </w:fldChar>
      </w:r>
      <w:r>
        <w:rPr>
          <w:bCs/>
          <w:sz w:val="24"/>
        </w:rPr>
        <w:instrText xml:space="preserve"> ADDIN EN.CITE.DATA </w:instrText>
      </w:r>
      <w:r>
        <w:rPr>
          <w:bCs/>
          <w:sz w:val="24"/>
        </w:rPr>
        <w:fldChar w:fldCharType="end"/>
      </w:r>
      <w:r>
        <w:rPr>
          <w:bCs/>
          <w:sz w:val="24"/>
        </w:rPr>
        <w:fldChar w:fldCharType="separate"/>
      </w:r>
      <w:r>
        <w:rPr>
          <w:bCs/>
          <w:sz w:val="24"/>
          <w:vertAlign w:val="superscript"/>
        </w:rPr>
        <w:t>5,6</w:t>
      </w:r>
      <w:r>
        <w:rPr>
          <w:bCs/>
          <w:sz w:val="24"/>
        </w:rPr>
        <w:fldChar w:fldCharType="end"/>
      </w:r>
      <w:r>
        <w:rPr>
          <w:bCs/>
          <w:sz w:val="24"/>
        </w:rPr>
        <w:t xml:space="preserve"> And retrieving as many LN as possible has gradually become the current surgeon requirements.</w:t>
      </w:r>
      <w:r>
        <w:rPr>
          <w:bCs/>
          <w:sz w:val="24"/>
        </w:rPr>
        <w:fldChar w:fldCharType="begin">
          <w:fldData xml:space="preserve">PEVuZE5vdGU+PENpdGU+PEF1dGhvcj5Bc3NvY2lhdGlvbjwvQXV0aG9yPjxZZWFyPjIwMTc8L1ll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</w:fldData>
        </w:fldChar>
      </w:r>
      <w:r>
        <w:rPr>
          <w:bCs/>
          <w:sz w:val="24"/>
        </w:rPr>
        <w:instrText xml:space="preserve"> ADDIN EN.CITE </w:instrText>
      </w:r>
      <w:r>
        <w:rPr>
          <w:bCs/>
          <w:sz w:val="24"/>
        </w:rPr>
        <w:fldChar w:fldCharType="begin">
          <w:fldData xml:space="preserve">PEVuZE5vdGU+PENpdGU+PEF1dGhvcj5Bc3NvY2lhdGlvbjwvQXV0aG9yPjxZZWFyPjIwMTc8L1ll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</w:fldData>
        </w:fldChar>
      </w:r>
      <w:r>
        <w:rPr>
          <w:bCs/>
          <w:sz w:val="24"/>
        </w:rPr>
        <w:instrText xml:space="preserve"> ADDIN EN.CITE.DATA </w:instrText>
      </w:r>
      <w:r>
        <w:rPr>
          <w:bCs/>
          <w:sz w:val="24"/>
        </w:rPr>
        <w:fldChar w:fldCharType="end"/>
      </w:r>
      <w:r>
        <w:rPr>
          <w:bCs/>
          <w:sz w:val="24"/>
        </w:rPr>
        <w:fldChar w:fldCharType="separate"/>
      </w:r>
      <w:r>
        <w:rPr>
          <w:bCs/>
          <w:sz w:val="24"/>
          <w:vertAlign w:val="superscript"/>
        </w:rPr>
        <w:t>5,7,8</w:t>
      </w:r>
      <w:r>
        <w:rPr>
          <w:bCs/>
          <w:sz w:val="24"/>
        </w:rPr>
        <w:fldChar w:fldCharType="end"/>
      </w:r>
    </w:p>
    <w:p w14:paraId="5E92A85D">
      <w:pPr>
        <w:spacing w:line="360" w:lineRule="auto"/>
        <w:ind w:firstLine="480" w:firstLineChars="200"/>
        <w:rPr>
          <w:kern w:val="0"/>
          <w:sz w:val="24"/>
        </w:rPr>
      </w:pPr>
      <w:r>
        <w:rPr>
          <w:bCs/>
          <w:sz w:val="24"/>
        </w:rPr>
        <w:t xml:space="preserve">Since Kitano </w:t>
      </w:r>
      <w:r>
        <w:rPr>
          <w:bCs/>
          <w:sz w:val="24"/>
        </w:rPr>
        <w:fldChar w:fldCharType="begin"/>
      </w:r>
      <w:r>
        <w:rPr>
          <w:bCs/>
          <w:sz w:val="24"/>
        </w:rPr>
        <w:instrText xml:space="preserve"> ADDIN EN.CITE &lt;EndNote&gt;&lt;</w:instrText>
      </w:r>
      <w:r>
        <w:rPr>
          <w:bCs/>
          <w:sz w:val="24"/>
          <w:u w:color="FA5050"/>
        </w:rPr>
        <w:instrText xml:space="preserve">Cite&gt;&lt;Author</w:instrText>
      </w:r>
      <w:r>
        <w:rPr>
          <w:bCs/>
          <w:sz w:val="24"/>
        </w:rPr>
        <w:instrText xml:space="preserve">&gt;Kitano&lt;/Author&gt;&lt;Year&gt;1994&lt;/Year&gt;&lt;RecNum&gt;499&lt;/RecNum&gt;&lt;DisplayText&gt;&lt;style face</w:instrText>
      </w:r>
      <w:r>
        <w:rPr>
          <w:bCs/>
          <w:sz w:val="24"/>
          <w:u w:color="FA5050"/>
        </w:rPr>
        <w:instrText xml:space="preserve">="superscrip</w:instrText>
      </w:r>
      <w:r>
        <w:rPr>
          <w:bCs/>
          <w:sz w:val="24"/>
        </w:rPr>
        <w:instrText xml:space="preserve">t"&gt;9&lt;/style&gt;&lt;/DisplayText&gt;&lt;record&gt;&lt;rec-number&gt;499&lt;/rec-number&gt;&lt;foreign-keys&gt;&lt;key app="EN" db-id="xpzr0erzmxsa9se0rf4p20fqfa5wtvd0fxfr" timestamp="1541067470"&gt;499&lt;/key&gt;&lt;/foreign-keys&gt;&lt;ref-type name="Journal Article"&gt;17&lt;/ref-type&gt;&lt;contributors&gt;&lt;authors&gt;&lt;author&gt;Kitano, S.&lt;/author&gt;&lt;author&gt;Iso, Y.&lt;/author&gt;&lt;author&gt;Moriyama, M.&lt;/author&gt;&lt;author&gt;Sugimachi, K.&lt;/author&gt;&lt;/authors&gt;&lt;/contributors&gt;&lt;auth-address&gt;Department of Surgery II, Kyushu University, FUkuoka, Japan.&lt;/auth-address&gt;&lt;titles&gt;&lt;title&gt;Laparoscopy-assisted Billroth I gastrectomy&lt;/title&gt;&lt;secondary-title&gt;Surg Laparosc Endosc&lt;/secondary-title&gt;&lt;alt-title&gt;Surgical laparoscopy &amp;amp; endoscopy&lt;/alt-title&gt;&lt;/titles&gt;&lt;periodical&gt;&lt;full-title&gt;Surg Laparosc Endosc&lt;/full-title&gt;&lt;abbr-1&gt;Surgical laparoscopy &amp;amp; endoscopy&lt;/abbr-1&gt;&lt;/periodical&gt;&lt;alt-periodical&gt;&lt;full-title&gt;Surg Laparosc Endosc&lt;/full-title&gt;&lt;abbr-1&gt;Surgical laparoscopy &amp;amp; endoscopy&lt;/abbr-1&gt;&lt;/alt-periodical&gt;&lt;pages&gt;146-8&lt;/pages&gt;&lt;volume&gt;4&lt;/volume&gt;&lt;number&gt;2&lt;/number&gt;&lt;edition&gt;1994/04/01&lt;/edition&gt;&lt;keywords&gt;&lt;keyword&gt;Aged&lt;/keyword&gt;&lt;keyword&gt;Gastrectomy/*methods&lt;/keyword&gt;&lt;keyword&gt;Humans&lt;/keyword&gt;&lt;keyword&gt;Laparoscopy/*methods&lt;/keyword&gt;&lt;keyword&gt;Male&lt;/keyword&gt;&lt;keyword&gt;Stomach Neoplasms/surgery&lt;/keyword&gt;&lt;/keywords&gt;&lt;dates&gt;&lt;year&gt;1994&lt;/year&gt;&lt;pub-dates&gt;&lt;date&gt;Apr&lt;/date&gt;&lt;/pub-dates&gt;&lt;/dates&gt;&lt;isbn&gt;1051-7200 (Print)&amp;#xD;1051-7200&lt;/isbn&gt;&lt;accession-num&gt;8180768&lt;/accession-num&gt;&lt;urls&gt;&lt;/urls&gt;&lt;remote-database-provider&gt;Nlm&lt;/remote-database-provider&gt;&lt;language&gt;eng&lt;/language&gt;&lt;/record&gt;&lt;/Cite&gt;&lt;/EndNote&gt;</w:instrText>
      </w:r>
      <w:r>
        <w:rPr>
          <w:bCs/>
          <w:sz w:val="24"/>
        </w:rPr>
        <w:fldChar w:fldCharType="separate"/>
      </w:r>
      <w:r>
        <w:rPr>
          <w:bCs/>
          <w:sz w:val="24"/>
          <w:vertAlign w:val="superscript"/>
        </w:rPr>
        <w:t>9</w:t>
      </w:r>
      <w:r>
        <w:rPr>
          <w:bCs/>
          <w:sz w:val="24"/>
        </w:rPr>
        <w:fldChar w:fldCharType="end"/>
      </w:r>
      <w:r>
        <w:rPr>
          <w:sz w:val="24"/>
        </w:rPr>
        <w:t xml:space="preserve"> </w:t>
      </w:r>
      <w:r>
        <w:rPr>
          <w:bCs/>
          <w:sz w:val="24"/>
        </w:rPr>
        <w:t>in Japan first reported laparoscopic distal gastrectomy for GC in 1994, after more than 20 years of development, laparoscopic radical gastrectomy has been widely used in clinical practice.</w:t>
      </w:r>
      <w:r>
        <w:rPr>
          <w:bCs/>
          <w:sz w:val="24"/>
        </w:rPr>
        <w:fldChar w:fldCharType="begin">
          <w:fldData xml:space="preserve">PEVuZE5vdGU+PENpdGU+PEF1dGhvcj5ZdTwvQXV0aG9yPjxZZWFyPjIwMTk8L1llYXI+PFJlY051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</w:fldData>
        </w:fldChar>
      </w:r>
      <w:r>
        <w:rPr>
          <w:bCs/>
          <w:sz w:val="24"/>
        </w:rPr>
        <w:instrText xml:space="preserve"> ADDIN EN.CITE </w:instrText>
      </w:r>
      <w:r>
        <w:rPr>
          <w:bCs/>
          <w:sz w:val="24"/>
        </w:rPr>
        <w:fldChar w:fldCharType="begin">
          <w:fldData xml:space="preserve">PEVuZE5vdGU+PENpdGU+PEF1dGhvcj5ZdTwvQXV0aG9yPjxZZWFyPjIwMTk8L1llYXI+PFJlY051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</w:fldData>
        </w:fldChar>
      </w:r>
      <w:r>
        <w:rPr>
          <w:bCs/>
          <w:sz w:val="24"/>
        </w:rPr>
        <w:instrText xml:space="preserve"> ADDIN EN.CITE.DATA </w:instrText>
      </w:r>
      <w:r>
        <w:rPr>
          <w:bCs/>
          <w:sz w:val="24"/>
        </w:rPr>
        <w:fldChar w:fldCharType="end"/>
      </w:r>
      <w:r>
        <w:rPr>
          <w:bCs/>
          <w:sz w:val="24"/>
        </w:rPr>
        <w:fldChar w:fldCharType="separate"/>
      </w:r>
      <w:r>
        <w:rPr>
          <w:bCs/>
          <w:sz w:val="24"/>
          <w:vertAlign w:val="superscript"/>
        </w:rPr>
        <w:t>10-12</w:t>
      </w:r>
      <w:r>
        <w:rPr>
          <w:bCs/>
          <w:sz w:val="24"/>
        </w:rPr>
        <w:fldChar w:fldCharType="end"/>
      </w:r>
      <w:r>
        <w:rPr>
          <w:sz w:val="24"/>
        </w:rPr>
        <w:t xml:space="preserve"> </w:t>
      </w:r>
      <w:r>
        <w:rPr>
          <w:bCs/>
          <w:sz w:val="24"/>
        </w:rPr>
        <w:t xml:space="preserve">Nowadays, the </w:t>
      </w:r>
      <w:bookmarkStart w:id="16" w:name="_Hlk20344073"/>
      <w:r>
        <w:rPr>
          <w:bCs/>
          <w:sz w:val="24"/>
        </w:rPr>
        <w:t>lymphadenectomy</w:t>
      </w:r>
      <w:bookmarkEnd w:id="16"/>
      <w:r>
        <w:rPr>
          <w:bCs/>
          <w:sz w:val="24"/>
        </w:rPr>
        <w:t xml:space="preserve"> is often performed under the naked eye according to the surgeon's experience. However, due to the complex vascular anatomy and lymphatic drainage around the stomach, it </w:t>
      </w:r>
      <w:r>
        <w:rPr>
          <w:bCs/>
          <w:sz w:val="24"/>
          <w:u w:color="19A0DC"/>
        </w:rPr>
        <w:t>remains</w:t>
      </w:r>
      <w:r>
        <w:rPr>
          <w:bCs/>
          <w:sz w:val="24"/>
        </w:rPr>
        <w:t xml:space="preserve"> a </w:t>
      </w:r>
      <w:r>
        <w:rPr>
          <w:bCs/>
          <w:sz w:val="24"/>
          <w:u w:color="19A0DC"/>
        </w:rPr>
        <w:t>huge</w:t>
      </w:r>
      <w:r>
        <w:rPr>
          <w:bCs/>
          <w:sz w:val="24"/>
        </w:rPr>
        <w:t xml:space="preserve"> challenge for surgeons, especially young surgeons, to dissect enough LNs efficiently and accurately without increasing operate-related complications. Therefore, with the advent of the era of precision minimally invasive surgery, </w:t>
      </w:r>
      <w:r>
        <w:rPr>
          <w:bCs/>
          <w:sz w:val="24"/>
          <w:u w:color="FA5050"/>
        </w:rPr>
        <w:t>laparoscopic</w:t>
      </w:r>
      <w:r>
        <w:rPr>
          <w:bCs/>
          <w:sz w:val="24"/>
        </w:rPr>
        <w:t xml:space="preserve"> surgeons are still exploring how </w:t>
      </w:r>
      <w:r>
        <w:rPr>
          <w:bCs/>
          <w:sz w:val="24"/>
          <w:u w:color="19A0DC"/>
        </w:rPr>
        <w:t>to perform</w:t>
      </w:r>
      <w:r>
        <w:rPr>
          <w:bCs/>
          <w:sz w:val="24"/>
        </w:rPr>
        <w:t xml:space="preserve"> convenient and accurate real-time LN navigation under laparoscope, so as </w:t>
      </w:r>
      <w:r>
        <w:rPr>
          <w:bCs/>
          <w:sz w:val="24"/>
          <w:u w:color="19A0DC"/>
        </w:rPr>
        <w:t>to perform</w:t>
      </w:r>
      <w:r>
        <w:rPr>
          <w:bCs/>
          <w:sz w:val="24"/>
        </w:rPr>
        <w:t xml:space="preserve"> systematic, accurate and sufficient LN dissection. As a new surgical navigation technique, </w:t>
      </w:r>
      <w:r>
        <w:rPr>
          <w:bCs/>
          <w:sz w:val="24"/>
          <w:u w:color="FA5050"/>
        </w:rPr>
        <w:t>indocyanine</w:t>
      </w:r>
      <w:r>
        <w:rPr>
          <w:bCs/>
          <w:sz w:val="24"/>
        </w:rPr>
        <w:t xml:space="preserve"> green (ICG) </w:t>
      </w:r>
      <w:r>
        <w:rPr>
          <w:bCs/>
          <w:sz w:val="24"/>
          <w:u w:color="FA5050"/>
        </w:rPr>
        <w:t>near-infrared</w:t>
      </w:r>
      <w:r>
        <w:rPr>
          <w:bCs/>
          <w:sz w:val="24"/>
        </w:rPr>
        <w:t xml:space="preserve"> (NIR) fluorescent imaging has achieved relatively positive results in the localization of sentinel LN in breast cancer, </w:t>
      </w:r>
      <w:r>
        <w:rPr>
          <w:bCs/>
          <w:sz w:val="24"/>
          <w:u w:color="FA5050"/>
        </w:rPr>
        <w:t>non-small-cell</w:t>
      </w:r>
      <w:r>
        <w:rPr>
          <w:bCs/>
          <w:sz w:val="24"/>
        </w:rPr>
        <w:t xml:space="preserve"> lung cancer and other cancers.</w:t>
      </w:r>
      <w:r>
        <w:rPr>
          <w:kern w:val="0"/>
          <w:sz w:val="24"/>
        </w:rPr>
        <w:fldChar w:fldCharType="begin">
          <w:fldData xml:space="preserve">PEVuZE5vdGU+PENpdGU+PEF1dGhvcj5WYWhybWVpamVyPC9BdXRob3I+PFllYXI+MjAxMzwvWWVh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</w:fldData>
        </w:fldChar>
      </w:r>
      <w:r>
        <w:rPr>
          <w:kern w:val="0"/>
          <w:sz w:val="24"/>
        </w:rPr>
        <w:instrText xml:space="preserve"> ADDIN EN.CITE </w:instrText>
      </w:r>
      <w:r>
        <w:rPr>
          <w:kern w:val="0"/>
          <w:sz w:val="24"/>
        </w:rPr>
        <w:fldChar w:fldCharType="begin">
          <w:fldData xml:space="preserve">PEVuZE5vdGU+PENpdGU+PEF1dGhvcj5WYWhybWVpamVyPC9BdXRob3I+PFllYXI+MjAxMzwvWWVh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</w:fldData>
        </w:fldChar>
      </w:r>
      <w:r>
        <w:rPr>
          <w:kern w:val="0"/>
          <w:sz w:val="24"/>
        </w:rPr>
        <w:instrText xml:space="preserve"> ADDIN EN.CITE.DATA </w:instrText>
      </w:r>
      <w:r>
        <w:rPr>
          <w:kern w:val="0"/>
          <w:sz w:val="24"/>
        </w:rPr>
        <w:fldChar w:fldCharType="end"/>
      </w:r>
      <w:r>
        <w:rPr>
          <w:kern w:val="0"/>
          <w:sz w:val="24"/>
        </w:rPr>
        <w:fldChar w:fldCharType="separate"/>
      </w:r>
      <w:r>
        <w:rPr>
          <w:kern w:val="0"/>
          <w:sz w:val="24"/>
          <w:vertAlign w:val="superscript"/>
        </w:rPr>
        <w:t>13-16</w:t>
      </w:r>
      <w:r>
        <w:rPr>
          <w:kern w:val="0"/>
          <w:sz w:val="24"/>
        </w:rPr>
        <w:fldChar w:fldCharType="end"/>
      </w:r>
      <w:r>
        <w:fldChar w:fldCharType="begin"/>
      </w:r>
      <w:r>
        <w:instrText xml:space="preserve"> HYPERLINK \l "_ENREF_8" \o "Guo, 2017 #589" </w:instrText>
      </w:r>
      <w:r>
        <w:fldChar w:fldCharType="separate"/>
      </w:r>
      <w:r>
        <w:fldChar w:fldCharType="end"/>
      </w:r>
      <w:r>
        <w:rPr>
          <w:sz w:val="24"/>
        </w:rPr>
        <w:t xml:space="preserve"> </w:t>
      </w:r>
      <w:r>
        <w:rPr>
          <w:kern w:val="0"/>
          <w:sz w:val="24"/>
        </w:rPr>
        <w:t xml:space="preserve">With the successful application </w:t>
      </w:r>
      <w:r>
        <w:rPr>
          <w:kern w:val="0"/>
          <w:sz w:val="24"/>
          <w:u w:color="FA5050"/>
        </w:rPr>
        <w:t>of ICG fluore</w:t>
      </w:r>
      <w:r>
        <w:rPr>
          <w:kern w:val="0"/>
          <w:sz w:val="24"/>
        </w:rPr>
        <w:t>scence imaging technology in laparoscopic devices, scholars have found that NIR imaging has better tissue penetration and can better identify LNs in hypertrophic adipose tissue than other dyes in visible light.</w:t>
      </w:r>
      <w:r>
        <w:rPr>
          <w:kern w:val="0"/>
          <w:sz w:val="24"/>
        </w:rPr>
        <w:fldChar w:fldCharType="begin">
          <w:fldData xml:space="preserve">PEVuZE5vdGU+PENpdGU+PEF1dGhvcj5HaW91eDwvQXV0aG9yPjxZZWFyPjIwMTA8L1llYXI+PFJl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==
</w:fldData>
        </w:fldChar>
      </w:r>
      <w:r>
        <w:rPr>
          <w:kern w:val="0"/>
          <w:sz w:val="24"/>
        </w:rPr>
        <w:instrText xml:space="preserve"> ADDIN EN.CITE </w:instrText>
      </w:r>
      <w:r>
        <w:rPr>
          <w:kern w:val="0"/>
          <w:sz w:val="24"/>
        </w:rPr>
        <w:fldChar w:fldCharType="begin">
          <w:fldData xml:space="preserve">PEVuZE5vdGU+PENpdGU+PEF1dGhvcj5HaW91eDwvQXV0aG9yPjxZZWFyPjIwMTA8L1llYXI+PFJl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==
</w:fldData>
        </w:fldChar>
      </w:r>
      <w:r>
        <w:rPr>
          <w:kern w:val="0"/>
          <w:sz w:val="24"/>
        </w:rPr>
        <w:instrText xml:space="preserve"> ADDIN EN.CITE.DATA </w:instrText>
      </w:r>
      <w:r>
        <w:rPr>
          <w:kern w:val="0"/>
          <w:sz w:val="24"/>
        </w:rPr>
        <w:fldChar w:fldCharType="end"/>
      </w:r>
      <w:r>
        <w:rPr>
          <w:kern w:val="0"/>
          <w:sz w:val="24"/>
        </w:rPr>
        <w:fldChar w:fldCharType="separate"/>
      </w:r>
      <w:r>
        <w:rPr>
          <w:kern w:val="0"/>
          <w:sz w:val="24"/>
          <w:vertAlign w:val="superscript"/>
        </w:rPr>
        <w:t>17,18</w:t>
      </w:r>
      <w:r>
        <w:rPr>
          <w:kern w:val="0"/>
          <w:sz w:val="24"/>
        </w:rPr>
        <w:fldChar w:fldCharType="end"/>
      </w:r>
      <w:r>
        <w:rPr>
          <w:kern w:val="0"/>
          <w:sz w:val="24"/>
        </w:rPr>
        <w:t xml:space="preserve"> It has important research value, good application prospect and broad development space, which has attracted wide atte</w:t>
      </w:r>
      <w:r>
        <w:rPr>
          <w:kern w:val="0"/>
          <w:sz w:val="24"/>
          <w:u w:color="FA5050"/>
        </w:rPr>
        <w:t>ntion, so that</w:t>
      </w:r>
      <w:r>
        <w:rPr>
          <w:kern w:val="0"/>
          <w:sz w:val="24"/>
        </w:rPr>
        <w:t xml:space="preserve"> ICG fluorescence imaging guided minimally invasive treatment such as laparoscopic or robotic radical resection of GC has b</w:t>
      </w:r>
      <w:r>
        <w:rPr>
          <w:kern w:val="0"/>
          <w:sz w:val="24"/>
          <w:u w:color="FA5050"/>
        </w:rPr>
        <w:t>ecome a new ex</w:t>
      </w:r>
      <w:r>
        <w:rPr>
          <w:kern w:val="0"/>
          <w:sz w:val="24"/>
        </w:rPr>
        <w:t>ploration direction.</w:t>
      </w:r>
      <w:r>
        <w:rPr>
          <w:kern w:val="0"/>
          <w:sz w:val="24"/>
        </w:rPr>
        <w:fldChar w:fldCharType="begin"/>
      </w:r>
      <w:r>
        <w:rPr>
          <w:kern w:val="0"/>
          <w:sz w:val="24"/>
        </w:rPr>
        <w:instrText xml:space="preserve"> ADDIN EN.CITE &lt;EndNote&gt;&lt;Cite&gt;&lt;Author&gt;Desiderio&lt;/Author&gt;&lt;Year&gt;2018&lt;/Year&gt;&lt;RecNum&gt;749&lt;/RecNum&gt;&lt;DisplayText&gt;&lt;style face="superscript"&gt;19&lt;/style&gt;&lt;/DisplayText&gt;&lt;record&gt;&lt;rec-number&gt;749&lt;/rec-number&gt;&lt;foreign-keys&gt;&lt;key app="EN" db-id="xpzr0erzmxsa9se0rf4p20fqfa5wtvd0fxfr" timestamp="1567933915"&gt;749&lt;/key&gt;&lt;/foreign-keys&gt;&lt;ref-type name="Journal Article"&gt;17&lt;/ref-type&gt;&lt;contributors&gt;&lt;authors&gt;&lt;author&gt;Desiderio, J.&lt;/author&gt;&lt;author&gt;Trastulli, S.&lt;/author&gt;&lt;author&gt;Gemini, A.&lt;/author&gt;&lt;author&gt;Di Nardo, D.&lt;/author&gt;&lt;author&gt;Palazzini, G.&lt;/author&gt;&lt;author&gt;Parisi, A.&lt;/author&gt;&lt;author&gt;D&amp;apos;Andrea, V.&lt;/author&gt;&lt;/authors&gt;&lt;/contributors&gt;&lt;auth-address&gt;Department of Digestive Surgery, St. Mary&amp;apos;s Hospital, Terni 05100, Italy.&amp;#xD;Department of Surgical Sciences, &amp;quot;La Sapienza&amp;quot; University of Rome, Rome 00161, Italy.&lt;/auth-address&gt;&lt;titles&gt;&lt;title&gt;Fluorescence image-guided lymphadenectomy using indocyanine green and near infrared technology in robotic gastrectomy&lt;/title&gt;&lt;secondary-title&gt;Chin J Cancer Res&lt;/secondary-title&gt;&lt;alt-title&gt;Chinese journal of cancer research = Chung-kuo yen cheng yen chiu&lt;/alt-title&gt;&lt;/titles&gt;&lt;periodical&gt;&lt;full-title&gt;Chin J Cancer Res&lt;/full-title&gt;&lt;abbr-1&gt;Chinese journal of cancer research = Chung-kuo yen cheng yen chiu&lt;/abbr-1&gt;&lt;/periodical&gt;&lt;alt-periodical&gt;&lt;full-title&gt;Chin J Cancer Res&lt;/full-title&gt;&lt;abbr-1&gt;Chinese journal of cancer research = Chung-kuo yen cheng yen chiu&lt;/abbr-1&gt;&lt;/alt-periodical&gt;&lt;pages&gt;568-570&lt;/pages&gt;&lt;volume&gt;30&lt;/volume&gt;&lt;number&gt;5&lt;/number&gt;&lt;edition&gt;2018/12/05&lt;/edition&gt;&lt;keywords&gt;&lt;keyword&gt;Gastric cancer&lt;/keyword&gt;&lt;keyword&gt;fluorescence guided surgery&lt;/keyword&gt;&lt;keyword&gt;robotic surgery&lt;/keyword&gt;&lt;/keywords&gt;&lt;dates&gt;&lt;year&gt;2018&lt;/year&gt;&lt;pub-dates&gt;&lt;date&gt;Oct&lt;/date&gt;&lt;/pub-dates&gt;&lt;/dates&gt;&lt;isbn&gt;1000-9604 (Print)&amp;#xD;1000-9604&lt;/isbn&gt;&lt;accession-num&gt;30510369&lt;/accession-num&gt;&lt;urls&gt;&lt;/urls&gt;&lt;custom2&gt;PMC6232360&lt;/custom2&gt;&lt;electronic-resource-num&gt;10.21147/j.issn.1000-9604.2018.05.11&lt;/electronic-resource-num&gt;&lt;remote-database-provider&gt;NLM&lt;/remote-database-provider&gt;&lt;language&gt;eng&lt;/language&gt;&lt;/record&gt;&lt;/Cite&gt;&lt;/EndNote&gt;</w:instrText>
      </w:r>
      <w:r>
        <w:rPr>
          <w:kern w:val="0"/>
          <w:sz w:val="24"/>
        </w:rPr>
        <w:fldChar w:fldCharType="separate"/>
      </w:r>
      <w:r>
        <w:rPr>
          <w:kern w:val="0"/>
          <w:sz w:val="24"/>
          <w:vertAlign w:val="superscript"/>
        </w:rPr>
        <w:t>19</w:t>
      </w:r>
      <w:r>
        <w:rPr>
          <w:kern w:val="0"/>
          <w:sz w:val="24"/>
        </w:rPr>
        <w:fldChar w:fldCharType="end"/>
      </w:r>
      <w:r>
        <w:rPr>
          <w:kern w:val="0"/>
          <w:sz w:val="24"/>
        </w:rPr>
        <w:t xml:space="preserve"> However, at present, the application of ICG in laparoscopic lymphadenectomy of GC is still in the preliminary stage in clinical practice. Most of the studies are low-sample retrospective studies to evaluate sentinel LN,</w:t>
      </w:r>
      <w:r>
        <w:rPr>
          <w:kern w:val="0"/>
          <w:sz w:val="24"/>
        </w:rPr>
        <w:fldChar w:fldCharType="begin">
          <w:fldData xml:space="preserve">PEVuZE5vdGU+PENpdGU+PEF1dGhvcj5ZYW5vPC9BdXRob3I+PFllYXI+MjAxMjwvWWVhcj48UmVj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</w:fldData>
        </w:fldChar>
      </w:r>
      <w:r>
        <w:rPr>
          <w:kern w:val="0"/>
          <w:sz w:val="24"/>
        </w:rPr>
        <w:instrText xml:space="preserve"> ADDIN EN.CITE </w:instrText>
      </w:r>
      <w:r>
        <w:rPr>
          <w:kern w:val="0"/>
          <w:sz w:val="24"/>
        </w:rPr>
        <w:fldChar w:fldCharType="begin">
          <w:fldData xml:space="preserve">PEVuZE5vdGU+PENpdGU+PEF1dGhvcj5ZYW5vPC9BdXRob3I+PFllYXI+MjAxMjwvWWVhcj48UmVj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</w:fldData>
        </w:fldChar>
      </w:r>
      <w:r>
        <w:rPr>
          <w:kern w:val="0"/>
          <w:sz w:val="24"/>
        </w:rPr>
        <w:instrText xml:space="preserve"> ADDIN EN.CITE.DATA </w:instrText>
      </w:r>
      <w:r>
        <w:rPr>
          <w:kern w:val="0"/>
          <w:sz w:val="24"/>
        </w:rPr>
        <w:fldChar w:fldCharType="end"/>
      </w:r>
      <w:r>
        <w:rPr>
          <w:kern w:val="0"/>
          <w:sz w:val="24"/>
        </w:rPr>
        <w:fldChar w:fldCharType="separate"/>
      </w:r>
      <w:r>
        <w:rPr>
          <w:kern w:val="0"/>
          <w:sz w:val="24"/>
          <w:vertAlign w:val="superscript"/>
        </w:rPr>
        <w:t>20,21</w:t>
      </w:r>
      <w:r>
        <w:rPr>
          <w:kern w:val="0"/>
          <w:sz w:val="24"/>
        </w:rPr>
        <w:fldChar w:fldCharType="end"/>
      </w:r>
      <w:r>
        <w:rPr>
          <w:sz w:val="24"/>
        </w:rPr>
        <w:t xml:space="preserve"> </w:t>
      </w:r>
      <w:r>
        <w:rPr>
          <w:kern w:val="0"/>
          <w:sz w:val="24"/>
        </w:rPr>
        <w:t>postoperative a</w:t>
      </w:r>
      <w:r>
        <w:rPr>
          <w:kern w:val="0"/>
          <w:sz w:val="24"/>
          <w:u w:color="FA5050"/>
        </w:rPr>
        <w:t>nastomotic bl</w:t>
      </w:r>
      <w:r>
        <w:rPr>
          <w:kern w:val="0"/>
          <w:sz w:val="24"/>
        </w:rPr>
        <w:t>ood flow judgment.</w:t>
      </w:r>
      <w:r>
        <w:rPr>
          <w:kern w:val="0"/>
          <w:sz w:val="24"/>
        </w:rPr>
        <w:fldChar w:fldCharType="begin">
          <w:fldData xml:space="preserve">PEVuZE5vdGU+PENpdGU+PEF1dGhvcj5IdWg8L0F1dGhvcj48WWVhcj4yMDE5PC9ZZWFyPjxSZWNO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</w:fldData>
        </w:fldChar>
      </w:r>
      <w:r>
        <w:rPr>
          <w:kern w:val="0"/>
          <w:sz w:val="24"/>
        </w:rPr>
        <w:instrText xml:space="preserve"> ADDIN EN.CITE </w:instrText>
      </w:r>
      <w:r>
        <w:rPr>
          <w:kern w:val="0"/>
          <w:sz w:val="24"/>
        </w:rPr>
        <w:fldChar w:fldCharType="begin">
          <w:fldData xml:space="preserve">PEVuZE5vdGU+PENpdGU+PEF1dGhvcj5IdWg8L0F1dGhvcj48WWVhcj4yMDE5PC9ZZWFyPjxSZWNO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</w:fldData>
        </w:fldChar>
      </w:r>
      <w:r>
        <w:rPr>
          <w:kern w:val="0"/>
          <w:sz w:val="24"/>
        </w:rPr>
        <w:instrText xml:space="preserve"> ADDIN EN.CITE.DATA </w:instrText>
      </w:r>
      <w:r>
        <w:rPr>
          <w:kern w:val="0"/>
          <w:sz w:val="24"/>
        </w:rPr>
        <w:fldChar w:fldCharType="end"/>
      </w:r>
      <w:r>
        <w:rPr>
          <w:kern w:val="0"/>
          <w:sz w:val="24"/>
        </w:rPr>
        <w:fldChar w:fldCharType="separate"/>
      </w:r>
      <w:r>
        <w:rPr>
          <w:kern w:val="0"/>
          <w:sz w:val="24"/>
          <w:vertAlign w:val="superscript"/>
        </w:rPr>
        <w:t>22</w:t>
      </w:r>
      <w:r>
        <w:rPr>
          <w:kern w:val="0"/>
          <w:sz w:val="24"/>
        </w:rPr>
        <w:fldChar w:fldCharType="end"/>
      </w:r>
      <w:r>
        <w:rPr>
          <w:kern w:val="0"/>
          <w:sz w:val="24"/>
        </w:rPr>
        <w:t xml:space="preserve"> What's more, current studies have shown different results as to whether ICG can help surgeons with safe and effective LN dissection.</w:t>
      </w:r>
      <w:r>
        <w:rPr>
          <w:kern w:val="0"/>
          <w:sz w:val="24"/>
        </w:rPr>
        <w:fldChar w:fldCharType="begin">
          <w:fldData xml:space="preserve">PEVuZE5vdGU+PENpdGU+PEF1dGhvcj5MYW48L0F1dGhvcj48WWVhcj4yMDE3PC9ZZWFyPjxSZWNO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</w:fldData>
        </w:fldChar>
      </w:r>
      <w:r>
        <w:rPr>
          <w:kern w:val="0"/>
          <w:sz w:val="24"/>
        </w:rPr>
        <w:instrText xml:space="preserve"> ADDIN EN.CITE </w:instrText>
      </w:r>
      <w:r>
        <w:rPr>
          <w:kern w:val="0"/>
          <w:sz w:val="24"/>
        </w:rPr>
        <w:fldChar w:fldCharType="begin">
          <w:fldData xml:space="preserve">PEVuZE5vdGU+PENpdGU+PEF1dGhvcj5MYW48L0F1dGhvcj48WWVhcj4yMDE3PC9ZZWFyPjxSZWNO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</w:fldData>
        </w:fldChar>
      </w:r>
      <w:r>
        <w:rPr>
          <w:kern w:val="0"/>
          <w:sz w:val="24"/>
        </w:rPr>
        <w:instrText xml:space="preserve"> ADDIN EN.CITE.DATA </w:instrText>
      </w:r>
      <w:r>
        <w:rPr>
          <w:kern w:val="0"/>
          <w:sz w:val="24"/>
        </w:rPr>
        <w:fldChar w:fldCharType="end"/>
      </w:r>
      <w:r>
        <w:rPr>
          <w:kern w:val="0"/>
          <w:sz w:val="24"/>
        </w:rPr>
        <w:fldChar w:fldCharType="separate"/>
      </w:r>
      <w:r>
        <w:rPr>
          <w:kern w:val="0"/>
          <w:sz w:val="24"/>
          <w:vertAlign w:val="superscript"/>
        </w:rPr>
        <w:t>23,24</w:t>
      </w:r>
      <w:r>
        <w:rPr>
          <w:kern w:val="0"/>
          <w:sz w:val="24"/>
        </w:rPr>
        <w:fldChar w:fldCharType="end"/>
      </w:r>
      <w:r>
        <w:rPr>
          <w:sz w:val="24"/>
        </w:rPr>
        <w:t xml:space="preserve"> </w:t>
      </w:r>
      <w:r>
        <w:rPr>
          <w:kern w:val="0"/>
          <w:sz w:val="24"/>
        </w:rPr>
        <w:t xml:space="preserve">And Kwon et al. </w:t>
      </w:r>
      <w:r>
        <w:rPr>
          <w:kern w:val="0"/>
          <w:sz w:val="24"/>
          <w:u w:color="FA5050"/>
        </w:rPr>
        <w:t>only</w:t>
      </w:r>
      <w:r>
        <w:rPr>
          <w:kern w:val="0"/>
          <w:sz w:val="24"/>
        </w:rPr>
        <w:t xml:space="preserve"> carried out a prospective single-arm study that analyzed a small number of patients who underwent robotic gastrectomy after </w:t>
      </w:r>
      <w:r>
        <w:rPr>
          <w:kern w:val="0"/>
          <w:sz w:val="24"/>
          <w:u w:color="FA5050"/>
        </w:rPr>
        <w:t>peritumoral</w:t>
      </w:r>
      <w:r>
        <w:rPr>
          <w:kern w:val="0"/>
          <w:sz w:val="24"/>
        </w:rPr>
        <w:t xml:space="preserve"> injection of ICG.</w:t>
      </w:r>
      <w:r>
        <w:rPr>
          <w:kern w:val="0"/>
          <w:sz w:val="24"/>
        </w:rPr>
        <w:fldChar w:fldCharType="begin"/>
      </w:r>
      <w:r>
        <w:rPr>
          <w:kern w:val="0"/>
          <w:sz w:val="24"/>
        </w:rPr>
        <w:instrText xml:space="preserve"> ADDIN EN.CITE &lt;EndNote&gt;&lt;Cite&gt;&lt;Author&gt;Kwon&lt;/Author&gt;&lt;Year&gt;2019&lt;/Year&gt;&lt;RecNum&gt;748&lt;/RecNum&gt;&lt;DisplayText&gt;&lt;style face="superscript"&gt;25&lt;/style&gt;&lt;/DisplayText&gt;&lt;record&gt;&lt;rec-number&gt;748&lt;/rec-number&gt;&lt;foreign-keys&gt;&lt;key app="EN" db-id="xpzr0erzmxsa9se0rf4p20fqfa5wtvd0fxfr" timestamp="1567933690"&gt;748&lt;/key&gt;&lt;/foreign-keys&gt;&lt;ref-type name="Journal Article"&gt;17&lt;/ref-type&gt;&lt;contributors&gt;&lt;authors&gt;&lt;author&gt;Kwon, I. G.&lt;/author&gt;&lt;author&gt;Son, T.&lt;/author&gt;&lt;author&gt;Kim, H. I.&lt;/author&gt;&lt;author&gt;Hyung, W. J.&lt;/author&gt;&lt;/authors&gt;&lt;/contributors&gt;&lt;auth-address&gt;Department of Surgery, Yonsei University College of Medicine, Seoul, Republic of Korea.&amp;#xD;Gastric Cancer Center, Yonsei Cancer Center, Yonsei University Health System, Seoul, Republic of Korea.&lt;/auth-address&gt;&lt;titles&gt;&lt;title&gt;Fluorescent Lymphography-Guided Lymphadenectomy During Robotic Radical Gastrectomy for Gastric Cancer&lt;/title&gt;&lt;secondary-title&gt;JAMA Surg&lt;/secondary-title&gt;&lt;alt-title&gt;JAMA surgery&lt;/alt-title&gt;&lt;/titles&gt;&lt;periodical&gt;&lt;full-title&gt;JAMA Surg&lt;/full-title&gt;&lt;abbr-1&gt;JAMA surgery&lt;/abbr-1&gt;&lt;/periodical&gt;&lt;alt-periodical&gt;&lt;full-title&gt;JAMA Surg&lt;/full-title&gt;&lt;abbr-1&gt;JAMA surgery&lt;/abbr-1&gt;&lt;/alt-periodical&gt;&lt;pages&gt;150-158&lt;/pages&gt;&lt;volume&gt;154&lt;/volume&gt;&lt;number&gt;2&lt;/number&gt;&lt;edition&gt;2018/11/15&lt;/edition&gt;&lt;dates&gt;&lt;year&gt;2019&lt;/year&gt;&lt;pub-dates&gt;&lt;date&gt;Feb 1&lt;/date&gt;&lt;/pub-dates&gt;&lt;/dates&gt;&lt;isbn&gt;2168-6254&lt;/isbn&gt;&lt;accession-num&gt;30427990&lt;/accession-num&gt;&lt;urls&gt;&lt;/urls&gt;&lt;custom2&gt;PMC6439673&lt;/custom2&gt;&lt;electronic-resource-num&gt;10.1001/jamasurg.2018.4267&lt;/electronic-resource-num&gt;&lt;remote-database-provider&gt;NLM&lt;/remote-database-provider&gt;&lt;language&gt;eng&lt;/language&gt;&lt;/record&gt;&lt;/Cite&gt;&lt;/EndNote&gt;</w:instrText>
      </w:r>
      <w:r>
        <w:rPr>
          <w:kern w:val="0"/>
          <w:sz w:val="24"/>
        </w:rPr>
        <w:fldChar w:fldCharType="separate"/>
      </w:r>
      <w:r>
        <w:rPr>
          <w:kern w:val="0"/>
          <w:sz w:val="24"/>
          <w:vertAlign w:val="superscript"/>
        </w:rPr>
        <w:t>25</w:t>
      </w:r>
      <w:r>
        <w:rPr>
          <w:kern w:val="0"/>
          <w:sz w:val="24"/>
        </w:rPr>
        <w:fldChar w:fldCharType="end"/>
      </w:r>
    </w:p>
    <w:p w14:paraId="2D999472">
      <w:pPr>
        <w:spacing w:line="360" w:lineRule="auto"/>
        <w:ind w:firstLine="480" w:firstLineChars="200"/>
        <w:jc w:val="left"/>
        <w:rPr>
          <w:kern w:val="0"/>
          <w:sz w:val="24"/>
        </w:rPr>
      </w:pPr>
      <w:r>
        <w:rPr>
          <w:kern w:val="0"/>
          <w:sz w:val="24"/>
        </w:rPr>
        <w:t xml:space="preserve">Therefore, there </w:t>
      </w:r>
      <w:r>
        <w:rPr>
          <w:kern w:val="0"/>
          <w:sz w:val="24"/>
          <w:u w:color="19A0DC"/>
        </w:rPr>
        <w:t>is still</w:t>
      </w:r>
      <w:r>
        <w:rPr>
          <w:kern w:val="0"/>
          <w:sz w:val="24"/>
        </w:rPr>
        <w:t xml:space="preserve"> a lack of high-level evidence-based large sample prospective randomized controlled trials (RCTs) to evaluate the safety, efficacy and feasibility of ICG in guiding </w:t>
      </w:r>
      <w:r>
        <w:rPr>
          <w:kern w:val="0"/>
          <w:sz w:val="24"/>
          <w:u w:color="FA5050"/>
        </w:rPr>
        <w:t>laparoscopic</w:t>
      </w:r>
      <w:r>
        <w:rPr>
          <w:kern w:val="0"/>
          <w:sz w:val="24"/>
        </w:rPr>
        <w:t xml:space="preserve"> D2 lymphadenectomy of GC worldwide. This RCT </w:t>
      </w:r>
      <w:r>
        <w:rPr>
          <w:kern w:val="0"/>
          <w:sz w:val="24"/>
          <w:u w:color="19A0DC"/>
        </w:rPr>
        <w:t>was intended to assess</w:t>
      </w:r>
      <w:r>
        <w:rPr>
          <w:kern w:val="0"/>
          <w:sz w:val="24"/>
        </w:rPr>
        <w:t xml:space="preserve"> LN harvest and </w:t>
      </w:r>
      <w:r>
        <w:rPr>
          <w:kern w:val="0"/>
          <w:sz w:val="24"/>
          <w:u w:color="FA5050"/>
        </w:rPr>
        <w:t>perioperative</w:t>
      </w:r>
      <w:r>
        <w:rPr>
          <w:kern w:val="0"/>
          <w:sz w:val="24"/>
        </w:rPr>
        <w:t xml:space="preserve"> safety during </w:t>
      </w:r>
      <w:r>
        <w:rPr>
          <w:kern w:val="0"/>
          <w:sz w:val="24"/>
          <w:u w:color="FA5050"/>
        </w:rPr>
        <w:t>laparoscopic</w:t>
      </w:r>
      <w:r>
        <w:rPr>
          <w:kern w:val="0"/>
          <w:sz w:val="24"/>
        </w:rPr>
        <w:t xml:space="preserve"> ICG-guide radical gastrectomy for GC patients by </w:t>
      </w:r>
      <w:bookmarkStart w:id="17" w:name="_Hlk20385911"/>
      <w:r>
        <w:rPr>
          <w:kern w:val="0"/>
          <w:sz w:val="24"/>
        </w:rPr>
        <w:t>comparing ICG group with Non-ICG group</w:t>
      </w:r>
      <w:bookmarkEnd w:id="17"/>
      <w:r>
        <w:rPr>
          <w:kern w:val="0"/>
          <w:sz w:val="24"/>
        </w:rPr>
        <w:t xml:space="preserve"> at a simultaneous, </w:t>
      </w:r>
      <w:r>
        <w:rPr>
          <w:kern w:val="0"/>
          <w:sz w:val="24"/>
          <w:u w:color="FA5050"/>
        </w:rPr>
        <w:t>large-scale</w:t>
      </w:r>
      <w:r>
        <w:rPr>
          <w:kern w:val="0"/>
          <w:sz w:val="24"/>
        </w:rPr>
        <w:t xml:space="preserve"> center. So as to promote the standardization of NIR imaging in </w:t>
      </w:r>
      <w:r>
        <w:rPr>
          <w:kern w:val="0"/>
          <w:sz w:val="24"/>
          <w:u w:color="FA5050"/>
        </w:rPr>
        <w:t>laparoscopic</w:t>
      </w:r>
      <w:r>
        <w:rPr>
          <w:kern w:val="0"/>
          <w:sz w:val="24"/>
        </w:rPr>
        <w:t xml:space="preserve"> resection of GC, and </w:t>
      </w:r>
      <w:r>
        <w:rPr>
          <w:kern w:val="0"/>
          <w:sz w:val="24"/>
          <w:u w:color="19A0DC"/>
        </w:rPr>
        <w:t>to establish</w:t>
      </w:r>
      <w:r>
        <w:rPr>
          <w:kern w:val="0"/>
          <w:sz w:val="24"/>
        </w:rPr>
        <w:t xml:space="preserve"> </w:t>
      </w:r>
      <w:r>
        <w:rPr>
          <w:kern w:val="0"/>
          <w:sz w:val="24"/>
          <w:u w:color="FA5050"/>
        </w:rPr>
        <w:t>a reference</w:t>
      </w:r>
      <w:r>
        <w:rPr>
          <w:kern w:val="0"/>
          <w:sz w:val="24"/>
        </w:rPr>
        <w:t xml:space="preserve"> for the application of ICG imaging in radical resection of cancers in digest system (such as esophageal and colorectal cancer).</w:t>
      </w:r>
      <w:bookmarkEnd w:id="14"/>
    </w:p>
    <w:bookmarkEnd w:id="15"/>
    <w:p w14:paraId="38D0A045">
      <w:pPr>
        <w:numPr>
          <w:ilvl w:val="0"/>
          <w:numId w:val="5"/>
        </w:numPr>
        <w:adjustRightInd w:val="0"/>
        <w:snapToGrid w:val="0"/>
        <w:spacing w:line="360" w:lineRule="auto"/>
        <w:jc w:val="left"/>
        <w:outlineLvl w:val="0"/>
        <w:rPr>
          <w:rFonts w:eastAsia="微软雅黑"/>
          <w:b/>
          <w:bCs/>
          <w:sz w:val="24"/>
        </w:rPr>
      </w:pPr>
      <w:bookmarkStart w:id="18" w:name="_Toc2401"/>
      <w:r>
        <w:rPr>
          <w:rFonts w:eastAsia="微软雅黑"/>
          <w:b/>
          <w:bCs/>
          <w:sz w:val="24"/>
        </w:rPr>
        <w:t>Objective</w:t>
      </w:r>
      <w:bookmarkEnd w:id="18"/>
    </w:p>
    <w:p w14:paraId="172F92FF">
      <w:pPr>
        <w:spacing w:line="360" w:lineRule="auto"/>
        <w:ind w:right="-50" w:rightChars="-24" w:firstLine="480" w:firstLineChars="200"/>
        <w:rPr>
          <w:kern w:val="0"/>
          <w:sz w:val="24"/>
        </w:rPr>
      </w:pPr>
      <w:r>
        <w:rPr>
          <w:kern w:val="0"/>
          <w:sz w:val="24"/>
        </w:rPr>
        <w:t>The purpose of the randomized controlled trial is to investigate the safety, efficacy, and feasibility of ICG near-infrared imaging tracing in guiding laparoscopic D2 LN dissection for gastric cancer by comparing ICG group with Non-ICG group.</w:t>
      </w:r>
    </w:p>
    <w:p w14:paraId="2FB0A2D5">
      <w:pPr>
        <w:pStyle w:val="2"/>
        <w:numPr>
          <w:ilvl w:val="0"/>
          <w:numId w:val="5"/>
        </w:numPr>
        <w:adjustRightInd w:val="0"/>
        <w:snapToGrid w:val="0"/>
        <w:spacing w:before="0" w:after="0" w:line="360" w:lineRule="auto"/>
        <w:rPr>
          <w:rFonts w:eastAsia="微软雅黑"/>
          <w:bCs w:val="0"/>
          <w:kern w:val="2"/>
          <w:sz w:val="24"/>
          <w:szCs w:val="24"/>
        </w:rPr>
      </w:pPr>
      <w:bookmarkStart w:id="19" w:name="_Toc24320"/>
      <w:r>
        <w:rPr>
          <w:rFonts w:eastAsia="微软雅黑"/>
          <w:sz w:val="24"/>
          <w:szCs w:val="24"/>
        </w:rPr>
        <w:t>Research design</w:t>
      </w:r>
      <w:bookmarkEnd w:id="19"/>
    </w:p>
    <w:p w14:paraId="70BA0DC2">
      <w:pPr>
        <w:spacing w:line="360" w:lineRule="auto"/>
        <w:ind w:firstLine="480" w:firstLineChars="200"/>
        <w:jc w:val="left"/>
        <w:rPr>
          <w:rFonts w:eastAsia="微软雅黑"/>
          <w:kern w:val="0"/>
          <w:sz w:val="24"/>
        </w:rPr>
      </w:pPr>
      <w:r>
        <w:rPr>
          <w:sz w:val="24"/>
          <w:lang w:bidi="ar"/>
        </w:rPr>
        <w:t>Single center, prospective, open-label,</w:t>
      </w:r>
      <w:r>
        <w:t xml:space="preserve"> </w:t>
      </w:r>
      <w:r>
        <w:rPr>
          <w:sz w:val="24"/>
          <w:lang w:bidi="ar"/>
        </w:rPr>
        <w:t>phase 3,</w:t>
      </w:r>
      <w:r>
        <w:t xml:space="preserve"> </w:t>
      </w:r>
      <w:r>
        <w:rPr>
          <w:sz w:val="24"/>
          <w:lang w:bidi="ar"/>
        </w:rPr>
        <w:t>parallel assignment, randomized controlled.</w:t>
      </w:r>
    </w:p>
    <w:p w14:paraId="6C8C73A1">
      <w:pPr>
        <w:adjustRightInd w:val="0"/>
        <w:snapToGrid w:val="0"/>
        <w:spacing w:line="360" w:lineRule="auto"/>
        <w:rPr>
          <w:rFonts w:eastAsia="微软雅黑"/>
          <w:b/>
          <w:sz w:val="24"/>
        </w:rPr>
      </w:pPr>
      <w:r>
        <w:rPr>
          <w:rFonts w:eastAsia="微软雅黑"/>
          <w:b/>
          <w:sz w:val="24"/>
        </w:rPr>
        <w:t>3.1 Single center</w:t>
      </w:r>
    </w:p>
    <w:p w14:paraId="4BA3D9F3">
      <w:pPr>
        <w:spacing w:line="360" w:lineRule="auto"/>
        <w:ind w:firstLine="480" w:firstLineChars="200"/>
        <w:rPr>
          <w:rFonts w:eastAsia="微软雅黑"/>
          <w:kern w:val="0"/>
          <w:sz w:val="24"/>
        </w:rPr>
      </w:pPr>
      <w:r>
        <w:rPr>
          <w:rFonts w:eastAsia="微软雅黑"/>
          <w:kern w:val="0"/>
          <w:sz w:val="24"/>
        </w:rPr>
        <w:t>Department of Gastric Surgery, Fujian Medical University Union Hospital</w:t>
      </w:r>
    </w:p>
    <w:p w14:paraId="44F4A7F4">
      <w:pPr>
        <w:adjustRightInd w:val="0"/>
        <w:snapToGrid w:val="0"/>
        <w:spacing w:line="360" w:lineRule="auto"/>
        <w:rPr>
          <w:rFonts w:eastAsia="微软雅黑"/>
          <w:b/>
          <w:sz w:val="24"/>
        </w:rPr>
      </w:pPr>
      <w:r>
        <w:rPr>
          <w:rFonts w:eastAsia="微软雅黑"/>
          <w:b/>
          <w:sz w:val="24"/>
        </w:rPr>
        <w:t>3.2 Case group</w:t>
      </w:r>
    </w:p>
    <w:p w14:paraId="6A3E2308">
      <w:pPr>
        <w:pStyle w:val="33"/>
        <w:snapToGrid w:val="0"/>
        <w:spacing w:line="360" w:lineRule="auto"/>
        <w:ind w:firstLine="480" w:firstLineChars="200"/>
        <w:rPr>
          <w:rFonts w:ascii="Times New Roman" w:hAnsi="Times New Roman" w:eastAsia="微软雅黑" w:cs="Times New Roman"/>
          <w:color w:val="auto"/>
        </w:rPr>
      </w:pPr>
      <w:r>
        <w:rPr>
          <w:rFonts w:ascii="Times New Roman" w:hAnsi="Times New Roman" w:eastAsia="微软雅黑" w:cs="Times New Roman"/>
          <w:color w:val="auto"/>
        </w:rPr>
        <w:t xml:space="preserve">Group A (study group): laparoscopic gastrectomy group with the use of near-infrared imaging (ICG group) </w:t>
      </w:r>
    </w:p>
    <w:p w14:paraId="1E2326DF">
      <w:pPr>
        <w:pStyle w:val="33"/>
        <w:snapToGrid w:val="0"/>
        <w:spacing w:line="360" w:lineRule="auto"/>
        <w:ind w:firstLine="480" w:firstLineChars="200"/>
        <w:rPr>
          <w:rFonts w:ascii="Times New Roman" w:hAnsi="Times New Roman" w:eastAsia="微软雅黑" w:cs="Times New Roman"/>
          <w:color w:val="auto"/>
        </w:rPr>
      </w:pPr>
      <w:r>
        <w:rPr>
          <w:rFonts w:ascii="Times New Roman" w:hAnsi="Times New Roman" w:eastAsia="微软雅黑" w:cs="Times New Roman"/>
          <w:color w:val="auto"/>
        </w:rPr>
        <w:t>Group B (control group): laparoscopic gastrectomy group without the use of near-infrared imaging (Non-ICG group)</w:t>
      </w:r>
    </w:p>
    <w:p w14:paraId="3C652A9C">
      <w:pPr>
        <w:pStyle w:val="33"/>
        <w:snapToGrid w:val="0"/>
        <w:spacing w:line="360" w:lineRule="auto"/>
        <w:rPr>
          <w:rFonts w:ascii="Times New Roman" w:hAnsi="Times New Roman" w:eastAsia="微软雅黑" w:cs="Times New Roman"/>
          <w:b/>
          <w:color w:val="auto"/>
        </w:rPr>
      </w:pPr>
      <w:r>
        <w:rPr>
          <w:rFonts w:ascii="Times New Roman" w:hAnsi="Times New Roman" w:eastAsia="微软雅黑" w:cs="Times New Roman"/>
          <w:b/>
          <w:color w:val="auto"/>
          <w:kern w:val="2"/>
        </w:rPr>
        <w:t>3.3 Estimate Sample Size</w:t>
      </w:r>
    </w:p>
    <w:p w14:paraId="2885F642">
      <w:pPr>
        <w:adjustRightInd w:val="0"/>
        <w:snapToGrid w:val="0"/>
        <w:spacing w:line="360" w:lineRule="auto"/>
        <w:ind w:firstLine="480" w:firstLineChars="200"/>
        <w:rPr>
          <w:rFonts w:eastAsia="微软雅黑"/>
          <w:sz w:val="24"/>
        </w:rPr>
      </w:pPr>
      <w:r>
        <w:rPr>
          <w:rFonts w:eastAsia="微软雅黑"/>
          <w:sz w:val="24"/>
        </w:rPr>
        <w:t xml:space="preserve">This study is a superiority test (unilateral), whose primary outcome measure is the total number of retrieving LNs. According to the previous study results and related literature reports, the total number of LN dissections in the control group was about 32.9, This analysis was based on an α of 0.05, a power of 80%, and a margin delta of 15%, revealing that at least 107 patients would be necessary per group. Considering an expected dropout rate of 20%, it was determined that each group needed at least 133 patients, for a total of 266 cases. </w:t>
      </w:r>
    </w:p>
    <w:p w14:paraId="4CF642A7">
      <w:pPr>
        <w:adjustRightInd w:val="0"/>
        <w:snapToGrid w:val="0"/>
        <w:spacing w:line="360" w:lineRule="auto"/>
        <w:rPr>
          <w:rFonts w:eastAsia="微软雅黑"/>
          <w:sz w:val="24"/>
        </w:rPr>
      </w:pPr>
      <w:r>
        <w:rPr>
          <w:rFonts w:eastAsia="微软雅黑"/>
          <w:b/>
          <w:sz w:val="24"/>
        </w:rPr>
        <w:t xml:space="preserve">3.4 </w:t>
      </w:r>
      <w:r>
        <w:rPr>
          <w:rFonts w:eastAsia="微软雅黑"/>
          <w:b/>
          <w:bCs/>
          <w:sz w:val="24"/>
        </w:rPr>
        <w:t>Blind method</w:t>
      </w:r>
      <w:r>
        <w:rPr>
          <w:rFonts w:eastAsia="微软雅黑"/>
          <w:b/>
          <w:sz w:val="24"/>
        </w:rPr>
        <w:t xml:space="preserve">: </w:t>
      </w:r>
      <w:r>
        <w:rPr>
          <w:rFonts w:eastAsia="微软雅黑"/>
          <w:sz w:val="24"/>
        </w:rPr>
        <w:t>This research adopts an open design</w:t>
      </w:r>
    </w:p>
    <w:p w14:paraId="316F7C1B">
      <w:pPr>
        <w:adjustRightInd w:val="0"/>
        <w:snapToGrid w:val="0"/>
        <w:spacing w:line="360" w:lineRule="auto"/>
        <w:rPr>
          <w:rFonts w:eastAsia="微软雅黑"/>
          <w:b/>
          <w:sz w:val="24"/>
        </w:rPr>
      </w:pPr>
      <w:r>
        <w:rPr>
          <w:rFonts w:eastAsia="微软雅黑"/>
          <w:b/>
          <w:sz w:val="24"/>
        </w:rPr>
        <w:t xml:space="preserve">3.5 </w:t>
      </w:r>
      <w:r>
        <w:rPr>
          <w:rFonts w:eastAsia="微软雅黑"/>
          <w:b/>
          <w:bCs/>
          <w:sz w:val="24"/>
        </w:rPr>
        <w:t>Research cycle</w:t>
      </w:r>
    </w:p>
    <w:p w14:paraId="3B48F754">
      <w:pPr>
        <w:spacing w:line="360" w:lineRule="auto"/>
        <w:ind w:firstLine="480" w:firstLineChars="200"/>
        <w:rPr>
          <w:rFonts w:eastAsia="微软雅黑"/>
          <w:sz w:val="24"/>
        </w:rPr>
      </w:pPr>
      <w:r>
        <w:rPr>
          <w:rFonts w:eastAsia="微软雅黑"/>
          <w:sz w:val="24"/>
        </w:rPr>
        <w:t>Estimated enrollment cycle: complete enrollment within 4 years</w:t>
      </w:r>
    </w:p>
    <w:p w14:paraId="20FB0ECA">
      <w:pPr>
        <w:adjustRightInd w:val="0"/>
        <w:snapToGrid w:val="0"/>
        <w:spacing w:line="360" w:lineRule="auto"/>
        <w:ind w:firstLine="480" w:firstLineChars="200"/>
        <w:rPr>
          <w:rFonts w:eastAsia="微软雅黑"/>
          <w:sz w:val="24"/>
        </w:rPr>
      </w:pPr>
      <w:r>
        <w:rPr>
          <w:rFonts w:eastAsia="微软雅黑"/>
          <w:sz w:val="24"/>
        </w:rPr>
        <w:t>Follow-up period: begin at the enrollment of the first case and end 1 month after the enrollment of the last case.</w:t>
      </w:r>
    </w:p>
    <w:p w14:paraId="0F7DFC48">
      <w:pPr>
        <w:adjustRightInd w:val="0"/>
        <w:snapToGrid w:val="0"/>
        <w:ind w:firstLine="480" w:firstLineChars="200"/>
        <w:rPr>
          <w:rFonts w:eastAsia="微软雅黑"/>
          <w:sz w:val="24"/>
        </w:rPr>
      </w:pPr>
      <w:r>
        <w:rPr>
          <w:rFonts w:eastAsia="微软雅黑"/>
          <w:sz w:val="24"/>
        </w:rPr>
        <w:t>Estimated time: 2017.01-2021.01(to complete enrollment)- 2024.01(to complete follow-up)</w:t>
      </w:r>
    </w:p>
    <w:p w14:paraId="5808CB72">
      <w:pPr>
        <w:numPr>
          <w:ilvl w:val="0"/>
          <w:numId w:val="6"/>
        </w:numPr>
        <w:adjustRightInd w:val="0"/>
        <w:snapToGrid w:val="0"/>
        <w:spacing w:line="360" w:lineRule="auto"/>
        <w:outlineLvl w:val="0"/>
        <w:rPr>
          <w:rFonts w:eastAsia="微软雅黑"/>
          <w:b/>
          <w:sz w:val="24"/>
        </w:rPr>
      </w:pPr>
      <w:bookmarkStart w:id="20" w:name="_Toc2866"/>
      <w:r>
        <w:rPr>
          <w:rFonts w:eastAsia="微软雅黑"/>
          <w:b/>
          <w:sz w:val="24"/>
        </w:rPr>
        <w:t>Study objects</w:t>
      </w:r>
      <w:bookmarkEnd w:id="20"/>
    </w:p>
    <w:p w14:paraId="71430320">
      <w:pPr>
        <w:adjustRightInd w:val="0"/>
        <w:snapToGrid w:val="0"/>
        <w:spacing w:line="360" w:lineRule="auto"/>
        <w:ind w:firstLine="480" w:firstLineChars="200"/>
        <w:rPr>
          <w:rFonts w:eastAsia="微软雅黑"/>
          <w:sz w:val="24"/>
        </w:rPr>
      </w:pPr>
      <w:r>
        <w:rPr>
          <w:rFonts w:eastAsia="微软雅黑"/>
          <w:sz w:val="24"/>
        </w:rPr>
        <w:t>All patients who meet the inclusion criteria and not conform to the exclusion criteria are qualified for this study.</w:t>
      </w:r>
    </w:p>
    <w:p w14:paraId="666BD7D3">
      <w:pPr>
        <w:adjustRightInd w:val="0"/>
        <w:snapToGrid w:val="0"/>
        <w:spacing w:line="360" w:lineRule="auto"/>
        <w:jc w:val="left"/>
        <w:rPr>
          <w:rFonts w:eastAsia="微软雅黑"/>
          <w:b/>
          <w:sz w:val="24"/>
        </w:rPr>
      </w:pPr>
      <w:r>
        <w:rPr>
          <w:rFonts w:eastAsia="微软雅黑"/>
          <w:b/>
          <w:sz w:val="24"/>
        </w:rPr>
        <w:t xml:space="preserve">4.1 Inclusion criteria </w:t>
      </w:r>
    </w:p>
    <w:p w14:paraId="3943571B">
      <w:pPr>
        <w:pStyle w:val="25"/>
        <w:numPr>
          <w:ilvl w:val="255"/>
          <w:numId w:val="0"/>
        </w:numPr>
        <w:adjustRightInd w:val="0"/>
        <w:snapToGrid w:val="0"/>
        <w:spacing w:line="360" w:lineRule="auto"/>
        <w:rPr>
          <w:rFonts w:eastAsia="微软雅黑"/>
          <w:sz w:val="24"/>
        </w:rPr>
      </w:pPr>
      <w:r>
        <w:rPr>
          <w:rFonts w:eastAsia="微软雅黑"/>
          <w:sz w:val="24"/>
        </w:rPr>
        <w:t xml:space="preserve">(1) Age from 18 to 75 years </w:t>
      </w:r>
    </w:p>
    <w:p w14:paraId="5B95CB50">
      <w:pPr>
        <w:pStyle w:val="25"/>
        <w:numPr>
          <w:ilvl w:val="255"/>
          <w:numId w:val="0"/>
        </w:numPr>
        <w:adjustRightInd w:val="0"/>
        <w:snapToGrid w:val="0"/>
        <w:spacing w:line="360" w:lineRule="auto"/>
        <w:rPr>
          <w:rFonts w:eastAsia="微软雅黑"/>
          <w:sz w:val="24"/>
        </w:rPr>
      </w:pPr>
      <w:r>
        <w:rPr>
          <w:rFonts w:eastAsia="微软雅黑"/>
          <w:sz w:val="24"/>
        </w:rPr>
        <w:t>(2) Primary gastric adenocarcinoma (papillary, tubular, mucinous, signet ring cell, or poorly differentiated) confirmed pathologically by endoscopic biopsy</w:t>
      </w:r>
    </w:p>
    <w:p w14:paraId="4387613C">
      <w:pPr>
        <w:pStyle w:val="25"/>
        <w:numPr>
          <w:ilvl w:val="255"/>
          <w:numId w:val="0"/>
        </w:numPr>
        <w:adjustRightInd w:val="0"/>
        <w:snapToGrid w:val="0"/>
        <w:spacing w:line="360" w:lineRule="auto"/>
        <w:rPr>
          <w:rFonts w:eastAsia="微软雅黑"/>
          <w:sz w:val="24"/>
        </w:rPr>
      </w:pPr>
      <w:r>
        <w:rPr>
          <w:rFonts w:eastAsia="微软雅黑"/>
          <w:sz w:val="24"/>
        </w:rPr>
        <w:t xml:space="preserve">(3) Clinical stage tumor T1-4a (cT1-4a), N-/+, M0 at preoperative evaluation according to the American Joint Committee on Cancer (AJCC) Cancer Staging Manual Seventh Edition </w:t>
      </w:r>
    </w:p>
    <w:p w14:paraId="59BA3C7D">
      <w:pPr>
        <w:pStyle w:val="25"/>
        <w:numPr>
          <w:ilvl w:val="255"/>
          <w:numId w:val="0"/>
        </w:numPr>
        <w:adjustRightInd w:val="0"/>
        <w:snapToGrid w:val="0"/>
        <w:spacing w:line="360" w:lineRule="auto"/>
        <w:rPr>
          <w:rFonts w:eastAsia="微软雅黑"/>
          <w:sz w:val="24"/>
        </w:rPr>
      </w:pPr>
      <w:r>
        <w:rPr>
          <w:rFonts w:eastAsia="微软雅黑"/>
          <w:sz w:val="24"/>
        </w:rPr>
        <w:t xml:space="preserve">(4) No distant metastasis, no direct invasion of pancreas, spleen or other organs nearby in the preoperative examinations </w:t>
      </w:r>
    </w:p>
    <w:p w14:paraId="7C7EEB1E">
      <w:pPr>
        <w:pStyle w:val="25"/>
        <w:numPr>
          <w:ilvl w:val="255"/>
          <w:numId w:val="0"/>
        </w:numPr>
        <w:adjustRightInd w:val="0"/>
        <w:snapToGrid w:val="0"/>
        <w:spacing w:line="360" w:lineRule="auto"/>
        <w:rPr>
          <w:rFonts w:eastAsia="微软雅黑"/>
          <w:sz w:val="24"/>
        </w:rPr>
      </w:pPr>
      <w:r>
        <w:rPr>
          <w:rFonts w:eastAsia="微软雅黑"/>
          <w:sz w:val="24"/>
        </w:rPr>
        <w:t>(5) Performance status of 0 or 1 on the ECOG (Eastern Cooperative Oncology Group) scale</w:t>
      </w:r>
    </w:p>
    <w:p w14:paraId="418F93F8">
      <w:pPr>
        <w:pStyle w:val="25"/>
        <w:numPr>
          <w:ilvl w:val="255"/>
          <w:numId w:val="0"/>
        </w:numPr>
        <w:adjustRightInd w:val="0"/>
        <w:snapToGrid w:val="0"/>
        <w:spacing w:line="360" w:lineRule="auto"/>
        <w:rPr>
          <w:rFonts w:eastAsia="微软雅黑"/>
          <w:sz w:val="24"/>
        </w:rPr>
      </w:pPr>
      <w:r>
        <w:rPr>
          <w:rFonts w:eastAsia="微软雅黑"/>
          <w:sz w:val="24"/>
        </w:rPr>
        <w:t>(6) ASA (American Society of Anesthesiology) class I to III</w:t>
      </w:r>
    </w:p>
    <w:p w14:paraId="096DC75C">
      <w:pPr>
        <w:pStyle w:val="25"/>
        <w:numPr>
          <w:ilvl w:val="255"/>
          <w:numId w:val="0"/>
        </w:numPr>
        <w:adjustRightInd w:val="0"/>
        <w:snapToGrid w:val="0"/>
        <w:spacing w:line="360" w:lineRule="auto"/>
        <w:rPr>
          <w:rFonts w:eastAsia="微软雅黑"/>
          <w:sz w:val="24"/>
        </w:rPr>
      </w:pPr>
      <w:r>
        <w:rPr>
          <w:rFonts w:eastAsia="微软雅黑"/>
          <w:sz w:val="24"/>
        </w:rPr>
        <w:t>(7) Written informed consent</w:t>
      </w:r>
    </w:p>
    <w:p w14:paraId="67A78A1D">
      <w:pPr>
        <w:pStyle w:val="25"/>
        <w:adjustRightInd w:val="0"/>
        <w:snapToGrid w:val="0"/>
        <w:spacing w:line="360" w:lineRule="auto"/>
        <w:ind w:firstLine="0" w:firstLineChars="0"/>
        <w:jc w:val="left"/>
        <w:rPr>
          <w:rFonts w:eastAsia="微软雅黑"/>
          <w:b/>
          <w:bCs/>
          <w:sz w:val="24"/>
        </w:rPr>
      </w:pPr>
      <w:r>
        <w:rPr>
          <w:rFonts w:eastAsia="微软雅黑"/>
          <w:b/>
          <w:bCs/>
          <w:sz w:val="24"/>
        </w:rPr>
        <w:t>4.2 Exclusion criteria</w:t>
      </w:r>
    </w:p>
    <w:p w14:paraId="345ED6FF">
      <w:pPr>
        <w:pStyle w:val="25"/>
        <w:numPr>
          <w:ilvl w:val="255"/>
          <w:numId w:val="0"/>
        </w:numPr>
        <w:adjustRightInd w:val="0"/>
        <w:snapToGrid w:val="0"/>
        <w:spacing w:line="360" w:lineRule="auto"/>
        <w:rPr>
          <w:rFonts w:eastAsia="微软雅黑"/>
          <w:sz w:val="24"/>
        </w:rPr>
      </w:pPr>
      <w:r>
        <w:rPr>
          <w:rFonts w:eastAsia="微软雅黑"/>
          <w:sz w:val="24"/>
        </w:rPr>
        <w:t>(1) Women during pregnancy or breast-feeding</w:t>
      </w:r>
    </w:p>
    <w:p w14:paraId="375BA830">
      <w:pPr>
        <w:pStyle w:val="25"/>
        <w:numPr>
          <w:ilvl w:val="255"/>
          <w:numId w:val="0"/>
        </w:numPr>
        <w:adjustRightInd w:val="0"/>
        <w:snapToGrid w:val="0"/>
        <w:spacing w:line="360" w:lineRule="auto"/>
        <w:rPr>
          <w:rFonts w:eastAsia="微软雅黑"/>
          <w:sz w:val="24"/>
        </w:rPr>
      </w:pPr>
      <w:r>
        <w:rPr>
          <w:rFonts w:eastAsia="微软雅黑"/>
          <w:sz w:val="24"/>
        </w:rPr>
        <w:t>(2) Severe mental disorder</w:t>
      </w:r>
    </w:p>
    <w:p w14:paraId="32BD2BBC">
      <w:pPr>
        <w:pStyle w:val="25"/>
        <w:numPr>
          <w:ilvl w:val="255"/>
          <w:numId w:val="0"/>
        </w:numPr>
        <w:adjustRightInd w:val="0"/>
        <w:snapToGrid w:val="0"/>
        <w:spacing w:line="360" w:lineRule="auto"/>
        <w:rPr>
          <w:rFonts w:eastAsia="微软雅黑"/>
          <w:sz w:val="24"/>
        </w:rPr>
      </w:pPr>
      <w:r>
        <w:rPr>
          <w:rFonts w:eastAsia="微软雅黑"/>
          <w:sz w:val="24"/>
        </w:rPr>
        <w:t>(3) History of previous upper abdominal surgery (except for laparoscopic cholecystectomy)</w:t>
      </w:r>
    </w:p>
    <w:p w14:paraId="1737AD6F">
      <w:pPr>
        <w:pStyle w:val="25"/>
        <w:numPr>
          <w:ilvl w:val="255"/>
          <w:numId w:val="0"/>
        </w:numPr>
        <w:adjustRightInd w:val="0"/>
        <w:snapToGrid w:val="0"/>
        <w:spacing w:line="360" w:lineRule="auto"/>
        <w:rPr>
          <w:rFonts w:eastAsia="微软雅黑"/>
          <w:sz w:val="24"/>
        </w:rPr>
      </w:pPr>
      <w:r>
        <w:rPr>
          <w:rFonts w:eastAsia="微软雅黑"/>
          <w:sz w:val="24"/>
        </w:rPr>
        <w:t>(4) History of previous gastric surgery (including ESD/EMR for gastric cancer)</w:t>
      </w:r>
    </w:p>
    <w:p w14:paraId="572BC84F">
      <w:pPr>
        <w:pStyle w:val="25"/>
        <w:numPr>
          <w:ilvl w:val="255"/>
          <w:numId w:val="0"/>
        </w:numPr>
        <w:adjustRightInd w:val="0"/>
        <w:snapToGrid w:val="0"/>
        <w:spacing w:line="360" w:lineRule="auto"/>
        <w:rPr>
          <w:rFonts w:eastAsia="微软雅黑"/>
          <w:sz w:val="24"/>
        </w:rPr>
      </w:pPr>
      <w:r>
        <w:rPr>
          <w:rFonts w:eastAsia="微软雅黑"/>
          <w:sz w:val="24"/>
        </w:rPr>
        <w:t>(5) Rejection of laparoscopic resection</w:t>
      </w:r>
    </w:p>
    <w:p w14:paraId="27286FD9">
      <w:pPr>
        <w:pStyle w:val="25"/>
        <w:numPr>
          <w:ilvl w:val="255"/>
          <w:numId w:val="0"/>
        </w:numPr>
        <w:adjustRightInd w:val="0"/>
        <w:snapToGrid w:val="0"/>
        <w:spacing w:line="360" w:lineRule="auto"/>
        <w:rPr>
          <w:rFonts w:eastAsia="微软雅黑"/>
          <w:sz w:val="24"/>
        </w:rPr>
      </w:pPr>
      <w:r>
        <w:rPr>
          <w:rFonts w:eastAsia="微软雅黑"/>
          <w:sz w:val="24"/>
        </w:rPr>
        <w:t>(6) History of allergy to iodine agents</w:t>
      </w:r>
    </w:p>
    <w:p w14:paraId="4389C052">
      <w:pPr>
        <w:pStyle w:val="25"/>
        <w:numPr>
          <w:ilvl w:val="255"/>
          <w:numId w:val="0"/>
        </w:numPr>
        <w:adjustRightInd w:val="0"/>
        <w:snapToGrid w:val="0"/>
        <w:spacing w:line="360" w:lineRule="auto"/>
        <w:rPr>
          <w:rFonts w:eastAsia="微软雅黑"/>
          <w:sz w:val="24"/>
        </w:rPr>
      </w:pPr>
      <w:r>
        <w:rPr>
          <w:rFonts w:eastAsia="微软雅黑"/>
          <w:sz w:val="24"/>
        </w:rPr>
        <w:t>(7)</w:t>
      </w:r>
      <w:bookmarkStart w:id="21" w:name="OLE_LINK12"/>
      <w:r>
        <w:rPr>
          <w:rFonts w:eastAsia="微软雅黑"/>
          <w:sz w:val="24"/>
        </w:rPr>
        <w:t xml:space="preserve"> </w:t>
      </w:r>
      <w:bookmarkEnd w:id="21"/>
      <w:r>
        <w:rPr>
          <w:rFonts w:eastAsia="微软雅黑"/>
          <w:sz w:val="24"/>
        </w:rPr>
        <w:t>Enlarged or bulky regional LN diameter over 3cm by preoperative imaging</w:t>
      </w:r>
    </w:p>
    <w:p w14:paraId="495FCCA4">
      <w:pPr>
        <w:pStyle w:val="25"/>
        <w:numPr>
          <w:ilvl w:val="255"/>
          <w:numId w:val="0"/>
        </w:numPr>
        <w:adjustRightInd w:val="0"/>
        <w:snapToGrid w:val="0"/>
        <w:spacing w:line="360" w:lineRule="auto"/>
        <w:rPr>
          <w:rFonts w:eastAsia="微软雅黑"/>
          <w:sz w:val="24"/>
        </w:rPr>
      </w:pPr>
      <w:r>
        <w:rPr>
          <w:rFonts w:eastAsia="微软雅黑"/>
          <w:sz w:val="24"/>
        </w:rPr>
        <w:t>(8) History of other malignant disease within past five years</w:t>
      </w:r>
    </w:p>
    <w:p w14:paraId="094F73B8">
      <w:pPr>
        <w:pStyle w:val="25"/>
        <w:numPr>
          <w:ilvl w:val="255"/>
          <w:numId w:val="0"/>
        </w:numPr>
        <w:adjustRightInd w:val="0"/>
        <w:snapToGrid w:val="0"/>
        <w:spacing w:line="360" w:lineRule="auto"/>
        <w:rPr>
          <w:rFonts w:eastAsia="微软雅黑"/>
          <w:sz w:val="24"/>
        </w:rPr>
      </w:pPr>
      <w:r>
        <w:rPr>
          <w:rFonts w:eastAsia="微软雅黑"/>
          <w:sz w:val="24"/>
        </w:rPr>
        <w:t>(9)</w:t>
      </w:r>
      <w:r>
        <w:t xml:space="preserve"> </w:t>
      </w:r>
      <w:r>
        <w:rPr>
          <w:rFonts w:eastAsia="微软雅黑"/>
          <w:sz w:val="24"/>
        </w:rPr>
        <w:t>History of previous neoadjuvant chemotherapy or radiotherapy</w:t>
      </w:r>
    </w:p>
    <w:p w14:paraId="6C958435">
      <w:pPr>
        <w:pStyle w:val="25"/>
        <w:numPr>
          <w:ilvl w:val="255"/>
          <w:numId w:val="0"/>
        </w:numPr>
        <w:adjustRightInd w:val="0"/>
        <w:snapToGrid w:val="0"/>
        <w:spacing w:line="360" w:lineRule="auto"/>
        <w:rPr>
          <w:rFonts w:eastAsia="微软雅黑"/>
          <w:sz w:val="24"/>
        </w:rPr>
      </w:pPr>
      <w:r>
        <w:rPr>
          <w:rFonts w:eastAsia="微软雅黑"/>
          <w:sz w:val="24"/>
        </w:rPr>
        <w:t>(10) History of unstable angina or myocardial infarction within the past six months</w:t>
      </w:r>
    </w:p>
    <w:p w14:paraId="0BB66D27">
      <w:pPr>
        <w:pStyle w:val="25"/>
        <w:numPr>
          <w:ilvl w:val="255"/>
          <w:numId w:val="0"/>
        </w:numPr>
        <w:adjustRightInd w:val="0"/>
        <w:snapToGrid w:val="0"/>
        <w:spacing w:line="360" w:lineRule="auto"/>
        <w:rPr>
          <w:rFonts w:eastAsia="微软雅黑"/>
          <w:sz w:val="24"/>
        </w:rPr>
      </w:pPr>
      <w:r>
        <w:rPr>
          <w:rFonts w:eastAsia="微软雅黑"/>
          <w:sz w:val="24"/>
        </w:rPr>
        <w:t>(11) History of unstable angina or myocardial infarction within past six months</w:t>
      </w:r>
    </w:p>
    <w:p w14:paraId="6CB3E1C1">
      <w:pPr>
        <w:pStyle w:val="25"/>
        <w:numPr>
          <w:ilvl w:val="255"/>
          <w:numId w:val="0"/>
        </w:numPr>
        <w:adjustRightInd w:val="0"/>
        <w:snapToGrid w:val="0"/>
        <w:spacing w:line="360" w:lineRule="auto"/>
        <w:rPr>
          <w:rFonts w:eastAsia="微软雅黑"/>
          <w:sz w:val="24"/>
        </w:rPr>
      </w:pPr>
      <w:r>
        <w:rPr>
          <w:rFonts w:eastAsia="微软雅黑"/>
          <w:sz w:val="24"/>
        </w:rPr>
        <w:t>(12) History of continuous systematic administration of corticosteroids within one month</w:t>
      </w:r>
    </w:p>
    <w:p w14:paraId="1575B08F">
      <w:pPr>
        <w:pStyle w:val="25"/>
        <w:numPr>
          <w:ilvl w:val="255"/>
          <w:numId w:val="0"/>
        </w:numPr>
        <w:adjustRightInd w:val="0"/>
        <w:snapToGrid w:val="0"/>
        <w:spacing w:line="360" w:lineRule="auto"/>
        <w:rPr>
          <w:rFonts w:eastAsia="微软雅黑"/>
          <w:sz w:val="24"/>
        </w:rPr>
      </w:pPr>
      <w:r>
        <w:rPr>
          <w:rFonts w:eastAsia="微软雅黑"/>
          <w:sz w:val="24"/>
        </w:rPr>
        <w:t>(13) Requirement of simultaneous surgery for another disease</w:t>
      </w:r>
    </w:p>
    <w:p w14:paraId="30B685B4">
      <w:pPr>
        <w:pStyle w:val="25"/>
        <w:numPr>
          <w:ilvl w:val="255"/>
          <w:numId w:val="0"/>
        </w:numPr>
        <w:adjustRightInd w:val="0"/>
        <w:snapToGrid w:val="0"/>
        <w:spacing w:line="360" w:lineRule="auto"/>
        <w:rPr>
          <w:rFonts w:eastAsia="微软雅黑"/>
          <w:sz w:val="24"/>
        </w:rPr>
      </w:pPr>
      <w:r>
        <w:rPr>
          <w:rFonts w:eastAsia="微软雅黑"/>
          <w:sz w:val="24"/>
        </w:rPr>
        <w:t>(14) Emergency surgery due to complications (bleeding, obstruction or perforation) caused by gastric cancer</w:t>
      </w:r>
    </w:p>
    <w:p w14:paraId="29A2C24A">
      <w:pPr>
        <w:pStyle w:val="25"/>
        <w:numPr>
          <w:ilvl w:val="255"/>
          <w:numId w:val="0"/>
        </w:numPr>
        <w:adjustRightInd w:val="0"/>
        <w:snapToGrid w:val="0"/>
        <w:spacing w:line="360" w:lineRule="auto"/>
        <w:rPr>
          <w:rFonts w:eastAsia="微软雅黑"/>
          <w:sz w:val="24"/>
        </w:rPr>
      </w:pPr>
      <w:r>
        <w:rPr>
          <w:rFonts w:eastAsia="微软雅黑"/>
          <w:sz w:val="24"/>
        </w:rPr>
        <w:t>(15) FEV1&lt;50% of the predicted values</w:t>
      </w:r>
    </w:p>
    <w:p w14:paraId="55501F54">
      <w:pPr>
        <w:adjustRightInd w:val="0"/>
        <w:snapToGrid w:val="0"/>
        <w:spacing w:line="360" w:lineRule="auto"/>
        <w:jc w:val="left"/>
        <w:rPr>
          <w:rFonts w:eastAsia="微软雅黑"/>
          <w:b/>
          <w:sz w:val="24"/>
        </w:rPr>
      </w:pPr>
      <w:r>
        <w:rPr>
          <w:rFonts w:eastAsia="微软雅黑"/>
          <w:sz w:val="24"/>
        </w:rPr>
        <w:t xml:space="preserve">(16) </w:t>
      </w:r>
      <w:bookmarkStart w:id="22" w:name="_Hlk20468877"/>
      <w:r>
        <w:rPr>
          <w:rFonts w:eastAsia="微软雅黑"/>
          <w:sz w:val="24"/>
        </w:rPr>
        <w:t>Linitis plastica, Widespread</w:t>
      </w:r>
      <w:bookmarkEnd w:id="22"/>
    </w:p>
    <w:p w14:paraId="69A62E08">
      <w:pPr>
        <w:adjustRightInd w:val="0"/>
        <w:snapToGrid w:val="0"/>
        <w:spacing w:line="360" w:lineRule="auto"/>
        <w:rPr>
          <w:rFonts w:eastAsia="微软雅黑"/>
          <w:b/>
          <w:sz w:val="24"/>
        </w:rPr>
      </w:pPr>
      <w:r>
        <w:rPr>
          <w:rFonts w:eastAsia="微软雅黑"/>
          <w:b/>
          <w:sz w:val="24"/>
        </w:rPr>
        <w:t xml:space="preserve">4.3 </w:t>
      </w:r>
      <w:r>
        <w:rPr>
          <w:rFonts w:hint="eastAsia" w:eastAsia="微软雅黑"/>
          <w:b/>
          <w:bCs/>
          <w:sz w:val="24"/>
          <w:lang w:val="en-US" w:eastAsia="zh-CN"/>
        </w:rPr>
        <w:t>W</w:t>
      </w:r>
      <w:r>
        <w:rPr>
          <w:rFonts w:hint="eastAsia" w:eastAsia="微软雅黑"/>
          <w:b/>
          <w:bCs/>
          <w:sz w:val="24"/>
        </w:rPr>
        <w:t>ithdrawal</w:t>
      </w:r>
      <w:r>
        <w:rPr>
          <w:rFonts w:eastAsia="微软雅黑"/>
          <w:b/>
          <w:bCs/>
          <w:sz w:val="24"/>
        </w:rPr>
        <w:t xml:space="preserve"> criteria</w:t>
      </w:r>
    </w:p>
    <w:p w14:paraId="7C0923DB">
      <w:pPr>
        <w:pStyle w:val="25"/>
        <w:numPr>
          <w:ilvl w:val="0"/>
          <w:numId w:val="3"/>
        </w:numPr>
        <w:adjustRightInd w:val="0"/>
        <w:snapToGrid w:val="0"/>
        <w:spacing w:line="360" w:lineRule="auto"/>
        <w:ind w:firstLineChars="0"/>
        <w:rPr>
          <w:rFonts w:eastAsia="微软雅黑"/>
          <w:sz w:val="24"/>
        </w:rPr>
      </w:pPr>
      <w:r>
        <w:rPr>
          <w:rFonts w:eastAsia="微软雅黑"/>
          <w:sz w:val="24"/>
        </w:rPr>
        <w:t xml:space="preserve">M1 tumor confirmed intraoperatively or postoperatively: distant metastasis only found by intraoperative exploration or postoperative pathological biopsy or a positive postoperative peritoneal lavage cytology examination </w:t>
      </w:r>
    </w:p>
    <w:p w14:paraId="17185144">
      <w:pPr>
        <w:pStyle w:val="25"/>
        <w:numPr>
          <w:ilvl w:val="0"/>
          <w:numId w:val="3"/>
        </w:numPr>
        <w:adjustRightInd w:val="0"/>
        <w:snapToGrid w:val="0"/>
        <w:spacing w:line="360" w:lineRule="auto"/>
        <w:ind w:firstLineChars="0"/>
        <w:rPr>
          <w:rFonts w:eastAsia="微软雅黑"/>
          <w:sz w:val="24"/>
        </w:rPr>
      </w:pPr>
      <w:r>
        <w:rPr>
          <w:rFonts w:eastAsia="微软雅黑"/>
          <w:sz w:val="24"/>
        </w:rPr>
        <w:t>Patients intraoperatively/postoperatively confirmed as T4b, or tumor invading the duodenum;</w:t>
      </w:r>
    </w:p>
    <w:p w14:paraId="1B22EFF0">
      <w:pPr>
        <w:pStyle w:val="25"/>
        <w:numPr>
          <w:ilvl w:val="0"/>
          <w:numId w:val="3"/>
        </w:numPr>
        <w:adjustRightInd w:val="0"/>
        <w:snapToGrid w:val="0"/>
        <w:spacing w:line="360" w:lineRule="auto"/>
        <w:ind w:firstLineChars="0"/>
        <w:rPr>
          <w:rFonts w:eastAsia="微软雅黑"/>
          <w:sz w:val="24"/>
        </w:rPr>
      </w:pPr>
      <w:r>
        <w:rPr>
          <w:rFonts w:eastAsia="微软雅黑"/>
          <w:sz w:val="24"/>
        </w:rPr>
        <w:t xml:space="preserve">Patients intraoperatively confirmed as unable to complete D2 LN dissection/R0 resection due to tumor: unable to complete R0 resection due to regional LN integration into a mass or surrounded with important blood vessels, which cannot be resected; </w:t>
      </w:r>
    </w:p>
    <w:p w14:paraId="00001FF5">
      <w:pPr>
        <w:pStyle w:val="25"/>
        <w:numPr>
          <w:ilvl w:val="0"/>
          <w:numId w:val="3"/>
        </w:numPr>
        <w:adjustRightInd w:val="0"/>
        <w:snapToGrid w:val="0"/>
        <w:spacing w:line="360" w:lineRule="auto"/>
        <w:ind w:firstLineChars="0"/>
        <w:rPr>
          <w:rFonts w:eastAsia="微软雅黑"/>
          <w:sz w:val="24"/>
        </w:rPr>
      </w:pPr>
      <w:r>
        <w:rPr>
          <w:rFonts w:eastAsia="微软雅黑"/>
          <w:sz w:val="24"/>
        </w:rPr>
        <w:t xml:space="preserve">Patients requiring simultaneous surgical treatment of other diseases;   </w:t>
      </w:r>
    </w:p>
    <w:p w14:paraId="4DA5D8E5">
      <w:pPr>
        <w:pStyle w:val="25"/>
        <w:numPr>
          <w:ilvl w:val="0"/>
          <w:numId w:val="3"/>
        </w:numPr>
        <w:adjustRightInd w:val="0"/>
        <w:snapToGrid w:val="0"/>
        <w:spacing w:line="360" w:lineRule="auto"/>
        <w:ind w:firstLineChars="0"/>
        <w:rPr>
          <w:rFonts w:eastAsia="微软雅黑"/>
          <w:sz w:val="24"/>
        </w:rPr>
      </w:pPr>
      <w:r>
        <w:rPr>
          <w:rFonts w:eastAsia="微软雅黑"/>
          <w:sz w:val="24"/>
        </w:rPr>
        <w:t xml:space="preserve">Sudden severe complications during the perioperative period (intolerable surgery or anesthesia), which renders it unsuitable or unfeasible to implement the study treatment protocol as scheduled;   </w:t>
      </w:r>
    </w:p>
    <w:p w14:paraId="2902AC3A">
      <w:pPr>
        <w:pStyle w:val="25"/>
        <w:numPr>
          <w:ilvl w:val="0"/>
          <w:numId w:val="3"/>
        </w:numPr>
        <w:adjustRightInd w:val="0"/>
        <w:snapToGrid w:val="0"/>
        <w:spacing w:line="360" w:lineRule="auto"/>
        <w:ind w:firstLineChars="0"/>
        <w:rPr>
          <w:rFonts w:eastAsia="微软雅黑"/>
          <w:sz w:val="24"/>
        </w:rPr>
      </w:pPr>
      <w:r>
        <w:rPr>
          <w:rFonts w:eastAsia="微软雅黑"/>
          <w:sz w:val="24"/>
        </w:rPr>
        <w:t xml:space="preserve">Patients confirmed to require emergency surgery by attending physicians due to changes in the patient’s condition after inclusion in this study; </w:t>
      </w:r>
    </w:p>
    <w:p w14:paraId="66B3EF1F">
      <w:pPr>
        <w:pStyle w:val="25"/>
        <w:numPr>
          <w:ilvl w:val="0"/>
          <w:numId w:val="3"/>
        </w:numPr>
        <w:adjustRightInd w:val="0"/>
        <w:snapToGrid w:val="0"/>
        <w:spacing w:line="360" w:lineRule="auto"/>
        <w:ind w:firstLineChars="0"/>
        <w:rPr>
          <w:rFonts w:eastAsia="微软雅黑"/>
          <w:sz w:val="24"/>
        </w:rPr>
      </w:pPr>
      <w:r>
        <w:rPr>
          <w:rFonts w:eastAsia="微软雅黑"/>
          <w:sz w:val="24"/>
        </w:rPr>
        <w:t xml:space="preserve">Patients who voluntarily quit or discontinue treatment for personal reasons at any stage after inclusion in this study; </w:t>
      </w:r>
    </w:p>
    <w:p w14:paraId="5A88BE25">
      <w:pPr>
        <w:pStyle w:val="25"/>
        <w:numPr>
          <w:ilvl w:val="0"/>
          <w:numId w:val="3"/>
        </w:numPr>
        <w:adjustRightInd w:val="0"/>
        <w:snapToGrid w:val="0"/>
        <w:spacing w:line="360" w:lineRule="auto"/>
        <w:ind w:firstLineChars="0"/>
        <w:rPr>
          <w:rFonts w:eastAsia="微软雅黑"/>
          <w:sz w:val="24"/>
        </w:rPr>
      </w:pPr>
      <w:r>
        <w:rPr>
          <w:rFonts w:eastAsia="微软雅黑"/>
          <w:sz w:val="24"/>
        </w:rPr>
        <w:t>Treatment implemented is proven to violate study protocol.</w:t>
      </w:r>
    </w:p>
    <w:p w14:paraId="1D16B801">
      <w:pPr>
        <w:adjustRightInd w:val="0"/>
        <w:snapToGrid w:val="0"/>
        <w:spacing w:line="360" w:lineRule="auto"/>
        <w:rPr>
          <w:rFonts w:eastAsia="微软雅黑"/>
          <w:b/>
          <w:sz w:val="28"/>
          <w:szCs w:val="28"/>
        </w:rPr>
      </w:pPr>
      <w:r>
        <w:rPr>
          <w:rFonts w:eastAsia="微软雅黑"/>
          <w:b/>
          <w:sz w:val="24"/>
        </w:rPr>
        <w:t xml:space="preserve">4.4 </w:t>
      </w:r>
      <w:bookmarkStart w:id="23" w:name="OLE_LINK11"/>
      <w:r>
        <w:rPr>
          <w:rFonts w:eastAsia="微软雅黑"/>
          <w:b/>
          <w:sz w:val="24"/>
        </w:rPr>
        <w:t>Case screening</w:t>
      </w:r>
      <w:bookmarkEnd w:id="23"/>
    </w:p>
    <w:p w14:paraId="6CF9D345">
      <w:pPr>
        <w:numPr>
          <w:ilvl w:val="0"/>
          <w:numId w:val="7"/>
        </w:numPr>
        <w:adjustRightInd w:val="0"/>
        <w:snapToGrid w:val="0"/>
        <w:spacing w:line="360" w:lineRule="auto"/>
        <w:rPr>
          <w:rFonts w:eastAsia="微软雅黑"/>
          <w:sz w:val="24"/>
        </w:rPr>
      </w:pPr>
      <w:r>
        <w:rPr>
          <w:rFonts w:eastAsia="微软雅黑"/>
          <w:sz w:val="24"/>
        </w:rPr>
        <w:t>When Patients admitted to hospital should meet the following criteria: Age between 18 and 75 years old; Performance status of 0 or 1 on the ECOG scale; None-pregnant or no lactating women; Not suffering from a severe mental disorder; No history of previous upper abdominal surgery (except for laparoscopic cholecystectomy); No history of previous gastric surgery (including ESD/EMR for gastric cancer); No History of other malignant disease within the past five years;  No history of unstable angina or myocardial infarction within the past six months;  No history of continuous systematic administration of corticosteroids within one month; No requirement of simultaneous surgery for another disease; FEV1≥50% of the predicted values; No history of a cerebrovascular accident within the past six months.</w:t>
      </w:r>
    </w:p>
    <w:p w14:paraId="5719F57C">
      <w:pPr>
        <w:numPr>
          <w:ilvl w:val="0"/>
          <w:numId w:val="7"/>
        </w:numPr>
        <w:adjustRightInd w:val="0"/>
        <w:snapToGrid w:val="0"/>
        <w:spacing w:line="360" w:lineRule="auto"/>
        <w:rPr>
          <w:rFonts w:eastAsia="微软雅黑"/>
          <w:sz w:val="24"/>
        </w:rPr>
      </w:pPr>
      <w:r>
        <w:rPr>
          <w:rFonts w:eastAsia="微软雅黑"/>
          <w:sz w:val="24"/>
        </w:rPr>
        <w:t>Endoscopic examination of the primary lesion in the patient (recommended endoscopic ultrasound endoscopy, EUS) and histopathological biopsy showed gastric adenocarcinoma (papillary adenocarcinoma [pap], tubular adenocarcinoma [tub], mucinous adenocarcinoma [muc], signet ring cell carcinoma [sig], and poorly differentiated adenocarcinoma [por]). Total abdominal CT was performed on the patient, and no enlarged LNs (maximum diameter ≥ 3 cm) were found in the periplasmic area, including significant enlargement or merging of the No. 10 LNs into a group or local invasion/distance metastasis. No obvious tumor infiltration was found in the spleen and spleen vessels.</w:t>
      </w:r>
    </w:p>
    <w:p w14:paraId="79186641">
      <w:pPr>
        <w:numPr>
          <w:ilvl w:val="0"/>
          <w:numId w:val="7"/>
        </w:numPr>
        <w:adjustRightInd w:val="0"/>
        <w:snapToGrid w:val="0"/>
        <w:spacing w:line="360" w:lineRule="auto"/>
        <w:rPr>
          <w:rFonts w:eastAsia="微软雅黑"/>
          <w:sz w:val="24"/>
        </w:rPr>
      </w:pPr>
      <w:r>
        <w:rPr>
          <w:rFonts w:eastAsia="微软雅黑"/>
          <w:sz w:val="24"/>
        </w:rPr>
        <w:t>Patient is explicitly diagnosed with upper third gastric cancer, has a preoperative staging assessment of T1-4a, N0-3, M0 and is expected to undergo total gastrectomy and D2 LN dissection to obtain R0 surgical results (also indicated for multiple primary cancer).</w:t>
      </w:r>
    </w:p>
    <w:p w14:paraId="572A6593">
      <w:pPr>
        <w:numPr>
          <w:ilvl w:val="0"/>
          <w:numId w:val="7"/>
        </w:numPr>
        <w:adjustRightInd w:val="0"/>
        <w:snapToGrid w:val="0"/>
        <w:spacing w:line="360" w:lineRule="auto"/>
        <w:rPr>
          <w:rFonts w:eastAsia="微软雅黑"/>
          <w:sz w:val="24"/>
        </w:rPr>
      </w:pPr>
      <w:r>
        <w:rPr>
          <w:rFonts w:eastAsia="微软雅黑"/>
          <w:sz w:val="24"/>
        </w:rPr>
        <w:t xml:space="preserve">Patients do not require neoadjuvant chemoradiotherapy or chemotherapy and the attending doctor does not recommend that they receive neoadjuvant chemoradiotherapy or chemotherapy. </w:t>
      </w:r>
    </w:p>
    <w:p w14:paraId="3A0194D5">
      <w:pPr>
        <w:numPr>
          <w:ilvl w:val="0"/>
          <w:numId w:val="7"/>
        </w:numPr>
        <w:adjustRightInd w:val="0"/>
        <w:snapToGrid w:val="0"/>
        <w:spacing w:line="360" w:lineRule="auto"/>
        <w:rPr>
          <w:rFonts w:eastAsia="微软雅黑"/>
          <w:sz w:val="24"/>
        </w:rPr>
      </w:pPr>
      <w:r>
        <w:rPr>
          <w:rFonts w:eastAsia="微软雅黑"/>
          <w:sz w:val="24"/>
        </w:rPr>
        <w:t>ASA class I to III.</w:t>
      </w:r>
    </w:p>
    <w:p w14:paraId="22E4DC31">
      <w:pPr>
        <w:numPr>
          <w:ilvl w:val="0"/>
          <w:numId w:val="7"/>
        </w:numPr>
        <w:adjustRightInd w:val="0"/>
        <w:snapToGrid w:val="0"/>
        <w:spacing w:line="360" w:lineRule="auto"/>
        <w:rPr>
          <w:rFonts w:eastAsia="微软雅黑"/>
          <w:sz w:val="22"/>
          <w:szCs w:val="22"/>
        </w:rPr>
      </w:pPr>
      <w:r>
        <w:rPr>
          <w:rFonts w:eastAsia="微软雅黑"/>
          <w:sz w:val="24"/>
        </w:rPr>
        <w:t>No requirement for emergency surgery.</w:t>
      </w:r>
    </w:p>
    <w:p w14:paraId="69DFFCC7">
      <w:pPr>
        <w:numPr>
          <w:ilvl w:val="0"/>
          <w:numId w:val="7"/>
        </w:numPr>
        <w:adjustRightInd w:val="0"/>
        <w:snapToGrid w:val="0"/>
        <w:spacing w:line="360" w:lineRule="auto"/>
        <w:rPr>
          <w:rFonts w:eastAsia="微软雅黑"/>
          <w:sz w:val="22"/>
          <w:szCs w:val="22"/>
        </w:rPr>
      </w:pPr>
      <w:r>
        <w:rPr>
          <w:rFonts w:eastAsia="微软雅黑"/>
          <w:sz w:val="24"/>
        </w:rPr>
        <w:t>Patient does not require emergency surgery.</w:t>
      </w:r>
    </w:p>
    <w:p w14:paraId="67FE19C3">
      <w:pPr>
        <w:numPr>
          <w:ilvl w:val="0"/>
          <w:numId w:val="7"/>
        </w:numPr>
        <w:adjustRightInd w:val="0"/>
        <w:snapToGrid w:val="0"/>
        <w:spacing w:line="360" w:lineRule="auto"/>
        <w:rPr>
          <w:rFonts w:eastAsia="微软雅黑"/>
          <w:sz w:val="22"/>
          <w:szCs w:val="22"/>
        </w:rPr>
      </w:pPr>
      <w:r>
        <w:rPr>
          <w:rFonts w:eastAsia="微软雅黑"/>
          <w:sz w:val="24"/>
        </w:rPr>
        <w:t>At this point the patient becomes a potential selected case and enters the 9.1 case selection procedure</w:t>
      </w:r>
    </w:p>
    <w:p w14:paraId="5E7DAC17">
      <w:pPr>
        <w:adjustRightInd w:val="0"/>
        <w:snapToGrid w:val="0"/>
        <w:spacing w:line="360" w:lineRule="auto"/>
        <w:outlineLvl w:val="0"/>
        <w:rPr>
          <w:rFonts w:eastAsia="微软雅黑"/>
          <w:b/>
          <w:sz w:val="32"/>
          <w:szCs w:val="32"/>
        </w:rPr>
      </w:pPr>
      <w:bookmarkStart w:id="24" w:name="_Toc16222"/>
      <w:r>
        <w:rPr>
          <w:rFonts w:eastAsia="微软雅黑"/>
          <w:b/>
          <w:sz w:val="30"/>
          <w:szCs w:val="30"/>
        </w:rPr>
        <w:t xml:space="preserve">5. </w:t>
      </w:r>
      <w:r>
        <w:rPr>
          <w:rFonts w:eastAsia="微软雅黑"/>
          <w:b/>
          <w:bCs/>
          <w:sz w:val="30"/>
          <w:szCs w:val="30"/>
        </w:rPr>
        <w:t>Outcome Measures</w:t>
      </w:r>
      <w:bookmarkEnd w:id="24"/>
    </w:p>
    <w:p w14:paraId="79CDC4FD">
      <w:pPr>
        <w:adjustRightInd w:val="0"/>
        <w:snapToGrid w:val="0"/>
        <w:spacing w:line="360" w:lineRule="auto"/>
        <w:rPr>
          <w:rFonts w:eastAsia="微软雅黑"/>
          <w:b/>
          <w:sz w:val="24"/>
        </w:rPr>
      </w:pPr>
      <w:r>
        <w:rPr>
          <w:rFonts w:eastAsia="微软雅黑"/>
          <w:b/>
          <w:sz w:val="24"/>
        </w:rPr>
        <w:t>5.1 Primary Outcome Measures</w:t>
      </w:r>
    </w:p>
    <w:p w14:paraId="051ECEEF">
      <w:pPr>
        <w:pStyle w:val="25"/>
        <w:numPr>
          <w:ilvl w:val="0"/>
          <w:numId w:val="4"/>
        </w:numPr>
        <w:spacing w:line="360" w:lineRule="auto"/>
        <w:ind w:firstLineChars="0"/>
        <w:rPr>
          <w:rFonts w:eastAsia="微软雅黑"/>
          <w:sz w:val="24"/>
        </w:rPr>
      </w:pPr>
      <w:r>
        <w:rPr>
          <w:rFonts w:eastAsia="微软雅黑"/>
          <w:sz w:val="24"/>
        </w:rPr>
        <w:t xml:space="preserve">Total number of retrieved LNs </w:t>
      </w:r>
    </w:p>
    <w:p w14:paraId="7A7A1F4B">
      <w:pPr>
        <w:adjustRightInd w:val="0"/>
        <w:snapToGrid w:val="0"/>
        <w:spacing w:line="360" w:lineRule="auto"/>
        <w:rPr>
          <w:rFonts w:eastAsia="微软雅黑"/>
          <w:b/>
          <w:sz w:val="24"/>
        </w:rPr>
      </w:pPr>
      <w:r>
        <w:rPr>
          <w:rFonts w:eastAsia="微软雅黑"/>
          <w:b/>
          <w:sz w:val="24"/>
        </w:rPr>
        <w:t>5.2 Secondary Outcome Measures</w:t>
      </w:r>
    </w:p>
    <w:p w14:paraId="3D20EAAD">
      <w:pPr>
        <w:pStyle w:val="25"/>
        <w:numPr>
          <w:ilvl w:val="0"/>
          <w:numId w:val="4"/>
        </w:numPr>
        <w:spacing w:line="360" w:lineRule="auto"/>
        <w:ind w:firstLineChars="0"/>
        <w:rPr>
          <w:rFonts w:eastAsia="微软雅黑"/>
          <w:sz w:val="24"/>
        </w:rPr>
      </w:pPr>
      <w:r>
        <w:rPr>
          <w:rFonts w:eastAsia="微软雅黑"/>
          <w:sz w:val="24"/>
        </w:rPr>
        <w:t xml:space="preserve">The rate of fluorescence </w:t>
      </w:r>
    </w:p>
    <w:p w14:paraId="5888757A">
      <w:pPr>
        <w:pStyle w:val="25"/>
        <w:numPr>
          <w:ilvl w:val="0"/>
          <w:numId w:val="4"/>
        </w:numPr>
        <w:spacing w:line="360" w:lineRule="auto"/>
        <w:ind w:firstLineChars="0"/>
        <w:rPr>
          <w:rFonts w:eastAsia="微软雅黑"/>
          <w:sz w:val="24"/>
        </w:rPr>
      </w:pPr>
      <w:r>
        <w:rPr>
          <w:rFonts w:eastAsia="微软雅黑"/>
          <w:sz w:val="24"/>
        </w:rPr>
        <w:t>Positive rate</w:t>
      </w:r>
    </w:p>
    <w:p w14:paraId="350EBEF5">
      <w:pPr>
        <w:pStyle w:val="25"/>
        <w:numPr>
          <w:ilvl w:val="0"/>
          <w:numId w:val="4"/>
        </w:numPr>
        <w:spacing w:line="360" w:lineRule="auto"/>
        <w:ind w:firstLineChars="0"/>
        <w:rPr>
          <w:rFonts w:eastAsia="微软雅黑"/>
          <w:sz w:val="24"/>
        </w:rPr>
      </w:pPr>
      <w:r>
        <w:rPr>
          <w:rFonts w:eastAsia="微软雅黑"/>
          <w:sz w:val="24"/>
        </w:rPr>
        <w:t>False positive rate</w:t>
      </w:r>
    </w:p>
    <w:p w14:paraId="12FC1E5E">
      <w:pPr>
        <w:pStyle w:val="25"/>
        <w:numPr>
          <w:ilvl w:val="0"/>
          <w:numId w:val="4"/>
        </w:numPr>
        <w:spacing w:line="360" w:lineRule="auto"/>
        <w:ind w:firstLineChars="0"/>
        <w:rPr>
          <w:rFonts w:eastAsia="微软雅黑"/>
          <w:sz w:val="24"/>
        </w:rPr>
      </w:pPr>
      <w:r>
        <w:rPr>
          <w:rFonts w:eastAsia="微软雅黑"/>
          <w:sz w:val="24"/>
        </w:rPr>
        <w:t>Negative rate</w:t>
      </w:r>
    </w:p>
    <w:p w14:paraId="4A46574E">
      <w:pPr>
        <w:pStyle w:val="25"/>
        <w:numPr>
          <w:ilvl w:val="0"/>
          <w:numId w:val="4"/>
        </w:numPr>
        <w:spacing w:line="360" w:lineRule="auto"/>
        <w:ind w:firstLineChars="0"/>
        <w:rPr>
          <w:rFonts w:eastAsia="微软雅黑"/>
          <w:sz w:val="24"/>
        </w:rPr>
      </w:pPr>
      <w:r>
        <w:rPr>
          <w:rFonts w:eastAsia="微软雅黑"/>
          <w:sz w:val="24"/>
        </w:rPr>
        <w:t>False negative rate</w:t>
      </w:r>
    </w:p>
    <w:p w14:paraId="779D9914">
      <w:pPr>
        <w:pStyle w:val="25"/>
        <w:numPr>
          <w:ilvl w:val="0"/>
          <w:numId w:val="4"/>
        </w:numPr>
        <w:spacing w:line="360" w:lineRule="auto"/>
        <w:ind w:firstLineChars="0"/>
        <w:rPr>
          <w:rFonts w:eastAsia="微软雅黑"/>
          <w:sz w:val="24"/>
        </w:rPr>
      </w:pPr>
      <w:r>
        <w:rPr>
          <w:rFonts w:eastAsia="微软雅黑"/>
          <w:sz w:val="24"/>
        </w:rPr>
        <w:t>Number of metastatic LNs</w:t>
      </w:r>
    </w:p>
    <w:p w14:paraId="71224D15">
      <w:pPr>
        <w:pStyle w:val="25"/>
        <w:numPr>
          <w:ilvl w:val="0"/>
          <w:numId w:val="4"/>
        </w:numPr>
        <w:spacing w:line="360" w:lineRule="auto"/>
        <w:ind w:firstLineChars="0"/>
        <w:rPr>
          <w:rFonts w:eastAsia="微软雅黑"/>
          <w:sz w:val="24"/>
        </w:rPr>
      </w:pPr>
      <w:r>
        <w:rPr>
          <w:rFonts w:eastAsia="微软雅黑"/>
          <w:sz w:val="24"/>
        </w:rPr>
        <w:t>Metastatic rate of LN</w:t>
      </w:r>
    </w:p>
    <w:p w14:paraId="3A692CD2">
      <w:pPr>
        <w:pStyle w:val="25"/>
        <w:numPr>
          <w:ilvl w:val="0"/>
          <w:numId w:val="4"/>
        </w:numPr>
        <w:spacing w:line="360" w:lineRule="auto"/>
        <w:ind w:firstLineChars="0"/>
        <w:rPr>
          <w:rFonts w:eastAsia="微软雅黑"/>
          <w:sz w:val="24"/>
        </w:rPr>
      </w:pPr>
      <w:r>
        <w:rPr>
          <w:rFonts w:eastAsia="微软雅黑"/>
          <w:sz w:val="24"/>
        </w:rPr>
        <w:t>Morbidity and mortality rates</w:t>
      </w:r>
    </w:p>
    <w:p w14:paraId="7586F239">
      <w:pPr>
        <w:pStyle w:val="25"/>
        <w:numPr>
          <w:ilvl w:val="0"/>
          <w:numId w:val="4"/>
        </w:numPr>
        <w:spacing w:line="360" w:lineRule="auto"/>
        <w:ind w:firstLineChars="0"/>
        <w:rPr>
          <w:rFonts w:eastAsia="微软雅黑"/>
          <w:sz w:val="24"/>
        </w:rPr>
      </w:pPr>
      <w:r>
        <w:rPr>
          <w:rFonts w:eastAsia="微软雅黑"/>
          <w:sz w:val="24"/>
        </w:rPr>
        <w:t>3-year disease-free survival rate</w:t>
      </w:r>
    </w:p>
    <w:p w14:paraId="45BEA4B1">
      <w:pPr>
        <w:pStyle w:val="25"/>
        <w:numPr>
          <w:ilvl w:val="0"/>
          <w:numId w:val="4"/>
        </w:numPr>
        <w:spacing w:line="360" w:lineRule="auto"/>
        <w:ind w:firstLineChars="0"/>
        <w:rPr>
          <w:rFonts w:eastAsia="微软雅黑"/>
          <w:sz w:val="24"/>
        </w:rPr>
      </w:pPr>
      <w:r>
        <w:rPr>
          <w:rFonts w:eastAsia="微软雅黑"/>
          <w:sz w:val="24"/>
        </w:rPr>
        <w:t>3-year overall survival rate</w:t>
      </w:r>
    </w:p>
    <w:p w14:paraId="72AE1737">
      <w:pPr>
        <w:pStyle w:val="25"/>
        <w:numPr>
          <w:ilvl w:val="0"/>
          <w:numId w:val="4"/>
        </w:numPr>
        <w:spacing w:line="360" w:lineRule="auto"/>
        <w:ind w:firstLineChars="0"/>
        <w:rPr>
          <w:rFonts w:eastAsia="微软雅黑"/>
          <w:sz w:val="24"/>
        </w:rPr>
      </w:pPr>
      <w:r>
        <w:rPr>
          <w:rFonts w:eastAsia="微软雅黑"/>
          <w:sz w:val="24"/>
        </w:rPr>
        <w:t>3-year recurrence pattern</w:t>
      </w:r>
    </w:p>
    <w:p w14:paraId="2C359691">
      <w:pPr>
        <w:pStyle w:val="25"/>
        <w:numPr>
          <w:ilvl w:val="0"/>
          <w:numId w:val="4"/>
        </w:numPr>
        <w:spacing w:line="360" w:lineRule="auto"/>
        <w:ind w:firstLineChars="0"/>
        <w:rPr>
          <w:rFonts w:eastAsia="微软雅黑"/>
          <w:sz w:val="24"/>
        </w:rPr>
      </w:pPr>
      <w:r>
        <w:rPr>
          <w:rFonts w:hint="eastAsia" w:eastAsia="微软雅黑"/>
          <w:sz w:val="24"/>
          <w:lang w:val="en-US" w:eastAsia="zh-CN"/>
        </w:rPr>
        <w:t>5</w:t>
      </w:r>
      <w:r>
        <w:rPr>
          <w:rFonts w:eastAsia="微软雅黑"/>
          <w:sz w:val="24"/>
        </w:rPr>
        <w:t>-year disease-free survival rate</w:t>
      </w:r>
    </w:p>
    <w:p w14:paraId="3C28FA59">
      <w:pPr>
        <w:pStyle w:val="25"/>
        <w:numPr>
          <w:ilvl w:val="0"/>
          <w:numId w:val="4"/>
        </w:numPr>
        <w:spacing w:line="360" w:lineRule="auto"/>
        <w:ind w:firstLineChars="0"/>
        <w:rPr>
          <w:rFonts w:eastAsia="微软雅黑"/>
          <w:sz w:val="24"/>
        </w:rPr>
      </w:pPr>
      <w:r>
        <w:rPr>
          <w:rFonts w:hint="eastAsia" w:eastAsia="微软雅黑"/>
          <w:sz w:val="24"/>
          <w:lang w:val="en-US" w:eastAsia="zh-CN"/>
        </w:rPr>
        <w:t>5</w:t>
      </w:r>
      <w:r>
        <w:rPr>
          <w:rFonts w:eastAsia="微软雅黑"/>
          <w:sz w:val="24"/>
        </w:rPr>
        <w:t>-year overall survival rate</w:t>
      </w:r>
    </w:p>
    <w:p w14:paraId="45C323E2">
      <w:pPr>
        <w:pStyle w:val="25"/>
        <w:numPr>
          <w:ilvl w:val="0"/>
          <w:numId w:val="4"/>
        </w:numPr>
        <w:spacing w:line="360" w:lineRule="auto"/>
        <w:ind w:firstLineChars="0"/>
        <w:rPr>
          <w:rFonts w:eastAsia="微软雅黑"/>
          <w:sz w:val="24"/>
        </w:rPr>
      </w:pPr>
      <w:r>
        <w:rPr>
          <w:rFonts w:hint="eastAsia" w:eastAsia="微软雅黑"/>
          <w:sz w:val="24"/>
          <w:lang w:val="en-US" w:eastAsia="zh-CN"/>
        </w:rPr>
        <w:t>5</w:t>
      </w:r>
      <w:r>
        <w:rPr>
          <w:rFonts w:eastAsia="微软雅黑"/>
          <w:sz w:val="24"/>
        </w:rPr>
        <w:t>-year recurrence patter</w:t>
      </w:r>
    </w:p>
    <w:p w14:paraId="7DFE0198">
      <w:pPr>
        <w:pStyle w:val="25"/>
        <w:numPr>
          <w:ilvl w:val="0"/>
          <w:numId w:val="4"/>
        </w:numPr>
        <w:spacing w:line="360" w:lineRule="auto"/>
        <w:ind w:firstLineChars="0"/>
        <w:rPr>
          <w:rFonts w:eastAsia="微软雅黑"/>
          <w:sz w:val="24"/>
        </w:rPr>
      </w:pPr>
      <w:r>
        <w:rPr>
          <w:rFonts w:eastAsia="微软雅黑"/>
          <w:sz w:val="24"/>
        </w:rPr>
        <w:t>Postoperative recovery course</w:t>
      </w:r>
    </w:p>
    <w:p w14:paraId="5D906F60">
      <w:pPr>
        <w:pStyle w:val="25"/>
        <w:numPr>
          <w:ilvl w:val="0"/>
          <w:numId w:val="4"/>
        </w:numPr>
        <w:spacing w:line="360" w:lineRule="auto"/>
        <w:ind w:firstLineChars="0"/>
        <w:rPr>
          <w:rFonts w:eastAsia="微软雅黑"/>
          <w:sz w:val="24"/>
        </w:rPr>
      </w:pPr>
      <w:r>
        <w:rPr>
          <w:rFonts w:eastAsia="微软雅黑"/>
          <w:sz w:val="24"/>
        </w:rPr>
        <w:t>Operation time</w:t>
      </w:r>
    </w:p>
    <w:p w14:paraId="09F99FEB">
      <w:pPr>
        <w:pStyle w:val="25"/>
        <w:numPr>
          <w:ilvl w:val="0"/>
          <w:numId w:val="4"/>
        </w:numPr>
        <w:spacing w:line="360" w:lineRule="auto"/>
        <w:ind w:firstLineChars="0"/>
        <w:rPr>
          <w:rFonts w:eastAsia="微软雅黑"/>
          <w:sz w:val="24"/>
        </w:rPr>
      </w:pPr>
      <w:r>
        <w:rPr>
          <w:rFonts w:eastAsia="微软雅黑"/>
          <w:sz w:val="24"/>
        </w:rPr>
        <w:t>The variation of weight</w:t>
      </w:r>
    </w:p>
    <w:p w14:paraId="706C3C58">
      <w:pPr>
        <w:pStyle w:val="25"/>
        <w:numPr>
          <w:ilvl w:val="0"/>
          <w:numId w:val="4"/>
        </w:numPr>
        <w:spacing w:line="360" w:lineRule="auto"/>
        <w:ind w:firstLineChars="0"/>
        <w:rPr>
          <w:rFonts w:eastAsia="微软雅黑"/>
          <w:sz w:val="24"/>
        </w:rPr>
      </w:pPr>
      <w:r>
        <w:rPr>
          <w:rFonts w:eastAsia="微软雅黑"/>
          <w:sz w:val="24"/>
        </w:rPr>
        <w:t>Intraoperative blood loss</w:t>
      </w:r>
    </w:p>
    <w:p w14:paraId="2D5F5888">
      <w:pPr>
        <w:pStyle w:val="25"/>
        <w:numPr>
          <w:ilvl w:val="0"/>
          <w:numId w:val="4"/>
        </w:numPr>
        <w:spacing w:line="360" w:lineRule="auto"/>
        <w:ind w:firstLineChars="0"/>
        <w:rPr>
          <w:rFonts w:eastAsia="微软雅黑"/>
          <w:sz w:val="24"/>
        </w:rPr>
      </w:pPr>
      <w:r>
        <w:rPr>
          <w:rFonts w:eastAsia="微软雅黑"/>
          <w:sz w:val="24"/>
        </w:rPr>
        <w:t>Conversive rate</w:t>
      </w:r>
    </w:p>
    <w:p w14:paraId="00F3D64E">
      <w:pPr>
        <w:pStyle w:val="25"/>
        <w:numPr>
          <w:ilvl w:val="0"/>
          <w:numId w:val="4"/>
        </w:numPr>
        <w:spacing w:line="360" w:lineRule="auto"/>
        <w:ind w:firstLineChars="0"/>
        <w:outlineLvl w:val="0"/>
        <w:rPr>
          <w:rFonts w:eastAsia="微软雅黑"/>
          <w:sz w:val="24"/>
        </w:rPr>
      </w:pPr>
      <w:bookmarkStart w:id="25" w:name="_Toc30913"/>
      <w:r>
        <w:rPr>
          <w:rFonts w:eastAsia="微软雅黑"/>
          <w:sz w:val="24"/>
        </w:rPr>
        <w:t>Intraoperative morbidity rates</w:t>
      </w:r>
      <w:bookmarkEnd w:id="25"/>
    </w:p>
    <w:p w14:paraId="28A50CA8">
      <w:pPr>
        <w:pStyle w:val="25"/>
        <w:numPr>
          <w:ilvl w:val="0"/>
          <w:numId w:val="4"/>
        </w:numPr>
        <w:spacing w:line="360" w:lineRule="auto"/>
        <w:ind w:firstLineChars="0"/>
        <w:rPr>
          <w:rFonts w:eastAsia="微软雅黑"/>
          <w:sz w:val="24"/>
        </w:rPr>
      </w:pPr>
      <w:r>
        <w:rPr>
          <w:rFonts w:eastAsia="微软雅黑"/>
          <w:sz w:val="24"/>
        </w:rPr>
        <w:t>Incision length</w:t>
      </w:r>
    </w:p>
    <w:p w14:paraId="6794326D">
      <w:pPr>
        <w:pStyle w:val="25"/>
        <w:numPr>
          <w:ilvl w:val="0"/>
          <w:numId w:val="4"/>
        </w:numPr>
        <w:spacing w:line="360" w:lineRule="auto"/>
        <w:ind w:firstLineChars="0"/>
        <w:rPr>
          <w:rFonts w:eastAsia="微软雅黑"/>
          <w:sz w:val="24"/>
        </w:rPr>
      </w:pPr>
      <w:r>
        <w:rPr>
          <w:rFonts w:eastAsia="微软雅黑"/>
          <w:sz w:val="24"/>
        </w:rPr>
        <w:t>The variation of cholesterol</w:t>
      </w:r>
    </w:p>
    <w:p w14:paraId="04296AF0">
      <w:pPr>
        <w:pStyle w:val="25"/>
        <w:numPr>
          <w:ilvl w:val="0"/>
          <w:numId w:val="4"/>
        </w:numPr>
        <w:spacing w:line="360" w:lineRule="auto"/>
        <w:ind w:firstLineChars="0"/>
        <w:rPr>
          <w:rFonts w:eastAsia="微软雅黑"/>
          <w:sz w:val="24"/>
        </w:rPr>
      </w:pPr>
      <w:r>
        <w:rPr>
          <w:rFonts w:eastAsia="微软雅黑"/>
          <w:sz w:val="24"/>
        </w:rPr>
        <w:t>The variation of album</w:t>
      </w:r>
    </w:p>
    <w:p w14:paraId="5A51E005">
      <w:pPr>
        <w:pStyle w:val="25"/>
        <w:numPr>
          <w:ilvl w:val="0"/>
          <w:numId w:val="4"/>
        </w:numPr>
        <w:spacing w:line="360" w:lineRule="auto"/>
        <w:ind w:firstLineChars="0"/>
        <w:rPr>
          <w:rFonts w:eastAsia="微软雅黑"/>
          <w:sz w:val="24"/>
        </w:rPr>
      </w:pPr>
      <w:r>
        <w:rPr>
          <w:rFonts w:eastAsia="微软雅黑"/>
          <w:sz w:val="24"/>
        </w:rPr>
        <w:t>The results of endoscopy</w:t>
      </w:r>
    </w:p>
    <w:p w14:paraId="1EB85C7A">
      <w:pPr>
        <w:pStyle w:val="25"/>
        <w:numPr>
          <w:ilvl w:val="0"/>
          <w:numId w:val="4"/>
        </w:numPr>
        <w:spacing w:line="360" w:lineRule="auto"/>
        <w:ind w:firstLineChars="0"/>
        <w:rPr>
          <w:rFonts w:eastAsia="微软雅黑"/>
          <w:sz w:val="24"/>
        </w:rPr>
      </w:pPr>
      <w:r>
        <w:rPr>
          <w:rFonts w:eastAsia="微软雅黑"/>
          <w:sz w:val="24"/>
        </w:rPr>
        <w:t>The variation of body temperature</w:t>
      </w:r>
    </w:p>
    <w:p w14:paraId="344EA780">
      <w:pPr>
        <w:pStyle w:val="25"/>
        <w:numPr>
          <w:ilvl w:val="0"/>
          <w:numId w:val="4"/>
        </w:numPr>
        <w:spacing w:line="360" w:lineRule="auto"/>
        <w:ind w:firstLineChars="0"/>
        <w:rPr>
          <w:rFonts w:eastAsia="微软雅黑"/>
          <w:sz w:val="24"/>
        </w:rPr>
      </w:pPr>
      <w:r>
        <w:rPr>
          <w:rFonts w:eastAsia="微软雅黑"/>
          <w:sz w:val="24"/>
        </w:rPr>
        <w:t>The variation of white blood cell count</w:t>
      </w:r>
    </w:p>
    <w:p w14:paraId="28CF2A0C">
      <w:pPr>
        <w:pStyle w:val="25"/>
        <w:numPr>
          <w:ilvl w:val="0"/>
          <w:numId w:val="4"/>
        </w:numPr>
        <w:spacing w:line="360" w:lineRule="auto"/>
        <w:ind w:firstLineChars="0"/>
        <w:rPr>
          <w:rFonts w:eastAsia="微软雅黑"/>
          <w:sz w:val="24"/>
        </w:rPr>
      </w:pPr>
      <w:r>
        <w:rPr>
          <w:rFonts w:eastAsia="微软雅黑"/>
          <w:sz w:val="24"/>
        </w:rPr>
        <w:t>The variation of hemoglobin</w:t>
      </w:r>
    </w:p>
    <w:p w14:paraId="0CC39E18">
      <w:pPr>
        <w:pStyle w:val="25"/>
        <w:numPr>
          <w:ilvl w:val="0"/>
          <w:numId w:val="4"/>
        </w:numPr>
        <w:spacing w:line="360" w:lineRule="auto"/>
        <w:ind w:firstLineChars="0"/>
        <w:rPr>
          <w:rFonts w:eastAsia="微软雅黑"/>
          <w:sz w:val="24"/>
        </w:rPr>
      </w:pPr>
      <w:r>
        <w:rPr>
          <w:rFonts w:eastAsia="微软雅黑"/>
          <w:sz w:val="24"/>
        </w:rPr>
        <w:t>The variation of C-reactive protein</w:t>
      </w:r>
    </w:p>
    <w:p w14:paraId="1F323FF2">
      <w:pPr>
        <w:pStyle w:val="25"/>
        <w:numPr>
          <w:ilvl w:val="0"/>
          <w:numId w:val="4"/>
        </w:numPr>
        <w:spacing w:line="360" w:lineRule="auto"/>
        <w:ind w:firstLineChars="0"/>
        <w:rPr>
          <w:rFonts w:eastAsia="微软雅黑"/>
          <w:sz w:val="24"/>
        </w:rPr>
      </w:pPr>
      <w:r>
        <w:rPr>
          <w:rFonts w:eastAsia="微软雅黑"/>
          <w:sz w:val="24"/>
        </w:rPr>
        <w:t>The variation of prealbumin</w:t>
      </w:r>
    </w:p>
    <w:p w14:paraId="0C1462DB">
      <w:pPr>
        <w:adjustRightInd w:val="0"/>
        <w:snapToGrid w:val="0"/>
        <w:spacing w:line="360" w:lineRule="auto"/>
        <w:outlineLvl w:val="0"/>
        <w:rPr>
          <w:rFonts w:eastAsia="微软雅黑"/>
          <w:b/>
          <w:sz w:val="32"/>
          <w:szCs w:val="32"/>
        </w:rPr>
      </w:pPr>
      <w:bookmarkStart w:id="26" w:name="_Toc2638"/>
      <w:r>
        <w:rPr>
          <w:rFonts w:eastAsia="微软雅黑"/>
          <w:b/>
          <w:sz w:val="30"/>
          <w:szCs w:val="30"/>
        </w:rPr>
        <w:t>6</w:t>
      </w:r>
      <w:bookmarkStart w:id="27" w:name="OLE_LINK17"/>
      <w:r>
        <w:rPr>
          <w:rFonts w:eastAsia="微软雅黑"/>
          <w:b/>
          <w:sz w:val="30"/>
          <w:szCs w:val="30"/>
        </w:rPr>
        <w:t>. Diagnostic criteria for this study</w:t>
      </w:r>
      <w:bookmarkEnd w:id="26"/>
      <w:bookmarkEnd w:id="27"/>
    </w:p>
    <w:p w14:paraId="0C2F8241">
      <w:pPr>
        <w:spacing w:line="360" w:lineRule="auto"/>
        <w:rPr>
          <w:rFonts w:eastAsia="微软雅黑"/>
          <w:sz w:val="24"/>
        </w:rPr>
      </w:pPr>
      <w:r>
        <w:rPr>
          <w:rFonts w:eastAsia="微软雅黑"/>
          <w:sz w:val="24"/>
        </w:rPr>
        <w:t>(1) The AJCC-7th TNM tumor staging system will be used for this study.</w:t>
      </w:r>
    </w:p>
    <w:p w14:paraId="0EEE5A1B">
      <w:pPr>
        <w:spacing w:line="360" w:lineRule="auto"/>
        <w:rPr>
          <w:rFonts w:eastAsia="微软雅黑"/>
          <w:sz w:val="24"/>
        </w:rPr>
      </w:pPr>
      <w:r>
        <w:rPr>
          <w:rFonts w:eastAsia="微软雅黑"/>
          <w:sz w:val="24"/>
        </w:rPr>
        <w:t>(2) Diagnostic criteria and classification of gastric cancer: According to the histopathological international diagnostic criteria, classification will be divided into papillary adenocarcinoma (pap), tubular adenocarcinoma (tub), mucinous adenocarcinoma (muc), signet ring cell carcinoma (sig), and poorly differentiated adenocarcinoma (por).</w:t>
      </w:r>
    </w:p>
    <w:p w14:paraId="6C8EFB30">
      <w:pPr>
        <w:spacing w:line="360" w:lineRule="auto"/>
        <w:jc w:val="left"/>
        <w:rPr>
          <w:rFonts w:eastAsia="微软雅黑"/>
          <w:b/>
          <w:sz w:val="32"/>
          <w:szCs w:val="32"/>
        </w:rPr>
      </w:pPr>
      <w:r>
        <w:rPr>
          <w:rFonts w:eastAsia="微软雅黑"/>
          <w:b/>
          <w:sz w:val="30"/>
          <w:szCs w:val="30"/>
        </w:rPr>
        <w:t xml:space="preserve">7. </w:t>
      </w:r>
      <w:r>
        <w:rPr>
          <w:b/>
          <w:sz w:val="30"/>
          <w:szCs w:val="30"/>
        </w:rPr>
        <w:t xml:space="preserve">Qualifications of the participated Surgeons </w:t>
      </w:r>
    </w:p>
    <w:p w14:paraId="6163CCC8">
      <w:pPr>
        <w:adjustRightInd w:val="0"/>
        <w:snapToGrid w:val="0"/>
        <w:spacing w:line="360" w:lineRule="auto"/>
        <w:rPr>
          <w:rFonts w:eastAsia="微软雅黑"/>
          <w:b/>
          <w:sz w:val="24"/>
        </w:rPr>
      </w:pPr>
      <w:r>
        <w:rPr>
          <w:rFonts w:eastAsia="微软雅黑"/>
          <w:b/>
          <w:sz w:val="24"/>
        </w:rPr>
        <w:t xml:space="preserve">7.1 </w:t>
      </w:r>
      <w:r>
        <w:rPr>
          <w:b/>
          <w:sz w:val="24"/>
        </w:rPr>
        <w:t>Basic principle</w:t>
      </w:r>
      <w:r>
        <w:rPr>
          <w:rFonts w:eastAsia="微软雅黑"/>
          <w:b/>
          <w:sz w:val="24"/>
        </w:rPr>
        <w:t xml:space="preserve"> </w:t>
      </w:r>
    </w:p>
    <w:p w14:paraId="3A8D6204">
      <w:pPr>
        <w:spacing w:line="360" w:lineRule="auto"/>
        <w:ind w:firstLine="360" w:firstLineChars="150"/>
        <w:rPr>
          <w:sz w:val="24"/>
        </w:rPr>
      </w:pPr>
      <w:r>
        <w:rPr>
          <w:sz w:val="24"/>
        </w:rPr>
        <w:t>All candidate surgeons in our study met the following criteria:</w:t>
      </w:r>
    </w:p>
    <w:p w14:paraId="37D75C6B">
      <w:pPr>
        <w:spacing w:line="360" w:lineRule="auto"/>
        <w:ind w:firstLine="360" w:firstLineChars="150"/>
        <w:rPr>
          <w:sz w:val="24"/>
        </w:rPr>
      </w:pPr>
      <w:r>
        <w:rPr>
          <w:sz w:val="24"/>
        </w:rPr>
        <w:t>Performed at least 100 laparoscopic radical gastrectomy.</w:t>
      </w:r>
    </w:p>
    <w:p w14:paraId="23EF0575">
      <w:pPr>
        <w:spacing w:line="360" w:lineRule="auto"/>
        <w:ind w:firstLine="360" w:firstLineChars="150"/>
        <w:rPr>
          <w:sz w:val="24"/>
        </w:rPr>
      </w:pPr>
      <w:r>
        <w:rPr>
          <w:sz w:val="24"/>
        </w:rPr>
        <w:t>Pass the blind surgical video examination.</w:t>
      </w:r>
    </w:p>
    <w:p w14:paraId="5F0EE9D2">
      <w:pPr>
        <w:adjustRightInd w:val="0"/>
        <w:snapToGrid w:val="0"/>
        <w:spacing w:line="360" w:lineRule="auto"/>
        <w:rPr>
          <w:rFonts w:eastAsia="微软雅黑"/>
          <w:b/>
          <w:sz w:val="24"/>
        </w:rPr>
      </w:pPr>
      <w:r>
        <w:rPr>
          <w:rFonts w:eastAsia="微软雅黑"/>
          <w:b/>
          <w:sz w:val="24"/>
        </w:rPr>
        <w:t xml:space="preserve">7.2 </w:t>
      </w:r>
      <w:r>
        <w:rPr>
          <w:b/>
          <w:sz w:val="24"/>
        </w:rPr>
        <w:t>Checklist for determination of success about D2 lymphadenectomy</w:t>
      </w:r>
    </w:p>
    <w:tbl>
      <w:tblPr>
        <w:tblStyle w:val="12"/>
        <w:tblW w:w="943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481"/>
        <w:gridCol w:w="2952"/>
      </w:tblGrid>
      <w:tr w14:paraId="2D015F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2" w:hRule="atLeast"/>
          <w:jc w:val="center"/>
        </w:trPr>
        <w:tc>
          <w:tcPr>
            <w:tcW w:w="6481" w:type="dxa"/>
          </w:tcPr>
          <w:p w14:paraId="0C737EB0">
            <w:pPr>
              <w:spacing w:line="480" w:lineRule="auto"/>
              <w:jc w:val="left"/>
            </w:pPr>
            <w:r>
              <w:t xml:space="preserve">Scoring Method for D2 Lymph Node Dissection </w:t>
            </w:r>
          </w:p>
        </w:tc>
        <w:tc>
          <w:tcPr>
            <w:tcW w:w="2952" w:type="dxa"/>
          </w:tcPr>
          <w:p w14:paraId="164EBBC3">
            <w:pPr>
              <w:spacing w:line="480" w:lineRule="auto"/>
            </w:pPr>
            <w:r>
              <w:t>Complete</w:t>
            </w:r>
            <w:r>
              <w:tab/>
            </w:r>
            <w:r>
              <w:t xml:space="preserve"> Incomplete  None</w:t>
            </w:r>
          </w:p>
          <w:p w14:paraId="30254023">
            <w:pPr>
              <w:spacing w:line="480" w:lineRule="auto"/>
              <w:ind w:firstLine="210" w:firstLineChars="100"/>
            </w:pPr>
            <w:r>
              <w:t>10</w:t>
            </w:r>
            <w:r>
              <w:tab/>
            </w:r>
            <w:r>
              <w:t xml:space="preserve">    5</w:t>
            </w:r>
            <w:r>
              <w:tab/>
            </w:r>
            <w:r>
              <w:t xml:space="preserve">     0</w:t>
            </w:r>
          </w:p>
        </w:tc>
      </w:tr>
      <w:tr w14:paraId="2F9F88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1" w:hRule="atLeast"/>
          <w:jc w:val="center"/>
        </w:trPr>
        <w:tc>
          <w:tcPr>
            <w:tcW w:w="6481" w:type="dxa"/>
          </w:tcPr>
          <w:p w14:paraId="634ACD3A">
            <w:pPr>
              <w:spacing w:line="480" w:lineRule="auto"/>
              <w:rPr>
                <w:rFonts w:eastAsia="Gulim"/>
              </w:rPr>
            </w:pPr>
            <w:r>
              <w:rPr>
                <w:rFonts w:eastAsia="Gulim"/>
              </w:rPr>
              <w:t xml:space="preserve">1. Properly full omentectomy </w:t>
            </w:r>
          </w:p>
          <w:p w14:paraId="650D0D5F">
            <w:pPr>
              <w:spacing w:line="480" w:lineRule="auto"/>
              <w:rPr>
                <w:rFonts w:eastAsia="Gulim"/>
              </w:rPr>
            </w:pPr>
            <w:r>
              <w:rPr>
                <w:rFonts w:eastAsia="Gulim"/>
              </w:rPr>
              <w:t xml:space="preserve">2. Ligation of left gastroepiploic artery at origin </w:t>
            </w:r>
          </w:p>
          <w:p w14:paraId="4558CEC5">
            <w:pPr>
              <w:spacing w:line="480" w:lineRule="auto"/>
              <w:rPr>
                <w:rFonts w:eastAsia="Gulim"/>
              </w:rPr>
            </w:pPr>
            <w:r>
              <w:rPr>
                <w:rFonts w:eastAsia="Gulim"/>
              </w:rPr>
              <w:t>3. Ligation of right gastroepiploic artery at origin</w:t>
            </w:r>
          </w:p>
          <w:p w14:paraId="3769787C">
            <w:pPr>
              <w:spacing w:line="480" w:lineRule="auto"/>
              <w:rPr>
                <w:rFonts w:eastAsia="Gulim"/>
              </w:rPr>
            </w:pPr>
            <w:r>
              <w:rPr>
                <w:rFonts w:eastAsia="Gulim"/>
              </w:rPr>
              <w:t>4. Full exposure of common hepatic artery</w:t>
            </w:r>
          </w:p>
          <w:p w14:paraId="2EC70BEE">
            <w:pPr>
              <w:spacing w:line="480" w:lineRule="auto"/>
              <w:rPr>
                <w:rFonts w:eastAsia="Gulim"/>
              </w:rPr>
            </w:pPr>
            <w:r>
              <w:rPr>
                <w:rFonts w:eastAsia="Gulim"/>
              </w:rPr>
              <w:t>5. Ligation of right gastric artery at origin</w:t>
            </w:r>
          </w:p>
          <w:p w14:paraId="15710FB6">
            <w:pPr>
              <w:spacing w:line="480" w:lineRule="auto"/>
              <w:rPr>
                <w:rFonts w:eastAsia="Gulim"/>
              </w:rPr>
            </w:pPr>
            <w:r>
              <w:rPr>
                <w:rFonts w:eastAsia="Gulim"/>
              </w:rPr>
              <w:t>6. Exposure of portal vein</w:t>
            </w:r>
          </w:p>
          <w:p w14:paraId="311B56C6">
            <w:pPr>
              <w:spacing w:line="480" w:lineRule="auto"/>
              <w:rPr>
                <w:rFonts w:eastAsia="Gulim"/>
              </w:rPr>
            </w:pPr>
            <w:r>
              <w:rPr>
                <w:rFonts w:eastAsia="Gulim"/>
              </w:rPr>
              <w:t xml:space="preserve">7. Exposure of splenic artery to branch of posterior gastric artery </w:t>
            </w:r>
          </w:p>
          <w:p w14:paraId="0117902C">
            <w:pPr>
              <w:spacing w:line="480" w:lineRule="auto"/>
              <w:rPr>
                <w:rFonts w:eastAsia="Gulim"/>
              </w:rPr>
            </w:pPr>
            <w:r>
              <w:rPr>
                <w:rFonts w:eastAsia="Gulim"/>
              </w:rPr>
              <w:t>8. Identification of splenic vein</w:t>
            </w:r>
          </w:p>
          <w:p w14:paraId="1621D129">
            <w:pPr>
              <w:spacing w:line="480" w:lineRule="auto"/>
              <w:rPr>
                <w:rFonts w:eastAsia="Gulim"/>
              </w:rPr>
            </w:pPr>
            <w:r>
              <w:rPr>
                <w:rFonts w:eastAsia="Gulim"/>
              </w:rPr>
              <w:t>9. Ligation of left gastric artery at origin</w:t>
            </w:r>
          </w:p>
          <w:p w14:paraId="0C2E762C">
            <w:pPr>
              <w:spacing w:line="480" w:lineRule="auto"/>
              <w:rPr>
                <w:rFonts w:eastAsia="Gulim"/>
              </w:rPr>
            </w:pPr>
            <w:r>
              <w:rPr>
                <w:rFonts w:eastAsia="Gulim"/>
              </w:rPr>
              <w:t>10. Exposure of gastroesophageal junction</w:t>
            </w:r>
          </w:p>
        </w:tc>
        <w:tc>
          <w:tcPr>
            <w:tcW w:w="2952" w:type="dxa"/>
          </w:tcPr>
          <w:p w14:paraId="273581D0">
            <w:pPr>
              <w:spacing w:line="480" w:lineRule="auto"/>
              <w:ind w:firstLine="315" w:firstLineChars="150"/>
              <w:rPr>
                <w:rFonts w:eastAsia="Gulim"/>
              </w:rPr>
            </w:pPr>
            <w:r>
              <w:rPr>
                <w:rFonts w:eastAsia="Gulim"/>
              </w:rPr>
              <w:t>□        □       □</w:t>
            </w:r>
          </w:p>
          <w:p w14:paraId="6306D17B">
            <w:pPr>
              <w:spacing w:line="480" w:lineRule="auto"/>
              <w:ind w:firstLine="315" w:firstLineChars="150"/>
              <w:rPr>
                <w:rFonts w:eastAsia="Gulim"/>
              </w:rPr>
            </w:pPr>
            <w:r>
              <w:rPr>
                <w:rFonts w:eastAsia="Gulim"/>
              </w:rPr>
              <w:t>□        □       □</w:t>
            </w:r>
          </w:p>
          <w:p w14:paraId="5600773C">
            <w:pPr>
              <w:spacing w:line="480" w:lineRule="auto"/>
              <w:ind w:firstLine="315" w:firstLineChars="150"/>
              <w:rPr>
                <w:rFonts w:eastAsia="Gulim"/>
              </w:rPr>
            </w:pPr>
            <w:r>
              <w:rPr>
                <w:rFonts w:eastAsia="Gulim"/>
              </w:rPr>
              <w:t>□        □       □</w:t>
            </w:r>
          </w:p>
          <w:p w14:paraId="3BEA59AF">
            <w:pPr>
              <w:spacing w:line="480" w:lineRule="auto"/>
              <w:ind w:firstLine="315" w:firstLineChars="150"/>
              <w:rPr>
                <w:rFonts w:eastAsia="Gulim"/>
              </w:rPr>
            </w:pPr>
            <w:r>
              <w:rPr>
                <w:rFonts w:eastAsia="Gulim"/>
              </w:rPr>
              <w:t>□        □       □</w:t>
            </w:r>
          </w:p>
          <w:p w14:paraId="718DB924">
            <w:pPr>
              <w:spacing w:line="480" w:lineRule="auto"/>
              <w:ind w:firstLine="315" w:firstLineChars="150"/>
              <w:rPr>
                <w:rFonts w:eastAsia="Gulim"/>
              </w:rPr>
            </w:pPr>
            <w:r>
              <w:rPr>
                <w:rFonts w:eastAsia="Gulim"/>
              </w:rPr>
              <w:t>□        □       □</w:t>
            </w:r>
          </w:p>
          <w:p w14:paraId="19682B98">
            <w:pPr>
              <w:spacing w:line="480" w:lineRule="auto"/>
              <w:ind w:firstLine="315" w:firstLineChars="150"/>
              <w:rPr>
                <w:rFonts w:eastAsia="Gulim"/>
              </w:rPr>
            </w:pPr>
            <w:r>
              <w:rPr>
                <w:rFonts w:eastAsia="Gulim"/>
              </w:rPr>
              <w:t>□        □       □</w:t>
            </w:r>
          </w:p>
          <w:p w14:paraId="0F586E5D">
            <w:pPr>
              <w:spacing w:line="480" w:lineRule="auto"/>
              <w:ind w:firstLine="315" w:firstLineChars="150"/>
              <w:rPr>
                <w:rFonts w:eastAsia="Gulim"/>
              </w:rPr>
            </w:pPr>
            <w:r>
              <w:rPr>
                <w:rFonts w:eastAsia="Gulim"/>
              </w:rPr>
              <w:t>□        □       □</w:t>
            </w:r>
          </w:p>
          <w:p w14:paraId="543589A9">
            <w:pPr>
              <w:spacing w:line="480" w:lineRule="auto"/>
              <w:ind w:firstLine="315" w:firstLineChars="150"/>
              <w:rPr>
                <w:rFonts w:eastAsia="Gulim"/>
              </w:rPr>
            </w:pPr>
            <w:r>
              <w:rPr>
                <w:rFonts w:eastAsia="Gulim"/>
              </w:rPr>
              <w:t>□        □       □</w:t>
            </w:r>
          </w:p>
          <w:p w14:paraId="66DD77EE">
            <w:pPr>
              <w:spacing w:line="480" w:lineRule="auto"/>
              <w:ind w:firstLine="315" w:firstLineChars="150"/>
              <w:rPr>
                <w:rFonts w:eastAsia="Gulim"/>
              </w:rPr>
            </w:pPr>
            <w:r>
              <w:rPr>
                <w:rFonts w:eastAsia="Gulim"/>
              </w:rPr>
              <w:t>□        □       □</w:t>
            </w:r>
          </w:p>
          <w:p w14:paraId="54DAE056">
            <w:pPr>
              <w:keepNext/>
              <w:spacing w:line="480" w:lineRule="auto"/>
              <w:ind w:firstLine="315" w:firstLineChars="150"/>
              <w:rPr>
                <w:rFonts w:eastAsia="Gulim"/>
              </w:rPr>
            </w:pPr>
            <w:r>
              <w:rPr>
                <w:rFonts w:eastAsia="Gulim"/>
              </w:rPr>
              <w:t>□        □       □</w:t>
            </w:r>
          </w:p>
        </w:tc>
      </w:tr>
    </w:tbl>
    <w:p w14:paraId="47DCFD0B">
      <w:pPr>
        <w:spacing w:line="480" w:lineRule="auto"/>
        <w:outlineLvl w:val="0"/>
        <w:rPr>
          <w:rFonts w:eastAsia="Gulim"/>
          <w:sz w:val="24"/>
        </w:rPr>
      </w:pPr>
      <w:bookmarkStart w:id="28" w:name="_Toc7738"/>
      <w:r>
        <w:rPr>
          <w:sz w:val="24"/>
        </w:rPr>
        <w:t>(</w:t>
      </w:r>
      <w:r>
        <w:rPr>
          <w:rFonts w:eastAsia="Gulim"/>
          <w:sz w:val="24"/>
        </w:rPr>
        <w:t>1</w:t>
      </w:r>
      <w:r>
        <w:rPr>
          <w:sz w:val="24"/>
        </w:rPr>
        <w:t>)</w:t>
      </w:r>
      <w:r>
        <w:rPr>
          <w:rFonts w:eastAsia="BatangChe"/>
          <w:sz w:val="24"/>
        </w:rPr>
        <w:t xml:space="preserve"> </w:t>
      </w:r>
      <w:r>
        <w:rPr>
          <w:rFonts w:eastAsia="Gulim"/>
          <w:sz w:val="24"/>
        </w:rPr>
        <w:t>Properly full omentectomy</w:t>
      </w:r>
      <w:bookmarkEnd w:id="28"/>
      <w:r>
        <w:rPr>
          <w:rFonts w:eastAsia="Gulim"/>
          <w:sz w:val="24"/>
        </w:rPr>
        <w:t xml:space="preserve"> </w:t>
      </w:r>
    </w:p>
    <w:p w14:paraId="0319C50C">
      <w:pPr>
        <w:spacing w:line="480" w:lineRule="auto"/>
        <w:ind w:firstLine="240" w:firstLineChars="100"/>
        <w:rPr>
          <w:rFonts w:eastAsia="Gulim"/>
          <w:sz w:val="24"/>
        </w:rPr>
      </w:pPr>
      <w:r>
        <w:rPr>
          <w:rFonts w:eastAsia="Gulim"/>
          <w:sz w:val="24"/>
        </w:rPr>
        <w:t>a. Omentectomy was performed close to transverse colon</w:t>
      </w:r>
    </w:p>
    <w:p w14:paraId="5CF81C2B">
      <w:pPr>
        <w:spacing w:line="480" w:lineRule="auto"/>
        <w:ind w:firstLine="240" w:firstLineChars="100"/>
        <w:rPr>
          <w:rFonts w:eastAsia="Gulim"/>
          <w:sz w:val="24"/>
        </w:rPr>
      </w:pPr>
      <w:r>
        <w:rPr>
          <w:rFonts w:eastAsia="Gulim"/>
          <w:sz w:val="24"/>
          <w:u w:color="FA5050"/>
        </w:rPr>
        <w:t>b.</w:t>
      </w:r>
      <w:r>
        <w:rPr>
          <w:rFonts w:eastAsia="Gulim"/>
          <w:sz w:val="24"/>
        </w:rPr>
        <w:t xml:space="preserve"> Omentectomy was performed from hepatic flexure to splenic flexure</w:t>
      </w:r>
    </w:p>
    <w:p w14:paraId="1EDFFFD8">
      <w:pPr>
        <w:spacing w:line="480" w:lineRule="auto"/>
        <w:ind w:left="479" w:leftChars="114" w:hanging="240" w:hangingChars="100"/>
        <w:rPr>
          <w:rFonts w:eastAsia="Gulim"/>
          <w:sz w:val="24"/>
        </w:rPr>
      </w:pPr>
      <w:r>
        <w:rPr>
          <w:rFonts w:eastAsia="Gulim"/>
          <w:sz w:val="24"/>
          <w:u w:color="FA5050"/>
        </w:rPr>
        <w:t>c.</w:t>
      </w:r>
      <w:r>
        <w:rPr>
          <w:rFonts w:eastAsia="Gulim"/>
          <w:sz w:val="24"/>
        </w:rPr>
        <w:t xml:space="preserve"> Anterior layer of transverse colonic mesentery and pancreatic anterior peritoneum </w:t>
      </w:r>
      <w:r>
        <w:rPr>
          <w:rFonts w:eastAsia="Gulim"/>
          <w:sz w:val="24"/>
          <w:u w:color="FA5050"/>
        </w:rPr>
        <w:t>w</w:t>
      </w:r>
      <w:r>
        <w:rPr>
          <w:rFonts w:eastAsia="Gulim"/>
          <w:sz w:val="24"/>
        </w:rPr>
        <w:t xml:space="preserve">as dissected. </w:t>
      </w:r>
    </w:p>
    <w:p w14:paraId="39DA8FFD">
      <w:pPr>
        <w:spacing w:line="480" w:lineRule="auto"/>
        <w:rPr>
          <w:rFonts w:eastAsia="Gulim"/>
          <w:sz w:val="24"/>
        </w:rPr>
      </w:pPr>
      <w:r>
        <w:rPr>
          <w:sz w:val="24"/>
        </w:rPr>
        <w:t>(</w:t>
      </w:r>
      <w:r>
        <w:rPr>
          <w:rFonts w:eastAsia="Gulim"/>
          <w:sz w:val="24"/>
        </w:rPr>
        <w:t>2</w:t>
      </w:r>
      <w:r>
        <w:rPr>
          <w:sz w:val="24"/>
        </w:rPr>
        <w:t>)</w:t>
      </w:r>
      <w:r>
        <w:rPr>
          <w:rFonts w:eastAsia="Gulim"/>
          <w:sz w:val="24"/>
        </w:rPr>
        <w:t>. Ligation of left gastroepiploic artery at origin</w:t>
      </w:r>
    </w:p>
    <w:p w14:paraId="2F57BBCB">
      <w:pPr>
        <w:spacing w:line="480" w:lineRule="auto"/>
        <w:rPr>
          <w:rFonts w:eastAsia="Gulim"/>
          <w:sz w:val="24"/>
        </w:rPr>
      </w:pPr>
      <w:r>
        <w:rPr>
          <w:sz w:val="24"/>
        </w:rPr>
        <w:t>(</w:t>
      </w:r>
      <w:r>
        <w:rPr>
          <w:rFonts w:eastAsia="Gulim"/>
          <w:sz w:val="24"/>
        </w:rPr>
        <w:t>3</w:t>
      </w:r>
      <w:r>
        <w:rPr>
          <w:sz w:val="24"/>
        </w:rPr>
        <w:t>)</w:t>
      </w:r>
      <w:r>
        <w:rPr>
          <w:rFonts w:eastAsia="Gulim"/>
          <w:sz w:val="24"/>
        </w:rPr>
        <w:t>. Ligation of right gastroepiploic artery at origin</w:t>
      </w:r>
    </w:p>
    <w:p w14:paraId="0F185DEB">
      <w:pPr>
        <w:spacing w:line="480" w:lineRule="auto"/>
        <w:rPr>
          <w:rFonts w:eastAsia="Gulim"/>
          <w:sz w:val="24"/>
        </w:rPr>
      </w:pPr>
      <w:r>
        <w:rPr>
          <w:sz w:val="24"/>
        </w:rPr>
        <w:t>(</w:t>
      </w:r>
      <w:r>
        <w:rPr>
          <w:rFonts w:eastAsia="Gulim"/>
          <w:sz w:val="24"/>
        </w:rPr>
        <w:t>4</w:t>
      </w:r>
      <w:r>
        <w:rPr>
          <w:sz w:val="24"/>
        </w:rPr>
        <w:t>)</w:t>
      </w:r>
      <w:r>
        <w:rPr>
          <w:rFonts w:eastAsia="Gulim"/>
          <w:sz w:val="24"/>
        </w:rPr>
        <w:t>. Full exposure of common hepatic artery</w:t>
      </w:r>
      <w:r>
        <w:rPr>
          <w:sz w:val="24"/>
        </w:rPr>
        <w:t xml:space="preserve">: </w:t>
      </w:r>
      <w:r>
        <w:rPr>
          <w:rFonts w:eastAsia="Gulim"/>
          <w:sz w:val="24"/>
        </w:rPr>
        <w:t xml:space="preserve">More than half of anterior part in the </w:t>
      </w:r>
      <w:r>
        <w:rPr>
          <w:rFonts w:eastAsia="Gulim"/>
          <w:sz w:val="24"/>
          <w:u w:color="FA5050"/>
        </w:rPr>
        <w:t>common</w:t>
      </w:r>
      <w:r>
        <w:rPr>
          <w:rFonts w:eastAsia="Gulim"/>
          <w:sz w:val="24"/>
        </w:rPr>
        <w:t xml:space="preserve"> hepatic artery </w:t>
      </w:r>
      <w:r>
        <w:rPr>
          <w:rFonts w:eastAsia="Gulim"/>
          <w:sz w:val="24"/>
          <w:u w:color="FA5050"/>
        </w:rPr>
        <w:t>were</w:t>
      </w:r>
      <w:r>
        <w:rPr>
          <w:rFonts w:eastAsia="Gulim"/>
          <w:sz w:val="24"/>
        </w:rPr>
        <w:t xml:space="preserve"> exposed.</w:t>
      </w:r>
    </w:p>
    <w:p w14:paraId="685F9081">
      <w:pPr>
        <w:spacing w:line="480" w:lineRule="auto"/>
        <w:rPr>
          <w:rFonts w:eastAsia="Gulim"/>
          <w:sz w:val="24"/>
        </w:rPr>
      </w:pPr>
      <w:r>
        <w:rPr>
          <w:sz w:val="24"/>
        </w:rPr>
        <w:t>(</w:t>
      </w:r>
      <w:r>
        <w:rPr>
          <w:rFonts w:eastAsia="Gulim"/>
          <w:sz w:val="24"/>
        </w:rPr>
        <w:t>5</w:t>
      </w:r>
      <w:r>
        <w:rPr>
          <w:sz w:val="24"/>
        </w:rPr>
        <w:t>)</w:t>
      </w:r>
      <w:r>
        <w:rPr>
          <w:rFonts w:eastAsia="Gulim"/>
          <w:sz w:val="24"/>
        </w:rPr>
        <w:t xml:space="preserve">. Ligation of right gastric artery at origin </w:t>
      </w:r>
    </w:p>
    <w:p w14:paraId="1981AE49">
      <w:pPr>
        <w:spacing w:line="480" w:lineRule="auto"/>
        <w:outlineLvl w:val="0"/>
        <w:rPr>
          <w:rFonts w:eastAsia="Gulim"/>
          <w:sz w:val="24"/>
        </w:rPr>
      </w:pPr>
      <w:bookmarkStart w:id="29" w:name="_Toc17328"/>
      <w:r>
        <w:rPr>
          <w:sz w:val="24"/>
        </w:rPr>
        <w:t>(</w:t>
      </w:r>
      <w:r>
        <w:rPr>
          <w:rFonts w:eastAsia="Gulim"/>
          <w:sz w:val="24"/>
        </w:rPr>
        <w:t>6</w:t>
      </w:r>
      <w:r>
        <w:rPr>
          <w:sz w:val="24"/>
        </w:rPr>
        <w:t>)</w:t>
      </w:r>
      <w:r>
        <w:rPr>
          <w:rFonts w:eastAsia="Gulim"/>
          <w:sz w:val="24"/>
        </w:rPr>
        <w:t>. Exposure of portal vein</w:t>
      </w:r>
      <w:bookmarkEnd w:id="29"/>
      <w:r>
        <w:rPr>
          <w:rFonts w:eastAsia="Gulim"/>
          <w:sz w:val="24"/>
        </w:rPr>
        <w:t xml:space="preserve"> </w:t>
      </w:r>
    </w:p>
    <w:p w14:paraId="25ED5410">
      <w:pPr>
        <w:spacing w:line="480" w:lineRule="auto"/>
        <w:rPr>
          <w:rFonts w:eastAsia="Gulim"/>
          <w:sz w:val="24"/>
        </w:rPr>
      </w:pPr>
      <w:r>
        <w:rPr>
          <w:sz w:val="24"/>
        </w:rPr>
        <w:t>(</w:t>
      </w:r>
      <w:r>
        <w:rPr>
          <w:rFonts w:eastAsia="Gulim"/>
          <w:sz w:val="24"/>
        </w:rPr>
        <w:t>7</w:t>
      </w:r>
      <w:r>
        <w:rPr>
          <w:sz w:val="24"/>
        </w:rPr>
        <w:t>)</w:t>
      </w:r>
      <w:r>
        <w:rPr>
          <w:rFonts w:eastAsia="Gulim"/>
          <w:sz w:val="24"/>
        </w:rPr>
        <w:t>. Exposure of splenic artery to branch of posterior gastric artery</w:t>
      </w:r>
    </w:p>
    <w:p w14:paraId="269D52CA">
      <w:pPr>
        <w:spacing w:line="480" w:lineRule="auto"/>
        <w:ind w:firstLine="240" w:firstLineChars="100"/>
        <w:rPr>
          <w:rFonts w:eastAsia="Gulim"/>
          <w:sz w:val="24"/>
        </w:rPr>
      </w:pPr>
      <w:r>
        <w:rPr>
          <w:rFonts w:eastAsia="Gulim"/>
          <w:sz w:val="24"/>
        </w:rPr>
        <w:t>a. More than half of anterior part in splenic artery was exposed.</w:t>
      </w:r>
    </w:p>
    <w:p w14:paraId="487B3556">
      <w:pPr>
        <w:spacing w:line="480" w:lineRule="auto"/>
        <w:ind w:firstLine="240" w:firstLineChars="100"/>
        <w:rPr>
          <w:rFonts w:eastAsia="Gulim"/>
          <w:sz w:val="24"/>
        </w:rPr>
      </w:pPr>
      <w:r>
        <w:rPr>
          <w:rFonts w:eastAsia="Gulim"/>
          <w:sz w:val="24"/>
          <w:u w:color="FA5050"/>
        </w:rPr>
        <w:t>b.</w:t>
      </w:r>
      <w:r>
        <w:rPr>
          <w:rFonts w:eastAsia="Gulim"/>
          <w:sz w:val="24"/>
        </w:rPr>
        <w:t xml:space="preserve"> Splenic artery was exposed from celiac trunk to posterior gastric artery</w:t>
      </w:r>
    </w:p>
    <w:p w14:paraId="5EF563B2">
      <w:pPr>
        <w:spacing w:line="480" w:lineRule="auto"/>
        <w:rPr>
          <w:rFonts w:eastAsia="Gulim"/>
          <w:sz w:val="24"/>
        </w:rPr>
      </w:pPr>
      <w:r>
        <w:rPr>
          <w:sz w:val="24"/>
        </w:rPr>
        <w:t>(</w:t>
      </w:r>
      <w:r>
        <w:rPr>
          <w:rFonts w:eastAsia="Gulim"/>
          <w:sz w:val="24"/>
        </w:rPr>
        <w:t>8</w:t>
      </w:r>
      <w:r>
        <w:rPr>
          <w:sz w:val="24"/>
        </w:rPr>
        <w:t>)</w:t>
      </w:r>
      <w:r>
        <w:rPr>
          <w:rFonts w:eastAsia="Gulim"/>
          <w:sz w:val="24"/>
        </w:rPr>
        <w:t xml:space="preserve">. Identification of splenic vein </w:t>
      </w:r>
    </w:p>
    <w:p w14:paraId="58375DC3">
      <w:pPr>
        <w:spacing w:line="480" w:lineRule="auto"/>
        <w:rPr>
          <w:rFonts w:eastAsia="Gulim"/>
          <w:sz w:val="24"/>
        </w:rPr>
      </w:pPr>
      <w:r>
        <w:rPr>
          <w:sz w:val="24"/>
        </w:rPr>
        <w:t>(</w:t>
      </w:r>
      <w:r>
        <w:rPr>
          <w:rFonts w:eastAsia="Gulim"/>
          <w:sz w:val="24"/>
        </w:rPr>
        <w:t>9</w:t>
      </w:r>
      <w:r>
        <w:rPr>
          <w:sz w:val="24"/>
        </w:rPr>
        <w:t>)</w:t>
      </w:r>
      <w:r>
        <w:rPr>
          <w:rFonts w:eastAsia="Gulim"/>
          <w:sz w:val="24"/>
        </w:rPr>
        <w:t>. Ligation of left gastric artery at origin</w:t>
      </w:r>
    </w:p>
    <w:p w14:paraId="275ADEC8">
      <w:pPr>
        <w:spacing w:line="480" w:lineRule="auto"/>
        <w:rPr>
          <w:rFonts w:eastAsia="Gulim"/>
          <w:sz w:val="24"/>
        </w:rPr>
      </w:pPr>
      <w:r>
        <w:rPr>
          <w:sz w:val="24"/>
        </w:rPr>
        <w:t>(</w:t>
      </w:r>
      <w:r>
        <w:rPr>
          <w:rFonts w:eastAsia="Gulim"/>
          <w:sz w:val="24"/>
        </w:rPr>
        <w:t>10</w:t>
      </w:r>
      <w:r>
        <w:rPr>
          <w:sz w:val="24"/>
        </w:rPr>
        <w:t>)</w:t>
      </w:r>
      <w:r>
        <w:rPr>
          <w:rFonts w:eastAsia="Gulim"/>
          <w:sz w:val="24"/>
        </w:rPr>
        <w:t>. Exposure of gastroesophageal junction</w:t>
      </w:r>
    </w:p>
    <w:p w14:paraId="11D29C5B">
      <w:pPr>
        <w:spacing w:line="480" w:lineRule="auto"/>
        <w:ind w:firstLine="240" w:firstLineChars="100"/>
        <w:rPr>
          <w:rFonts w:eastAsia="Gulim"/>
          <w:sz w:val="24"/>
        </w:rPr>
      </w:pPr>
      <w:r>
        <w:rPr>
          <w:rFonts w:eastAsia="Gulim"/>
          <w:sz w:val="24"/>
        </w:rPr>
        <w:t xml:space="preserve">a. Anterior and right side of </w:t>
      </w:r>
      <w:r>
        <w:rPr>
          <w:rFonts w:eastAsia="Gulim"/>
          <w:sz w:val="24"/>
          <w:u w:color="FA5050"/>
        </w:rPr>
        <w:t>the abdominal</w:t>
      </w:r>
      <w:r>
        <w:rPr>
          <w:rFonts w:eastAsia="Gulim"/>
          <w:sz w:val="24"/>
        </w:rPr>
        <w:t xml:space="preserve"> esophagus were exposed.</w:t>
      </w:r>
    </w:p>
    <w:p w14:paraId="4802B556">
      <w:pPr>
        <w:spacing w:line="480" w:lineRule="auto"/>
        <w:rPr>
          <w:rFonts w:eastAsia="Gulim"/>
          <w:sz w:val="24"/>
        </w:rPr>
      </w:pPr>
      <w:r>
        <w:rPr>
          <w:rFonts w:eastAsia="Gulim"/>
          <w:sz w:val="24"/>
        </w:rPr>
        <w:t>- D2 lymphadenectomy was accepted if all randomly assigned three investigators rated 85 points and more regarding checklists in unedited video review.</w:t>
      </w:r>
    </w:p>
    <w:p w14:paraId="71454BAA">
      <w:pPr>
        <w:spacing w:line="360" w:lineRule="auto"/>
        <w:rPr>
          <w:sz w:val="24"/>
        </w:rPr>
      </w:pPr>
    </w:p>
    <w:p w14:paraId="5AACE0A6">
      <w:pPr>
        <w:adjustRightInd w:val="0"/>
        <w:snapToGrid w:val="0"/>
        <w:spacing w:line="360" w:lineRule="auto"/>
        <w:rPr>
          <w:rFonts w:eastAsia="微软雅黑"/>
          <w:b/>
          <w:sz w:val="32"/>
          <w:szCs w:val="32"/>
        </w:rPr>
      </w:pPr>
      <w:r>
        <w:rPr>
          <w:rFonts w:eastAsia="微软雅黑"/>
          <w:b/>
          <w:sz w:val="32"/>
          <w:szCs w:val="32"/>
        </w:rPr>
        <w:t xml:space="preserve">8. </w:t>
      </w:r>
      <w:bookmarkStart w:id="30" w:name="OLE_LINK19"/>
      <w:r>
        <w:rPr>
          <w:rFonts w:eastAsia="微软雅黑"/>
          <w:b/>
          <w:sz w:val="32"/>
          <w:szCs w:val="32"/>
        </w:rPr>
        <w:t>End point and definition of related result determination</w:t>
      </w:r>
      <w:bookmarkEnd w:id="30"/>
    </w:p>
    <w:p w14:paraId="677D26FE">
      <w:pPr>
        <w:adjustRightInd w:val="0"/>
        <w:snapToGrid w:val="0"/>
        <w:spacing w:line="360" w:lineRule="auto"/>
        <w:jc w:val="left"/>
        <w:rPr>
          <w:rFonts w:eastAsia="微软雅黑"/>
          <w:b/>
          <w:sz w:val="24"/>
        </w:rPr>
      </w:pPr>
      <w:r>
        <w:rPr>
          <w:rFonts w:eastAsia="微软雅黑"/>
          <w:b/>
          <w:sz w:val="24"/>
        </w:rPr>
        <w:t xml:space="preserve">8.1 </w:t>
      </w:r>
      <w:r>
        <w:rPr>
          <w:b/>
          <w:sz w:val="24"/>
        </w:rPr>
        <w:t>Definition of recurrence and recurrence date</w:t>
      </w:r>
    </w:p>
    <w:p w14:paraId="0C4C4352">
      <w:pPr>
        <w:spacing w:line="360" w:lineRule="auto"/>
        <w:ind w:firstLine="360" w:firstLineChars="150"/>
        <w:rPr>
          <w:sz w:val="24"/>
        </w:rPr>
      </w:pPr>
      <w:r>
        <w:rPr>
          <w:sz w:val="24"/>
        </w:rPr>
        <w:t>The following situations are regarded as “recurrence” and should be recorded as the evidence of “recurrence” in the CRF.</w:t>
      </w:r>
    </w:p>
    <w:p w14:paraId="2E542873">
      <w:pPr>
        <w:numPr>
          <w:ilvl w:val="0"/>
          <w:numId w:val="8"/>
        </w:numPr>
        <w:adjustRightInd w:val="0"/>
        <w:snapToGrid w:val="0"/>
        <w:spacing w:line="360" w:lineRule="auto"/>
        <w:ind w:left="480" w:hanging="480" w:hangingChars="200"/>
        <w:rPr>
          <w:rFonts w:eastAsia="微软雅黑"/>
          <w:sz w:val="24"/>
        </w:rPr>
      </w:pPr>
      <w:r>
        <w:rPr>
          <w:sz w:val="24"/>
        </w:rPr>
        <w:t>Recurrence identified by any one image examination (X-ray, ultrasound, CT, MRI, PET-CT, endoscope, etc.) and, if there are a variety of imaging examinations, results without contradiction determined “recurrence”. The earliest date that the recurrence is found is defined as the “recurrence date”.</w:t>
      </w:r>
    </w:p>
    <w:p w14:paraId="51FE0C37">
      <w:pPr>
        <w:numPr>
          <w:ilvl w:val="0"/>
          <w:numId w:val="8"/>
        </w:numPr>
        <w:adjustRightInd w:val="0"/>
        <w:snapToGrid w:val="0"/>
        <w:spacing w:line="360" w:lineRule="auto"/>
        <w:ind w:left="480" w:hanging="480" w:hangingChars="200"/>
        <w:rPr>
          <w:rFonts w:eastAsia="微软雅黑"/>
          <w:sz w:val="24"/>
        </w:rPr>
      </w:pPr>
      <w:r>
        <w:rPr>
          <w:sz w:val="24"/>
        </w:rPr>
        <w:t>For cases that lack the use of imaging or a pathological diagnosis, the date we diagnose the occurrence of clinical recurrence based on clinical history and physical examination is defined as the “recurrence date”.</w:t>
      </w:r>
    </w:p>
    <w:p w14:paraId="0B9BDAE1">
      <w:pPr>
        <w:adjustRightInd w:val="0"/>
        <w:snapToGrid w:val="0"/>
        <w:spacing w:line="360" w:lineRule="auto"/>
        <w:ind w:left="480" w:hanging="480" w:hangingChars="200"/>
        <w:rPr>
          <w:rFonts w:eastAsia="微软雅黑"/>
          <w:sz w:val="24"/>
        </w:rPr>
      </w:pPr>
      <w:r>
        <w:rPr>
          <w:rFonts w:eastAsia="微软雅黑"/>
          <w:sz w:val="24"/>
        </w:rPr>
        <w:t xml:space="preserve">(3) </w:t>
      </w:r>
      <w:r>
        <w:rPr>
          <w:sz w:val="24"/>
        </w:rPr>
        <w:t>For cases without imaging or clinical diagnosis but with a cytology or tissue biopsy pathological diagnosis of recurrence, the earliest date confirmed by cytology or biopsy pathology is considered the “recurrence date”.</w:t>
      </w:r>
    </w:p>
    <w:p w14:paraId="4A12ECE9">
      <w:pPr>
        <w:adjustRightInd w:val="0"/>
        <w:snapToGrid w:val="0"/>
        <w:spacing w:line="360" w:lineRule="auto"/>
        <w:rPr>
          <w:rFonts w:eastAsia="微软雅黑"/>
          <w:sz w:val="24"/>
        </w:rPr>
      </w:pPr>
      <w:r>
        <w:rPr>
          <w:rFonts w:eastAsia="微软雅黑"/>
          <w:sz w:val="24"/>
        </w:rPr>
        <w:t xml:space="preserve">(4) </w:t>
      </w:r>
      <w:r>
        <w:rPr>
          <w:sz w:val="24"/>
        </w:rPr>
        <w:t>A rise in CEA or other associated tumor markers alone could not be diagnosed as a relapse.</w:t>
      </w:r>
    </w:p>
    <w:p w14:paraId="3A800875">
      <w:pPr>
        <w:adjustRightInd w:val="0"/>
        <w:snapToGrid w:val="0"/>
        <w:spacing w:line="360" w:lineRule="auto"/>
        <w:jc w:val="left"/>
        <w:rPr>
          <w:rFonts w:eastAsia="微软雅黑"/>
          <w:b/>
          <w:sz w:val="24"/>
        </w:rPr>
      </w:pPr>
      <w:r>
        <w:rPr>
          <w:rFonts w:eastAsia="微软雅黑"/>
          <w:b/>
          <w:sz w:val="24"/>
        </w:rPr>
        <w:t>8.2 Incidence of postoperative complications</w:t>
      </w:r>
    </w:p>
    <w:p w14:paraId="12EC468A">
      <w:pPr>
        <w:adjustRightInd w:val="0"/>
        <w:snapToGrid w:val="0"/>
        <w:spacing w:line="360" w:lineRule="auto"/>
        <w:rPr>
          <w:rFonts w:eastAsia="微软雅黑"/>
          <w:b/>
          <w:sz w:val="24"/>
        </w:rPr>
      </w:pPr>
      <w:r>
        <w:rPr>
          <w:rFonts w:eastAsia="微软雅黑"/>
          <w:b/>
          <w:sz w:val="24"/>
        </w:rPr>
        <w:t xml:space="preserve">8.2.1 </w:t>
      </w:r>
      <w:bookmarkStart w:id="31" w:name="OLE_LINK21"/>
      <w:r>
        <w:rPr>
          <w:rFonts w:eastAsia="微软雅黑"/>
          <w:b/>
          <w:sz w:val="24"/>
        </w:rPr>
        <w:t>Incidence of postoperative complications</w:t>
      </w:r>
      <w:bookmarkEnd w:id="31"/>
    </w:p>
    <w:p w14:paraId="7B5897B4">
      <w:pPr>
        <w:adjustRightInd w:val="0"/>
        <w:snapToGrid w:val="0"/>
        <w:spacing w:line="360" w:lineRule="auto"/>
        <w:ind w:firstLine="480" w:firstLineChars="200"/>
        <w:rPr>
          <w:rFonts w:eastAsia="微软雅黑"/>
          <w:sz w:val="24"/>
        </w:rPr>
      </w:pPr>
      <w:r>
        <w:rPr>
          <w:sz w:val="24"/>
        </w:rPr>
        <w:t>The number of all patients treated with surgery as the denominator and the number of the patients with any intraoperative and postoperative complications as the numerator are used to calculate the proportions.</w:t>
      </w:r>
      <w:r>
        <w:rPr>
          <w:kern w:val="0"/>
          <w:sz w:val="24"/>
        </w:rPr>
        <w:t xml:space="preserve"> </w:t>
      </w:r>
    </w:p>
    <w:p w14:paraId="62589955">
      <w:pPr>
        <w:adjustRightInd w:val="0"/>
        <w:snapToGrid w:val="0"/>
        <w:spacing w:line="360" w:lineRule="auto"/>
        <w:rPr>
          <w:rFonts w:eastAsia="微软雅黑"/>
          <w:b/>
          <w:sz w:val="24"/>
        </w:rPr>
      </w:pPr>
      <w:r>
        <w:rPr>
          <w:rFonts w:eastAsia="微软雅黑"/>
          <w:b/>
          <w:sz w:val="24"/>
        </w:rPr>
        <w:t>8.2.2</w:t>
      </w:r>
      <w:bookmarkStart w:id="32" w:name="OLE_LINK20"/>
      <w:r>
        <w:rPr>
          <w:rFonts w:eastAsia="微软雅黑"/>
          <w:b/>
          <w:sz w:val="24"/>
        </w:rPr>
        <w:t xml:space="preserve"> Incidence of overall postoperative complications</w:t>
      </w:r>
      <w:bookmarkEnd w:id="32"/>
    </w:p>
    <w:p w14:paraId="0BD23FBA">
      <w:pPr>
        <w:adjustRightInd w:val="0"/>
        <w:snapToGrid w:val="0"/>
        <w:spacing w:line="360" w:lineRule="auto"/>
        <w:ind w:firstLine="480" w:firstLineChars="200"/>
        <w:rPr>
          <w:rFonts w:eastAsia="微软雅黑"/>
          <w:sz w:val="24"/>
        </w:rPr>
      </w:pPr>
      <w:r>
        <w:rPr>
          <w:rFonts w:eastAsia="微软雅黑"/>
          <w:sz w:val="24"/>
        </w:rPr>
        <w:t xml:space="preserve">The postoperative complication criteria refer to </w:t>
      </w:r>
      <w:bookmarkStart w:id="33" w:name="OLE_LINK22"/>
      <w:r>
        <w:rPr>
          <w:rFonts w:eastAsia="微软雅黑"/>
          <w:sz w:val="24"/>
        </w:rPr>
        <w:t>short-term complications</w:t>
      </w:r>
      <w:bookmarkEnd w:id="33"/>
      <w:r>
        <w:rPr>
          <w:rFonts w:eastAsia="微软雅黑"/>
          <w:sz w:val="24"/>
        </w:rPr>
        <w:t xml:space="preserve"> after surgery in the postoperative observation project (see 9.4.5). The time is defined as within 30th after surgery, or the first discharge time if the days of hospital stay more than 30 days.</w:t>
      </w:r>
    </w:p>
    <w:p w14:paraId="7D977B89">
      <w:pPr>
        <w:adjustRightInd w:val="0"/>
        <w:snapToGrid w:val="0"/>
        <w:spacing w:line="360" w:lineRule="auto"/>
        <w:rPr>
          <w:rFonts w:eastAsia="微软雅黑"/>
          <w:b/>
          <w:sz w:val="24"/>
        </w:rPr>
      </w:pPr>
      <w:r>
        <w:rPr>
          <w:rFonts w:eastAsia="微软雅黑"/>
          <w:b/>
          <w:sz w:val="24"/>
        </w:rPr>
        <w:t>8.2.3 Incidence of postoperative major complications</w:t>
      </w:r>
    </w:p>
    <w:p w14:paraId="6E3E59B7">
      <w:pPr>
        <w:adjustRightInd w:val="0"/>
        <w:snapToGrid w:val="0"/>
        <w:spacing w:line="360" w:lineRule="auto"/>
        <w:ind w:firstLine="480" w:firstLineChars="200"/>
        <w:rPr>
          <w:rFonts w:eastAsia="微软雅黑"/>
          <w:sz w:val="24"/>
        </w:rPr>
      </w:pPr>
      <w:r>
        <w:rPr>
          <w:rFonts w:eastAsia="微软雅黑"/>
          <w:sz w:val="24"/>
        </w:rPr>
        <w:t>The standard for postoperative major complications refers to the short-term complications in the postoperative observation project (see 9.4.5) according to the Clavien–Dindo grade, IIIA level and above for serious complications, and when multiple complications occur simultaneously, the highest ranked complication is the subject.</w:t>
      </w:r>
    </w:p>
    <w:p w14:paraId="473810DD">
      <w:pPr>
        <w:adjustRightInd w:val="0"/>
        <w:snapToGrid w:val="0"/>
        <w:spacing w:line="360" w:lineRule="auto"/>
        <w:jc w:val="left"/>
        <w:rPr>
          <w:rFonts w:eastAsia="微软雅黑"/>
          <w:b/>
          <w:sz w:val="24"/>
        </w:rPr>
      </w:pPr>
      <w:r>
        <w:rPr>
          <w:rFonts w:eastAsia="微软雅黑"/>
          <w:b/>
          <w:sz w:val="24"/>
        </w:rPr>
        <w:t xml:space="preserve">8.3 </w:t>
      </w:r>
      <w:r>
        <w:rPr>
          <w:b/>
          <w:sz w:val="24"/>
        </w:rPr>
        <w:t>Incidence of surgical complications</w:t>
      </w:r>
    </w:p>
    <w:p w14:paraId="5F399889">
      <w:pPr>
        <w:adjustRightInd w:val="0"/>
        <w:snapToGrid w:val="0"/>
        <w:spacing w:line="360" w:lineRule="auto"/>
        <w:ind w:firstLine="480" w:firstLineChars="200"/>
        <w:rPr>
          <w:rFonts w:eastAsia="微软雅黑"/>
          <w:sz w:val="24"/>
        </w:rPr>
      </w:pPr>
      <w:r>
        <w:rPr>
          <w:sz w:val="24"/>
        </w:rPr>
        <w:t>The number of all patients treated with surgery as the denominator and the number of the patients with any intraoperative and postoperative complications as the numerator are used to calculate the proportions. The criteria for the intraoperative complications refer to the descriptions of intraoperative complications in the observation project (in 9.3.3).</w:t>
      </w:r>
    </w:p>
    <w:p w14:paraId="275A0207">
      <w:pPr>
        <w:adjustRightInd w:val="0"/>
        <w:snapToGrid w:val="0"/>
        <w:spacing w:line="360" w:lineRule="auto"/>
        <w:jc w:val="left"/>
        <w:rPr>
          <w:rFonts w:eastAsia="微软雅黑"/>
          <w:b/>
          <w:sz w:val="24"/>
        </w:rPr>
      </w:pPr>
      <w:r>
        <w:rPr>
          <w:rFonts w:eastAsia="微软雅黑"/>
          <w:b/>
          <w:sz w:val="24"/>
        </w:rPr>
        <w:t xml:space="preserve">8.4 </w:t>
      </w:r>
      <w:r>
        <w:rPr>
          <w:b/>
          <w:sz w:val="24"/>
        </w:rPr>
        <w:t>Mortality</w:t>
      </w:r>
    </w:p>
    <w:p w14:paraId="737FDE3D">
      <w:pPr>
        <w:spacing w:line="360" w:lineRule="auto"/>
        <w:ind w:firstLine="360" w:firstLineChars="150"/>
        <w:rPr>
          <w:sz w:val="24"/>
        </w:rPr>
      </w:pPr>
      <w:r>
        <w:rPr>
          <w:rFonts w:eastAsia="微软雅黑"/>
          <w:sz w:val="24"/>
        </w:rPr>
        <w:sym w:font="Symbol" w:char="F0B7"/>
      </w:r>
      <w:r>
        <w:rPr>
          <w:sz w:val="24"/>
        </w:rPr>
        <w:t>The number of all the patients receiving surgery as the denominator and the number of the patients in any of the following situations as the numerator are used to calculate proportions. This proportion indicated the operative mortality ratio.</w:t>
      </w:r>
    </w:p>
    <w:p w14:paraId="7D6F7681">
      <w:pPr>
        <w:spacing w:line="360" w:lineRule="auto"/>
        <w:ind w:firstLine="360" w:firstLineChars="150"/>
        <w:rPr>
          <w:sz w:val="24"/>
        </w:rPr>
      </w:pPr>
      <w:r>
        <w:rPr>
          <w:rFonts w:eastAsia="微软雅黑"/>
          <w:sz w:val="24"/>
        </w:rPr>
        <w:sym w:font="Symbol" w:char="F0B7"/>
      </w:r>
      <w:r>
        <w:rPr>
          <w:sz w:val="24"/>
        </w:rPr>
        <w:t>Situations: patients whose death was identified according to documented intraoperative observation items, including patients who die within 30 days after the surgery (including 30 days) regardless of the causality between the death and the surgery, and patients who die more than 30 days after the surgery (whose death is proved to have a direct causal relationship with the first operation).</w:t>
      </w:r>
    </w:p>
    <w:p w14:paraId="48980437">
      <w:pPr>
        <w:adjustRightInd w:val="0"/>
        <w:snapToGrid w:val="0"/>
        <w:spacing w:line="360" w:lineRule="auto"/>
        <w:rPr>
          <w:rFonts w:eastAsia="微软雅黑"/>
          <w:b/>
          <w:sz w:val="24"/>
        </w:rPr>
      </w:pPr>
      <w:r>
        <w:rPr>
          <w:rFonts w:eastAsia="微软雅黑"/>
          <w:b/>
          <w:sz w:val="24"/>
        </w:rPr>
        <w:t xml:space="preserve">8.5 </w:t>
      </w:r>
      <w:r>
        <w:rPr>
          <w:b/>
          <w:sz w:val="24"/>
        </w:rPr>
        <w:t>Disease-free survival</w:t>
      </w:r>
    </w:p>
    <w:p w14:paraId="5CD85C99">
      <w:pPr>
        <w:adjustRightInd w:val="0"/>
        <w:snapToGrid w:val="0"/>
        <w:spacing w:line="360" w:lineRule="auto"/>
        <w:ind w:firstLine="480" w:firstLineChars="200"/>
        <w:rPr>
          <w:rFonts w:eastAsia="微软雅黑"/>
          <w:sz w:val="24"/>
        </w:rPr>
      </w:pPr>
      <w:r>
        <w:rPr>
          <w:sz w:val="24"/>
        </w:rPr>
        <w:t xml:space="preserve">Disease-free survival is calculated from the day of surgery to the day of recurrence or death (When the specific date of recurrence of the tumor is unknown, the ending point is the date of death due to tumor causes). In the event that neither death nor recurrence of the tumor are observed, the end point is the final date that a patient is confirmed as relapse-free </w:t>
      </w:r>
      <w:r>
        <w:rPr>
          <w:rFonts w:eastAsia="微软雅黑"/>
          <w:sz w:val="24"/>
        </w:rPr>
        <w:t>(T</w:t>
      </w:r>
      <w:r>
        <w:rPr>
          <w:sz w:val="24"/>
        </w:rPr>
        <w:t>he final date of disease-free survival: The last date of the outpatient visit day or the date of acceptance of the examination</w:t>
      </w:r>
      <w:r>
        <w:rPr>
          <w:rFonts w:eastAsia="微软雅黑"/>
          <w:sz w:val="24"/>
        </w:rPr>
        <w:t xml:space="preserve">). Follow-up cycle and required examinations are shown in the follow-up process 9.5.3. </w:t>
      </w:r>
    </w:p>
    <w:p w14:paraId="352C2033">
      <w:pPr>
        <w:adjustRightInd w:val="0"/>
        <w:snapToGrid w:val="0"/>
        <w:spacing w:line="360" w:lineRule="auto"/>
        <w:jc w:val="left"/>
        <w:rPr>
          <w:rFonts w:eastAsia="微软雅黑"/>
          <w:b/>
          <w:sz w:val="24"/>
        </w:rPr>
      </w:pPr>
      <w:r>
        <w:rPr>
          <w:rFonts w:eastAsia="微软雅黑"/>
          <w:b/>
          <w:sz w:val="24"/>
        </w:rPr>
        <w:t xml:space="preserve">8.6 </w:t>
      </w:r>
      <w:r>
        <w:rPr>
          <w:b/>
          <w:sz w:val="24"/>
        </w:rPr>
        <w:t>Overall survival time</w:t>
      </w:r>
    </w:p>
    <w:p w14:paraId="17FCAD77">
      <w:pPr>
        <w:adjustRightInd w:val="0"/>
        <w:snapToGrid w:val="0"/>
        <w:spacing w:line="360" w:lineRule="auto"/>
        <w:ind w:firstLine="480" w:firstLineChars="200"/>
        <w:rPr>
          <w:sz w:val="24"/>
        </w:rPr>
      </w:pPr>
      <w:r>
        <w:rPr>
          <w:sz w:val="24"/>
        </w:rPr>
        <w:t>The overall survival is calculated from the day of surgery until death or until the final follow-up date, whichever occurs first. For survival cases, the end point is the last date that survival was confirmed. If loss to follow-up occurred, the end point is the final date that survival could be confirmed.</w:t>
      </w:r>
    </w:p>
    <w:p w14:paraId="152A2C2C">
      <w:pPr>
        <w:adjustRightInd w:val="0"/>
        <w:snapToGrid w:val="0"/>
        <w:spacing w:line="360" w:lineRule="auto"/>
        <w:jc w:val="left"/>
        <w:rPr>
          <w:rFonts w:eastAsia="微软雅黑"/>
          <w:b/>
          <w:sz w:val="24"/>
        </w:rPr>
      </w:pPr>
      <w:r>
        <w:rPr>
          <w:rFonts w:eastAsia="微软雅黑"/>
          <w:b/>
          <w:sz w:val="24"/>
        </w:rPr>
        <w:t xml:space="preserve">8.7 </w:t>
      </w:r>
      <w:r>
        <w:rPr>
          <w:b/>
          <w:sz w:val="24"/>
        </w:rPr>
        <w:t>Determination of surgical outcomes</w:t>
      </w:r>
    </w:p>
    <w:p w14:paraId="2BA371F0">
      <w:pPr>
        <w:adjustRightInd w:val="0"/>
        <w:snapToGrid w:val="0"/>
        <w:spacing w:line="360" w:lineRule="auto"/>
        <w:rPr>
          <w:rFonts w:eastAsia="微软雅黑"/>
          <w:sz w:val="24"/>
        </w:rPr>
      </w:pPr>
      <w:r>
        <w:rPr>
          <w:rFonts w:eastAsia="微软雅黑"/>
          <w:b/>
          <w:sz w:val="24"/>
        </w:rPr>
        <w:t xml:space="preserve">8.7.1 </w:t>
      </w:r>
      <w:r>
        <w:rPr>
          <w:b/>
          <w:sz w:val="24"/>
        </w:rPr>
        <w:t xml:space="preserve">Operative time: </w:t>
      </w:r>
      <w:r>
        <w:rPr>
          <w:sz w:val="24"/>
        </w:rPr>
        <w:t>from skin incision to the skin being sutured</w:t>
      </w:r>
    </w:p>
    <w:p w14:paraId="39DA5483">
      <w:pPr>
        <w:adjustRightInd w:val="0"/>
        <w:snapToGrid w:val="0"/>
        <w:spacing w:line="360" w:lineRule="auto"/>
        <w:rPr>
          <w:b/>
          <w:sz w:val="24"/>
        </w:rPr>
      </w:pPr>
      <w:r>
        <w:rPr>
          <w:rFonts w:eastAsia="微软雅黑"/>
          <w:b/>
          <w:sz w:val="24"/>
        </w:rPr>
        <w:t xml:space="preserve">8.7.2 </w:t>
      </w:r>
      <w:r>
        <w:rPr>
          <w:b/>
          <w:sz w:val="24"/>
        </w:rPr>
        <w:t>Postoperative recovery indexes</w:t>
      </w:r>
    </w:p>
    <w:p w14:paraId="6D96EE04">
      <w:pPr>
        <w:adjustRightInd w:val="0"/>
        <w:snapToGrid w:val="0"/>
        <w:spacing w:line="360" w:lineRule="auto"/>
        <w:rPr>
          <w:b/>
          <w:sz w:val="24"/>
        </w:rPr>
      </w:pPr>
      <w:r>
        <w:rPr>
          <w:b/>
          <w:sz w:val="24"/>
        </w:rPr>
        <w:t>8.7.2.1 Time to ambulation, flatus, recovery of liquid diet and semi-liquid diet.</w:t>
      </w:r>
    </w:p>
    <w:p w14:paraId="74FF3746">
      <w:pPr>
        <w:adjustRightInd w:val="0"/>
        <w:snapToGrid w:val="0"/>
        <w:spacing w:line="360" w:lineRule="auto"/>
        <w:rPr>
          <w:rFonts w:eastAsia="微软雅黑"/>
          <w:sz w:val="24"/>
        </w:rPr>
      </w:pPr>
      <w:r>
        <w:rPr>
          <w:rFonts w:eastAsia="微软雅黑"/>
          <w:sz w:val="24"/>
        </w:rPr>
        <w:sym w:font="Symbol" w:char="F0B7"/>
      </w:r>
      <w:r>
        <w:rPr>
          <w:rFonts w:eastAsia="微软雅黑"/>
          <w:sz w:val="24"/>
        </w:rPr>
        <w:t></w:t>
      </w:r>
      <w:r>
        <w:rPr>
          <w:sz w:val="24"/>
        </w:rPr>
        <w:t>During the day of surgery to the first discharge, the initial time to ambulation, flatus, liquid diet and semi-liquid diet during the postoperative hospitalization is recorded by hour</w:t>
      </w:r>
      <w:r>
        <w:rPr>
          <w:rFonts w:eastAsia="微软雅黑"/>
          <w:sz w:val="24"/>
        </w:rPr>
        <w:t>.</w:t>
      </w:r>
    </w:p>
    <w:p w14:paraId="37C5EC4A">
      <w:pPr>
        <w:adjustRightInd w:val="0"/>
        <w:snapToGrid w:val="0"/>
        <w:spacing w:line="360" w:lineRule="auto"/>
        <w:rPr>
          <w:rFonts w:eastAsia="微软雅黑"/>
          <w:sz w:val="24"/>
        </w:rPr>
      </w:pPr>
      <w:r>
        <w:rPr>
          <w:rFonts w:eastAsia="微软雅黑"/>
          <w:sz w:val="24"/>
        </w:rPr>
        <w:sym w:font="Symbol" w:char="F0B7"/>
      </w:r>
      <w:r>
        <w:rPr>
          <w:rFonts w:eastAsia="微软雅黑"/>
          <w:sz w:val="24"/>
        </w:rPr>
        <w:t></w:t>
      </w:r>
      <w:r>
        <w:rPr>
          <w:sz w:val="24"/>
        </w:rPr>
        <w:t>Flatus on the operation day should be excluded</w:t>
      </w:r>
      <w:r>
        <w:rPr>
          <w:rFonts w:eastAsia="微软雅黑"/>
          <w:sz w:val="24"/>
        </w:rPr>
        <w:t>.</w:t>
      </w:r>
    </w:p>
    <w:p w14:paraId="4A622591">
      <w:pPr>
        <w:adjustRightInd w:val="0"/>
        <w:snapToGrid w:val="0"/>
        <w:spacing w:line="360" w:lineRule="auto"/>
        <w:rPr>
          <w:rFonts w:eastAsia="微软雅黑"/>
          <w:sz w:val="24"/>
        </w:rPr>
      </w:pPr>
      <w:r>
        <w:rPr>
          <w:rFonts w:eastAsia="微软雅黑"/>
          <w:sz w:val="24"/>
        </w:rPr>
        <w:sym w:font="Symbol" w:char="F0B7"/>
      </w:r>
      <w:r>
        <w:rPr>
          <w:rFonts w:eastAsia="微软雅黑"/>
          <w:sz w:val="24"/>
        </w:rPr>
        <w:t></w:t>
      </w:r>
      <w:r>
        <w:rPr>
          <w:sz w:val="24"/>
        </w:rPr>
        <w:t>If flatus or resumption of liquid and semi-liquid diet does not occur before hospital discharge, the discharge time should be recorded as the corresponding time.</w:t>
      </w:r>
    </w:p>
    <w:p w14:paraId="0AAB38FE">
      <w:pPr>
        <w:adjustRightInd w:val="0"/>
        <w:snapToGrid w:val="0"/>
        <w:spacing w:line="360" w:lineRule="auto"/>
        <w:rPr>
          <w:rFonts w:eastAsia="微软雅黑"/>
          <w:sz w:val="24"/>
        </w:rPr>
      </w:pPr>
      <w:r>
        <w:rPr>
          <w:rFonts w:eastAsia="微软雅黑"/>
          <w:sz w:val="24"/>
        </w:rPr>
        <w:sym w:font="Symbol" w:char="F0B7"/>
      </w:r>
      <w:r>
        <w:rPr>
          <w:rFonts w:eastAsia="微软雅黑"/>
          <w:sz w:val="24"/>
        </w:rPr>
        <w:t></w:t>
      </w:r>
      <w:r>
        <w:rPr>
          <w:sz w:val="24"/>
        </w:rPr>
        <w:t>The initial time to ambulation, flatus, liquid diet and semi-liquid diet should be recorded according to patients’ reports.</w:t>
      </w:r>
    </w:p>
    <w:p w14:paraId="2BD85E7C">
      <w:pPr>
        <w:adjustRightInd w:val="0"/>
        <w:snapToGrid w:val="0"/>
        <w:spacing w:line="360" w:lineRule="auto"/>
        <w:rPr>
          <w:rFonts w:eastAsia="微软雅黑"/>
          <w:b/>
          <w:sz w:val="24"/>
        </w:rPr>
      </w:pPr>
      <w:r>
        <w:rPr>
          <w:rFonts w:eastAsia="微软雅黑"/>
          <w:b/>
          <w:sz w:val="24"/>
        </w:rPr>
        <w:t xml:space="preserve">8.7.2.2 </w:t>
      </w:r>
      <w:r>
        <w:rPr>
          <w:b/>
          <w:sz w:val="24"/>
        </w:rPr>
        <w:t>The maximum temperature</w:t>
      </w:r>
    </w:p>
    <w:p w14:paraId="6595C3E7">
      <w:pPr>
        <w:adjustRightInd w:val="0"/>
        <w:snapToGrid w:val="0"/>
        <w:spacing w:line="360" w:lineRule="auto"/>
        <w:ind w:firstLine="480" w:firstLineChars="200"/>
        <w:rPr>
          <w:rFonts w:eastAsia="微软雅黑"/>
          <w:sz w:val="24"/>
        </w:rPr>
      </w:pPr>
      <w:r>
        <w:rPr>
          <w:sz w:val="24"/>
        </w:rPr>
        <w:t>The highest value of body temperature measured at least 3 times a day from the first day to the eighth day after operation is documented.</w:t>
      </w:r>
    </w:p>
    <w:p w14:paraId="45FD5214">
      <w:pPr>
        <w:adjustRightInd w:val="0"/>
        <w:snapToGrid w:val="0"/>
        <w:spacing w:line="360" w:lineRule="auto"/>
        <w:rPr>
          <w:rFonts w:eastAsia="微软雅黑"/>
          <w:b/>
          <w:sz w:val="24"/>
        </w:rPr>
      </w:pPr>
      <w:r>
        <w:rPr>
          <w:rFonts w:eastAsia="微软雅黑"/>
          <w:b/>
          <w:sz w:val="24"/>
        </w:rPr>
        <w:t xml:space="preserve">8.7.3 </w:t>
      </w:r>
      <w:r>
        <w:rPr>
          <w:b/>
          <w:sz w:val="24"/>
        </w:rPr>
        <w:t>Percentage of conversion to laparotomy</w:t>
      </w:r>
    </w:p>
    <w:p w14:paraId="50271FD4">
      <w:pPr>
        <w:spacing w:line="360" w:lineRule="auto"/>
        <w:ind w:firstLine="480" w:firstLineChars="200"/>
        <w:rPr>
          <w:sz w:val="24"/>
        </w:rPr>
      </w:pPr>
      <w:r>
        <w:rPr>
          <w:sz w:val="24"/>
        </w:rPr>
        <w:t>Among all the patients who underwent surgery, the number of patients planning to receive a laparoscopic surgery per protocol is used as the denominator, while the number of the patients who receive a conversion to open surgery is considered the numerator. The proportion calculated is regarded as the rate of transfer laparotomies. In this study, if the length of the auxiliary incision is more than 10 cm, it is considered a conversion to open surgery.</w:t>
      </w:r>
    </w:p>
    <w:p w14:paraId="3E5C84CD">
      <w:pPr>
        <w:adjustRightInd w:val="0"/>
        <w:snapToGrid w:val="0"/>
        <w:spacing w:line="360" w:lineRule="auto"/>
        <w:rPr>
          <w:rFonts w:eastAsia="微软雅黑"/>
          <w:b/>
          <w:sz w:val="32"/>
          <w:szCs w:val="32"/>
        </w:rPr>
      </w:pPr>
      <w:r>
        <w:rPr>
          <w:rFonts w:eastAsia="微软雅黑"/>
          <w:b/>
          <w:sz w:val="32"/>
          <w:szCs w:val="32"/>
        </w:rPr>
        <w:t xml:space="preserve">9. Standard operating procedures (SOP) </w:t>
      </w:r>
    </w:p>
    <w:p w14:paraId="7B5B7637">
      <w:pPr>
        <w:adjustRightInd w:val="0"/>
        <w:snapToGrid w:val="0"/>
        <w:spacing w:line="360" w:lineRule="auto"/>
        <w:jc w:val="left"/>
        <w:rPr>
          <w:rFonts w:eastAsia="微软雅黑"/>
          <w:b/>
          <w:sz w:val="24"/>
        </w:rPr>
      </w:pPr>
      <w:r>
        <w:rPr>
          <w:rFonts w:eastAsia="微软雅黑"/>
          <w:b/>
          <w:sz w:val="24"/>
        </w:rPr>
        <w:t>9.1 Case selection</w:t>
      </w:r>
    </w:p>
    <w:p w14:paraId="7AB31701">
      <w:pPr>
        <w:adjustRightInd w:val="0"/>
        <w:snapToGrid w:val="0"/>
        <w:spacing w:line="360" w:lineRule="auto"/>
        <w:rPr>
          <w:rFonts w:eastAsia="微软雅黑"/>
          <w:b/>
          <w:sz w:val="24"/>
        </w:rPr>
      </w:pPr>
      <w:r>
        <w:rPr>
          <w:rFonts w:eastAsia="微软雅黑"/>
          <w:b/>
          <w:sz w:val="24"/>
        </w:rPr>
        <w:t xml:space="preserve">9.1.1 </w:t>
      </w:r>
      <w:bookmarkStart w:id="34" w:name="OLE_LINK23"/>
      <w:r>
        <w:rPr>
          <w:rFonts w:eastAsia="微软雅黑"/>
          <w:b/>
          <w:sz w:val="24"/>
        </w:rPr>
        <w:t>Selection assessment items</w:t>
      </w:r>
      <w:bookmarkEnd w:id="34"/>
    </w:p>
    <w:p w14:paraId="0F3D625C">
      <w:pPr>
        <w:adjustRightInd w:val="0"/>
        <w:snapToGrid w:val="0"/>
        <w:spacing w:line="360" w:lineRule="auto"/>
        <w:ind w:firstLine="480" w:firstLineChars="200"/>
        <w:rPr>
          <w:rFonts w:eastAsia="微软雅黑"/>
          <w:sz w:val="24"/>
        </w:rPr>
      </w:pPr>
      <w:r>
        <w:rPr>
          <w:rFonts w:eastAsia="微软雅黑"/>
          <w:sz w:val="24"/>
        </w:rPr>
        <w:t>Clinical examination data of patients conducted from hospital admission to enrollment into this study (time period is usually 2 weeks) will be considered baseline data, and must include:</w:t>
      </w:r>
    </w:p>
    <w:p w14:paraId="2E2EA792">
      <w:pPr>
        <w:adjustRightInd w:val="0"/>
        <w:snapToGrid w:val="0"/>
        <w:spacing w:line="360" w:lineRule="auto"/>
        <w:rPr>
          <w:rFonts w:eastAsia="微软雅黑"/>
          <w:sz w:val="24"/>
        </w:rPr>
      </w:pPr>
      <w:r>
        <w:rPr>
          <w:rFonts w:eastAsia="微软雅黑"/>
          <w:sz w:val="24"/>
        </w:rPr>
        <w:t>(1) Systemic status: ECOG score, height, weight</w:t>
      </w:r>
    </w:p>
    <w:p w14:paraId="2224A5C6">
      <w:pPr>
        <w:adjustRightInd w:val="0"/>
        <w:snapToGrid w:val="0"/>
        <w:spacing w:line="360" w:lineRule="auto"/>
        <w:rPr>
          <w:rFonts w:eastAsia="微软雅黑"/>
          <w:sz w:val="24"/>
        </w:rPr>
      </w:pPr>
      <w:r>
        <w:rPr>
          <w:rFonts w:eastAsia="微软雅黑"/>
          <w:sz w:val="24"/>
        </w:rPr>
        <w:t>(2) Peripheral venous blood: Hb, RBC, WBC, LYM, NEU, NEU%, PLT, MONO</w:t>
      </w:r>
    </w:p>
    <w:p w14:paraId="487700FC">
      <w:pPr>
        <w:adjustRightInd w:val="0"/>
        <w:snapToGrid w:val="0"/>
        <w:spacing w:line="360" w:lineRule="auto"/>
        <w:ind w:left="480" w:hanging="480" w:hangingChars="200"/>
        <w:rPr>
          <w:rFonts w:eastAsia="微软雅黑"/>
          <w:sz w:val="24"/>
        </w:rPr>
      </w:pPr>
      <w:r>
        <w:rPr>
          <w:rFonts w:eastAsia="微软雅黑"/>
          <w:sz w:val="24"/>
        </w:rPr>
        <w:t>(3) Blood biochemistry: albumin, prealbumin, total bilirubin, indirect bilirubin, direct bilirubin, AST, ALT, creatinine, urea nitrogen, Total cholesterol, triglycerides, fasting glucose, potassium, sodium, chlorine, calcium</w:t>
      </w:r>
    </w:p>
    <w:p w14:paraId="76570593">
      <w:pPr>
        <w:adjustRightInd w:val="0"/>
        <w:snapToGrid w:val="0"/>
        <w:spacing w:line="360" w:lineRule="auto"/>
        <w:rPr>
          <w:rFonts w:eastAsia="微软雅黑"/>
          <w:sz w:val="24"/>
        </w:rPr>
      </w:pPr>
      <w:r>
        <w:rPr>
          <w:rFonts w:eastAsia="微软雅黑"/>
          <w:sz w:val="24"/>
        </w:rPr>
        <w:t>(4) Serum tumor markers: CEA, CA19-9, CA72-4, CA12-5, AFP</w:t>
      </w:r>
    </w:p>
    <w:p w14:paraId="2A06E901">
      <w:pPr>
        <w:adjustRightInd w:val="0"/>
        <w:snapToGrid w:val="0"/>
        <w:spacing w:line="360" w:lineRule="auto"/>
        <w:rPr>
          <w:rFonts w:eastAsia="微软雅黑"/>
          <w:sz w:val="24"/>
        </w:rPr>
      </w:pPr>
      <w:r>
        <w:rPr>
          <w:rFonts w:eastAsia="微软雅黑"/>
          <w:sz w:val="24"/>
        </w:rPr>
        <w:t>(5) Full abdominal (slice thickness of 10mm or less, in case of allergy to the contrast agent, CT horizontal scanning is allowed only)</w:t>
      </w:r>
    </w:p>
    <w:p w14:paraId="63090772">
      <w:pPr>
        <w:adjustRightInd w:val="0"/>
        <w:snapToGrid w:val="0"/>
        <w:spacing w:line="360" w:lineRule="auto"/>
        <w:ind w:left="480" w:hanging="480" w:hangingChars="200"/>
        <w:rPr>
          <w:rFonts w:eastAsia="微软雅黑"/>
          <w:sz w:val="24"/>
        </w:rPr>
      </w:pPr>
      <w:r>
        <w:rPr>
          <w:rFonts w:eastAsia="微软雅黑"/>
          <w:sz w:val="24"/>
        </w:rPr>
        <w:t>(6) Upper gastrointestinal endoscopic ultrasonography (EUS) and biopsy, if no EUS, select ordinary upper gastrointestinal endoscopy and biopsy instead</w:t>
      </w:r>
    </w:p>
    <w:p w14:paraId="536D762A">
      <w:pPr>
        <w:adjustRightInd w:val="0"/>
        <w:snapToGrid w:val="0"/>
        <w:spacing w:line="360" w:lineRule="auto"/>
        <w:rPr>
          <w:rFonts w:eastAsia="微软雅黑"/>
          <w:sz w:val="24"/>
        </w:rPr>
      </w:pPr>
      <w:r>
        <w:rPr>
          <w:rFonts w:eastAsia="微软雅黑"/>
          <w:sz w:val="24"/>
        </w:rPr>
        <w:t>(7) Chest X-ray (AP and lateral views): cardiopulmonary conditions</w:t>
      </w:r>
    </w:p>
    <w:p w14:paraId="0DCE9FBF">
      <w:pPr>
        <w:adjustRightInd w:val="0"/>
        <w:snapToGrid w:val="0"/>
        <w:spacing w:line="360" w:lineRule="auto"/>
        <w:rPr>
          <w:rFonts w:eastAsia="微软雅黑"/>
          <w:sz w:val="24"/>
        </w:rPr>
      </w:pPr>
      <w:r>
        <w:rPr>
          <w:rFonts w:eastAsia="微软雅黑"/>
          <w:sz w:val="24"/>
        </w:rPr>
        <w:t>(8) Resting 12-lead ECG</w:t>
      </w:r>
    </w:p>
    <w:p w14:paraId="490791E9">
      <w:pPr>
        <w:adjustRightInd w:val="0"/>
        <w:snapToGrid w:val="0"/>
        <w:spacing w:line="360" w:lineRule="auto"/>
        <w:rPr>
          <w:rFonts w:eastAsia="微软雅黑"/>
          <w:b/>
          <w:sz w:val="24"/>
        </w:rPr>
      </w:pPr>
      <w:r>
        <w:rPr>
          <w:rFonts w:eastAsia="微软雅黑"/>
          <w:sz w:val="24"/>
        </w:rPr>
        <w:t xml:space="preserve">(9) Respiratory function tests: FEV1, FVC </w:t>
      </w:r>
    </w:p>
    <w:p w14:paraId="4B73F872">
      <w:pPr>
        <w:adjustRightInd w:val="0"/>
        <w:snapToGrid w:val="0"/>
        <w:spacing w:line="360" w:lineRule="auto"/>
        <w:rPr>
          <w:rFonts w:eastAsia="微软雅黑"/>
          <w:b/>
          <w:sz w:val="24"/>
        </w:rPr>
      </w:pPr>
      <w:r>
        <w:rPr>
          <w:rFonts w:eastAsia="微软雅黑"/>
          <w:b/>
          <w:sz w:val="24"/>
        </w:rPr>
        <w:t xml:space="preserve">9.1.2 Selection application </w:t>
      </w:r>
    </w:p>
    <w:p w14:paraId="40AB52A4">
      <w:pPr>
        <w:adjustRightInd w:val="0"/>
        <w:snapToGrid w:val="0"/>
        <w:spacing w:line="360" w:lineRule="auto"/>
        <w:ind w:firstLine="480" w:firstLineChars="200"/>
        <w:rPr>
          <w:rFonts w:eastAsia="微软雅黑"/>
          <w:sz w:val="24"/>
        </w:rPr>
      </w:pPr>
      <w:r>
        <w:rPr>
          <w:rFonts w:eastAsia="微软雅黑"/>
          <w:sz w:val="24"/>
        </w:rPr>
        <w:t>For cases that meet all inclusion criteria and none of the exclusion criteria, talk to patients and their families and sign informed consent. Application and confirmation of eligibility should be completed preoperatively; postoperative applications will not be accepted.</w:t>
      </w:r>
    </w:p>
    <w:p w14:paraId="2DB1AB1F">
      <w:pPr>
        <w:adjustRightInd w:val="0"/>
        <w:snapToGrid w:val="0"/>
        <w:spacing w:line="360" w:lineRule="auto"/>
        <w:jc w:val="left"/>
        <w:rPr>
          <w:rFonts w:eastAsia="微软雅黑"/>
          <w:b/>
          <w:sz w:val="24"/>
        </w:rPr>
      </w:pPr>
      <w:r>
        <w:rPr>
          <w:rFonts w:eastAsia="微软雅黑"/>
          <w:b/>
          <w:sz w:val="24"/>
        </w:rPr>
        <w:t>9.2 Preoperative management</w:t>
      </w:r>
    </w:p>
    <w:p w14:paraId="5D2D1717">
      <w:pPr>
        <w:adjustRightInd w:val="0"/>
        <w:snapToGrid w:val="0"/>
        <w:spacing w:line="360" w:lineRule="auto"/>
        <w:ind w:firstLine="480" w:firstLineChars="200"/>
        <w:rPr>
          <w:rFonts w:eastAsia="微软雅黑"/>
          <w:sz w:val="24"/>
        </w:rPr>
      </w:pPr>
      <w:r>
        <w:rPr>
          <w:rFonts w:eastAsia="微软雅黑"/>
          <w:sz w:val="24"/>
        </w:rPr>
        <w:t xml:space="preserve">After the eligibility is obtained, surgery should be performed within two weeks (including the 14th day) </w:t>
      </w:r>
    </w:p>
    <w:p w14:paraId="4B2A2593">
      <w:pPr>
        <w:pStyle w:val="25"/>
        <w:numPr>
          <w:ilvl w:val="1"/>
          <w:numId w:val="9"/>
        </w:numPr>
        <w:adjustRightInd w:val="0"/>
        <w:snapToGrid w:val="0"/>
        <w:spacing w:line="360" w:lineRule="auto"/>
        <w:ind w:left="0" w:firstLine="0" w:firstLineChars="0"/>
        <w:rPr>
          <w:rFonts w:eastAsia="微软雅黑"/>
          <w:sz w:val="24"/>
        </w:rPr>
      </w:pPr>
      <w:r>
        <w:rPr>
          <w:rFonts w:eastAsia="微软雅黑"/>
          <w:sz w:val="24"/>
        </w:rPr>
        <w:t xml:space="preserve">In case of any deterioration of the clinical conditions from the selection time to the expected day of surgery, whether to undergo an elective surgery as planned should be decided in accordance with the judgment of the doctor in charge; if an emergency surgery is required, the case should be withdrawn from PP set according to 4.3 Withdrawal Criteria. </w:t>
      </w:r>
    </w:p>
    <w:p w14:paraId="42FA1F5F">
      <w:pPr>
        <w:pStyle w:val="25"/>
        <w:numPr>
          <w:ilvl w:val="1"/>
          <w:numId w:val="9"/>
        </w:numPr>
        <w:adjustRightInd w:val="0"/>
        <w:snapToGrid w:val="0"/>
        <w:spacing w:line="360" w:lineRule="auto"/>
        <w:ind w:left="0" w:firstLine="0" w:firstLineChars="0"/>
        <w:rPr>
          <w:rFonts w:eastAsia="微软雅黑"/>
          <w:sz w:val="24"/>
        </w:rPr>
      </w:pPr>
      <w:r>
        <w:rPr>
          <w:rFonts w:eastAsia="微软雅黑"/>
          <w:sz w:val="24"/>
        </w:rPr>
        <w:t xml:space="preserve">For patients with nutritional risks, preoperative enteral/parenteral nutritional support is allowed. </w:t>
      </w:r>
    </w:p>
    <w:p w14:paraId="6339CEEC">
      <w:pPr>
        <w:pStyle w:val="25"/>
        <w:numPr>
          <w:ilvl w:val="1"/>
          <w:numId w:val="9"/>
        </w:numPr>
        <w:adjustRightInd w:val="0"/>
        <w:snapToGrid w:val="0"/>
        <w:spacing w:line="360" w:lineRule="auto"/>
        <w:ind w:firstLineChars="0"/>
        <w:rPr>
          <w:rFonts w:eastAsia="微软雅黑"/>
          <w:sz w:val="24"/>
        </w:rPr>
      </w:pPr>
      <w:r>
        <w:rPr>
          <w:rFonts w:eastAsia="微软雅黑"/>
          <w:sz w:val="24"/>
        </w:rPr>
        <w:t xml:space="preserve">For elderly, smokers, high-risk patients with diabetes, obesity and chronic cardiovascular/cerebrovascular or thromboembolic past history, among others, perioperative low-molecular-weight heparin prophylaxis, lower-limb antithrombotic massage, active lower limb massage, training in respiratory function and other preventive measures are recommended. For other potentially high-risk complications not specified in this study protocol, the doctor can decide on the most appropriate approach according to clinical practice and specific needs and should record it in the CRF. </w:t>
      </w:r>
    </w:p>
    <w:p w14:paraId="529B1668">
      <w:pPr>
        <w:pStyle w:val="25"/>
        <w:numPr>
          <w:ilvl w:val="1"/>
          <w:numId w:val="9"/>
        </w:numPr>
        <w:adjustRightInd w:val="0"/>
        <w:snapToGrid w:val="0"/>
        <w:spacing w:line="360" w:lineRule="auto"/>
        <w:ind w:firstLineChars="0"/>
        <w:rPr>
          <w:rFonts w:eastAsia="微软雅黑"/>
          <w:sz w:val="24"/>
        </w:rPr>
      </w:pPr>
      <w:r>
        <w:rPr>
          <w:rFonts w:eastAsia="微软雅黑"/>
          <w:sz w:val="24"/>
        </w:rPr>
        <w:t>For the operative approach of the surgeries in this study should be selected by the doctor in charge according to his/her experience and the specific intraoperative circumstances.</w:t>
      </w:r>
    </w:p>
    <w:p w14:paraId="5FAC0358">
      <w:pPr>
        <w:pStyle w:val="25"/>
        <w:numPr>
          <w:ilvl w:val="1"/>
          <w:numId w:val="9"/>
        </w:numPr>
        <w:adjustRightInd w:val="0"/>
        <w:snapToGrid w:val="0"/>
        <w:spacing w:line="360" w:lineRule="auto"/>
        <w:ind w:firstLineChars="0"/>
        <w:rPr>
          <w:rFonts w:eastAsia="微软雅黑"/>
          <w:sz w:val="24"/>
        </w:rPr>
      </w:pPr>
      <w:r>
        <w:rPr>
          <w:rFonts w:eastAsia="微软雅黑"/>
          <w:sz w:val="24"/>
        </w:rPr>
        <w:t xml:space="preserve">Preoperative fasting and water deprivation and other before-anesthesia requirements on patients should follow the conventional anesthesia program, which is not specified in this study. </w:t>
      </w:r>
    </w:p>
    <w:p w14:paraId="6862B83E">
      <w:pPr>
        <w:pStyle w:val="25"/>
        <w:numPr>
          <w:ilvl w:val="1"/>
          <w:numId w:val="9"/>
        </w:numPr>
        <w:adjustRightInd w:val="0"/>
        <w:snapToGrid w:val="0"/>
        <w:spacing w:line="360" w:lineRule="auto"/>
        <w:ind w:firstLineChars="0"/>
        <w:rPr>
          <w:rFonts w:eastAsia="微软雅黑"/>
          <w:sz w:val="24"/>
        </w:rPr>
      </w:pPr>
      <w:r>
        <w:rPr>
          <w:rFonts w:eastAsia="微软雅黑"/>
          <w:sz w:val="24"/>
        </w:rPr>
        <w:t xml:space="preserve">For prophylactic antibiotics, the first intravenous infusion should begin 30 minutes prior to surgery. It is recommended to select a second-generation cephalosporin (there are no provisions on specific brands in this study); the preparation, concentration and infusion rate should comply with routine practice; and prophylaxis should not exceed postoperative three days at a frequency of one infusion every 12 hours. If patient is allergic to cephalosporins (including history of allergy or allergy after cephalosporin administration), other types of antibiotics are allowed according to the specific clinical situation and when used over the same time period mentioned. </w:t>
      </w:r>
    </w:p>
    <w:p w14:paraId="1955BB6E">
      <w:pPr>
        <w:pStyle w:val="25"/>
        <w:numPr>
          <w:ilvl w:val="1"/>
          <w:numId w:val="9"/>
        </w:numPr>
        <w:adjustRightInd w:val="0"/>
        <w:snapToGrid w:val="0"/>
        <w:spacing w:line="360" w:lineRule="auto"/>
        <w:ind w:firstLineChars="0"/>
        <w:rPr>
          <w:rFonts w:eastAsia="微软雅黑"/>
          <w:sz w:val="24"/>
        </w:rPr>
      </w:pPr>
      <w:r>
        <w:rPr>
          <w:rFonts w:eastAsia="微软雅黑"/>
          <w:sz w:val="24"/>
        </w:rPr>
        <w:t>Patient data to be collected during the preoperative period also includes CRP.</w:t>
      </w:r>
    </w:p>
    <w:p w14:paraId="2728A973">
      <w:pPr>
        <w:pStyle w:val="25"/>
        <w:numPr>
          <w:ilvl w:val="1"/>
          <w:numId w:val="9"/>
        </w:numPr>
        <w:adjustRightInd w:val="0"/>
        <w:snapToGrid w:val="0"/>
        <w:spacing w:line="360" w:lineRule="auto"/>
        <w:ind w:firstLineChars="0"/>
        <w:rPr>
          <w:rFonts w:eastAsia="微软雅黑"/>
          <w:sz w:val="24"/>
        </w:rPr>
      </w:pPr>
      <w:r>
        <w:rPr>
          <w:rFonts w:eastAsia="微软雅黑"/>
          <w:sz w:val="24"/>
        </w:rPr>
        <w:t>For patients who were assigned to ICG group, endoscopic injection of ICG one day before surgery. As a fluorescent developer, ICG (Dandong Yichuang Pharmaceutical Co., Ltd) was dissolved into 1.25 mg/ml solutions in sterile water. 0.5 mL of the prepared solution, containing 0.625mg of ICG was injected along the submucosa of the stomach at four points around the primary tumor, respectively, for a total volume of 2ml (a total 2.5mg ICG) (</w:t>
      </w:r>
      <w:r>
        <w:rPr>
          <w:rFonts w:eastAsia="微软雅黑"/>
          <w:b/>
          <w:bCs/>
          <w:sz w:val="24"/>
        </w:rPr>
        <w:t>Figure. 1</w:t>
      </w:r>
      <w:r>
        <w:rPr>
          <w:rFonts w:eastAsia="微软雅黑"/>
          <w:sz w:val="24"/>
        </w:rPr>
        <w:t>).</w:t>
      </w:r>
    </w:p>
    <w:p w14:paraId="13E5AEEA">
      <w:pPr>
        <w:pStyle w:val="25"/>
        <w:adjustRightInd w:val="0"/>
        <w:snapToGrid w:val="0"/>
        <w:spacing w:line="360" w:lineRule="auto"/>
        <w:ind w:left="420" w:firstLine="0" w:firstLineChars="0"/>
      </w:pPr>
      <w:r>
        <w:rPr>
          <w:rFonts w:eastAsia="微软雅黑"/>
          <w:sz w:val="28"/>
          <w:szCs w:val="28"/>
        </w:rPr>
        <w:drawing>
          <wp:inline distT="0" distB="0" distL="0" distR="0">
            <wp:extent cx="2258060" cy="199390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a:blip r:embed="rId18"/>
                    <a:srcRect/>
                    <a:stretch>
                      <a:fillRect/>
                    </a:stretch>
                  </pic:blipFill>
                  <pic:spPr>
                    <a:xfrm>
                      <a:off x="0" y="0"/>
                      <a:ext cx="2265613" cy="2000487"/>
                    </a:xfrm>
                    <a:prstGeom prst="rect">
                      <a:avLst/>
                    </a:prstGeom>
                    <a:noFill/>
                    <a:ln>
                      <a:noFill/>
                    </a:ln>
                  </pic:spPr>
                </pic:pic>
              </a:graphicData>
            </a:graphic>
          </wp:inline>
        </w:drawing>
      </w:r>
      <w:r>
        <w:rPr>
          <w:rFonts w:eastAsia="微软雅黑"/>
          <w:sz w:val="28"/>
          <w:szCs w:val="28"/>
        </w:rPr>
        <w:drawing>
          <wp:inline distT="0" distB="0" distL="0" distR="0">
            <wp:extent cx="2286000" cy="199390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19"/>
                    <a:srcRect/>
                    <a:stretch>
                      <a:fillRect/>
                    </a:stretch>
                  </pic:blipFill>
                  <pic:spPr>
                    <a:xfrm>
                      <a:off x="0" y="0"/>
                      <a:ext cx="2317184" cy="2021375"/>
                    </a:xfrm>
                    <a:prstGeom prst="rect">
                      <a:avLst/>
                    </a:prstGeom>
                    <a:noFill/>
                    <a:ln>
                      <a:noFill/>
                    </a:ln>
                  </pic:spPr>
                </pic:pic>
              </a:graphicData>
            </a:graphic>
          </wp:inline>
        </w:drawing>
      </w:r>
    </w:p>
    <w:p w14:paraId="395AD70B">
      <w:pPr>
        <w:pStyle w:val="25"/>
        <w:adjustRightInd w:val="0"/>
        <w:snapToGrid w:val="0"/>
        <w:spacing w:line="360" w:lineRule="auto"/>
        <w:ind w:left="420" w:firstLine="0" w:firstLineChars="0"/>
      </w:pPr>
      <w:r>
        <w:rPr>
          <w:b/>
          <w:bCs/>
        </w:rPr>
        <w:t>Figure.1</w:t>
      </w:r>
      <w:r>
        <w:t xml:space="preserve"> Endoscopic submucosal injection of ICG one day before surgery.</w:t>
      </w:r>
    </w:p>
    <w:p w14:paraId="7BD83928">
      <w:pPr>
        <w:adjustRightInd w:val="0"/>
        <w:snapToGrid w:val="0"/>
        <w:spacing w:line="360" w:lineRule="auto"/>
        <w:jc w:val="left"/>
        <w:rPr>
          <w:rFonts w:eastAsia="微软雅黑"/>
          <w:b/>
          <w:sz w:val="24"/>
        </w:rPr>
      </w:pPr>
      <w:r>
        <w:rPr>
          <w:rFonts w:eastAsia="微软雅黑"/>
          <w:b/>
          <w:sz w:val="24"/>
        </w:rPr>
        <w:t>9.3 Standardization of surgical practice</w:t>
      </w:r>
    </w:p>
    <w:p w14:paraId="2F84A8AE">
      <w:pPr>
        <w:adjustRightInd w:val="0"/>
        <w:snapToGrid w:val="0"/>
        <w:spacing w:line="360" w:lineRule="auto"/>
        <w:rPr>
          <w:rFonts w:eastAsia="微软雅黑"/>
          <w:b/>
          <w:sz w:val="24"/>
        </w:rPr>
      </w:pPr>
      <w:r>
        <w:rPr>
          <w:rFonts w:eastAsia="微软雅黑"/>
          <w:b/>
          <w:sz w:val="24"/>
        </w:rPr>
        <w:t>9.3.1 Handling practices followed by both groups</w:t>
      </w:r>
    </w:p>
    <w:p w14:paraId="2454B737">
      <w:pPr>
        <w:adjustRightInd w:val="0"/>
        <w:snapToGrid w:val="0"/>
        <w:spacing w:line="360" w:lineRule="auto"/>
        <w:rPr>
          <w:rFonts w:eastAsia="微软雅黑"/>
          <w:b/>
          <w:sz w:val="24"/>
        </w:rPr>
      </w:pPr>
      <w:r>
        <w:rPr>
          <w:rFonts w:eastAsia="微软雅黑"/>
          <w:b/>
          <w:sz w:val="24"/>
        </w:rPr>
        <w:t>9.3.1.1 Anesthesia</w:t>
      </w:r>
    </w:p>
    <w:p w14:paraId="4DE79332">
      <w:pPr>
        <w:adjustRightInd w:val="0"/>
        <w:snapToGrid w:val="0"/>
        <w:spacing w:line="360" w:lineRule="auto"/>
        <w:ind w:firstLine="480" w:firstLineChars="200"/>
        <w:rPr>
          <w:rFonts w:eastAsia="微软雅黑"/>
          <w:sz w:val="24"/>
        </w:rPr>
      </w:pPr>
      <w:r>
        <w:rPr>
          <w:rFonts w:eastAsia="微软雅黑"/>
          <w:sz w:val="24"/>
        </w:rPr>
        <w:t>The operation is to be carried out with endotracheal intubation under general anesthesia; whether epidural assisted anesthesia is applied or not is left at the discretion of the anesthetist and is not specified in this study protocol.</w:t>
      </w:r>
    </w:p>
    <w:p w14:paraId="4E39EA59">
      <w:pPr>
        <w:adjustRightInd w:val="0"/>
        <w:snapToGrid w:val="0"/>
        <w:spacing w:line="360" w:lineRule="auto"/>
        <w:rPr>
          <w:rFonts w:eastAsia="微软雅黑"/>
          <w:b/>
          <w:sz w:val="24"/>
        </w:rPr>
      </w:pPr>
      <w:r>
        <w:rPr>
          <w:rFonts w:eastAsia="微软雅黑"/>
          <w:b/>
          <w:sz w:val="24"/>
        </w:rPr>
        <w:t>9.3.1.2 Intraoperative exploration</w:t>
      </w:r>
    </w:p>
    <w:p w14:paraId="3239A420">
      <w:pPr>
        <w:adjustRightInd w:val="0"/>
        <w:snapToGrid w:val="0"/>
        <w:spacing w:line="360" w:lineRule="auto"/>
        <w:ind w:firstLine="480" w:firstLineChars="200"/>
        <w:rPr>
          <w:rFonts w:eastAsia="微软雅黑"/>
          <w:sz w:val="24"/>
        </w:rPr>
      </w:pPr>
      <w:r>
        <w:rPr>
          <w:rFonts w:eastAsia="微软雅黑"/>
          <w:sz w:val="24"/>
        </w:rPr>
        <w:t>Explore the abdominal cavity for any hepatic, peritoneal, mesenteric, or pelvic metastases and gastric serosal invasion.</w:t>
      </w:r>
    </w:p>
    <w:p w14:paraId="04998DF4">
      <w:pPr>
        <w:adjustRightInd w:val="0"/>
        <w:snapToGrid w:val="0"/>
        <w:spacing w:line="360" w:lineRule="auto"/>
        <w:rPr>
          <w:rFonts w:eastAsia="微软雅黑"/>
          <w:b/>
          <w:sz w:val="24"/>
        </w:rPr>
      </w:pPr>
      <w:r>
        <w:rPr>
          <w:rFonts w:eastAsia="微软雅黑"/>
          <w:b/>
          <w:sz w:val="24"/>
        </w:rPr>
        <w:t>9.3.1.3 Regulations on the extent of the gastrectomy</w:t>
      </w:r>
    </w:p>
    <w:p w14:paraId="3D1F9BB4">
      <w:pPr>
        <w:adjustRightInd w:val="0"/>
        <w:snapToGrid w:val="0"/>
        <w:spacing w:line="360" w:lineRule="auto"/>
        <w:ind w:firstLine="480" w:firstLineChars="200"/>
        <w:rPr>
          <w:rFonts w:eastAsia="微软雅黑"/>
          <w:sz w:val="24"/>
        </w:rPr>
      </w:pPr>
      <w:r>
        <w:rPr>
          <w:rFonts w:eastAsia="微软雅黑"/>
          <w:sz w:val="24"/>
        </w:rPr>
        <w:t>If the oncological principles first can be satisfied, it is determined by the surgeon according to his experience and the specific circumstances of the operation.</w:t>
      </w:r>
    </w:p>
    <w:p w14:paraId="71F16D6D">
      <w:pPr>
        <w:adjustRightInd w:val="0"/>
        <w:snapToGrid w:val="0"/>
        <w:spacing w:line="360" w:lineRule="auto"/>
        <w:rPr>
          <w:rFonts w:eastAsia="微软雅黑"/>
          <w:b/>
          <w:sz w:val="24"/>
        </w:rPr>
      </w:pPr>
      <w:r>
        <w:rPr>
          <w:rFonts w:eastAsia="微软雅黑"/>
          <w:b/>
          <w:sz w:val="24"/>
        </w:rPr>
        <w:t xml:space="preserve">9.3.1.4 Regulations on digestive tract reconstruction </w:t>
      </w:r>
    </w:p>
    <w:p w14:paraId="033F011D">
      <w:pPr>
        <w:spacing w:line="360" w:lineRule="auto"/>
        <w:ind w:firstLine="480" w:firstLineChars="200"/>
        <w:rPr>
          <w:rFonts w:eastAsia="微软雅黑"/>
          <w:sz w:val="24"/>
        </w:rPr>
      </w:pPr>
      <w:r>
        <w:rPr>
          <w:rFonts w:eastAsia="微软雅黑"/>
          <w:sz w:val="24"/>
        </w:rPr>
        <w:t>The digestive tract reconstruction method is to be determined by the surgeon according to his/her own experience and the intraoperative situation. If instrumental anastomosis is used, whether the manual reinforced stitching is to be performed or not on anastomotic stoma is determined by the surgeon and not specified in this study protocol.</w:t>
      </w:r>
    </w:p>
    <w:p w14:paraId="48798468">
      <w:pPr>
        <w:adjustRightInd w:val="0"/>
        <w:snapToGrid w:val="0"/>
        <w:spacing w:line="360" w:lineRule="auto"/>
        <w:rPr>
          <w:rFonts w:eastAsia="微软雅黑"/>
          <w:b/>
          <w:sz w:val="24"/>
        </w:rPr>
      </w:pPr>
      <w:r>
        <w:rPr>
          <w:rFonts w:eastAsia="微软雅黑"/>
          <w:b/>
          <w:sz w:val="24"/>
        </w:rPr>
        <w:t xml:space="preserve">9.3.1.5 Regulations on surgery-related equipment and instruments </w:t>
      </w:r>
    </w:p>
    <w:p w14:paraId="679B4A1A">
      <w:pPr>
        <w:adjustRightInd w:val="0"/>
        <w:snapToGrid w:val="0"/>
        <w:spacing w:line="360" w:lineRule="auto"/>
        <w:ind w:firstLine="480" w:firstLineChars="200"/>
        <w:rPr>
          <w:rFonts w:eastAsia="微软雅黑"/>
          <w:sz w:val="24"/>
        </w:rPr>
      </w:pPr>
      <w:r>
        <w:rPr>
          <w:rFonts w:eastAsia="微软雅黑"/>
          <w:sz w:val="24"/>
        </w:rPr>
        <w:t>We used the NOVADAQ Fluorescence Surgical System (Stryker, US) equipped with the fluorescence mode to acquire NIR fluorescent images for ICG group. A simple finger click can change between visible light and NIR imaging (green spots under a visible background) without the need to change any equipment, because the surgical system contains a module for fluorescence imaging, the surgeon could turn on the NIR mode during the LN dissection.</w:t>
      </w:r>
    </w:p>
    <w:p w14:paraId="41B5653E">
      <w:pPr>
        <w:adjustRightInd w:val="0"/>
        <w:snapToGrid w:val="0"/>
        <w:spacing w:line="360" w:lineRule="auto"/>
        <w:ind w:firstLine="480" w:firstLineChars="200"/>
        <w:rPr>
          <w:rFonts w:eastAsia="微软雅黑"/>
          <w:sz w:val="24"/>
        </w:rPr>
      </w:pPr>
      <w:r>
        <w:rPr>
          <w:rFonts w:eastAsia="微软雅黑"/>
          <w:sz w:val="24"/>
        </w:rPr>
        <w:t xml:space="preserve">Energy equipment, vascular ligation method, digestive tract cutting closure, and digestive tract reconstruction instruments are determined by the surgeon in charge of the operation according to his/her own experience and actual needs and are not specified in this study protocol. </w:t>
      </w:r>
    </w:p>
    <w:p w14:paraId="360FC790">
      <w:pPr>
        <w:adjustRightInd w:val="0"/>
        <w:snapToGrid w:val="0"/>
        <w:spacing w:line="360" w:lineRule="auto"/>
        <w:rPr>
          <w:rFonts w:eastAsia="微软雅黑"/>
          <w:b/>
          <w:sz w:val="24"/>
        </w:rPr>
      </w:pPr>
      <w:r>
        <w:rPr>
          <w:rFonts w:eastAsia="微软雅黑"/>
          <w:b/>
          <w:sz w:val="24"/>
        </w:rPr>
        <w:t xml:space="preserve">9.3.1.6 Regulations on ICG-guide LN dissection </w:t>
      </w:r>
    </w:p>
    <w:p w14:paraId="18AC4256">
      <w:pPr>
        <w:spacing w:line="360" w:lineRule="auto"/>
        <w:ind w:firstLine="480" w:firstLineChars="200"/>
        <w:rPr>
          <w:bCs/>
          <w:sz w:val="24"/>
        </w:rPr>
      </w:pPr>
      <w:r>
        <w:rPr>
          <w:bCs/>
          <w:sz w:val="24"/>
        </w:rPr>
        <w:t xml:space="preserve">Sequences of LN dissection were routinely performed </w:t>
      </w:r>
      <w:r>
        <w:rPr>
          <w:bCs/>
          <w:sz w:val="24"/>
          <w:u w:color="FA5050"/>
        </w:rPr>
        <w:t>as</w:t>
      </w:r>
      <w:r>
        <w:rPr>
          <w:bCs/>
          <w:sz w:val="24"/>
        </w:rPr>
        <w:t xml:space="preserve"> follow</w:t>
      </w:r>
      <w:r>
        <w:rPr>
          <w:bCs/>
          <w:sz w:val="24"/>
        </w:rPr>
        <w:fldChar w:fldCharType="begin">
          <w:fldData xml:space="preserve">PEVuZE5vdGU+PENpdGU+PEF1dGhvcj5IdWFuZzwvQXV0aG9yPjxZZWFyPjIwMTU8L1llYXI+PFJl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</w:fldData>
        </w:fldChar>
      </w:r>
      <w:r>
        <w:rPr>
          <w:bCs/>
          <w:sz w:val="24"/>
        </w:rPr>
        <w:instrText xml:space="preserve"> ADDIN EN.CITE </w:instrText>
      </w:r>
      <w:r>
        <w:rPr>
          <w:bCs/>
          <w:sz w:val="24"/>
        </w:rPr>
        <w:fldChar w:fldCharType="begin">
          <w:fldData xml:space="preserve">PEVuZE5vdGU+PENpdGU+PEF1dGhvcj5IdWFuZzwvQXV0aG9yPjxZZWFyPjIwMTU8L1llYXI+PFJl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</w:fldData>
        </w:fldChar>
      </w:r>
      <w:r>
        <w:rPr>
          <w:bCs/>
          <w:sz w:val="24"/>
        </w:rPr>
        <w:instrText xml:space="preserve"> ADDIN EN.CITE.DATA </w:instrText>
      </w:r>
      <w:r>
        <w:rPr>
          <w:bCs/>
          <w:sz w:val="24"/>
        </w:rPr>
        <w:fldChar w:fldCharType="end"/>
      </w:r>
      <w:r>
        <w:rPr>
          <w:bCs/>
          <w:sz w:val="24"/>
        </w:rPr>
        <w:fldChar w:fldCharType="separate"/>
      </w:r>
      <w:r>
        <w:rPr>
          <w:bCs/>
          <w:sz w:val="24"/>
          <w:vertAlign w:val="superscript"/>
        </w:rPr>
        <w:t>26,27</w:t>
      </w:r>
      <w:r>
        <w:rPr>
          <w:bCs/>
          <w:sz w:val="24"/>
        </w:rPr>
        <w:fldChar w:fldCharType="end"/>
      </w:r>
      <w:r>
        <w:rPr>
          <w:bCs/>
          <w:sz w:val="24"/>
        </w:rPr>
        <w:t xml:space="preserve">: (1) for TG: No. 6 → No.7, 9, 11p → No. 8a, 12a, 5 → No. </w:t>
      </w:r>
      <w:r>
        <w:rPr>
          <w:bCs/>
          <w:sz w:val="24"/>
          <w:u w:color="FA5050"/>
        </w:rPr>
        <w:t xml:space="preserve">1 → </w:t>
      </w:r>
      <w:r>
        <w:rPr>
          <w:bCs/>
          <w:sz w:val="24"/>
        </w:rPr>
        <w:t xml:space="preserve">No. </w:t>
      </w:r>
      <w:r>
        <w:rPr>
          <w:bCs/>
          <w:sz w:val="24"/>
          <w:u w:color="FA5050"/>
        </w:rPr>
        <w:t xml:space="preserve">4sb → </w:t>
      </w:r>
      <w:r>
        <w:rPr>
          <w:bCs/>
          <w:sz w:val="24"/>
        </w:rPr>
        <w:t xml:space="preserve">No. 4sa, 11d → No. 2; and for (2) DG: No. </w:t>
      </w:r>
      <w:r>
        <w:rPr>
          <w:bCs/>
          <w:sz w:val="24"/>
          <w:u w:color="FA5050"/>
        </w:rPr>
        <w:t xml:space="preserve">6 → </w:t>
      </w:r>
      <w:r>
        <w:rPr>
          <w:bCs/>
          <w:sz w:val="24"/>
        </w:rPr>
        <w:t xml:space="preserve">No. 7, 9, 11p → No. 3, 1 → No. 8a, 12a, 5 → No. 4sb. No.10 LNs were performed a selective dissection, when the primary tumor was located in the upper-middle part of the stomach and invading </w:t>
      </w:r>
      <w:r>
        <w:rPr>
          <w:bCs/>
          <w:sz w:val="24"/>
          <w:u w:color="FA5050"/>
        </w:rPr>
        <w:t>the greater</w:t>
      </w:r>
      <w:r>
        <w:rPr>
          <w:bCs/>
          <w:sz w:val="24"/>
        </w:rPr>
        <w:t xml:space="preserve"> curvature </w:t>
      </w:r>
      <w:r>
        <w:rPr>
          <w:bCs/>
          <w:sz w:val="24"/>
          <w:u w:color="FA5050"/>
        </w:rPr>
        <w:t>or</w:t>
      </w:r>
      <w:r>
        <w:rPr>
          <w:bCs/>
          <w:sz w:val="24"/>
        </w:rPr>
        <w:t xml:space="preserve"> preoperative imaging suggests splenic LN enlargement or No.10 LNs </w:t>
      </w:r>
      <w:r>
        <w:rPr>
          <w:bCs/>
          <w:sz w:val="24"/>
          <w:u w:color="FA5050"/>
        </w:rPr>
        <w:t>emitted</w:t>
      </w:r>
      <w:r>
        <w:rPr>
          <w:bCs/>
          <w:sz w:val="24"/>
        </w:rPr>
        <w:t xml:space="preserve"> fluorescence under the NIR mode.</w:t>
      </w:r>
      <w:r>
        <w:rPr>
          <w:bCs/>
          <w:sz w:val="24"/>
        </w:rPr>
        <w:fldChar w:fldCharType="begin">
          <w:fldData xml:space="preserve">PEVuZE5vdGU+PENpdGU+PEF1dGhvcj5IdWFuZzwvQXV0aG9yPjxZZWFyPjIwMTQ8L1llYXI+PFJl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</w:fldData>
        </w:fldChar>
      </w:r>
      <w:r>
        <w:rPr>
          <w:bCs/>
          <w:sz w:val="24"/>
        </w:rPr>
        <w:instrText xml:space="preserve"> ADDIN EN.CITE </w:instrText>
      </w:r>
      <w:r>
        <w:rPr>
          <w:bCs/>
          <w:sz w:val="24"/>
        </w:rPr>
        <w:fldChar w:fldCharType="begin">
          <w:fldData xml:space="preserve">PEVuZE5vdGU+PENpdGU+PEF1dGhvcj5IdWFuZzwvQXV0aG9yPjxZZWFyPjIwMTQ8L1llYXI+PFJl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</w:fldData>
        </w:fldChar>
      </w:r>
      <w:r>
        <w:rPr>
          <w:bCs/>
          <w:sz w:val="24"/>
        </w:rPr>
        <w:instrText xml:space="preserve"> ADDIN EN.CITE.DATA </w:instrText>
      </w:r>
      <w:r>
        <w:rPr>
          <w:bCs/>
          <w:sz w:val="24"/>
        </w:rPr>
        <w:fldChar w:fldCharType="end"/>
      </w:r>
      <w:r>
        <w:rPr>
          <w:bCs/>
          <w:sz w:val="24"/>
        </w:rPr>
        <w:fldChar w:fldCharType="separate"/>
      </w:r>
      <w:r>
        <w:rPr>
          <w:bCs/>
          <w:sz w:val="24"/>
          <w:vertAlign w:val="superscript"/>
        </w:rPr>
        <w:t>28-30</w:t>
      </w:r>
      <w:r>
        <w:rPr>
          <w:bCs/>
          <w:sz w:val="24"/>
        </w:rPr>
        <w:fldChar w:fldCharType="end"/>
      </w:r>
    </w:p>
    <w:p w14:paraId="27E9AC20">
      <w:pPr>
        <w:spacing w:line="360" w:lineRule="auto"/>
        <w:ind w:firstLine="600" w:firstLineChars="250"/>
        <w:rPr>
          <w:bCs/>
          <w:color w:val="FF0000"/>
          <w:sz w:val="24"/>
        </w:rPr>
      </w:pPr>
      <w:r>
        <w:rPr>
          <w:bCs/>
          <w:color w:val="FF0000"/>
          <w:sz w:val="24"/>
        </w:rPr>
        <w:t xml:space="preserve">For patients in the ICG group, after finished the all LNs dissection, routine imaging of the surgical area </w:t>
      </w:r>
      <w:r>
        <w:rPr>
          <w:bCs/>
          <w:color w:val="FF0000"/>
          <w:sz w:val="24"/>
          <w:u w:color="19A0DC"/>
        </w:rPr>
        <w:t>was performed to determine whether</w:t>
      </w:r>
      <w:r>
        <w:rPr>
          <w:bCs/>
          <w:color w:val="FF0000"/>
          <w:sz w:val="24"/>
        </w:rPr>
        <w:t xml:space="preserve"> there is residual fluorescent LN. When residual LNs containing fluorescence </w:t>
      </w:r>
      <w:r>
        <w:rPr>
          <w:bCs/>
          <w:color w:val="FF0000"/>
          <w:sz w:val="24"/>
          <w:u w:color="19A0DC"/>
        </w:rPr>
        <w:t>were detected in</w:t>
      </w:r>
      <w:r>
        <w:rPr>
          <w:bCs/>
          <w:color w:val="FF0000"/>
          <w:sz w:val="24"/>
        </w:rPr>
        <w:t xml:space="preserve"> the dissected area, we performed complementary dissection of these LNs. Also</w:t>
      </w:r>
      <w:r>
        <w:rPr>
          <w:bCs/>
          <w:color w:val="FF0000"/>
          <w:sz w:val="24"/>
          <w:u w:color="FA5050"/>
        </w:rPr>
        <w:t xml:space="preserve">, </w:t>
      </w:r>
      <w:r>
        <w:rPr>
          <w:bCs/>
          <w:color w:val="FF0000"/>
          <w:sz w:val="24"/>
        </w:rPr>
        <w:t xml:space="preserve">if fluorescent LNs were detected outside the planned dissection area (No. 10 and 14v), excessive dissection beyond the scope of D2 LND </w:t>
      </w:r>
      <w:r>
        <w:rPr>
          <w:bCs/>
          <w:color w:val="FF0000"/>
          <w:sz w:val="24"/>
          <w:u w:color="19A0DC"/>
        </w:rPr>
        <w:t>performed</w:t>
      </w:r>
      <w:r>
        <w:rPr>
          <w:bCs/>
          <w:color w:val="FF0000"/>
          <w:sz w:val="24"/>
        </w:rPr>
        <w:t xml:space="preserve">. </w:t>
      </w:r>
    </w:p>
    <w:p w14:paraId="249C80F6">
      <w:pPr>
        <w:adjustRightInd w:val="0"/>
        <w:snapToGrid w:val="0"/>
        <w:spacing w:line="360" w:lineRule="auto"/>
        <w:rPr>
          <w:rFonts w:eastAsia="微软雅黑"/>
          <w:b/>
          <w:sz w:val="24"/>
        </w:rPr>
      </w:pPr>
      <w:r>
        <w:rPr>
          <w:rFonts w:eastAsia="微软雅黑"/>
          <w:b/>
          <w:sz w:val="24"/>
        </w:rPr>
        <w:t>9.3.1.6 Regulations on gastric canal and peritoneal drainage tube</w:t>
      </w:r>
    </w:p>
    <w:p w14:paraId="1739422C">
      <w:pPr>
        <w:spacing w:line="360" w:lineRule="auto"/>
        <w:ind w:firstLine="480" w:firstLineChars="200"/>
        <w:rPr>
          <w:rFonts w:eastAsia="微软雅黑"/>
          <w:sz w:val="24"/>
        </w:rPr>
      </w:pPr>
      <w:r>
        <w:rPr>
          <w:rFonts w:eastAsia="微软雅黑"/>
          <w:sz w:val="24"/>
        </w:rPr>
        <w:t xml:space="preserve">Whether an indwelling gastric canal or peritoneal drainage tube is left or not after operation is determined by the surgeon in charge of the research participating center according to his/her own experience and actual needs and are not specified in this study protocol. </w:t>
      </w:r>
    </w:p>
    <w:p w14:paraId="2D9B848F">
      <w:pPr>
        <w:adjustRightInd w:val="0"/>
        <w:snapToGrid w:val="0"/>
        <w:spacing w:line="360" w:lineRule="auto"/>
        <w:rPr>
          <w:rFonts w:eastAsia="微软雅黑"/>
          <w:b/>
          <w:sz w:val="24"/>
        </w:rPr>
      </w:pPr>
      <w:r>
        <w:rPr>
          <w:rFonts w:eastAsia="微软雅黑"/>
          <w:b/>
          <w:sz w:val="24"/>
        </w:rPr>
        <w:t>9.3.1.7 Regulations on simultaneous surgery for other disease</w:t>
      </w:r>
    </w:p>
    <w:p w14:paraId="2F82A87D">
      <w:pPr>
        <w:spacing w:line="360" w:lineRule="auto"/>
        <w:ind w:firstLine="480" w:firstLineChars="200"/>
        <w:rPr>
          <w:rFonts w:eastAsia="微软雅黑"/>
          <w:sz w:val="24"/>
        </w:rPr>
      </w:pPr>
      <w:r>
        <w:rPr>
          <w:rFonts w:eastAsia="微软雅黑"/>
          <w:sz w:val="24"/>
        </w:rPr>
        <w:t xml:space="preserve">If any other system/organ disease is found during surgery, the responsible surgeon and the consultants of relevant departments should jointly determine performance of a concurrent operation if there is such necessity. The priority of operations is determined according to clinical routine; the patients meeting Exclusion Criteria will be excluded from the PP Set. </w:t>
      </w:r>
    </w:p>
    <w:p w14:paraId="751600C7">
      <w:pPr>
        <w:adjustRightInd w:val="0"/>
        <w:snapToGrid w:val="0"/>
        <w:spacing w:line="360" w:lineRule="auto"/>
        <w:rPr>
          <w:rFonts w:eastAsia="微软雅黑"/>
          <w:b/>
          <w:sz w:val="24"/>
        </w:rPr>
      </w:pPr>
      <w:r>
        <w:rPr>
          <w:rFonts w:eastAsia="微软雅黑"/>
          <w:b/>
          <w:sz w:val="24"/>
        </w:rPr>
        <w:t>9.3.1.8 Regulations on handling of excluded patients as identified intraoperatively</w:t>
      </w:r>
    </w:p>
    <w:p w14:paraId="78A2051B">
      <w:pPr>
        <w:spacing w:line="360" w:lineRule="auto"/>
        <w:ind w:firstLine="480" w:firstLineChars="200"/>
        <w:rPr>
          <w:rFonts w:eastAsia="微软雅黑"/>
          <w:sz w:val="24"/>
        </w:rPr>
      </w:pPr>
      <w:r>
        <w:rPr>
          <w:rFonts w:eastAsia="微软雅黑"/>
          <w:sz w:val="24"/>
        </w:rPr>
        <w:t>If the surgeon in charge judges and determines that the patient undergoing surgery belongs to the exclusion case group, then the research approach is suspended and the surgeon will follow routine clinical practice of the research participating center to decide subsequent treatment (therapeutic decisions as to whether to excise gastric primary focus and metastases are made by the surgeon in charge); whether to proceed with laparoscopic surgery or convert it to laparotomy will be determined by the surgeon in charge. The excluded cases still need to complete data collection and follow-up and included in the analysis study (ITTP population).</w:t>
      </w:r>
    </w:p>
    <w:p w14:paraId="03E6A273">
      <w:pPr>
        <w:adjustRightInd w:val="0"/>
        <w:snapToGrid w:val="0"/>
        <w:spacing w:line="360" w:lineRule="auto"/>
        <w:rPr>
          <w:rFonts w:eastAsia="微软雅黑"/>
          <w:b/>
          <w:sz w:val="24"/>
        </w:rPr>
      </w:pPr>
      <w:r>
        <w:rPr>
          <w:rFonts w:eastAsia="微软雅黑"/>
          <w:b/>
          <w:sz w:val="24"/>
        </w:rPr>
        <w:t>9.3.1.9 Regulations on imagery/photographing</w:t>
      </w:r>
    </w:p>
    <w:p w14:paraId="675B95DD">
      <w:pPr>
        <w:pStyle w:val="25"/>
        <w:adjustRightInd w:val="0"/>
        <w:snapToGrid w:val="0"/>
        <w:spacing w:line="360" w:lineRule="auto"/>
        <w:ind w:left="384" w:firstLine="0" w:firstLineChars="0"/>
        <w:rPr>
          <w:rFonts w:eastAsia="微软雅黑"/>
          <w:sz w:val="24"/>
        </w:rPr>
      </w:pPr>
      <w:r>
        <w:rPr>
          <w:rFonts w:eastAsia="微软雅黑"/>
          <w:sz w:val="24"/>
        </w:rPr>
        <w:t xml:space="preserve">A digital camera (8 million pixels at least) will be used to take pictures which shall </w:t>
      </w:r>
    </w:p>
    <w:p w14:paraId="6E49EC84">
      <w:pPr>
        <w:pStyle w:val="25"/>
        <w:adjustRightInd w:val="0"/>
        <w:snapToGrid w:val="0"/>
        <w:spacing w:line="360" w:lineRule="auto"/>
        <w:ind w:firstLine="0" w:firstLineChars="0"/>
        <w:rPr>
          <w:rFonts w:eastAsia="微软雅黑"/>
          <w:sz w:val="24"/>
        </w:rPr>
      </w:pPr>
      <w:r>
        <w:rPr>
          <w:rFonts w:eastAsia="微软雅黑"/>
          <w:sz w:val="24"/>
        </w:rPr>
        <w:t>contain the following contents (see the example below):</w:t>
      </w:r>
      <w:bookmarkStart w:id="35" w:name="OLE_LINK27"/>
    </w:p>
    <w:bookmarkEnd w:id="35"/>
    <w:p w14:paraId="352D6809">
      <w:pPr>
        <w:pStyle w:val="25"/>
        <w:numPr>
          <w:ilvl w:val="0"/>
          <w:numId w:val="10"/>
        </w:numPr>
        <w:spacing w:line="360" w:lineRule="auto"/>
        <w:ind w:firstLineChars="0"/>
        <w:rPr>
          <w:rFonts w:eastAsia="微软雅黑"/>
          <w:sz w:val="24"/>
        </w:rPr>
      </w:pPr>
      <w:r>
        <w:rPr>
          <w:rFonts w:eastAsia="微软雅黑"/>
          <w:sz w:val="24"/>
        </w:rPr>
        <w:t xml:space="preserve">Field of LN dissection (5 pictures) </w:t>
      </w:r>
    </w:p>
    <w:p w14:paraId="158031C5">
      <w:pPr>
        <w:spacing w:line="360" w:lineRule="auto"/>
        <w:rPr>
          <w:rFonts w:eastAsia="微软雅黑"/>
          <w:sz w:val="24"/>
        </w:rPr>
      </w:pPr>
      <w:r>
        <w:rPr>
          <w:rFonts w:eastAsia="微软雅黑"/>
          <w:sz w:val="24"/>
        </w:rPr>
        <w:t></w:t>
      </w:r>
      <w:r>
        <w:rPr>
          <w:rFonts w:eastAsia="微软雅黑"/>
          <w:sz w:val="24"/>
        </w:rPr>
        <w:tab/>
      </w:r>
      <w:r>
        <w:rPr>
          <w:rFonts w:eastAsia="微软雅黑"/>
          <w:sz w:val="24"/>
        </w:rPr>
        <w:t xml:space="preserve">Inferior pylorus region (1 picture); the right gastroepiploic arteriovenous cut site should be included. </w:t>
      </w:r>
    </w:p>
    <w:p w14:paraId="6302EAC3">
      <w:pPr>
        <w:spacing w:line="360" w:lineRule="auto"/>
        <w:rPr>
          <w:rFonts w:eastAsia="微软雅黑"/>
          <w:sz w:val="24"/>
        </w:rPr>
      </w:pPr>
      <w:r>
        <w:rPr>
          <w:rFonts w:eastAsia="微软雅黑"/>
          <w:sz w:val="24"/>
        </w:rPr>
        <w:t></w:t>
      </w:r>
      <w:r>
        <w:rPr>
          <w:rFonts w:eastAsia="微软雅黑"/>
          <w:sz w:val="24"/>
        </w:rPr>
        <w:tab/>
      </w:r>
      <w:r>
        <w:rPr>
          <w:rFonts w:eastAsia="微软雅黑"/>
          <w:sz w:val="24"/>
        </w:rPr>
        <w:t>Right-side area of the superior margin of the pancreas (1 picture); the front top of the entire common hepatic artery, the half front of the inferior proper hepatic artery and the cut site of the right gastric artery should be included.</w:t>
      </w:r>
    </w:p>
    <w:p w14:paraId="4D9CBEBB">
      <w:pPr>
        <w:spacing w:line="360" w:lineRule="auto"/>
        <w:rPr>
          <w:rFonts w:eastAsia="微软雅黑"/>
          <w:sz w:val="24"/>
        </w:rPr>
      </w:pPr>
      <w:r>
        <w:rPr>
          <w:rFonts w:eastAsia="微软雅黑"/>
          <w:sz w:val="24"/>
        </w:rPr>
        <w:t></w:t>
      </w:r>
      <w:r>
        <w:rPr>
          <w:rFonts w:eastAsia="微软雅黑"/>
          <w:sz w:val="24"/>
        </w:rPr>
        <w:tab/>
      </w:r>
      <w:r>
        <w:rPr>
          <w:rFonts w:eastAsia="微软雅黑"/>
          <w:sz w:val="24"/>
        </w:rPr>
        <w:t>Left-side region of the superior margin of the pancreas (1 picture); the left gastric arteriovenous cut position, celiac arterial trunk and proximal splenic artery should be included.</w:t>
      </w:r>
    </w:p>
    <w:p w14:paraId="3714E9A6">
      <w:pPr>
        <w:spacing w:line="360" w:lineRule="auto"/>
        <w:rPr>
          <w:rFonts w:eastAsia="微软雅黑"/>
          <w:sz w:val="24"/>
        </w:rPr>
      </w:pPr>
      <w:r>
        <w:rPr>
          <w:rFonts w:eastAsia="微软雅黑"/>
          <w:sz w:val="24"/>
        </w:rPr>
        <w:t></w:t>
      </w:r>
      <w:r>
        <w:rPr>
          <w:rFonts w:eastAsia="微软雅黑"/>
          <w:sz w:val="24"/>
        </w:rPr>
        <w:tab/>
      </w:r>
      <w:r>
        <w:rPr>
          <w:rFonts w:eastAsia="微软雅黑"/>
          <w:sz w:val="24"/>
        </w:rPr>
        <w:t>Right side of the cardia and lesser gastric curvature side (1 picture).</w:t>
      </w:r>
    </w:p>
    <w:p w14:paraId="718F7044">
      <w:pPr>
        <w:spacing w:line="360" w:lineRule="auto"/>
        <w:rPr>
          <w:rFonts w:eastAsia="微软雅黑"/>
          <w:sz w:val="24"/>
        </w:rPr>
      </w:pPr>
      <w:r>
        <w:rPr>
          <w:rFonts w:eastAsia="微软雅黑"/>
          <w:sz w:val="24"/>
        </w:rPr>
        <w:t></w:t>
      </w:r>
      <w:r>
        <w:rPr>
          <w:rFonts w:eastAsia="微软雅黑"/>
          <w:sz w:val="24"/>
        </w:rPr>
        <w:tab/>
      </w:r>
      <w:r>
        <w:rPr>
          <w:rFonts w:eastAsia="微软雅黑"/>
          <w:sz w:val="24"/>
        </w:rPr>
        <w:t xml:space="preserve">Left gastroepiploic vessel dividing position (1 picture); the cut site of the left gastroepiploic artery and vein should be included. </w:t>
      </w:r>
    </w:p>
    <w:p w14:paraId="601F471C">
      <w:pPr>
        <w:spacing w:line="360" w:lineRule="auto"/>
        <w:rPr>
          <w:rFonts w:eastAsia="微软雅黑"/>
          <w:sz w:val="24"/>
        </w:rPr>
      </w:pPr>
      <w:r>
        <w:rPr>
          <w:rFonts w:eastAsia="微软雅黑"/>
          <w:sz w:val="24"/>
        </w:rPr>
        <w:t></w:t>
      </w:r>
      <w:r>
        <w:rPr>
          <w:rFonts w:eastAsia="微软雅黑"/>
          <w:sz w:val="24"/>
        </w:rPr>
        <w:tab/>
      </w:r>
      <w:r>
        <w:rPr>
          <w:rFonts w:eastAsia="微软雅黑"/>
          <w:sz w:val="24"/>
        </w:rPr>
        <w:t>Splenic hilus region (1 picture, if applicable); the cut sites of the distal splenic artery and short gastric vessel should be included.</w:t>
      </w:r>
    </w:p>
    <w:p w14:paraId="0FB2A1E9">
      <w:pPr>
        <w:spacing w:line="360" w:lineRule="auto"/>
        <w:rPr>
          <w:rFonts w:eastAsia="微软雅黑"/>
          <w:sz w:val="24"/>
        </w:rPr>
      </w:pPr>
      <w:r>
        <w:rPr>
          <w:rFonts w:eastAsia="微软雅黑"/>
          <w:sz w:val="24"/>
        </w:rPr>
        <w:t>(2) After the skin incision is closed (1 picture, measuring scale serving as a reference object).</w:t>
      </w:r>
    </w:p>
    <w:p w14:paraId="2E8B3CB5">
      <w:pPr>
        <w:spacing w:line="360" w:lineRule="auto"/>
        <w:rPr>
          <w:rFonts w:eastAsia="微软雅黑"/>
          <w:sz w:val="24"/>
        </w:rPr>
      </w:pPr>
      <w:r>
        <w:rPr>
          <w:rFonts w:eastAsia="微软雅黑"/>
          <w:sz w:val="24"/>
        </w:rPr>
        <w:t xml:space="preserve">(3) Postoperative fresh specimens (4 pictures, measuring scale serving as a reference object); 1 picture before and 3 pictures after dissection (mark focus size; 1 picture each of distal and proximal incisional margins). After the specimen is cut open along the greater gastric curvature, a measuring scale is placed as a reference object before taking pictures to record the following items: the distance between the tumor edge and the proximal incisional margin (1 picture), the distance between the tumor edge and the distal incisional margin (1 picture), and the focus size and appearance of the mucosal face after the specimen is unfolded (1 picture). </w:t>
      </w:r>
    </w:p>
    <w:p w14:paraId="2CD4F498">
      <w:pPr>
        <w:spacing w:line="360" w:lineRule="auto"/>
        <w:rPr>
          <w:rFonts w:eastAsia="微软雅黑"/>
          <w:szCs w:val="21"/>
        </w:rPr>
      </w:pPr>
      <w:r>
        <w:rPr>
          <w:rFonts w:eastAsia="微软雅黑"/>
          <w:szCs w:val="21"/>
        </w:rPr>
        <w:drawing>
          <wp:inline distT="0" distB="0" distL="0" distR="0">
            <wp:extent cx="5375275" cy="3024505"/>
            <wp:effectExtent l="0" t="0" r="0" b="4445"/>
            <wp:docPr id="30" name="图片 30" descr="E:\RCT入组截图\RCT截图更新至12.02\脾门\对照\王明华\PimenB-C116幽门下区域.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RCT入组截图\RCT截图更新至12.02\脾门\对照\王明华\PimenB-C116幽门下区域.jpg"/>
                    <pic:cNvPicPr>
                      <a:picLocks noChangeAspect="1" noChangeArrowheads="1"/>
                    </pic:cNvPicPr>
                  </pic:nvPicPr>
                  <pic:blipFill>
                    <a:blip r:embed="rId20"/>
                    <a:srcRect/>
                    <a:stretch>
                      <a:fillRect/>
                    </a:stretch>
                  </pic:blipFill>
                  <pic:spPr>
                    <a:xfrm>
                      <a:off x="0" y="0"/>
                      <a:ext cx="5375275" cy="3024505"/>
                    </a:xfrm>
                    <a:prstGeom prst="rect">
                      <a:avLst/>
                    </a:prstGeom>
                    <a:noFill/>
                    <a:ln>
                      <a:noFill/>
                    </a:ln>
                  </pic:spPr>
                </pic:pic>
              </a:graphicData>
            </a:graphic>
          </wp:inline>
        </w:drawing>
      </w:r>
    </w:p>
    <w:p w14:paraId="4D55852D">
      <w:pPr>
        <w:spacing w:line="360" w:lineRule="auto"/>
        <w:jc w:val="left"/>
        <w:rPr>
          <w:rFonts w:eastAsia="微软雅黑"/>
          <w:szCs w:val="21"/>
        </w:rPr>
      </w:pPr>
      <w:r>
        <w:rPr>
          <w:rFonts w:eastAsia="微软雅黑"/>
          <w:szCs w:val="21"/>
        </w:rPr>
        <w:t>Fig. 2-1 Inferior pylorus area (No. 6 LNs)</w:t>
      </w:r>
    </w:p>
    <w:p w14:paraId="620AB1FD">
      <w:pPr>
        <w:spacing w:line="360" w:lineRule="auto"/>
        <w:jc w:val="left"/>
        <w:rPr>
          <w:rFonts w:eastAsia="微软雅黑"/>
          <w:szCs w:val="21"/>
        </w:rPr>
      </w:pPr>
      <w:r>
        <w:rPr>
          <w:rFonts w:eastAsia="微软雅黑"/>
          <w:kern w:val="0"/>
          <w:szCs w:val="21"/>
        </w:rPr>
        <w:drawing>
          <wp:inline distT="0" distB="0" distL="0" distR="0">
            <wp:extent cx="5323205" cy="2961005"/>
            <wp:effectExtent l="0" t="0" r="0" b="0"/>
            <wp:docPr id="155" name="图片 155" descr="胰腺上缘清扫后-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55" descr="胰腺上缘清扫后-3"/>
                    <pic:cNvPicPr>
                      <a:picLocks noChangeAspect="1" noChangeArrowheads="1"/>
                    </pic:cNvPicPr>
                  </pic:nvPicPr>
                  <pic:blipFill>
                    <a:blip r:embed="rId21"/>
                    <a:srcRect l="-590" r="14"/>
                    <a:stretch>
                      <a:fillRect/>
                    </a:stretch>
                  </pic:blipFill>
                  <pic:spPr>
                    <a:xfrm>
                      <a:off x="0" y="0"/>
                      <a:ext cx="5329873" cy="2965210"/>
                    </a:xfrm>
                    <a:prstGeom prst="rect">
                      <a:avLst/>
                    </a:prstGeom>
                    <a:noFill/>
                    <a:ln>
                      <a:noFill/>
                    </a:ln>
                  </pic:spPr>
                </pic:pic>
              </a:graphicData>
            </a:graphic>
          </wp:inline>
        </w:drawing>
      </w:r>
    </w:p>
    <w:p w14:paraId="6F740160">
      <w:pPr>
        <w:spacing w:line="360" w:lineRule="auto"/>
        <w:jc w:val="left"/>
        <w:rPr>
          <w:rFonts w:eastAsia="微软雅黑"/>
          <w:szCs w:val="21"/>
        </w:rPr>
      </w:pPr>
      <w:r>
        <w:rPr>
          <w:rFonts w:eastAsia="微软雅黑"/>
          <w:szCs w:val="21"/>
        </w:rPr>
        <w:t>Fig. 2-2 Right-side area of the superior margin of the pancreas (No. 5, No. 8a and No. 12a LNs)</w:t>
      </w:r>
      <w:r>
        <w:rPr>
          <w:rFonts w:eastAsia="微软雅黑"/>
          <w:szCs w:val="21"/>
        </w:rPr>
        <w:drawing>
          <wp:inline distT="0" distB="0" distL="0" distR="0">
            <wp:extent cx="5375275" cy="3023235"/>
            <wp:effectExtent l="0" t="0" r="0" b="5715"/>
            <wp:docPr id="10" name="图片 10" descr="C:\Users\huang\Desktop\脾门多中心\并发症\邱舒婷4_201662691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huang\Desktop\脾门多中心\并发症\邱舒婷4_201662691213.JPG"/>
                    <pic:cNvPicPr>
                      <a:picLocks noChangeAspect="1" noChangeArrowheads="1"/>
                    </pic:cNvPicPr>
                  </pic:nvPicPr>
                  <pic:blipFill>
                    <a:blip r:embed="rId22"/>
                    <a:srcRect/>
                    <a:stretch>
                      <a:fillRect/>
                    </a:stretch>
                  </pic:blipFill>
                  <pic:spPr>
                    <a:xfrm>
                      <a:off x="0" y="0"/>
                      <a:ext cx="5375275" cy="3023592"/>
                    </a:xfrm>
                    <a:prstGeom prst="rect">
                      <a:avLst/>
                    </a:prstGeom>
                    <a:noFill/>
                    <a:ln>
                      <a:noFill/>
                    </a:ln>
                  </pic:spPr>
                </pic:pic>
              </a:graphicData>
            </a:graphic>
          </wp:inline>
        </w:drawing>
      </w:r>
    </w:p>
    <w:p w14:paraId="5755D538">
      <w:pPr>
        <w:spacing w:line="360" w:lineRule="auto"/>
        <w:rPr>
          <w:rFonts w:eastAsia="微软雅黑"/>
          <w:szCs w:val="21"/>
        </w:rPr>
      </w:pPr>
      <w:r>
        <w:rPr>
          <w:rFonts w:eastAsia="微软雅黑"/>
          <w:szCs w:val="21"/>
        </w:rPr>
        <w:t>Fig. 2-3 Left-side area of the superior margin of the pancreas (No. 7, No. 9 and No. 11p LNs)</w:t>
      </w:r>
    </w:p>
    <w:p w14:paraId="3528CA52">
      <w:pPr>
        <w:spacing w:line="360" w:lineRule="auto"/>
        <w:rPr>
          <w:rFonts w:eastAsia="微软雅黑"/>
          <w:szCs w:val="21"/>
        </w:rPr>
      </w:pPr>
      <w:r>
        <w:rPr>
          <w:rFonts w:eastAsia="微软雅黑"/>
          <w:kern w:val="0"/>
          <w:szCs w:val="21"/>
        </w:rPr>
        <w:drawing>
          <wp:inline distT="0" distB="0" distL="0" distR="0">
            <wp:extent cx="5375275" cy="3013710"/>
            <wp:effectExtent l="0" t="0" r="0" b="0"/>
            <wp:docPr id="28" name="图片 28" descr="2011-02-10-70-裸化胃小弯后.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2011-02-10-70-裸化胃小弯后.bmp"/>
                    <pic:cNvPicPr>
                      <a:picLocks noChangeAspect="1" noChangeArrowheads="1"/>
                    </pic:cNvPicPr>
                  </pic:nvPicPr>
                  <pic:blipFill>
                    <a:blip r:embed="rId23"/>
                    <a:srcRect l="18" r="-55"/>
                    <a:stretch>
                      <a:fillRect/>
                    </a:stretch>
                  </pic:blipFill>
                  <pic:spPr>
                    <a:xfrm>
                      <a:off x="0" y="0"/>
                      <a:ext cx="5375275" cy="3013726"/>
                    </a:xfrm>
                    <a:prstGeom prst="rect">
                      <a:avLst/>
                    </a:prstGeom>
                    <a:noFill/>
                    <a:ln>
                      <a:noFill/>
                    </a:ln>
                  </pic:spPr>
                </pic:pic>
              </a:graphicData>
            </a:graphic>
          </wp:inline>
        </w:drawing>
      </w:r>
    </w:p>
    <w:p w14:paraId="4F511052">
      <w:pPr>
        <w:spacing w:line="360" w:lineRule="auto"/>
        <w:jc w:val="left"/>
        <w:rPr>
          <w:rFonts w:eastAsia="微软雅黑"/>
          <w:szCs w:val="21"/>
        </w:rPr>
      </w:pPr>
      <w:r>
        <w:rPr>
          <w:rFonts w:eastAsia="微软雅黑"/>
          <w:szCs w:val="21"/>
        </w:rPr>
        <w:t>Fig. 2-4 Right side of the cardia and lesser gastric curvature side (the No. 1 and No. 3 LNs)</w:t>
      </w:r>
      <w:r>
        <w:rPr>
          <w:rFonts w:eastAsia="微软雅黑"/>
          <w:szCs w:val="21"/>
        </w:rPr>
        <w:drawing>
          <wp:inline distT="0" distB="0" distL="0" distR="0">
            <wp:extent cx="5375275" cy="3030855"/>
            <wp:effectExtent l="0" t="0" r="0" b="0"/>
            <wp:docPr id="13" name="图片 13" descr="C:\Users\huang\Desktop\脾门多中心\并发症\脾门WMV_20166262318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C:\Users\huang\Desktop\脾门多中心\并发症\脾门WMV_2016626231826.JPG"/>
                    <pic:cNvPicPr>
                      <a:picLocks noChangeAspect="1" noChangeArrowheads="1"/>
                    </pic:cNvPicPr>
                  </pic:nvPicPr>
                  <pic:blipFill>
                    <a:blip r:embed="rId24"/>
                    <a:srcRect/>
                    <a:stretch>
                      <a:fillRect/>
                    </a:stretch>
                  </pic:blipFill>
                  <pic:spPr>
                    <a:xfrm>
                      <a:off x="0" y="0"/>
                      <a:ext cx="5375275" cy="3031487"/>
                    </a:xfrm>
                    <a:prstGeom prst="rect">
                      <a:avLst/>
                    </a:prstGeom>
                    <a:noFill/>
                    <a:ln>
                      <a:noFill/>
                    </a:ln>
                  </pic:spPr>
                </pic:pic>
              </a:graphicData>
            </a:graphic>
          </wp:inline>
        </w:drawing>
      </w:r>
    </w:p>
    <w:p w14:paraId="46D439ED">
      <w:pPr>
        <w:spacing w:line="360" w:lineRule="auto"/>
        <w:rPr>
          <w:rFonts w:eastAsia="微软雅黑"/>
          <w:szCs w:val="21"/>
        </w:rPr>
      </w:pPr>
      <w:r>
        <w:rPr>
          <w:rFonts w:eastAsia="微软雅黑"/>
          <w:szCs w:val="21"/>
        </w:rPr>
        <w:t>Fig. 2-5 Cut site of the left gastroepiploic vessel (No. 4 sb LNs)</w:t>
      </w:r>
    </w:p>
    <w:p w14:paraId="7C781700">
      <w:pPr>
        <w:spacing w:line="360" w:lineRule="auto"/>
        <w:rPr>
          <w:rFonts w:eastAsia="微软雅黑"/>
          <w:szCs w:val="21"/>
        </w:rPr>
      </w:pPr>
      <w:r>
        <w:rPr>
          <w:rFonts w:eastAsia="微软雅黑"/>
          <w:szCs w:val="21"/>
        </w:rPr>
        <w:drawing>
          <wp:inline distT="0" distB="0" distL="0" distR="0">
            <wp:extent cx="5375275" cy="3023235"/>
            <wp:effectExtent l="0" t="0" r="0" b="5715"/>
            <wp:docPr id="8" name="图片 8" descr="C:\Users\huang\Desktop\脾门多中心\并发症\原始视频源12.15凌晨_201662685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huang\Desktop\脾门多中心\并发症\原始视频源12.15凌晨_201662685329.JPG"/>
                    <pic:cNvPicPr>
                      <a:picLocks noChangeAspect="1" noChangeArrowheads="1"/>
                    </pic:cNvPicPr>
                  </pic:nvPicPr>
                  <pic:blipFill>
                    <a:blip r:embed="rId25"/>
                    <a:srcRect/>
                    <a:stretch>
                      <a:fillRect/>
                    </a:stretch>
                  </pic:blipFill>
                  <pic:spPr>
                    <a:xfrm>
                      <a:off x="0" y="0"/>
                      <a:ext cx="5375275" cy="3023592"/>
                    </a:xfrm>
                    <a:prstGeom prst="rect">
                      <a:avLst/>
                    </a:prstGeom>
                    <a:noFill/>
                    <a:ln>
                      <a:noFill/>
                    </a:ln>
                  </pic:spPr>
                </pic:pic>
              </a:graphicData>
            </a:graphic>
          </wp:inline>
        </w:drawing>
      </w:r>
    </w:p>
    <w:p w14:paraId="10DDB18E">
      <w:pPr>
        <w:spacing w:line="360" w:lineRule="auto"/>
        <w:outlineLvl w:val="0"/>
        <w:rPr>
          <w:rFonts w:eastAsia="微软雅黑"/>
          <w:szCs w:val="21"/>
        </w:rPr>
      </w:pPr>
      <w:bookmarkStart w:id="36" w:name="_Toc16080"/>
      <w:r>
        <w:rPr>
          <w:rFonts w:eastAsia="微软雅黑"/>
          <w:szCs w:val="21"/>
        </w:rPr>
        <w:t>Fig. 2-6 Splenic hilus area (No. 11d and No. 10 LNs)</w:t>
      </w:r>
      <w:bookmarkEnd w:id="36"/>
    </w:p>
    <w:p w14:paraId="5CEC54CE">
      <w:pPr>
        <w:spacing w:line="360" w:lineRule="auto"/>
        <w:rPr>
          <w:rFonts w:eastAsia="微软雅黑"/>
          <w:szCs w:val="21"/>
        </w:rPr>
      </w:pPr>
      <w:r>
        <w:rPr>
          <w:rFonts w:eastAsia="微软雅黑"/>
          <w:szCs w:val="21"/>
        </w:rPr>
        <w:drawing>
          <wp:inline distT="0" distB="0" distL="0" distR="0">
            <wp:extent cx="5377180" cy="3051175"/>
            <wp:effectExtent l="0" t="0" r="0" b="0"/>
            <wp:docPr id="12" name="图片 12" descr="E:\公用\图片\标本图片\110___03\IMG_34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公用\图片\标本图片\110___03\IMG_3463.JPG"/>
                    <pic:cNvPicPr>
                      <a:picLocks noChangeAspect="1" noChangeArrowheads="1"/>
                    </pic:cNvPicPr>
                  </pic:nvPicPr>
                  <pic:blipFill>
                    <a:blip r:embed="rId26"/>
                    <a:srcRect/>
                    <a:stretch>
                      <a:fillRect/>
                    </a:stretch>
                  </pic:blipFill>
                  <pic:spPr>
                    <a:xfrm>
                      <a:off x="0" y="0"/>
                      <a:ext cx="5375275" cy="3050215"/>
                    </a:xfrm>
                    <a:prstGeom prst="rect">
                      <a:avLst/>
                    </a:prstGeom>
                    <a:noFill/>
                    <a:ln>
                      <a:noFill/>
                    </a:ln>
                  </pic:spPr>
                </pic:pic>
              </a:graphicData>
            </a:graphic>
          </wp:inline>
        </w:drawing>
      </w:r>
    </w:p>
    <w:p w14:paraId="4829A7AC">
      <w:pPr>
        <w:spacing w:line="360" w:lineRule="auto"/>
        <w:rPr>
          <w:rFonts w:eastAsia="微软雅黑"/>
          <w:szCs w:val="21"/>
        </w:rPr>
      </w:pPr>
      <w:r>
        <w:rPr>
          <w:rFonts w:eastAsia="微软雅黑"/>
          <w:szCs w:val="21"/>
        </w:rPr>
        <w:t>Fig. 2-7 Incision appearance (mark the incision length)</w:t>
      </w:r>
    </w:p>
    <w:p w14:paraId="32682A71">
      <w:pPr>
        <w:spacing w:line="360" w:lineRule="auto"/>
        <w:rPr>
          <w:rFonts w:eastAsia="微软雅黑"/>
          <w:szCs w:val="21"/>
        </w:rPr>
      </w:pPr>
      <w:r>
        <w:rPr>
          <w:rFonts w:eastAsia="微软雅黑"/>
          <w:szCs w:val="21"/>
        </w:rPr>
        <w:drawing>
          <wp:inline distT="0" distB="0" distL="0" distR="0">
            <wp:extent cx="5379720" cy="3024505"/>
            <wp:effectExtent l="0" t="0" r="0" b="4445"/>
            <wp:docPr id="20" name="图片 20" descr="H:\泽宁照片\脾门\对照\陈善锋\PimenB-C098标本解剖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H:\泽宁照片\脾门\对照\陈善锋\PimenB-C098标本解剖前.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5378060" cy="3024000"/>
                    </a:xfrm>
                    <a:prstGeom prst="rect">
                      <a:avLst/>
                    </a:prstGeom>
                    <a:noFill/>
                    <a:ln>
                      <a:noFill/>
                    </a:ln>
                  </pic:spPr>
                </pic:pic>
              </a:graphicData>
            </a:graphic>
          </wp:inline>
        </w:drawing>
      </w:r>
    </w:p>
    <w:p w14:paraId="7F4C09BD">
      <w:pPr>
        <w:spacing w:line="360" w:lineRule="auto"/>
        <w:outlineLvl w:val="0"/>
        <w:rPr>
          <w:rFonts w:eastAsia="微软雅黑"/>
          <w:szCs w:val="21"/>
        </w:rPr>
      </w:pPr>
      <w:bookmarkStart w:id="37" w:name="_Toc7514"/>
      <w:r>
        <w:rPr>
          <w:rFonts w:eastAsia="微软雅黑"/>
          <w:szCs w:val="21"/>
        </w:rPr>
        <w:t>Fig. 2-8 Specimen observation (before dissection)</w:t>
      </w:r>
      <w:bookmarkEnd w:id="37"/>
    </w:p>
    <w:p w14:paraId="4674147B">
      <w:pPr>
        <w:spacing w:line="360" w:lineRule="auto"/>
        <w:rPr>
          <w:rFonts w:eastAsia="微软雅黑"/>
          <w:szCs w:val="21"/>
        </w:rPr>
      </w:pPr>
      <w:r>
        <w:rPr>
          <w:rFonts w:eastAsia="微软雅黑"/>
          <w:szCs w:val="21"/>
        </w:rPr>
        <w:drawing>
          <wp:inline distT="0" distB="0" distL="0" distR="0">
            <wp:extent cx="5186045" cy="3023235"/>
            <wp:effectExtent l="0" t="0" r="0" b="5715"/>
            <wp:docPr id="21" name="图片 21" descr="E:\RCT入组截图\脾门\清扫\林联苏\PimenA-C043肿瘤大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RCT入组截图\脾门\清扫\林联苏\PimenA-C043肿瘤大小.JPG"/>
                    <pic:cNvPicPr>
                      <a:picLocks noChangeAspect="1" noChangeArrowheads="1"/>
                    </pic:cNvPicPr>
                  </pic:nvPicPr>
                  <pic:blipFill>
                    <a:blip r:embed="rId28"/>
                    <a:srcRect/>
                    <a:stretch>
                      <a:fillRect/>
                    </a:stretch>
                  </pic:blipFill>
                  <pic:spPr>
                    <a:xfrm>
                      <a:off x="0" y="0"/>
                      <a:ext cx="5186770" cy="3024000"/>
                    </a:xfrm>
                    <a:prstGeom prst="rect">
                      <a:avLst/>
                    </a:prstGeom>
                    <a:noFill/>
                    <a:ln>
                      <a:noFill/>
                    </a:ln>
                  </pic:spPr>
                </pic:pic>
              </a:graphicData>
            </a:graphic>
          </wp:inline>
        </w:drawing>
      </w:r>
    </w:p>
    <w:p w14:paraId="464DBC7B">
      <w:pPr>
        <w:spacing w:line="360" w:lineRule="auto"/>
        <w:jc w:val="left"/>
        <w:rPr>
          <w:rFonts w:eastAsia="微软雅黑"/>
          <w:szCs w:val="21"/>
        </w:rPr>
      </w:pPr>
      <w:r>
        <w:rPr>
          <w:rFonts w:eastAsia="微软雅黑"/>
          <w:szCs w:val="21"/>
        </w:rPr>
        <w:t>Fig. 2-9 Specimen observation (focus size; the dissection is made along the greater gastric curvature, and the focus and incisional margin on the mucosal face are observed; if the tumor is located at the greater gastric curvature, then the dissection is made along the lesser curvature)</w:t>
      </w:r>
    </w:p>
    <w:p w14:paraId="157674E2">
      <w:pPr>
        <w:spacing w:line="360" w:lineRule="auto"/>
        <w:jc w:val="left"/>
        <w:rPr>
          <w:rFonts w:eastAsia="微软雅黑"/>
          <w:szCs w:val="21"/>
        </w:rPr>
      </w:pPr>
      <w:r>
        <w:rPr>
          <w:rFonts w:eastAsia="微软雅黑"/>
          <w:szCs w:val="21"/>
        </w:rPr>
        <w:drawing>
          <wp:inline distT="0" distB="0" distL="0" distR="0">
            <wp:extent cx="5186045" cy="3023235"/>
            <wp:effectExtent l="0" t="0" r="0" b="5715"/>
            <wp:docPr id="23" name="图片 23" descr="E:\RCT入组截图\脾门\清扫\林联苏\PimenA-C043肿瘤边缘距近切缘距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RCT入组截图\脾门\清扫\林联苏\PimenA-C043肿瘤边缘距近切缘距离.JPG"/>
                    <pic:cNvPicPr>
                      <a:picLocks noChangeAspect="1" noChangeArrowheads="1"/>
                    </pic:cNvPicPr>
                  </pic:nvPicPr>
                  <pic:blipFill>
                    <a:blip r:embed="rId29"/>
                    <a:srcRect b="8136"/>
                    <a:stretch>
                      <a:fillRect/>
                    </a:stretch>
                  </pic:blipFill>
                  <pic:spPr>
                    <a:xfrm>
                      <a:off x="0" y="0"/>
                      <a:ext cx="5186720" cy="3024000"/>
                    </a:xfrm>
                    <a:prstGeom prst="rect">
                      <a:avLst/>
                    </a:prstGeom>
                    <a:noFill/>
                    <a:ln>
                      <a:noFill/>
                    </a:ln>
                  </pic:spPr>
                </pic:pic>
              </a:graphicData>
            </a:graphic>
          </wp:inline>
        </w:drawing>
      </w:r>
    </w:p>
    <w:p w14:paraId="461D6937">
      <w:pPr>
        <w:spacing w:line="360" w:lineRule="auto"/>
        <w:jc w:val="left"/>
        <w:rPr>
          <w:rFonts w:eastAsia="微软雅黑"/>
          <w:szCs w:val="21"/>
        </w:rPr>
      </w:pPr>
      <w:r>
        <w:rPr>
          <w:rFonts w:eastAsia="微软雅黑"/>
          <w:szCs w:val="21"/>
        </w:rPr>
        <w:t>Fig. 2-10 Specimen observation (the distance between the tumor edge and the proximal incisional margin)</w:t>
      </w:r>
      <w:r>
        <w:rPr>
          <w:rFonts w:eastAsia="微软雅黑"/>
          <w:szCs w:val="21"/>
        </w:rPr>
        <w:drawing>
          <wp:inline distT="0" distB="0" distL="0" distR="0">
            <wp:extent cx="5213350" cy="3023235"/>
            <wp:effectExtent l="0" t="0" r="6350" b="5715"/>
            <wp:docPr id="24" name="图片 24" descr="E:\RCT入组截图\脾门\清扫\林联苏\PimenA-C043肿瘤距远切缘距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RCT入组截图\脾门\清扫\林联苏\PimenA-C043肿瘤距远切缘距离.JPG"/>
                    <pic:cNvPicPr>
                      <a:picLocks noChangeAspect="1" noChangeArrowheads="1"/>
                    </pic:cNvPicPr>
                  </pic:nvPicPr>
                  <pic:blipFill>
                    <a:blip r:embed="rId30"/>
                    <a:srcRect l="11685" t="4407" b="8136"/>
                    <a:stretch>
                      <a:fillRect/>
                    </a:stretch>
                  </pic:blipFill>
                  <pic:spPr>
                    <a:xfrm>
                      <a:off x="0" y="0"/>
                      <a:ext cx="5213930" cy="3024000"/>
                    </a:xfrm>
                    <a:prstGeom prst="rect">
                      <a:avLst/>
                    </a:prstGeom>
                    <a:noFill/>
                    <a:ln>
                      <a:noFill/>
                    </a:ln>
                  </pic:spPr>
                </pic:pic>
              </a:graphicData>
            </a:graphic>
          </wp:inline>
        </w:drawing>
      </w:r>
    </w:p>
    <w:p w14:paraId="3241AC2E">
      <w:pPr>
        <w:spacing w:line="360" w:lineRule="auto"/>
        <w:jc w:val="left"/>
        <w:rPr>
          <w:rFonts w:eastAsia="微软雅黑"/>
          <w:szCs w:val="21"/>
        </w:rPr>
      </w:pPr>
      <w:r>
        <w:rPr>
          <w:rFonts w:eastAsia="微软雅黑"/>
          <w:szCs w:val="21"/>
        </w:rPr>
        <w:t>Fig. 2-11 Specimen observation (the distance between the tumor edge and the distal incisional margin)</w:t>
      </w:r>
    </w:p>
    <w:p w14:paraId="718EA144">
      <w:pPr>
        <w:adjustRightInd w:val="0"/>
        <w:snapToGrid w:val="0"/>
        <w:spacing w:line="360" w:lineRule="auto"/>
        <w:rPr>
          <w:rFonts w:eastAsia="微软雅黑"/>
          <w:b/>
          <w:sz w:val="24"/>
        </w:rPr>
      </w:pPr>
      <w:r>
        <w:rPr>
          <w:rFonts w:eastAsia="微软雅黑"/>
          <w:b/>
          <w:sz w:val="24"/>
        </w:rPr>
        <w:t>9.3.1.10 Regulations on the photo/ image privacy protection and naming</w:t>
      </w:r>
    </w:p>
    <w:p w14:paraId="63FA8E27">
      <w:pPr>
        <w:adjustRightInd w:val="0"/>
        <w:snapToGrid w:val="0"/>
        <w:spacing w:line="360" w:lineRule="auto"/>
        <w:ind w:firstLine="480" w:firstLineChars="200"/>
        <w:rPr>
          <w:rFonts w:eastAsia="微软雅黑"/>
          <w:sz w:val="24"/>
        </w:rPr>
      </w:pPr>
      <w:r>
        <w:rPr>
          <w:rFonts w:eastAsia="微软雅黑"/>
          <w:sz w:val="24"/>
        </w:rPr>
        <w:t>No image data shall disclose the personal information of patients.</w:t>
      </w:r>
    </w:p>
    <w:p w14:paraId="214C038C">
      <w:pPr>
        <w:adjustRightInd w:val="0"/>
        <w:snapToGrid w:val="0"/>
        <w:spacing w:line="360" w:lineRule="auto"/>
        <w:ind w:firstLine="480" w:firstLineChars="200"/>
        <w:rPr>
          <w:rFonts w:eastAsia="微软雅黑"/>
          <w:sz w:val="24"/>
        </w:rPr>
      </w:pPr>
      <w:r>
        <w:rPr>
          <w:rFonts w:eastAsia="微软雅黑"/>
          <w:sz w:val="24"/>
        </w:rPr>
        <w:t xml:space="preserve">When the photos/images are viewed or reviewed, the personal information must be processed with mosaics or be covered. </w:t>
      </w:r>
    </w:p>
    <w:p w14:paraId="12CD1CB4">
      <w:pPr>
        <w:adjustRightInd w:val="0"/>
        <w:snapToGrid w:val="0"/>
        <w:spacing w:line="360" w:lineRule="auto"/>
        <w:ind w:firstLine="480" w:firstLineChars="200"/>
        <w:rPr>
          <w:rFonts w:eastAsia="微软雅黑"/>
          <w:sz w:val="24"/>
        </w:rPr>
      </w:pPr>
      <w:r>
        <w:rPr>
          <w:rFonts w:eastAsia="微软雅黑"/>
          <w:sz w:val="24"/>
        </w:rPr>
        <w:t>The photographed parts should be marked with unified Chinese name: inferior pylorus area; left gastroepiploic vessel cut site; right-side area of superior margin of the pancreas; left-side area of superior margin of the pancreas; right side of the cardia and lesser gastric curvature side; splenic hilus area; incision appearance; specimen observation (before dissection); specimen observation (focus size); specimen observation (the distance between the tumor edge and the proximal incisional margin); and specimen observation (the distance between the tumor edge and the distal incisional margin).</w:t>
      </w:r>
    </w:p>
    <w:p w14:paraId="66374D9D">
      <w:pPr>
        <w:adjustRightInd w:val="0"/>
        <w:snapToGrid w:val="0"/>
        <w:spacing w:line="360" w:lineRule="auto"/>
        <w:ind w:firstLine="480" w:firstLineChars="200"/>
        <w:rPr>
          <w:rFonts w:eastAsia="微软雅黑"/>
          <w:sz w:val="24"/>
        </w:rPr>
      </w:pPr>
      <w:r>
        <w:rPr>
          <w:rFonts w:eastAsia="微软雅黑"/>
          <w:sz w:val="24"/>
        </w:rPr>
        <w:t xml:space="preserve"> For example:</w:t>
      </w:r>
    </w:p>
    <w:p w14:paraId="2813CAD2">
      <w:pPr>
        <w:adjustRightInd w:val="0"/>
        <w:snapToGrid w:val="0"/>
        <w:spacing w:line="360" w:lineRule="auto"/>
        <w:ind w:firstLine="480" w:firstLineChars="200"/>
        <w:rPr>
          <w:rFonts w:eastAsia="微软雅黑"/>
          <w:sz w:val="24"/>
        </w:rPr>
      </w:pPr>
      <w:r>
        <w:rPr>
          <w:rFonts w:eastAsia="微软雅黑"/>
          <w:sz w:val="24"/>
        </w:rPr>
        <w:t xml:space="preserve"> Photo Name: [ICG-subject's random number - Inferior pylorus area]/ [Non-ICG-subject's random number - Inferior pylorus area]</w:t>
      </w:r>
    </w:p>
    <w:p w14:paraId="410AFCF5">
      <w:pPr>
        <w:adjustRightInd w:val="0"/>
        <w:snapToGrid w:val="0"/>
        <w:spacing w:line="360" w:lineRule="auto"/>
        <w:ind w:firstLine="480" w:firstLineChars="200"/>
        <w:rPr>
          <w:rFonts w:eastAsia="微软雅黑"/>
          <w:sz w:val="24"/>
        </w:rPr>
      </w:pPr>
      <w:r>
        <w:rPr>
          <w:rFonts w:eastAsia="微软雅黑"/>
          <w:sz w:val="24"/>
        </w:rPr>
        <w:t xml:space="preserve"> Folder name: [ICG-subject's random number]/[Non-ICG-subject's random number]</w:t>
      </w:r>
    </w:p>
    <w:p w14:paraId="5F90E969">
      <w:pPr>
        <w:adjustRightInd w:val="0"/>
        <w:snapToGrid w:val="0"/>
        <w:spacing w:line="360" w:lineRule="auto"/>
        <w:rPr>
          <w:rFonts w:eastAsia="微软雅黑"/>
          <w:b/>
          <w:sz w:val="24"/>
        </w:rPr>
      </w:pPr>
      <w:r>
        <w:rPr>
          <w:rFonts w:eastAsia="微软雅黑"/>
          <w:b/>
          <w:sz w:val="24"/>
        </w:rPr>
        <w:t>9.3.1.11 Criteria for confirming operation quality</w:t>
      </w:r>
    </w:p>
    <w:p w14:paraId="529C2EFE">
      <w:pPr>
        <w:adjustRightInd w:val="0"/>
        <w:snapToGrid w:val="0"/>
        <w:spacing w:line="360" w:lineRule="auto"/>
        <w:ind w:firstLine="480" w:firstLineChars="200"/>
        <w:rPr>
          <w:rFonts w:eastAsia="微软雅黑"/>
          <w:sz w:val="24"/>
        </w:rPr>
      </w:pPr>
      <w:r>
        <w:rPr>
          <w:rFonts w:eastAsia="微软雅黑"/>
          <w:sz w:val="24"/>
        </w:rPr>
        <w:t>To confirm the appropriateness of the surgical procedure, surgery quality, (auxiliary) incision length and specimen integrity will be assessed in the photographs saved (as stated above) The whole laparoscopic surgery procedure will be videotaped, and the unclipped image files will be saved.</w:t>
      </w:r>
    </w:p>
    <w:p w14:paraId="26C1A240">
      <w:pPr>
        <w:adjustRightInd w:val="0"/>
        <w:snapToGrid w:val="0"/>
        <w:spacing w:line="360" w:lineRule="auto"/>
        <w:rPr>
          <w:rFonts w:eastAsia="微软雅黑"/>
          <w:b/>
          <w:sz w:val="24"/>
        </w:rPr>
      </w:pPr>
      <w:r>
        <w:rPr>
          <w:rFonts w:eastAsia="微软雅黑"/>
          <w:b/>
          <w:sz w:val="24"/>
        </w:rPr>
        <w:t>9.3.1.12 Saving of imaging data</w:t>
      </w:r>
    </w:p>
    <w:p w14:paraId="00390C2E">
      <w:pPr>
        <w:adjustRightInd w:val="0"/>
        <w:snapToGrid w:val="0"/>
        <w:spacing w:line="360" w:lineRule="auto"/>
        <w:ind w:firstLine="480" w:firstLineChars="200"/>
        <w:rPr>
          <w:rFonts w:eastAsia="微软雅黑"/>
          <w:sz w:val="24"/>
        </w:rPr>
      </w:pPr>
      <w:r>
        <w:rPr>
          <w:rFonts w:eastAsia="微软雅黑"/>
          <w:sz w:val="24"/>
        </w:rPr>
        <w:t>All photographs and data will be saved in the hard disk or portable digital carrier in digital form, and the surgical video required a specific hard drive to be saved for at least 3 years.</w:t>
      </w:r>
    </w:p>
    <w:p w14:paraId="78880C39">
      <w:pPr>
        <w:adjustRightInd w:val="0"/>
        <w:snapToGrid w:val="0"/>
        <w:spacing w:line="360" w:lineRule="auto"/>
        <w:ind w:firstLine="480" w:firstLineChars="200"/>
        <w:rPr>
          <w:rFonts w:eastAsia="微软雅黑"/>
          <w:sz w:val="24"/>
        </w:rPr>
      </w:pPr>
      <w:r>
        <w:rPr>
          <w:rFonts w:eastAsia="微软雅黑"/>
          <w:sz w:val="24"/>
        </w:rPr>
        <w:t xml:space="preserve">If failure to provide the complete photo according to “Regulations on imagery/photographing” is confirmed, the Research Committee will judge and record the surgery quality as unqualified; however, the case will remain in the PP set data of this study. </w:t>
      </w:r>
    </w:p>
    <w:p w14:paraId="7C394EEC">
      <w:pPr>
        <w:adjustRightInd w:val="0"/>
        <w:snapToGrid w:val="0"/>
        <w:spacing w:line="360" w:lineRule="auto"/>
        <w:rPr>
          <w:rFonts w:eastAsia="微软雅黑"/>
          <w:b/>
          <w:sz w:val="24"/>
        </w:rPr>
      </w:pPr>
      <w:r>
        <w:rPr>
          <w:rFonts w:eastAsia="微软雅黑"/>
          <w:b/>
          <w:sz w:val="24"/>
        </w:rPr>
        <w:t>9.3.2 Regulations on laparoscopy</w:t>
      </w:r>
    </w:p>
    <w:p w14:paraId="260DE7DC">
      <w:pPr>
        <w:adjustRightInd w:val="0"/>
        <w:snapToGrid w:val="0"/>
        <w:spacing w:line="360" w:lineRule="auto"/>
        <w:rPr>
          <w:rFonts w:eastAsia="微软雅黑"/>
          <w:b/>
          <w:sz w:val="24"/>
        </w:rPr>
      </w:pPr>
      <w:r>
        <w:rPr>
          <w:rFonts w:eastAsia="微软雅黑"/>
          <w:b/>
          <w:sz w:val="24"/>
        </w:rPr>
        <w:t>9.3.2.1 Regulations on pneumoperitoneum</w:t>
      </w:r>
    </w:p>
    <w:p w14:paraId="4C5621CE">
      <w:pPr>
        <w:adjustRightInd w:val="0"/>
        <w:snapToGrid w:val="0"/>
        <w:spacing w:line="360" w:lineRule="auto"/>
        <w:ind w:firstLine="480" w:firstLineChars="200"/>
        <w:rPr>
          <w:rFonts w:eastAsia="微软雅黑"/>
          <w:b/>
          <w:sz w:val="24"/>
        </w:rPr>
      </w:pPr>
      <w:r>
        <w:rPr>
          <w:rFonts w:eastAsia="微软雅黑"/>
          <w:sz w:val="24"/>
        </w:rPr>
        <w:t>Carbon dioxide pneumoperitoneum will be used to maintain the pressure at 12-13 mmHg.</w:t>
      </w:r>
    </w:p>
    <w:p w14:paraId="39743CC1">
      <w:pPr>
        <w:adjustRightInd w:val="0"/>
        <w:snapToGrid w:val="0"/>
        <w:spacing w:line="360" w:lineRule="auto"/>
        <w:rPr>
          <w:rFonts w:eastAsia="微软雅黑"/>
          <w:b/>
          <w:sz w:val="24"/>
        </w:rPr>
      </w:pPr>
      <w:r>
        <w:rPr>
          <w:rFonts w:eastAsia="微软雅黑"/>
          <w:b/>
          <w:sz w:val="24"/>
        </w:rPr>
        <w:t>9.3.2.2 Regulations on punctures and auxiliary incision</w:t>
      </w:r>
    </w:p>
    <w:p w14:paraId="24CBCBCA">
      <w:pPr>
        <w:spacing w:line="360" w:lineRule="auto"/>
        <w:ind w:firstLine="480" w:firstLineChars="200"/>
        <w:rPr>
          <w:rFonts w:eastAsia="微软雅黑"/>
          <w:sz w:val="24"/>
        </w:rPr>
      </w:pPr>
      <w:r>
        <w:rPr>
          <w:rFonts w:eastAsia="微软雅黑"/>
          <w:sz w:val="24"/>
        </w:rPr>
        <w:t xml:space="preserve">The positions of punctures and auxiliary small incision are not specified; the number of punctures should not exceed 5. There should be only one auxiliary small incision whose length shall not exceed the maximum tumor diameter and necessarily will be less than 10 cm in normal cases. If the auxiliary small incision needs to be longer than 10 cm, the surgeon in charge should make a decision and record the reasons in the CRF. </w:t>
      </w:r>
    </w:p>
    <w:p w14:paraId="0EEBE604">
      <w:pPr>
        <w:adjustRightInd w:val="0"/>
        <w:snapToGrid w:val="0"/>
        <w:spacing w:line="360" w:lineRule="auto"/>
        <w:rPr>
          <w:rFonts w:eastAsia="微软雅黑"/>
          <w:b/>
          <w:sz w:val="24"/>
        </w:rPr>
      </w:pPr>
      <w:r>
        <w:rPr>
          <w:rFonts w:eastAsia="微软雅黑"/>
          <w:b/>
          <w:sz w:val="24"/>
        </w:rPr>
        <w:t xml:space="preserve">9.3.2.3 </w:t>
      </w:r>
      <w:bookmarkStart w:id="38" w:name="OLE_LINK10"/>
      <w:r>
        <w:rPr>
          <w:rFonts w:eastAsia="微软雅黑"/>
          <w:b/>
          <w:sz w:val="24"/>
        </w:rPr>
        <w:t>Definition of laparoscopic approach</w:t>
      </w:r>
      <w:bookmarkEnd w:id="38"/>
    </w:p>
    <w:p w14:paraId="02C47149">
      <w:pPr>
        <w:adjustRightInd w:val="0"/>
        <w:snapToGrid w:val="0"/>
        <w:spacing w:line="360" w:lineRule="auto"/>
        <w:ind w:firstLine="436"/>
        <w:rPr>
          <w:rFonts w:eastAsia="微软雅黑"/>
          <w:sz w:val="24"/>
        </w:rPr>
      </w:pPr>
      <w:r>
        <w:rPr>
          <w:rFonts w:eastAsia="微软雅黑"/>
          <w:bCs/>
          <w:sz w:val="24"/>
        </w:rPr>
        <w:t>The operations within the abdominal cavity must be performed using laparoscopic instruments with the support of a camera system.</w:t>
      </w:r>
      <w:r>
        <w:rPr>
          <w:rFonts w:eastAsia="微软雅黑"/>
          <w:bCs/>
          <w:kern w:val="0"/>
          <w:sz w:val="24"/>
        </w:rPr>
        <w:t xml:space="preserve"> </w:t>
      </w:r>
      <w:r>
        <w:rPr>
          <w:rFonts w:eastAsia="微软雅黑"/>
          <w:kern w:val="0"/>
          <w:sz w:val="24"/>
        </w:rPr>
        <w:t xml:space="preserve">Perigastric disassociation, greater omentum excision, omental bursa excision, LN dissection, and blood vessel handling are completed under laparoscopic guidance. </w:t>
      </w:r>
      <w:r>
        <w:rPr>
          <w:rFonts w:eastAsia="微软雅黑"/>
          <w:sz w:val="24"/>
        </w:rPr>
        <w:t>For gastrectomy and digestive tract reconstruction use of auxiliary small incisions is allowed and can be completed with an opened abdomen.</w:t>
      </w:r>
    </w:p>
    <w:p w14:paraId="719DB6C7">
      <w:pPr>
        <w:adjustRightInd w:val="0"/>
        <w:snapToGrid w:val="0"/>
        <w:spacing w:line="360" w:lineRule="auto"/>
        <w:rPr>
          <w:rFonts w:eastAsia="微软雅黑"/>
          <w:b/>
          <w:sz w:val="24"/>
        </w:rPr>
      </w:pPr>
      <w:r>
        <w:rPr>
          <w:rFonts w:eastAsia="微软雅黑"/>
          <w:b/>
          <w:sz w:val="24"/>
        </w:rPr>
        <w:t>9.3.2.4 Regulations on conversion to laparotomy</w:t>
      </w:r>
    </w:p>
    <w:p w14:paraId="3D118A24">
      <w:pPr>
        <w:adjustRightInd w:val="0"/>
        <w:snapToGrid w:val="0"/>
        <w:spacing w:line="360" w:lineRule="auto"/>
        <w:ind w:firstLine="480" w:firstLineChars="200"/>
        <w:rPr>
          <w:rFonts w:eastAsia="微软雅黑"/>
          <w:sz w:val="24"/>
        </w:rPr>
      </w:pPr>
      <w:r>
        <w:rPr>
          <w:rFonts w:eastAsia="微软雅黑"/>
          <w:sz w:val="24"/>
        </w:rPr>
        <w:t>When intra-abdominal hemorrhage, organ damage and other serious/life-threatening complications which are difficult to control occur during laparoscopic surgery, it is necessary to actively convert to laparotomy. If the anesthesiologist and surgeon consider that intraoperative complications caused by carbon dioxide pneumoperitoneum may threaten the patient’s life, it is necessary to actively convert to open. The surgeon in charge can decide to convert to laparotomy driven by other technical or equipment reasons and will record said reasons. The reasons for the conversion to open must be clearly recorded in the CRF. The incision length of &gt;10 cm is defined as a case of conversion to open surgery in this study.</w:t>
      </w:r>
    </w:p>
    <w:p w14:paraId="30F300D6">
      <w:pPr>
        <w:adjustRightInd w:val="0"/>
        <w:snapToGrid w:val="0"/>
        <w:spacing w:line="360" w:lineRule="auto"/>
        <w:rPr>
          <w:rFonts w:eastAsia="微软雅黑"/>
          <w:b/>
          <w:sz w:val="24"/>
        </w:rPr>
      </w:pPr>
      <w:r>
        <w:rPr>
          <w:rFonts w:eastAsia="微软雅黑"/>
          <w:b/>
          <w:sz w:val="24"/>
        </w:rPr>
        <w:t>9.3.2.5 Subsequent treatment of excluded patients from the laparoscopic group</w:t>
      </w:r>
    </w:p>
    <w:p w14:paraId="2BBE23C0">
      <w:pPr>
        <w:adjustRightInd w:val="0"/>
        <w:snapToGrid w:val="0"/>
        <w:spacing w:line="360" w:lineRule="auto"/>
        <w:ind w:firstLine="480" w:firstLineChars="200"/>
        <w:rPr>
          <w:rFonts w:eastAsia="微软雅黑"/>
          <w:sz w:val="24"/>
        </w:rPr>
      </w:pPr>
      <w:r>
        <w:rPr>
          <w:rFonts w:eastAsia="微软雅黑"/>
          <w:sz w:val="24"/>
        </w:rPr>
        <w:t>Whether the patients continue to undergo surgery under laparoscopy or converted to open surgery is at surgeon’s discretion according to clinical experience.</w:t>
      </w:r>
    </w:p>
    <w:p w14:paraId="2FC761D9">
      <w:pPr>
        <w:adjustRightInd w:val="0"/>
        <w:snapToGrid w:val="0"/>
        <w:spacing w:line="360" w:lineRule="auto"/>
        <w:rPr>
          <w:rFonts w:eastAsia="微软雅黑"/>
          <w:b/>
          <w:sz w:val="24"/>
        </w:rPr>
      </w:pPr>
      <w:r>
        <w:rPr>
          <w:rFonts w:eastAsia="微软雅黑"/>
          <w:b/>
          <w:sz w:val="24"/>
        </w:rPr>
        <w:t xml:space="preserve">9.3.3 Operative parameters </w:t>
      </w:r>
      <w:r>
        <w:rPr>
          <w:rFonts w:eastAsia="微软雅黑"/>
          <w:sz w:val="24"/>
        </w:rPr>
        <w:t>(same for both groups)</w:t>
      </w:r>
    </w:p>
    <w:p w14:paraId="5A59A5C8">
      <w:pPr>
        <w:adjustRightInd w:val="0"/>
        <w:snapToGrid w:val="0"/>
        <w:spacing w:line="360" w:lineRule="auto"/>
        <w:ind w:firstLine="480" w:firstLineChars="200"/>
        <w:rPr>
          <w:rFonts w:eastAsia="微软雅黑"/>
          <w:sz w:val="24"/>
        </w:rPr>
      </w:pPr>
      <w:r>
        <w:rPr>
          <w:rFonts w:eastAsia="微软雅黑"/>
          <w:sz w:val="24"/>
        </w:rPr>
        <w:t>Completed by the research assistant on the day of the operation. specific projects include:</w:t>
      </w:r>
    </w:p>
    <w:p w14:paraId="5547E264">
      <w:pPr>
        <w:adjustRightInd w:val="0"/>
        <w:snapToGrid w:val="0"/>
        <w:spacing w:line="360" w:lineRule="auto"/>
        <w:rPr>
          <w:rFonts w:eastAsia="微软雅黑"/>
          <w:sz w:val="24"/>
        </w:rPr>
      </w:pPr>
      <w:r>
        <w:rPr>
          <w:rFonts w:eastAsia="微软雅黑"/>
          <w:sz w:val="24"/>
        </w:rPr>
        <w:t xml:space="preserve">(1) Name of </w:t>
      </w:r>
      <w:bookmarkStart w:id="39" w:name="OLE_LINK60"/>
      <w:r>
        <w:rPr>
          <w:rFonts w:eastAsia="微软雅黑"/>
          <w:sz w:val="24"/>
        </w:rPr>
        <w:t>responsible</w:t>
      </w:r>
      <w:bookmarkEnd w:id="39"/>
      <w:r>
        <w:rPr>
          <w:rFonts w:eastAsia="微软雅黑"/>
          <w:sz w:val="24"/>
        </w:rPr>
        <w:t xml:space="preserve"> surgeons</w:t>
      </w:r>
    </w:p>
    <w:p w14:paraId="4505497D">
      <w:pPr>
        <w:adjustRightInd w:val="0"/>
        <w:snapToGrid w:val="0"/>
        <w:spacing w:line="360" w:lineRule="auto"/>
        <w:rPr>
          <w:rFonts w:eastAsia="微软雅黑"/>
          <w:sz w:val="24"/>
        </w:rPr>
      </w:pPr>
      <w:r>
        <w:rPr>
          <w:rFonts w:eastAsia="微软雅黑"/>
          <w:sz w:val="24"/>
        </w:rPr>
        <w:t>(2) Operation time (min)</w:t>
      </w:r>
    </w:p>
    <w:p w14:paraId="45E4BD4F">
      <w:pPr>
        <w:adjustRightInd w:val="0"/>
        <w:snapToGrid w:val="0"/>
        <w:spacing w:line="360" w:lineRule="auto"/>
        <w:rPr>
          <w:rFonts w:eastAsia="微软雅黑"/>
          <w:sz w:val="24"/>
        </w:rPr>
      </w:pPr>
      <w:r>
        <w:rPr>
          <w:rFonts w:eastAsia="微软雅黑"/>
          <w:sz w:val="24"/>
        </w:rPr>
        <w:t>(3) Type of operation, digestive tract reconstruction, intraoperative</w:t>
      </w:r>
      <w:r>
        <w:rPr>
          <w:rFonts w:eastAsia="微软雅黑"/>
          <w:b/>
          <w:bCs/>
          <w:sz w:val="24"/>
        </w:rPr>
        <w:t xml:space="preserve"> </w:t>
      </w:r>
      <w:r>
        <w:rPr>
          <w:rFonts w:eastAsia="微软雅黑"/>
          <w:bCs/>
          <w:sz w:val="24"/>
        </w:rPr>
        <w:t>damage and whether the tumor was ruptured during surgery (intact rupture of the capsule)</w:t>
      </w:r>
      <w:r>
        <w:rPr>
          <w:rFonts w:eastAsia="微软雅黑"/>
          <w:sz w:val="24"/>
        </w:rPr>
        <w:t xml:space="preserve"> </w:t>
      </w:r>
    </w:p>
    <w:p w14:paraId="12BDE0EF">
      <w:pPr>
        <w:adjustRightInd w:val="0"/>
        <w:snapToGrid w:val="0"/>
        <w:spacing w:line="360" w:lineRule="auto"/>
        <w:rPr>
          <w:rFonts w:eastAsia="微软雅黑"/>
          <w:sz w:val="24"/>
        </w:rPr>
      </w:pPr>
      <w:r>
        <w:rPr>
          <w:rFonts w:eastAsia="微软雅黑"/>
          <w:sz w:val="24"/>
        </w:rPr>
        <w:t>(4) Length of incision (cm)</w:t>
      </w:r>
    </w:p>
    <w:p w14:paraId="55FEFA36">
      <w:pPr>
        <w:spacing w:line="360" w:lineRule="auto"/>
        <w:rPr>
          <w:rFonts w:eastAsia="微软雅黑"/>
          <w:sz w:val="24"/>
        </w:rPr>
      </w:pPr>
      <w:r>
        <w:rPr>
          <w:rFonts w:eastAsia="微软雅黑"/>
          <w:sz w:val="24"/>
        </w:rPr>
        <w:t>(5) Conversion to open surgery or not and the reasons for this decision</w:t>
      </w:r>
    </w:p>
    <w:p w14:paraId="55206D48">
      <w:pPr>
        <w:adjustRightInd w:val="0"/>
        <w:snapToGrid w:val="0"/>
        <w:spacing w:line="360" w:lineRule="auto"/>
        <w:ind w:left="480" w:hanging="480" w:hangingChars="200"/>
        <w:rPr>
          <w:rFonts w:eastAsia="微软雅黑"/>
          <w:sz w:val="24"/>
        </w:rPr>
      </w:pPr>
      <w:r>
        <w:rPr>
          <w:rFonts w:eastAsia="微软雅黑"/>
          <w:sz w:val="24"/>
        </w:rPr>
        <w:t>(6) Intraoperative estimated blood loss (ml; from skin cutting to stitching</w:t>
      </w:r>
      <w:bookmarkStart w:id="40" w:name="OLE_LINK33"/>
      <w:r>
        <w:rPr>
          <w:rFonts w:eastAsia="微软雅黑"/>
          <w:sz w:val="24"/>
        </w:rPr>
        <w:t>, intraoperative blood loss = (postoperative gauze weight, grams - preoperative gauze weight</w:t>
      </w:r>
      <w:bookmarkStart w:id="41" w:name="OLE_LINK34"/>
      <w:r>
        <w:rPr>
          <w:rFonts w:eastAsia="微软雅黑"/>
          <w:sz w:val="24"/>
        </w:rPr>
        <w:t>, grams</w:t>
      </w:r>
      <w:bookmarkEnd w:id="41"/>
      <w:r>
        <w:rPr>
          <w:rFonts w:eastAsia="微软雅黑"/>
          <w:sz w:val="24"/>
        </w:rPr>
        <w:t>) *1ml/g+ suction fluid, ml)</w:t>
      </w:r>
    </w:p>
    <w:bookmarkEnd w:id="40"/>
    <w:p w14:paraId="336F5EFE">
      <w:pPr>
        <w:adjustRightInd w:val="0"/>
        <w:snapToGrid w:val="0"/>
        <w:spacing w:line="360" w:lineRule="auto"/>
        <w:rPr>
          <w:rFonts w:eastAsia="微软雅黑"/>
          <w:sz w:val="24"/>
        </w:rPr>
      </w:pPr>
      <w:r>
        <w:rPr>
          <w:rFonts w:eastAsia="微软雅黑"/>
          <w:sz w:val="24"/>
        </w:rPr>
        <w:t xml:space="preserve">(7) Blood transfusion (ml): in this study, the blood transfusion event is defined as transfusion of red cell suspension (ml) or whole blood (ml) </w:t>
      </w:r>
    </w:p>
    <w:p w14:paraId="51EB9BBA">
      <w:pPr>
        <w:adjustRightInd w:val="0"/>
        <w:snapToGrid w:val="0"/>
        <w:spacing w:line="360" w:lineRule="auto"/>
        <w:rPr>
          <w:rFonts w:eastAsia="微软雅黑"/>
          <w:sz w:val="24"/>
        </w:rPr>
      </w:pPr>
      <w:r>
        <w:rPr>
          <w:rFonts w:eastAsia="微软雅黑"/>
          <w:sz w:val="24"/>
        </w:rPr>
        <w:t xml:space="preserve">(8) Tumor location </w:t>
      </w:r>
    </w:p>
    <w:p w14:paraId="1F51FC38">
      <w:pPr>
        <w:spacing w:line="360" w:lineRule="auto"/>
        <w:rPr>
          <w:rFonts w:eastAsia="微软雅黑"/>
          <w:sz w:val="24"/>
        </w:rPr>
      </w:pPr>
      <w:r>
        <w:rPr>
          <w:rFonts w:eastAsia="微软雅黑"/>
          <w:sz w:val="24"/>
        </w:rPr>
        <w:t>(9) Tumor size (maximum tumor diameter, mm)</w:t>
      </w:r>
    </w:p>
    <w:p w14:paraId="2D24692A">
      <w:pPr>
        <w:adjustRightInd w:val="0"/>
        <w:snapToGrid w:val="0"/>
        <w:spacing w:line="360" w:lineRule="auto"/>
        <w:rPr>
          <w:rFonts w:eastAsia="微软雅黑"/>
          <w:sz w:val="24"/>
        </w:rPr>
      </w:pPr>
      <w:r>
        <w:rPr>
          <w:rFonts w:eastAsia="微软雅黑"/>
          <w:sz w:val="24"/>
        </w:rPr>
        <w:t>(10) Distant metastasis (location)</w:t>
      </w:r>
    </w:p>
    <w:p w14:paraId="316BC889">
      <w:pPr>
        <w:adjustRightInd w:val="0"/>
        <w:snapToGrid w:val="0"/>
        <w:spacing w:line="360" w:lineRule="auto"/>
        <w:rPr>
          <w:rFonts w:eastAsia="微软雅黑"/>
          <w:sz w:val="24"/>
        </w:rPr>
      </w:pPr>
      <w:r>
        <w:rPr>
          <w:rFonts w:eastAsia="微软雅黑"/>
          <w:sz w:val="24"/>
        </w:rPr>
        <w:t>(11) Proximal resected margin (mm), distal resected margin (mm), radicality (R0/R1/R2)</w:t>
      </w:r>
    </w:p>
    <w:p w14:paraId="662BBB59">
      <w:pPr>
        <w:adjustRightInd w:val="0"/>
        <w:snapToGrid w:val="0"/>
        <w:spacing w:line="360" w:lineRule="auto"/>
        <w:rPr>
          <w:rFonts w:eastAsia="微软雅黑"/>
          <w:sz w:val="24"/>
        </w:rPr>
      </w:pPr>
      <w:r>
        <w:rPr>
          <w:rFonts w:eastAsia="微软雅黑"/>
          <w:sz w:val="24"/>
        </w:rPr>
        <w:t xml:space="preserve">(12) Intraoperative complications (occurring </w:t>
      </w:r>
      <w:bookmarkStart w:id="42" w:name="OLE_LINK38"/>
      <w:r>
        <w:rPr>
          <w:rFonts w:eastAsia="微软雅黑"/>
          <w:sz w:val="24"/>
        </w:rPr>
        <w:t>from skin incision to skin closure</w:t>
      </w:r>
      <w:bookmarkEnd w:id="42"/>
      <w:r>
        <w:rPr>
          <w:rFonts w:eastAsia="微软雅黑"/>
          <w:sz w:val="24"/>
        </w:rPr>
        <w:t xml:space="preserve">) including: </w:t>
      </w:r>
    </w:p>
    <w:p w14:paraId="33D76939">
      <w:pPr>
        <w:adjustRightInd w:val="0"/>
        <w:snapToGrid w:val="0"/>
        <w:spacing w:line="360" w:lineRule="auto"/>
        <w:ind w:firstLine="480" w:firstLineChars="200"/>
        <w:rPr>
          <w:rFonts w:eastAsia="微软雅黑"/>
          <w:sz w:val="24"/>
        </w:rPr>
      </w:pPr>
      <w:r>
        <w:rPr>
          <w:rFonts w:eastAsia="微软雅黑"/>
          <w:sz w:val="24"/>
        </w:rPr>
        <w:t xml:space="preserve">Surgery-related complications: intraoperative hemorrhage and injury: A. Vascular injury: a vascular injury is defined as a blood vessel with either a blood vessel clamp or a titanium clamp closure and an intra-cavity suture or any other method to control the bleeding. B. Organ damage: maybe including diaphragmatic injury, esophageal injury, duodenal injury, colon injury, small intestine injury, spleen injury (excluding &lt;1/3 spleen ischemia), liver injury, pancreatic injury, gallbladder injury, kidney damage etc. </w:t>
      </w:r>
    </w:p>
    <w:p w14:paraId="34FE7109">
      <w:pPr>
        <w:adjustRightInd w:val="0"/>
        <w:snapToGrid w:val="0"/>
        <w:spacing w:line="360" w:lineRule="auto"/>
        <w:rPr>
          <w:rFonts w:eastAsia="微软雅黑"/>
          <w:sz w:val="24"/>
        </w:rPr>
      </w:pPr>
      <w:r>
        <w:rPr>
          <w:rFonts w:eastAsia="微软雅黑"/>
          <w:sz w:val="24"/>
        </w:rPr>
        <w:t>C. Tumor rupture: tumor envelope integrity damage air abdominal-related complications: high-blood carbonate, mediastinal emphysema, subcutaneous emphysema, air embolism, respiratory circulation instability caused by abdominal pressure.</w:t>
      </w:r>
    </w:p>
    <w:p w14:paraId="36FE4ADC">
      <w:pPr>
        <w:adjustRightInd w:val="0"/>
        <w:snapToGrid w:val="0"/>
        <w:spacing w:line="360" w:lineRule="auto"/>
        <w:ind w:firstLine="480" w:firstLineChars="200"/>
        <w:rPr>
          <w:rFonts w:eastAsia="微软雅黑"/>
          <w:sz w:val="24"/>
        </w:rPr>
      </w:pPr>
      <w:r>
        <w:rPr>
          <w:rFonts w:eastAsia="微软雅黑"/>
          <w:sz w:val="24"/>
        </w:rPr>
        <w:t>Anesthesia-related complications: Allergic reactions.</w:t>
      </w:r>
    </w:p>
    <w:p w14:paraId="6B00C1E7">
      <w:pPr>
        <w:spacing w:line="360" w:lineRule="auto"/>
        <w:rPr>
          <w:rFonts w:eastAsia="微软雅黑"/>
          <w:sz w:val="24"/>
        </w:rPr>
      </w:pPr>
      <w:r>
        <w:rPr>
          <w:rFonts w:eastAsia="微软雅黑"/>
          <w:sz w:val="24"/>
        </w:rPr>
        <w:t xml:space="preserve">(13) Intraoperative death (occurring during the time period from skin cutting to skin stitching completion) regardless of reason. </w:t>
      </w:r>
    </w:p>
    <w:p w14:paraId="106FFD8B">
      <w:pPr>
        <w:adjustRightInd w:val="0"/>
        <w:snapToGrid w:val="0"/>
        <w:spacing w:line="360" w:lineRule="auto"/>
        <w:jc w:val="left"/>
        <w:rPr>
          <w:rFonts w:eastAsia="微软雅黑"/>
          <w:b/>
          <w:sz w:val="24"/>
        </w:rPr>
      </w:pPr>
      <w:r>
        <w:rPr>
          <w:rFonts w:eastAsia="微软雅黑"/>
          <w:b/>
          <w:sz w:val="24"/>
        </w:rPr>
        <w:t>9.4 Postoperative management (</w:t>
      </w:r>
      <w:r>
        <w:rPr>
          <w:rFonts w:eastAsia="微软雅黑"/>
          <w:sz w:val="24"/>
        </w:rPr>
        <w:t>same for both groups</w:t>
      </w:r>
      <w:r>
        <w:rPr>
          <w:rFonts w:eastAsia="微软雅黑"/>
          <w:b/>
          <w:sz w:val="24"/>
        </w:rPr>
        <w:t xml:space="preserve">) </w:t>
      </w:r>
    </w:p>
    <w:p w14:paraId="262B3A65">
      <w:pPr>
        <w:adjustRightInd w:val="0"/>
        <w:snapToGrid w:val="0"/>
        <w:spacing w:line="360" w:lineRule="auto"/>
        <w:rPr>
          <w:rFonts w:eastAsia="微软雅黑"/>
          <w:b/>
          <w:sz w:val="24"/>
        </w:rPr>
      </w:pPr>
      <w:r>
        <w:rPr>
          <w:rFonts w:eastAsia="微软雅黑"/>
          <w:b/>
          <w:sz w:val="24"/>
        </w:rPr>
        <w:t>9.4.1 The use of prophylactic analgesics</w:t>
      </w:r>
    </w:p>
    <w:p w14:paraId="4AB904B2">
      <w:pPr>
        <w:adjustRightInd w:val="0"/>
        <w:snapToGrid w:val="0"/>
        <w:spacing w:line="360" w:lineRule="auto"/>
        <w:ind w:firstLine="480" w:firstLineChars="200"/>
        <w:rPr>
          <w:rFonts w:eastAsia="微软雅黑"/>
          <w:sz w:val="24"/>
        </w:rPr>
      </w:pPr>
      <w:r>
        <w:rPr>
          <w:rFonts w:eastAsia="微软雅黑"/>
          <w:sz w:val="24"/>
        </w:rPr>
        <w:t>Continuous postoperative prophylactic intravenous analgesia is allowable but not mandatory within postoperative 48 hours; its dose, type and rate of infusion should be determined by the anesthesiologist according to clinical practices and specific patient conditions. The repeated use of prophylactic analgesics is not allowed beyond 48 hours after the end of surgery, unless it is judged necessary</w:t>
      </w:r>
    </w:p>
    <w:p w14:paraId="1B595E15">
      <w:pPr>
        <w:adjustRightInd w:val="0"/>
        <w:snapToGrid w:val="0"/>
        <w:spacing w:line="360" w:lineRule="auto"/>
        <w:rPr>
          <w:rFonts w:eastAsia="微软雅黑"/>
          <w:b/>
          <w:sz w:val="24"/>
        </w:rPr>
      </w:pPr>
      <w:r>
        <w:rPr>
          <w:rFonts w:eastAsia="微软雅黑"/>
          <w:b/>
          <w:sz w:val="24"/>
        </w:rPr>
        <w:t>9.4.2 Fluid replacement and nutritional support</w:t>
      </w:r>
    </w:p>
    <w:p w14:paraId="00ECFFAB">
      <w:pPr>
        <w:adjustRightInd w:val="0"/>
        <w:snapToGrid w:val="0"/>
        <w:spacing w:line="360" w:lineRule="auto"/>
        <w:ind w:firstLine="480" w:firstLineChars="200"/>
        <w:rPr>
          <w:rFonts w:eastAsia="微软雅黑"/>
          <w:sz w:val="24"/>
        </w:rPr>
      </w:pPr>
      <w:r>
        <w:rPr>
          <w:rFonts w:eastAsia="微软雅黑"/>
          <w:sz w:val="24"/>
        </w:rPr>
        <w:t xml:space="preserve">Postoperative fluid infusion (including glucose, insulin, electrolytes, vitamins, etc.) or nutritional support (enteral/parenteral) will be performed based on doctor’s experience and routine clinical practices and is not specified in this study. After oral feeding, it is allowable to stop or gradually reduce fluid infusion/nutritional support. </w:t>
      </w:r>
    </w:p>
    <w:p w14:paraId="7DC0D42C">
      <w:pPr>
        <w:adjustRightInd w:val="0"/>
        <w:snapToGrid w:val="0"/>
        <w:spacing w:line="360" w:lineRule="auto"/>
        <w:rPr>
          <w:rFonts w:eastAsia="微软雅黑"/>
          <w:b/>
          <w:sz w:val="24"/>
        </w:rPr>
      </w:pPr>
      <w:r>
        <w:rPr>
          <w:rFonts w:eastAsia="微软雅黑"/>
          <w:b/>
          <w:sz w:val="24"/>
        </w:rPr>
        <w:t>9.4.3 Post-operative rehabilitation management</w:t>
      </w:r>
    </w:p>
    <w:p w14:paraId="6CF30F32">
      <w:pPr>
        <w:adjustRightInd w:val="0"/>
        <w:snapToGrid w:val="0"/>
        <w:spacing w:line="360" w:lineRule="auto"/>
        <w:ind w:firstLine="480" w:firstLineChars="200"/>
        <w:rPr>
          <w:rFonts w:eastAsia="微软雅黑"/>
          <w:sz w:val="24"/>
        </w:rPr>
      </w:pPr>
      <w:r>
        <w:rPr>
          <w:rFonts w:eastAsia="微软雅黑"/>
          <w:sz w:val="24"/>
        </w:rPr>
        <w:t xml:space="preserve">Management methods of incision, stomach and abdominal drainage tube: Follow regular diagnosis and treatment approaches. Eating recovery time, diet transition strategies: Follow regular diagnosis and treatment approaches. </w:t>
      </w:r>
    </w:p>
    <w:p w14:paraId="7AB0BED6">
      <w:pPr>
        <w:adjustRightInd w:val="0"/>
        <w:snapToGrid w:val="0"/>
        <w:spacing w:line="360" w:lineRule="auto"/>
        <w:rPr>
          <w:rFonts w:eastAsia="微软雅黑"/>
          <w:b/>
          <w:sz w:val="24"/>
        </w:rPr>
      </w:pPr>
      <w:r>
        <w:rPr>
          <w:rFonts w:eastAsia="微软雅黑"/>
          <w:b/>
          <w:sz w:val="24"/>
        </w:rPr>
        <w:t>9.4.4 Discharge standard</w:t>
      </w:r>
    </w:p>
    <w:p w14:paraId="39804132">
      <w:pPr>
        <w:spacing w:line="360" w:lineRule="auto"/>
        <w:ind w:firstLine="480" w:firstLineChars="200"/>
        <w:rPr>
          <w:rFonts w:eastAsia="微软雅黑"/>
          <w:sz w:val="24"/>
        </w:rPr>
      </w:pPr>
      <w:r>
        <w:rPr>
          <w:rFonts w:eastAsia="微软雅黑"/>
          <w:sz w:val="24"/>
        </w:rPr>
        <w:t>Patients needed to meet the following criteria for discharge: (1) satisfactory intake of a soft diet. (2) move around of their bed. and (3) absence of complications by routine clinical examinations. This information will be recorded in the CRF.</w:t>
      </w:r>
    </w:p>
    <w:p w14:paraId="7EEB1E28">
      <w:pPr>
        <w:adjustRightInd w:val="0"/>
        <w:snapToGrid w:val="0"/>
        <w:spacing w:line="360" w:lineRule="auto"/>
        <w:rPr>
          <w:rFonts w:eastAsia="微软雅黑"/>
          <w:b/>
          <w:sz w:val="24"/>
        </w:rPr>
      </w:pPr>
      <w:r>
        <w:rPr>
          <w:rFonts w:eastAsia="微软雅黑"/>
          <w:b/>
          <w:sz w:val="24"/>
        </w:rPr>
        <w:t xml:space="preserve">9.4.5 </w:t>
      </w:r>
      <w:bookmarkStart w:id="43" w:name="OLE_LINK32"/>
      <w:r>
        <w:rPr>
          <w:rFonts w:eastAsia="微软雅黑"/>
          <w:b/>
          <w:sz w:val="24"/>
        </w:rPr>
        <w:t>Postoperative</w:t>
      </w:r>
      <w:bookmarkEnd w:id="43"/>
      <w:r>
        <w:rPr>
          <w:rFonts w:eastAsia="微软雅黑"/>
          <w:b/>
          <w:sz w:val="24"/>
        </w:rPr>
        <w:t xml:space="preserve"> observation items</w:t>
      </w:r>
    </w:p>
    <w:p w14:paraId="55446161">
      <w:pPr>
        <w:adjustRightInd w:val="0"/>
        <w:snapToGrid w:val="0"/>
        <w:spacing w:line="360" w:lineRule="auto"/>
        <w:ind w:firstLine="480" w:firstLineChars="200"/>
        <w:rPr>
          <w:rFonts w:eastAsia="微软雅黑"/>
          <w:sz w:val="24"/>
        </w:rPr>
      </w:pPr>
      <w:r>
        <w:rPr>
          <w:rFonts w:eastAsia="微软雅黑"/>
          <w:sz w:val="24"/>
        </w:rPr>
        <w:t>Definition of “postoperative day n”: One day from 0:00 to up to 24:00. Up to 24:00 on the day of surgery is “postoperative day 0;” the next day from 0:00 to up to 24:00 is “postoperative day 1;” and so on. From the first postoperative day until hospital discharge, the research assistant should timely fill in the following items and specific observation items including:</w:t>
      </w:r>
    </w:p>
    <w:p w14:paraId="13B32F8B">
      <w:pPr>
        <w:adjustRightInd w:val="0"/>
        <w:snapToGrid w:val="0"/>
        <w:spacing w:line="360" w:lineRule="auto"/>
        <w:rPr>
          <w:rFonts w:eastAsia="微软雅黑"/>
          <w:sz w:val="24"/>
        </w:rPr>
      </w:pPr>
      <w:r>
        <w:rPr>
          <w:rFonts w:eastAsia="微软雅黑"/>
          <w:b/>
          <w:bCs/>
          <w:sz w:val="24"/>
        </w:rPr>
        <w:t xml:space="preserve">(1) Pathologic results: </w:t>
      </w:r>
      <w:r>
        <w:rPr>
          <w:rFonts w:eastAsia="微软雅黑"/>
          <w:sz w:val="24"/>
        </w:rPr>
        <w:t>Original lesion tissue typing, Distant metastasis, and parts, NIH Hazard grading, Radical surgery degree (R0/R1/R2)</w:t>
      </w:r>
    </w:p>
    <w:p w14:paraId="529E21EA">
      <w:pPr>
        <w:adjustRightInd w:val="0"/>
        <w:snapToGrid w:val="0"/>
        <w:spacing w:line="360" w:lineRule="auto"/>
        <w:rPr>
          <w:rFonts w:eastAsia="微软雅黑"/>
          <w:sz w:val="22"/>
          <w:szCs w:val="22"/>
        </w:rPr>
      </w:pPr>
      <w:r>
        <w:rPr>
          <w:rFonts w:eastAsia="微软雅黑"/>
          <w:b/>
          <w:bCs/>
          <w:sz w:val="24"/>
        </w:rPr>
        <w:t xml:space="preserve">(2) Postoperative complications: </w:t>
      </w:r>
      <w:r>
        <w:rPr>
          <w:rFonts w:eastAsia="微软雅黑"/>
          <w:sz w:val="24"/>
        </w:rPr>
        <w:t>Postoperative complications are divided into and short-term complications after surgery and long-term complications after surgery. Short-term is defined as within 30 days of surgery or the first discharge if the hospital days &gt;30 days. Long-term is defined as the period from 30 days or more after the operation, or the first discharge (the hospital days after surgery &gt;30 days) to 3 years after the operation.</w:t>
      </w:r>
    </w:p>
    <w:tbl>
      <w:tblPr>
        <w:tblStyle w:val="13"/>
        <w:tblW w:w="9606" w:type="dxa"/>
        <w:tblInd w:w="-6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85"/>
        <w:gridCol w:w="6521"/>
      </w:tblGrid>
      <w:tr w14:paraId="31049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122A0C0E">
            <w:pPr>
              <w:adjustRightInd w:val="0"/>
              <w:snapToGrid w:val="0"/>
              <w:spacing w:line="360" w:lineRule="auto"/>
              <w:jc w:val="center"/>
              <w:rPr>
                <w:rFonts w:eastAsia="微软雅黑"/>
                <w:sz w:val="22"/>
                <w:szCs w:val="22"/>
              </w:rPr>
            </w:pPr>
            <w:r>
              <w:rPr>
                <w:rFonts w:eastAsia="微软雅黑"/>
                <w:sz w:val="22"/>
                <w:szCs w:val="22"/>
              </w:rPr>
              <w:t>Classification and name of complication</w:t>
            </w:r>
          </w:p>
        </w:tc>
        <w:tc>
          <w:tcPr>
            <w:tcW w:w="6521" w:type="dxa"/>
          </w:tcPr>
          <w:p w14:paraId="664BEB8B">
            <w:pPr>
              <w:adjustRightInd w:val="0"/>
              <w:snapToGrid w:val="0"/>
              <w:spacing w:line="360" w:lineRule="auto"/>
              <w:jc w:val="center"/>
              <w:rPr>
                <w:rFonts w:eastAsia="微软雅黑"/>
                <w:sz w:val="22"/>
                <w:szCs w:val="22"/>
              </w:rPr>
            </w:pPr>
            <w:r>
              <w:rPr>
                <w:rFonts w:eastAsia="微软雅黑"/>
                <w:sz w:val="22"/>
                <w:szCs w:val="22"/>
              </w:rPr>
              <w:t>Diagnostic criteria</w:t>
            </w:r>
          </w:p>
        </w:tc>
      </w:tr>
      <w:tr w14:paraId="5DBC2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0B243376">
            <w:pPr>
              <w:adjustRightInd w:val="0"/>
              <w:snapToGrid w:val="0"/>
              <w:spacing w:line="360" w:lineRule="auto"/>
              <w:rPr>
                <w:rFonts w:eastAsia="微软雅黑"/>
                <w:sz w:val="22"/>
                <w:szCs w:val="22"/>
              </w:rPr>
            </w:pPr>
            <w:r>
              <w:rPr>
                <w:rFonts w:eastAsia="微软雅黑"/>
                <w:sz w:val="22"/>
                <w:szCs w:val="22"/>
              </w:rPr>
              <w:t xml:space="preserve">  Abdominal bleeding</w:t>
            </w:r>
          </w:p>
        </w:tc>
        <w:tc>
          <w:tcPr>
            <w:tcW w:w="6521" w:type="dxa"/>
          </w:tcPr>
          <w:p w14:paraId="74D0EFA5">
            <w:pPr>
              <w:adjustRightInd w:val="0"/>
              <w:snapToGrid w:val="0"/>
              <w:spacing w:line="360" w:lineRule="auto"/>
              <w:rPr>
                <w:rFonts w:eastAsia="微软雅黑"/>
                <w:sz w:val="22"/>
                <w:szCs w:val="22"/>
              </w:rPr>
            </w:pPr>
            <w:r>
              <w:rPr>
                <w:rFonts w:eastAsia="微软雅黑"/>
                <w:sz w:val="22"/>
                <w:szCs w:val="22"/>
              </w:rPr>
              <w:t xml:space="preserve">Intra-abdominal hemorrhage requires blood transfusion, emergency endoscopy or surgical intervention to </w:t>
            </w:r>
            <w:bookmarkStart w:id="44" w:name="OLE_LINK36"/>
            <w:r>
              <w:rPr>
                <w:rFonts w:eastAsia="微软雅黑"/>
                <w:sz w:val="22"/>
                <w:szCs w:val="22"/>
              </w:rPr>
              <w:t>eliminate</w:t>
            </w:r>
            <w:bookmarkEnd w:id="44"/>
            <w:r>
              <w:rPr>
                <w:rFonts w:eastAsia="微软雅黑"/>
                <w:sz w:val="22"/>
                <w:szCs w:val="22"/>
              </w:rPr>
              <w:t xml:space="preserve"> anastomotic bleeding</w:t>
            </w:r>
          </w:p>
        </w:tc>
      </w:tr>
      <w:tr w14:paraId="72E4D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031551AB">
            <w:pPr>
              <w:adjustRightInd w:val="0"/>
              <w:snapToGrid w:val="0"/>
              <w:spacing w:line="360" w:lineRule="auto"/>
              <w:rPr>
                <w:rFonts w:eastAsia="微软雅黑"/>
                <w:sz w:val="22"/>
                <w:szCs w:val="22"/>
              </w:rPr>
            </w:pPr>
            <w:r>
              <w:rPr>
                <w:rFonts w:eastAsia="微软雅黑"/>
                <w:sz w:val="22"/>
                <w:szCs w:val="22"/>
              </w:rPr>
              <w:t xml:space="preserve">  Anastomotic bleeding</w:t>
            </w:r>
          </w:p>
        </w:tc>
        <w:tc>
          <w:tcPr>
            <w:tcW w:w="6521" w:type="dxa"/>
          </w:tcPr>
          <w:p w14:paraId="6D7ECF2B">
            <w:pPr>
              <w:adjustRightInd w:val="0"/>
              <w:snapToGrid w:val="0"/>
              <w:spacing w:line="360" w:lineRule="auto"/>
              <w:rPr>
                <w:rFonts w:eastAsia="微软雅黑"/>
                <w:sz w:val="22"/>
                <w:szCs w:val="22"/>
              </w:rPr>
            </w:pPr>
            <w:r>
              <w:rPr>
                <w:rFonts w:eastAsia="微软雅黑"/>
                <w:sz w:val="22"/>
                <w:szCs w:val="22"/>
              </w:rPr>
              <w:t>The postoperative gastrointestinal decompression tube continued to have fresh red blood outflow; the hemoglobin drops more than 1g/dL</w:t>
            </w:r>
          </w:p>
        </w:tc>
      </w:tr>
      <w:tr w14:paraId="0320F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7CC2ECF0">
            <w:pPr>
              <w:adjustRightInd w:val="0"/>
              <w:snapToGrid w:val="0"/>
              <w:spacing w:line="360" w:lineRule="auto"/>
              <w:rPr>
                <w:rFonts w:eastAsia="微软雅黑"/>
                <w:sz w:val="22"/>
                <w:szCs w:val="22"/>
              </w:rPr>
            </w:pPr>
            <w:r>
              <w:rPr>
                <w:rFonts w:eastAsia="微软雅黑"/>
                <w:sz w:val="22"/>
                <w:szCs w:val="22"/>
              </w:rPr>
              <w:t xml:space="preserve">  Gastrointestinal </w:t>
            </w:r>
            <w:bookmarkStart w:id="45" w:name="OLE_LINK39"/>
            <w:r>
              <w:rPr>
                <w:rFonts w:eastAsia="微软雅黑"/>
                <w:sz w:val="22"/>
                <w:szCs w:val="22"/>
              </w:rPr>
              <w:t>anastomotic</w:t>
            </w:r>
            <w:bookmarkEnd w:id="45"/>
            <w:r>
              <w:rPr>
                <w:rFonts w:eastAsia="微软雅黑"/>
                <w:sz w:val="22"/>
                <w:szCs w:val="22"/>
              </w:rPr>
              <w:t xml:space="preserve"> stoma fistula</w:t>
            </w:r>
          </w:p>
        </w:tc>
        <w:tc>
          <w:tcPr>
            <w:tcW w:w="6521" w:type="dxa"/>
          </w:tcPr>
          <w:p w14:paraId="468A0888">
            <w:pPr>
              <w:adjustRightInd w:val="0"/>
              <w:snapToGrid w:val="0"/>
              <w:spacing w:line="360" w:lineRule="auto"/>
              <w:rPr>
                <w:rFonts w:eastAsia="微软雅黑"/>
                <w:sz w:val="22"/>
                <w:szCs w:val="22"/>
              </w:rPr>
            </w:pPr>
            <w:r>
              <w:rPr>
                <w:rFonts w:eastAsia="微软雅黑"/>
                <w:sz w:val="22"/>
                <w:szCs w:val="22"/>
              </w:rPr>
              <w:t>Using gastrointestinal angiography to see contrast agent leak out from the</w:t>
            </w:r>
            <w:bookmarkStart w:id="46" w:name="OLE_LINK35"/>
            <w:r>
              <w:rPr>
                <w:rFonts w:eastAsia="微软雅黑"/>
                <w:sz w:val="22"/>
                <w:szCs w:val="22"/>
              </w:rPr>
              <w:t xml:space="preserve"> anastomosis</w:t>
            </w:r>
            <w:bookmarkEnd w:id="46"/>
            <w:r>
              <w:rPr>
                <w:rFonts w:eastAsia="微软雅黑"/>
                <w:sz w:val="22"/>
                <w:szCs w:val="22"/>
              </w:rPr>
              <w:t xml:space="preserve">, or </w:t>
            </w:r>
            <w:bookmarkStart w:id="47" w:name="OLE_LINK42"/>
            <w:r>
              <w:rPr>
                <w:rFonts w:eastAsia="微软雅黑"/>
                <w:sz w:val="22"/>
                <w:szCs w:val="22"/>
              </w:rPr>
              <w:t xml:space="preserve">the blue drainage outflow through tube after oral Methylene blue to eliminate </w:t>
            </w:r>
            <w:bookmarkEnd w:id="47"/>
            <w:r>
              <w:rPr>
                <w:rFonts w:eastAsia="微软雅黑"/>
                <w:sz w:val="22"/>
                <w:szCs w:val="22"/>
              </w:rPr>
              <w:t xml:space="preserve">the possibility </w:t>
            </w:r>
            <w:bookmarkStart w:id="48" w:name="OLE_LINK37"/>
            <w:r>
              <w:rPr>
                <w:rFonts w:eastAsia="微软雅黑"/>
                <w:sz w:val="22"/>
                <w:szCs w:val="22"/>
              </w:rPr>
              <w:t>duodenal stump</w:t>
            </w:r>
            <w:bookmarkEnd w:id="48"/>
            <w:r>
              <w:rPr>
                <w:rFonts w:eastAsia="微软雅黑"/>
                <w:sz w:val="22"/>
                <w:szCs w:val="22"/>
              </w:rPr>
              <w:t xml:space="preserve"> fistula and </w:t>
            </w:r>
            <w:bookmarkStart w:id="49" w:name="OLE_LINK40"/>
            <w:r>
              <w:rPr>
                <w:rFonts w:eastAsia="微软雅黑"/>
                <w:sz w:val="22"/>
                <w:szCs w:val="22"/>
              </w:rPr>
              <w:t>intestinal fistula</w:t>
            </w:r>
            <w:bookmarkEnd w:id="49"/>
          </w:p>
        </w:tc>
      </w:tr>
      <w:tr w14:paraId="39C91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7BF6FA5D">
            <w:pPr>
              <w:adjustRightInd w:val="0"/>
              <w:snapToGrid w:val="0"/>
              <w:spacing w:line="360" w:lineRule="auto"/>
              <w:rPr>
                <w:rFonts w:eastAsia="微软雅黑"/>
                <w:sz w:val="22"/>
                <w:szCs w:val="22"/>
              </w:rPr>
            </w:pPr>
            <w:r>
              <w:rPr>
                <w:rFonts w:eastAsia="微软雅黑"/>
                <w:sz w:val="22"/>
                <w:szCs w:val="22"/>
              </w:rPr>
              <w:t xml:space="preserve">  Duodenal stump fistula</w:t>
            </w:r>
          </w:p>
        </w:tc>
        <w:tc>
          <w:tcPr>
            <w:tcW w:w="6521" w:type="dxa"/>
          </w:tcPr>
          <w:p w14:paraId="58AF4422">
            <w:pPr>
              <w:adjustRightInd w:val="0"/>
              <w:snapToGrid w:val="0"/>
              <w:spacing w:line="360" w:lineRule="auto"/>
              <w:rPr>
                <w:rFonts w:eastAsia="微软雅黑"/>
                <w:sz w:val="22"/>
                <w:szCs w:val="22"/>
              </w:rPr>
            </w:pPr>
            <w:r>
              <w:rPr>
                <w:rFonts w:eastAsia="微软雅黑"/>
                <w:sz w:val="22"/>
                <w:szCs w:val="22"/>
              </w:rPr>
              <w:t xml:space="preserve">Using gastrointestinal </w:t>
            </w:r>
            <w:bookmarkStart w:id="50" w:name="OLE_LINK41"/>
            <w:r>
              <w:rPr>
                <w:rFonts w:eastAsia="微软雅黑"/>
                <w:sz w:val="22"/>
                <w:szCs w:val="22"/>
              </w:rPr>
              <w:t>angiography</w:t>
            </w:r>
            <w:bookmarkEnd w:id="50"/>
            <w:r>
              <w:rPr>
                <w:rFonts w:eastAsia="微软雅黑"/>
                <w:sz w:val="22"/>
                <w:szCs w:val="22"/>
              </w:rPr>
              <w:t xml:space="preserve"> to see contrast agent leak out from the duodenal stump to eliminate the anastomotic fistula or intestinal fistula</w:t>
            </w:r>
          </w:p>
        </w:tc>
      </w:tr>
      <w:tr w14:paraId="7E487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1BD0347D">
            <w:pPr>
              <w:adjustRightInd w:val="0"/>
              <w:snapToGrid w:val="0"/>
              <w:spacing w:line="360" w:lineRule="auto"/>
              <w:rPr>
                <w:rFonts w:eastAsia="微软雅黑"/>
                <w:sz w:val="22"/>
                <w:szCs w:val="22"/>
              </w:rPr>
            </w:pPr>
            <w:r>
              <w:rPr>
                <w:rFonts w:eastAsia="微软雅黑"/>
                <w:sz w:val="22"/>
                <w:szCs w:val="22"/>
              </w:rPr>
              <w:t xml:space="preserve">  Intestinal fistula</w:t>
            </w:r>
          </w:p>
        </w:tc>
        <w:tc>
          <w:tcPr>
            <w:tcW w:w="6521" w:type="dxa"/>
          </w:tcPr>
          <w:p w14:paraId="086465DA">
            <w:pPr>
              <w:adjustRightInd w:val="0"/>
              <w:snapToGrid w:val="0"/>
              <w:spacing w:line="360" w:lineRule="auto"/>
              <w:rPr>
                <w:rFonts w:eastAsia="微软雅黑"/>
                <w:sz w:val="22"/>
                <w:szCs w:val="22"/>
              </w:rPr>
            </w:pPr>
            <w:r>
              <w:rPr>
                <w:rFonts w:eastAsia="微软雅黑"/>
                <w:sz w:val="22"/>
                <w:szCs w:val="22"/>
              </w:rPr>
              <w:t>Using gastrointestinal angiography to see the blue drainage outflow through tube after oral Methylene blue to eliminate anastomotic fistula and duodenal stump fistula</w:t>
            </w:r>
          </w:p>
        </w:tc>
      </w:tr>
      <w:tr w14:paraId="693E8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5BA377DA">
            <w:pPr>
              <w:adjustRightInd w:val="0"/>
              <w:snapToGrid w:val="0"/>
              <w:spacing w:line="360" w:lineRule="auto"/>
              <w:rPr>
                <w:rFonts w:eastAsia="微软雅黑"/>
                <w:sz w:val="22"/>
                <w:szCs w:val="22"/>
              </w:rPr>
            </w:pPr>
            <w:r>
              <w:rPr>
                <w:rFonts w:eastAsia="微软雅黑"/>
                <w:sz w:val="22"/>
                <w:szCs w:val="22"/>
              </w:rPr>
              <w:t xml:space="preserve">  Stenosis of anastomosis</w:t>
            </w:r>
          </w:p>
        </w:tc>
        <w:tc>
          <w:tcPr>
            <w:tcW w:w="6521" w:type="dxa"/>
          </w:tcPr>
          <w:p w14:paraId="41E36C03">
            <w:pPr>
              <w:adjustRightInd w:val="0"/>
              <w:snapToGrid w:val="0"/>
              <w:spacing w:line="360" w:lineRule="auto"/>
              <w:rPr>
                <w:rFonts w:eastAsia="微软雅黑"/>
                <w:sz w:val="22"/>
                <w:szCs w:val="22"/>
              </w:rPr>
            </w:pPr>
            <w:r>
              <w:rPr>
                <w:rFonts w:eastAsia="微软雅黑"/>
                <w:sz w:val="22"/>
                <w:szCs w:val="22"/>
              </w:rPr>
              <w:t>Endoscopic examination with a 9.2-mm endoscopy not passing through the anastomosis to eliminate recurrence of tumors</w:t>
            </w:r>
          </w:p>
        </w:tc>
      </w:tr>
      <w:tr w14:paraId="3C6BD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7FBA7CA5">
            <w:pPr>
              <w:adjustRightInd w:val="0"/>
              <w:snapToGrid w:val="0"/>
              <w:spacing w:line="360" w:lineRule="auto"/>
              <w:rPr>
                <w:rFonts w:eastAsia="微软雅黑"/>
                <w:sz w:val="22"/>
                <w:szCs w:val="22"/>
              </w:rPr>
            </w:pPr>
            <w:r>
              <w:rPr>
                <w:rFonts w:eastAsia="微软雅黑"/>
                <w:sz w:val="22"/>
                <w:szCs w:val="22"/>
              </w:rPr>
              <w:t xml:space="preserve">  </w:t>
            </w:r>
            <w:bookmarkStart w:id="51" w:name="OLE_LINK1"/>
            <w:bookmarkStart w:id="52" w:name="OLE_LINK2"/>
            <w:r>
              <w:rPr>
                <w:rFonts w:eastAsia="微软雅黑"/>
                <w:sz w:val="22"/>
                <w:szCs w:val="22"/>
              </w:rPr>
              <w:t>Input jejunal loop obstruction</w:t>
            </w:r>
            <w:bookmarkEnd w:id="51"/>
            <w:bookmarkEnd w:id="52"/>
            <w:r>
              <w:rPr>
                <w:rFonts w:eastAsia="微软雅黑"/>
                <w:sz w:val="22"/>
                <w:szCs w:val="22"/>
              </w:rPr>
              <w:t xml:space="preserve"> </w:t>
            </w:r>
          </w:p>
        </w:tc>
        <w:tc>
          <w:tcPr>
            <w:tcW w:w="6521" w:type="dxa"/>
          </w:tcPr>
          <w:p w14:paraId="6FB1E9BE">
            <w:pPr>
              <w:adjustRightInd w:val="0"/>
              <w:snapToGrid w:val="0"/>
              <w:spacing w:line="360" w:lineRule="auto"/>
              <w:rPr>
                <w:rFonts w:eastAsia="微软雅黑"/>
                <w:sz w:val="22"/>
                <w:szCs w:val="22"/>
              </w:rPr>
            </w:pPr>
            <w:r>
              <w:rPr>
                <w:rFonts w:eastAsia="微软雅黑"/>
                <w:sz w:val="22"/>
                <w:szCs w:val="22"/>
              </w:rPr>
              <w:t>Abdominal pain, abdominal distension, vomiting and other symptoms. Abdominal flat to see the right upper abdomen expansion of the intestinal loop, and there is a liquid plane, or a visible input loop jejunum giant expansion by barium meal examination.</w:t>
            </w:r>
          </w:p>
        </w:tc>
      </w:tr>
      <w:tr w14:paraId="2169C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39A47B1B">
            <w:pPr>
              <w:adjustRightInd w:val="0"/>
              <w:snapToGrid w:val="0"/>
              <w:spacing w:line="360" w:lineRule="auto"/>
              <w:rPr>
                <w:rFonts w:eastAsia="微软雅黑"/>
                <w:sz w:val="22"/>
                <w:szCs w:val="22"/>
              </w:rPr>
            </w:pPr>
            <w:r>
              <w:rPr>
                <w:rFonts w:eastAsia="微软雅黑"/>
                <w:sz w:val="22"/>
                <w:szCs w:val="22"/>
              </w:rPr>
              <w:t xml:space="preserve">  Intestinal obstruction after operation </w:t>
            </w:r>
          </w:p>
        </w:tc>
        <w:tc>
          <w:tcPr>
            <w:tcW w:w="6521" w:type="dxa"/>
          </w:tcPr>
          <w:p w14:paraId="7BA90F80">
            <w:pPr>
              <w:adjustRightInd w:val="0"/>
              <w:snapToGrid w:val="0"/>
              <w:spacing w:line="360" w:lineRule="auto"/>
              <w:rPr>
                <w:rFonts w:eastAsia="微软雅黑"/>
                <w:sz w:val="22"/>
                <w:szCs w:val="22"/>
              </w:rPr>
            </w:pPr>
            <w:r>
              <w:rPr>
                <w:rFonts w:eastAsia="微软雅黑"/>
                <w:sz w:val="22"/>
                <w:szCs w:val="22"/>
              </w:rPr>
              <w:t>Abdominal X-ray shows a plurality of liquid planes and the phenomenon of intestinal effusion with visible isolated, fixed, swelling of the intestinal loop. Total Abdominal CT showed edema, thickening, adhesion of intestinal wall, accumulation of gas in intestinal cavity, uniform expansion of bowel and intra-abdominal exudation.</w:t>
            </w:r>
          </w:p>
        </w:tc>
      </w:tr>
      <w:tr w14:paraId="4A6D0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7FCC038E">
            <w:pPr>
              <w:adjustRightInd w:val="0"/>
              <w:snapToGrid w:val="0"/>
              <w:spacing w:line="360" w:lineRule="auto"/>
              <w:rPr>
                <w:rFonts w:eastAsia="微软雅黑"/>
                <w:sz w:val="22"/>
                <w:szCs w:val="22"/>
              </w:rPr>
            </w:pPr>
            <w:r>
              <w:rPr>
                <w:rFonts w:eastAsia="微软雅黑"/>
                <w:sz w:val="22"/>
                <w:szCs w:val="22"/>
              </w:rPr>
              <w:t xml:space="preserve">  Early dumping syndrome </w:t>
            </w:r>
          </w:p>
        </w:tc>
        <w:tc>
          <w:tcPr>
            <w:tcW w:w="6521" w:type="dxa"/>
          </w:tcPr>
          <w:p w14:paraId="59F79DB4">
            <w:pPr>
              <w:adjustRightInd w:val="0"/>
              <w:snapToGrid w:val="0"/>
              <w:spacing w:line="360" w:lineRule="auto"/>
              <w:rPr>
                <w:rFonts w:eastAsia="微软雅黑"/>
                <w:sz w:val="22"/>
                <w:szCs w:val="22"/>
              </w:rPr>
            </w:pPr>
            <w:r>
              <w:rPr>
                <w:rFonts w:eastAsia="微软雅黑"/>
                <w:sz w:val="22"/>
                <w:szCs w:val="22"/>
              </w:rPr>
              <w:t>Combined the symptoms of sweating, heat, weakness, dizziness, palpitations, heart swelling feeling, vomiting, abdominal colic or diarrhea with the signs of tachycardia, blood pressure micro-rise, breathing a little faster sign after meal 15-30 minutes, and solid phase radionuclide gastric emptying scanning tips stomach quickly emptying.</w:t>
            </w:r>
          </w:p>
        </w:tc>
      </w:tr>
      <w:tr w14:paraId="31D22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653BFB34">
            <w:pPr>
              <w:adjustRightInd w:val="0"/>
              <w:snapToGrid w:val="0"/>
              <w:spacing w:line="360" w:lineRule="auto"/>
              <w:rPr>
                <w:rFonts w:eastAsia="微软雅黑"/>
                <w:sz w:val="22"/>
                <w:szCs w:val="22"/>
              </w:rPr>
            </w:pPr>
            <w:r>
              <w:rPr>
                <w:rFonts w:eastAsia="微软雅黑"/>
                <w:sz w:val="22"/>
                <w:szCs w:val="22"/>
              </w:rPr>
              <w:t xml:space="preserve">  Late dumping syndrome </w:t>
            </w:r>
          </w:p>
        </w:tc>
        <w:tc>
          <w:tcPr>
            <w:tcW w:w="6521" w:type="dxa"/>
          </w:tcPr>
          <w:p w14:paraId="6D2EF3B5">
            <w:pPr>
              <w:adjustRightInd w:val="0"/>
              <w:snapToGrid w:val="0"/>
              <w:spacing w:line="360" w:lineRule="auto"/>
              <w:rPr>
                <w:rFonts w:eastAsia="微软雅黑"/>
                <w:sz w:val="22"/>
                <w:szCs w:val="22"/>
              </w:rPr>
            </w:pPr>
            <w:r>
              <w:rPr>
                <w:rFonts w:eastAsia="微软雅黑"/>
                <w:sz w:val="22"/>
                <w:szCs w:val="22"/>
              </w:rPr>
              <w:t>Feeling hungry, flustered, out of sweating 2-3 hours after the meal . Blood sugar is less than 2.9mmol/L, excluding other diseases that cause hypoglycemia</w:t>
            </w:r>
          </w:p>
        </w:tc>
      </w:tr>
      <w:tr w14:paraId="057B6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78079A89">
            <w:pPr>
              <w:adjustRightInd w:val="0"/>
              <w:snapToGrid w:val="0"/>
              <w:spacing w:line="360" w:lineRule="auto"/>
              <w:rPr>
                <w:rFonts w:eastAsia="微软雅黑"/>
                <w:sz w:val="22"/>
                <w:szCs w:val="22"/>
              </w:rPr>
            </w:pPr>
            <w:r>
              <w:rPr>
                <w:rFonts w:eastAsia="微软雅黑"/>
                <w:sz w:val="22"/>
                <w:szCs w:val="22"/>
              </w:rPr>
              <w:t xml:space="preserve">  Intestinal ischemia and necrosis</w:t>
            </w:r>
          </w:p>
        </w:tc>
        <w:tc>
          <w:tcPr>
            <w:tcW w:w="6521" w:type="dxa"/>
          </w:tcPr>
          <w:p w14:paraId="02DE320C">
            <w:pPr>
              <w:adjustRightInd w:val="0"/>
              <w:snapToGrid w:val="0"/>
              <w:spacing w:line="360" w:lineRule="auto"/>
              <w:rPr>
                <w:rFonts w:eastAsia="微软雅黑"/>
                <w:sz w:val="22"/>
                <w:szCs w:val="22"/>
              </w:rPr>
            </w:pPr>
            <w:r>
              <w:rPr>
                <w:rFonts w:eastAsia="微软雅黑"/>
                <w:sz w:val="22"/>
                <w:szCs w:val="22"/>
              </w:rPr>
              <w:t>Under the digestive endoscopy, the intestinal mucosa congestion, edema, bruising, mucosal hemorrhage, the mucous membrane being dark red, the vascular network disappearing, can have part mucosal necrosis, following with mucosal shedding, ulcer formation with annular, longitudinal, snake and scattered in the ulcer erosion.</w:t>
            </w:r>
          </w:p>
        </w:tc>
      </w:tr>
      <w:tr w14:paraId="11204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3B0D2A39">
            <w:pPr>
              <w:tabs>
                <w:tab w:val="left" w:pos="1365"/>
              </w:tabs>
              <w:adjustRightInd w:val="0"/>
              <w:snapToGrid w:val="0"/>
              <w:spacing w:line="360" w:lineRule="auto"/>
              <w:rPr>
                <w:rFonts w:eastAsia="微软雅黑"/>
                <w:sz w:val="22"/>
                <w:szCs w:val="22"/>
              </w:rPr>
            </w:pPr>
            <w:r>
              <w:rPr>
                <w:rFonts w:eastAsia="微软雅黑"/>
                <w:sz w:val="22"/>
                <w:szCs w:val="22"/>
              </w:rPr>
              <w:t xml:space="preserve">  Internal hernia</w:t>
            </w:r>
          </w:p>
        </w:tc>
        <w:tc>
          <w:tcPr>
            <w:tcW w:w="6521" w:type="dxa"/>
          </w:tcPr>
          <w:p w14:paraId="3D8BBDB1">
            <w:pPr>
              <w:adjustRightInd w:val="0"/>
              <w:snapToGrid w:val="0"/>
              <w:spacing w:line="360" w:lineRule="auto"/>
              <w:rPr>
                <w:rFonts w:eastAsia="微软雅黑"/>
                <w:sz w:val="22"/>
                <w:szCs w:val="22"/>
              </w:rPr>
            </w:pPr>
            <w:r>
              <w:rPr>
                <w:rFonts w:eastAsia="微软雅黑"/>
                <w:sz w:val="22"/>
                <w:szCs w:val="22"/>
              </w:rPr>
              <w:t>Postoperative CT findings of cystic or cystic and solid mass, and intestinal aggregation, stretching, translocation, abnormal mesenteric movement, and thickening of the blood vessel.</w:t>
            </w:r>
          </w:p>
        </w:tc>
      </w:tr>
      <w:tr w14:paraId="2635B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6B064575">
            <w:pPr>
              <w:adjustRightInd w:val="0"/>
              <w:snapToGrid w:val="0"/>
              <w:spacing w:line="360" w:lineRule="auto"/>
              <w:jc w:val="left"/>
              <w:rPr>
                <w:rFonts w:eastAsia="微软雅黑"/>
                <w:sz w:val="22"/>
                <w:szCs w:val="22"/>
              </w:rPr>
            </w:pPr>
            <w:r>
              <w:rPr>
                <w:rFonts w:eastAsia="微软雅黑"/>
                <w:sz w:val="22"/>
                <w:szCs w:val="22"/>
              </w:rPr>
              <w:t xml:space="preserve">  Alkaline reflux esophagitis</w:t>
            </w:r>
          </w:p>
        </w:tc>
        <w:tc>
          <w:tcPr>
            <w:tcW w:w="6521" w:type="dxa"/>
          </w:tcPr>
          <w:p w14:paraId="24909B67">
            <w:pPr>
              <w:adjustRightInd w:val="0"/>
              <w:snapToGrid w:val="0"/>
              <w:spacing w:line="360" w:lineRule="auto"/>
              <w:rPr>
                <w:rFonts w:eastAsia="微软雅黑"/>
                <w:sz w:val="22"/>
                <w:szCs w:val="22"/>
              </w:rPr>
            </w:pPr>
            <w:r>
              <w:rPr>
                <w:rFonts w:eastAsia="微软雅黑"/>
                <w:sz w:val="22"/>
                <w:szCs w:val="22"/>
              </w:rPr>
              <w:t>1. Endoscopic examination and biopsy of the upper gastrointestinal tract showed evidence of inflammation of the mucous membranes and gastrointestinal metaplasia; 2. CT scan and gastrointestinal barium meal examination showed no expansion or obstruction of the input loop.</w:t>
            </w:r>
          </w:p>
        </w:tc>
      </w:tr>
      <w:tr w14:paraId="3861A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3FC08119">
            <w:pPr>
              <w:adjustRightInd w:val="0"/>
              <w:snapToGrid w:val="0"/>
              <w:spacing w:line="360" w:lineRule="auto"/>
              <w:rPr>
                <w:rFonts w:eastAsia="微软雅黑"/>
                <w:sz w:val="22"/>
                <w:szCs w:val="22"/>
              </w:rPr>
            </w:pPr>
            <w:r>
              <w:rPr>
                <w:rFonts w:eastAsia="微软雅黑"/>
                <w:sz w:val="22"/>
                <w:szCs w:val="22"/>
              </w:rPr>
              <w:t xml:space="preserve">  Incision splitting</w:t>
            </w:r>
          </w:p>
        </w:tc>
        <w:tc>
          <w:tcPr>
            <w:tcW w:w="6521" w:type="dxa"/>
          </w:tcPr>
          <w:p w14:paraId="0AAC549A">
            <w:pPr>
              <w:adjustRightInd w:val="0"/>
              <w:snapToGrid w:val="0"/>
              <w:spacing w:line="360" w:lineRule="auto"/>
              <w:rPr>
                <w:rFonts w:eastAsia="微软雅黑"/>
                <w:sz w:val="22"/>
                <w:szCs w:val="22"/>
              </w:rPr>
            </w:pPr>
            <w:r>
              <w:rPr>
                <w:rFonts w:eastAsia="微软雅黑"/>
                <w:sz w:val="22"/>
                <w:szCs w:val="22"/>
              </w:rPr>
              <w:t>Including partial dehiscence of the incision and full-layer dehiscence</w:t>
            </w:r>
          </w:p>
        </w:tc>
      </w:tr>
      <w:tr w14:paraId="4D6C6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02E2F4BF">
            <w:pPr>
              <w:adjustRightInd w:val="0"/>
              <w:snapToGrid w:val="0"/>
              <w:spacing w:line="360" w:lineRule="auto"/>
              <w:rPr>
                <w:rFonts w:eastAsia="微软雅黑"/>
                <w:sz w:val="22"/>
                <w:szCs w:val="22"/>
              </w:rPr>
            </w:pPr>
            <w:r>
              <w:rPr>
                <w:rFonts w:eastAsia="微软雅黑"/>
                <w:sz w:val="22"/>
                <w:szCs w:val="22"/>
              </w:rPr>
              <w:t xml:space="preserve">  Incisional hernia of abdominal wall</w:t>
            </w:r>
          </w:p>
        </w:tc>
        <w:tc>
          <w:tcPr>
            <w:tcW w:w="6521" w:type="dxa"/>
          </w:tcPr>
          <w:p w14:paraId="52A2E369">
            <w:pPr>
              <w:adjustRightInd w:val="0"/>
              <w:snapToGrid w:val="0"/>
              <w:spacing w:line="360" w:lineRule="auto"/>
              <w:rPr>
                <w:rFonts w:eastAsia="微软雅黑"/>
                <w:sz w:val="22"/>
                <w:szCs w:val="22"/>
              </w:rPr>
            </w:pPr>
            <w:r>
              <w:rPr>
                <w:rFonts w:eastAsia="微软雅黑"/>
                <w:sz w:val="22"/>
                <w:szCs w:val="22"/>
              </w:rPr>
              <w:t>The swelling tumor showing in the surgical scar area or abdominal wall swelling when standing or force. CT shows ventral wall continuity interruption and hernia content extravasation</w:t>
            </w:r>
          </w:p>
        </w:tc>
      </w:tr>
      <w:tr w14:paraId="486A0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092C20E1">
            <w:pPr>
              <w:adjustRightInd w:val="0"/>
              <w:snapToGrid w:val="0"/>
              <w:spacing w:line="360" w:lineRule="auto"/>
              <w:rPr>
                <w:rFonts w:eastAsia="微软雅黑"/>
                <w:sz w:val="22"/>
                <w:szCs w:val="22"/>
              </w:rPr>
            </w:pPr>
            <w:r>
              <w:rPr>
                <w:rFonts w:eastAsia="微软雅黑"/>
                <w:sz w:val="22"/>
                <w:szCs w:val="22"/>
              </w:rPr>
              <w:t xml:space="preserve">  Incision infection</w:t>
            </w:r>
          </w:p>
        </w:tc>
        <w:tc>
          <w:tcPr>
            <w:tcW w:w="6521" w:type="dxa"/>
          </w:tcPr>
          <w:p w14:paraId="6A3D1BE9">
            <w:pPr>
              <w:adjustRightInd w:val="0"/>
              <w:snapToGrid w:val="0"/>
              <w:spacing w:line="360" w:lineRule="auto"/>
              <w:rPr>
                <w:rFonts w:eastAsia="微软雅黑"/>
                <w:sz w:val="22"/>
                <w:szCs w:val="22"/>
              </w:rPr>
            </w:pPr>
            <w:r>
              <w:rPr>
                <w:rFonts w:eastAsia="微软雅黑"/>
                <w:sz w:val="22"/>
                <w:szCs w:val="22"/>
              </w:rPr>
              <w:t>Thickening of the soft tissue at the incision, in or below the incision of gas, exudation, swelling of the incision or pus from the incision extrusion, or secretion culture of pathogenic bacteria.</w:t>
            </w:r>
          </w:p>
        </w:tc>
      </w:tr>
      <w:tr w14:paraId="5BC80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6284164E">
            <w:pPr>
              <w:adjustRightInd w:val="0"/>
              <w:snapToGrid w:val="0"/>
              <w:spacing w:line="360" w:lineRule="auto"/>
              <w:ind w:firstLine="220" w:firstLineChars="100"/>
              <w:rPr>
                <w:rFonts w:eastAsia="微软雅黑"/>
                <w:sz w:val="22"/>
                <w:szCs w:val="22"/>
              </w:rPr>
            </w:pPr>
            <w:r>
              <w:rPr>
                <w:bCs/>
                <w:sz w:val="22"/>
                <w:szCs w:val="22"/>
              </w:rPr>
              <w:t>Lymphatic leakage</w:t>
            </w:r>
          </w:p>
        </w:tc>
        <w:tc>
          <w:tcPr>
            <w:tcW w:w="6521" w:type="dxa"/>
          </w:tcPr>
          <w:p w14:paraId="7AC6370F">
            <w:pPr>
              <w:adjustRightInd w:val="0"/>
              <w:snapToGrid w:val="0"/>
              <w:spacing w:line="360" w:lineRule="auto"/>
              <w:rPr>
                <w:rFonts w:eastAsia="微软雅黑"/>
                <w:sz w:val="22"/>
                <w:szCs w:val="22"/>
              </w:rPr>
            </w:pPr>
            <w:r>
              <w:rPr>
                <w:rFonts w:eastAsia="微软雅黑"/>
                <w:sz w:val="22"/>
                <w:szCs w:val="22"/>
              </w:rPr>
              <w:t>A chyle test when abdominal drainage ﬂuid exceeded 300 ml/day for 5 consecutive days after postoperative day 3.</w:t>
            </w:r>
          </w:p>
        </w:tc>
      </w:tr>
      <w:tr w14:paraId="3C7E2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20372378">
            <w:pPr>
              <w:adjustRightInd w:val="0"/>
              <w:snapToGrid w:val="0"/>
              <w:spacing w:line="360" w:lineRule="auto"/>
              <w:ind w:firstLine="220" w:firstLineChars="100"/>
              <w:rPr>
                <w:rFonts w:eastAsia="微软雅黑"/>
                <w:sz w:val="22"/>
                <w:szCs w:val="22"/>
              </w:rPr>
            </w:pPr>
            <w:r>
              <w:rPr>
                <w:rFonts w:eastAsia="微软雅黑"/>
                <w:sz w:val="22"/>
                <w:szCs w:val="22"/>
              </w:rPr>
              <w:t>Pneumonia</w:t>
            </w:r>
          </w:p>
        </w:tc>
        <w:tc>
          <w:tcPr>
            <w:tcW w:w="6521" w:type="dxa"/>
          </w:tcPr>
          <w:p w14:paraId="45FAB7B0">
            <w:pPr>
              <w:adjustRightInd w:val="0"/>
              <w:snapToGrid w:val="0"/>
              <w:spacing w:line="360" w:lineRule="auto"/>
              <w:rPr>
                <w:rFonts w:eastAsia="微软雅黑"/>
                <w:sz w:val="22"/>
                <w:szCs w:val="22"/>
              </w:rPr>
            </w:pPr>
            <w:r>
              <w:rPr>
                <w:rFonts w:eastAsia="微软雅黑"/>
                <w:sz w:val="22"/>
                <w:szCs w:val="22"/>
              </w:rPr>
              <w:t xml:space="preserve">Complies with one of the following two diagnostic criteria: 1. Auscultation/percussion voiced + one of the following: </w:t>
            </w:r>
            <w:bookmarkStart w:id="53" w:name="OLE_LINK44"/>
            <w:r>
              <w:rPr>
                <w:rFonts w:eastAsia="微软雅黑"/>
                <w:sz w:val="22"/>
                <w:szCs w:val="22"/>
              </w:rPr>
              <w:t>fresh sputum or sputum character changes</w:t>
            </w:r>
            <w:bookmarkEnd w:id="53"/>
            <w:r>
              <w:rPr>
                <w:rFonts w:eastAsia="微软雅黑"/>
                <w:sz w:val="22"/>
                <w:szCs w:val="22"/>
              </w:rPr>
              <w:t xml:space="preserve">; blood culture (+); bronchoalveolar lavage fluid, anti-pollution sample brush, biopsy specimens cultured pathogenic bacteria. 2. Chest film hints of new or progressive infiltration + one of the following: fresh sputum or sputum character changes, blood culture (+), bronchoalveolar lavage fluid, anti-pollution sample brush, biopsy specimens cultured pathogenic bacteria; isolate virus or detect IgM, IgG (+) of respiratory viral </w:t>
            </w:r>
          </w:p>
        </w:tc>
      </w:tr>
      <w:tr w14:paraId="66417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2B624668">
            <w:pPr>
              <w:adjustRightInd w:val="0"/>
              <w:snapToGrid w:val="0"/>
              <w:spacing w:line="360" w:lineRule="auto"/>
              <w:rPr>
                <w:rFonts w:eastAsia="微软雅黑"/>
                <w:sz w:val="22"/>
                <w:szCs w:val="22"/>
              </w:rPr>
            </w:pPr>
            <w:r>
              <w:rPr>
                <w:rFonts w:eastAsia="微软雅黑"/>
                <w:sz w:val="22"/>
                <w:szCs w:val="22"/>
              </w:rPr>
              <w:t xml:space="preserve">  Acute pancreatitis</w:t>
            </w:r>
          </w:p>
        </w:tc>
        <w:tc>
          <w:tcPr>
            <w:tcW w:w="6521" w:type="dxa"/>
          </w:tcPr>
          <w:p w14:paraId="7681C9B6">
            <w:pPr>
              <w:adjustRightInd w:val="0"/>
              <w:snapToGrid w:val="0"/>
              <w:spacing w:line="360" w:lineRule="auto"/>
              <w:rPr>
                <w:rFonts w:eastAsia="微软雅黑"/>
                <w:sz w:val="22"/>
                <w:szCs w:val="22"/>
              </w:rPr>
            </w:pPr>
            <w:r>
              <w:rPr>
                <w:rFonts w:eastAsia="微软雅黑"/>
                <w:sz w:val="22"/>
                <w:szCs w:val="22"/>
              </w:rPr>
              <w:t>Irritability, abdominal pain, anti-jumping pain, fever, leukocyte increase and blood amylase increased occuring and diagnosed by ultrasound or CT within 3 days after surgery.</w:t>
            </w:r>
          </w:p>
        </w:tc>
      </w:tr>
      <w:tr w14:paraId="79A52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22520FFF">
            <w:pPr>
              <w:adjustRightInd w:val="0"/>
              <w:snapToGrid w:val="0"/>
              <w:spacing w:line="360" w:lineRule="auto"/>
              <w:rPr>
                <w:rFonts w:eastAsia="微软雅黑"/>
                <w:sz w:val="22"/>
                <w:szCs w:val="22"/>
              </w:rPr>
            </w:pPr>
            <w:r>
              <w:rPr>
                <w:rFonts w:eastAsia="微软雅黑"/>
                <w:sz w:val="22"/>
                <w:szCs w:val="22"/>
              </w:rPr>
              <w:t xml:space="preserve">  Acute cholecystitis</w:t>
            </w:r>
          </w:p>
        </w:tc>
        <w:tc>
          <w:tcPr>
            <w:tcW w:w="6521" w:type="dxa"/>
          </w:tcPr>
          <w:p w14:paraId="5E45B0FD">
            <w:pPr>
              <w:adjustRightInd w:val="0"/>
              <w:snapToGrid w:val="0"/>
              <w:spacing w:line="360" w:lineRule="auto"/>
              <w:rPr>
                <w:rFonts w:eastAsia="微软雅黑"/>
                <w:sz w:val="22"/>
                <w:szCs w:val="22"/>
              </w:rPr>
            </w:pPr>
            <w:r>
              <w:rPr>
                <w:rFonts w:eastAsia="微软雅黑"/>
                <w:sz w:val="22"/>
                <w:szCs w:val="22"/>
              </w:rPr>
              <w:t>Serum bilirubin exceeding 85μmol/l and ultrsound examination shows gallbladder enlargement, wall thickness, signal and sound shadow of gallbladder stone, bile internal sediment, gallbladder contraction bad etc.</w:t>
            </w:r>
          </w:p>
        </w:tc>
      </w:tr>
      <w:tr w14:paraId="6D031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53DC8D78">
            <w:pPr>
              <w:adjustRightInd w:val="0"/>
              <w:snapToGrid w:val="0"/>
              <w:spacing w:line="360" w:lineRule="auto"/>
              <w:rPr>
                <w:rFonts w:eastAsia="微软雅黑"/>
                <w:sz w:val="22"/>
                <w:szCs w:val="22"/>
              </w:rPr>
            </w:pPr>
            <w:r>
              <w:rPr>
                <w:rFonts w:eastAsia="微软雅黑"/>
                <w:sz w:val="22"/>
                <w:szCs w:val="22"/>
              </w:rPr>
              <w:t xml:space="preserve">  Pleural effusion/infection</w:t>
            </w:r>
          </w:p>
        </w:tc>
        <w:tc>
          <w:tcPr>
            <w:tcW w:w="6521" w:type="dxa"/>
          </w:tcPr>
          <w:p w14:paraId="233F0D20">
            <w:pPr>
              <w:adjustRightInd w:val="0"/>
              <w:snapToGrid w:val="0"/>
              <w:spacing w:line="360" w:lineRule="auto"/>
              <w:rPr>
                <w:rFonts w:eastAsia="微软雅黑"/>
                <w:sz w:val="22"/>
                <w:szCs w:val="22"/>
              </w:rPr>
            </w:pPr>
            <w:r>
              <w:rPr>
                <w:rFonts w:eastAsia="微软雅黑"/>
                <w:sz w:val="22"/>
                <w:szCs w:val="22"/>
              </w:rPr>
              <w:t>CT scan showed the localized fluid low density area of thoracic cavity, which could accompany with gas, and culture pathogenic bacteria in thoracic endocrine.</w:t>
            </w:r>
          </w:p>
        </w:tc>
      </w:tr>
      <w:tr w14:paraId="11DF3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0404DDB5">
            <w:pPr>
              <w:adjustRightInd w:val="0"/>
              <w:snapToGrid w:val="0"/>
              <w:spacing w:line="360" w:lineRule="auto"/>
              <w:rPr>
                <w:rFonts w:eastAsia="微软雅黑"/>
                <w:sz w:val="22"/>
                <w:szCs w:val="22"/>
              </w:rPr>
            </w:pPr>
            <w:r>
              <w:rPr>
                <w:rFonts w:eastAsia="微软雅黑"/>
                <w:sz w:val="22"/>
                <w:szCs w:val="22"/>
              </w:rPr>
              <w:t xml:space="preserve">  Abdominal infection</w:t>
            </w:r>
          </w:p>
        </w:tc>
        <w:tc>
          <w:tcPr>
            <w:tcW w:w="6521" w:type="dxa"/>
          </w:tcPr>
          <w:p w14:paraId="120D67A6">
            <w:pPr>
              <w:adjustRightInd w:val="0"/>
              <w:snapToGrid w:val="0"/>
              <w:spacing w:line="360" w:lineRule="auto"/>
              <w:rPr>
                <w:rFonts w:eastAsia="微软雅黑"/>
                <w:sz w:val="22"/>
                <w:szCs w:val="22"/>
              </w:rPr>
            </w:pPr>
            <w:r>
              <w:rPr>
                <w:rFonts w:eastAsia="微软雅黑"/>
                <w:sz w:val="22"/>
                <w:szCs w:val="22"/>
              </w:rPr>
              <w:t>There is at least one of the following types of evidence in abdominal cavity within 30 days after operation: 1. discharge of pus, with/without microbiological examination; 2. bacterial culture positive; 3. diagnosed by detection, pathology, imaging findings.</w:t>
            </w:r>
          </w:p>
        </w:tc>
      </w:tr>
      <w:tr w14:paraId="33845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0AFF438D">
            <w:pPr>
              <w:adjustRightInd w:val="0"/>
              <w:snapToGrid w:val="0"/>
              <w:spacing w:line="360" w:lineRule="auto"/>
              <w:rPr>
                <w:rFonts w:eastAsia="微软雅黑"/>
                <w:sz w:val="22"/>
                <w:szCs w:val="22"/>
              </w:rPr>
            </w:pPr>
            <w:r>
              <w:rPr>
                <w:rFonts w:eastAsia="微软雅黑"/>
                <w:sz w:val="22"/>
                <w:szCs w:val="22"/>
              </w:rPr>
              <w:t xml:space="preserve">  Pelvic infection</w:t>
            </w:r>
          </w:p>
        </w:tc>
        <w:tc>
          <w:tcPr>
            <w:tcW w:w="6521" w:type="dxa"/>
          </w:tcPr>
          <w:p w14:paraId="03649C95">
            <w:pPr>
              <w:adjustRightInd w:val="0"/>
              <w:snapToGrid w:val="0"/>
              <w:spacing w:line="360" w:lineRule="auto"/>
              <w:rPr>
                <w:rFonts w:eastAsia="微软雅黑"/>
                <w:sz w:val="22"/>
                <w:szCs w:val="22"/>
              </w:rPr>
            </w:pPr>
            <w:r>
              <w:rPr>
                <w:rFonts w:eastAsia="微软雅黑"/>
                <w:sz w:val="22"/>
                <w:szCs w:val="22"/>
              </w:rPr>
              <w:t>Symptoms of systemic infection or rectal irritation, combined with a rectal finger examination and touching tenderness, or a married woman with a posterior vault to extract pus-based fluid</w:t>
            </w:r>
          </w:p>
        </w:tc>
      </w:tr>
      <w:tr w14:paraId="30FDD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67B8A216">
            <w:pPr>
              <w:adjustRightInd w:val="0"/>
              <w:snapToGrid w:val="0"/>
              <w:spacing w:line="360" w:lineRule="auto"/>
              <w:rPr>
                <w:rFonts w:eastAsia="微软雅黑"/>
                <w:sz w:val="22"/>
                <w:szCs w:val="22"/>
              </w:rPr>
            </w:pPr>
            <w:r>
              <w:rPr>
                <w:rFonts w:eastAsia="微软雅黑"/>
                <w:sz w:val="22"/>
                <w:szCs w:val="22"/>
              </w:rPr>
              <w:t xml:space="preserve">  Sepsis</w:t>
            </w:r>
          </w:p>
        </w:tc>
        <w:tc>
          <w:tcPr>
            <w:tcW w:w="6521" w:type="dxa"/>
          </w:tcPr>
          <w:p w14:paraId="53CBE09C">
            <w:pPr>
              <w:adjustRightInd w:val="0"/>
              <w:snapToGrid w:val="0"/>
              <w:spacing w:line="360" w:lineRule="auto"/>
              <w:rPr>
                <w:rFonts w:eastAsia="微软雅黑"/>
                <w:sz w:val="22"/>
                <w:szCs w:val="22"/>
              </w:rPr>
            </w:pPr>
            <w:r>
              <w:rPr>
                <w:rFonts w:eastAsia="微软雅黑"/>
                <w:sz w:val="22"/>
                <w:szCs w:val="22"/>
              </w:rPr>
              <w:t>The following two conditions are available: 1. There is evidence of active bacterial infection, but the blood culture does not necessarily appear pathogenic bacteria; 2. meeting two of the following four items</w:t>
            </w:r>
            <w:bookmarkStart w:id="54" w:name="OLE_LINK43"/>
            <w:r>
              <w:rPr>
                <w:rFonts w:eastAsia="微软雅黑"/>
                <w:sz w:val="22"/>
                <w:szCs w:val="22"/>
              </w:rPr>
              <w:t xml:space="preserve"> </w:t>
            </w:r>
            <w:bookmarkEnd w:id="54"/>
            <w:r>
              <w:rPr>
                <w:rFonts w:eastAsia="微软雅黑"/>
                <w:sz w:val="22"/>
                <w:szCs w:val="22"/>
              </w:rPr>
              <w:t>at the same time: (1). body temperature &gt;39. 0℃ or &lt;35.5 ℃ for 3 consecutive days, (2). heart rate &gt; 120 times/min; (3). total white blood cells &gt;12. 0×10</w:t>
            </w:r>
            <w:r>
              <w:rPr>
                <w:rFonts w:eastAsia="微软雅黑"/>
                <w:sz w:val="22"/>
                <w:szCs w:val="22"/>
                <w:vertAlign w:val="superscript"/>
              </w:rPr>
              <w:t>9</w:t>
            </w:r>
            <w:r>
              <w:rPr>
                <w:rFonts w:eastAsia="微软雅黑"/>
                <w:sz w:val="22"/>
                <w:szCs w:val="22"/>
              </w:rPr>
              <w:t>/L or &lt;4.0×10</w:t>
            </w:r>
            <w:r>
              <w:rPr>
                <w:rFonts w:eastAsia="微软雅黑"/>
                <w:sz w:val="22"/>
                <w:szCs w:val="22"/>
                <w:vertAlign w:val="superscript"/>
              </w:rPr>
              <w:t>9</w:t>
            </w:r>
            <w:r>
              <w:rPr>
                <w:rFonts w:eastAsia="微软雅黑"/>
                <w:sz w:val="22"/>
                <w:szCs w:val="22"/>
              </w:rPr>
              <w:t>/l, wherein neutrophils &gt;0. 80, or naive granular cells &gt;0. 10; (4). Respiratory frequency &gt; 28 times/min</w:t>
            </w:r>
          </w:p>
        </w:tc>
      </w:tr>
      <w:tr w14:paraId="00AC8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0F8A8E4B">
            <w:pPr>
              <w:adjustRightInd w:val="0"/>
              <w:snapToGrid w:val="0"/>
              <w:spacing w:line="360" w:lineRule="auto"/>
              <w:rPr>
                <w:rFonts w:eastAsia="微软雅黑"/>
                <w:sz w:val="22"/>
                <w:szCs w:val="22"/>
              </w:rPr>
            </w:pPr>
            <w:r>
              <w:rPr>
                <w:rFonts w:eastAsia="微软雅黑"/>
                <w:sz w:val="22"/>
                <w:szCs w:val="22"/>
              </w:rPr>
              <w:t xml:space="preserve">  Urinary system infection</w:t>
            </w:r>
          </w:p>
        </w:tc>
        <w:tc>
          <w:tcPr>
            <w:tcW w:w="6521" w:type="dxa"/>
          </w:tcPr>
          <w:p w14:paraId="523DFB72">
            <w:pPr>
              <w:adjustRightInd w:val="0"/>
              <w:snapToGrid w:val="0"/>
              <w:spacing w:line="360" w:lineRule="auto"/>
              <w:rPr>
                <w:rFonts w:eastAsia="微软雅黑"/>
                <w:sz w:val="22"/>
                <w:szCs w:val="22"/>
              </w:rPr>
            </w:pPr>
            <w:bookmarkStart w:id="55" w:name="OLE_LINK45"/>
            <w:r>
              <w:rPr>
                <w:rFonts w:eastAsia="微软雅黑"/>
                <w:sz w:val="22"/>
                <w:szCs w:val="22"/>
              </w:rPr>
              <w:t>Symptoms of</w:t>
            </w:r>
            <w:bookmarkEnd w:id="55"/>
            <w:r>
              <w:rPr>
                <w:rFonts w:eastAsia="微软雅黑"/>
                <w:sz w:val="22"/>
                <w:szCs w:val="22"/>
              </w:rPr>
              <w:t xml:space="preserve"> urine frequency, urgency and urine pain etc. and urine bacteria culture colony count 1000~10 million/ml in the absence of antibiotics; No symptoms of urine frequency, urgency and urine pain etc, urine bacterial culture colony count ≥ 100,000/ml</w:t>
            </w:r>
          </w:p>
        </w:tc>
      </w:tr>
      <w:tr w14:paraId="6F549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27969B6D">
            <w:pPr>
              <w:adjustRightInd w:val="0"/>
              <w:snapToGrid w:val="0"/>
              <w:spacing w:line="360" w:lineRule="auto"/>
              <w:rPr>
                <w:rFonts w:eastAsia="微软雅黑"/>
                <w:sz w:val="22"/>
                <w:szCs w:val="22"/>
              </w:rPr>
            </w:pPr>
            <w:r>
              <w:rPr>
                <w:rFonts w:eastAsia="微软雅黑"/>
                <w:sz w:val="22"/>
                <w:szCs w:val="22"/>
              </w:rPr>
              <w:t xml:space="preserve">  Pancreatic fistula</w:t>
            </w:r>
          </w:p>
        </w:tc>
        <w:tc>
          <w:tcPr>
            <w:tcW w:w="6521" w:type="dxa"/>
          </w:tcPr>
          <w:p w14:paraId="3D46CA77">
            <w:pPr>
              <w:adjustRightInd w:val="0"/>
              <w:snapToGrid w:val="0"/>
              <w:spacing w:line="360" w:lineRule="auto"/>
              <w:rPr>
                <w:rFonts w:eastAsia="微软雅黑"/>
                <w:sz w:val="22"/>
                <w:szCs w:val="22"/>
              </w:rPr>
            </w:pPr>
            <w:r>
              <w:rPr>
                <w:rFonts w:eastAsia="微软雅黑"/>
                <w:sz w:val="22"/>
                <w:szCs w:val="22"/>
              </w:rPr>
              <w:t>The level of amylase in the drainage fluid is three times than normal level.</w:t>
            </w:r>
          </w:p>
        </w:tc>
      </w:tr>
      <w:tr w14:paraId="20370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11221C35">
            <w:pPr>
              <w:adjustRightInd w:val="0"/>
              <w:snapToGrid w:val="0"/>
              <w:spacing w:line="360" w:lineRule="auto"/>
              <w:rPr>
                <w:rFonts w:eastAsia="微软雅黑"/>
                <w:sz w:val="22"/>
                <w:szCs w:val="22"/>
              </w:rPr>
            </w:pPr>
            <w:r>
              <w:rPr>
                <w:rFonts w:eastAsia="微软雅黑"/>
                <w:sz w:val="22"/>
                <w:szCs w:val="22"/>
              </w:rPr>
              <w:t xml:space="preserve">  Bile fistula</w:t>
            </w:r>
          </w:p>
        </w:tc>
        <w:tc>
          <w:tcPr>
            <w:tcW w:w="6521" w:type="dxa"/>
          </w:tcPr>
          <w:p w14:paraId="38A37212">
            <w:pPr>
              <w:adjustRightInd w:val="0"/>
              <w:snapToGrid w:val="0"/>
              <w:spacing w:line="360" w:lineRule="auto"/>
              <w:rPr>
                <w:rFonts w:eastAsia="微软雅黑"/>
                <w:sz w:val="22"/>
                <w:szCs w:val="22"/>
              </w:rPr>
            </w:pPr>
            <w:r>
              <w:rPr>
                <w:rFonts w:eastAsia="微软雅黑"/>
                <w:sz w:val="22"/>
                <w:szCs w:val="22"/>
              </w:rPr>
              <w:t xml:space="preserve">Symptoms of abdominal distension, abdominal pain, tenderness, anti-jumping pain, muscle tension, abdominal puncture or drainage fluid for bile </w:t>
            </w:r>
          </w:p>
        </w:tc>
      </w:tr>
      <w:tr w14:paraId="51D5D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4CF13021">
            <w:pPr>
              <w:adjustRightInd w:val="0"/>
              <w:snapToGrid w:val="0"/>
              <w:spacing w:line="360" w:lineRule="auto"/>
              <w:rPr>
                <w:rFonts w:eastAsia="微软雅黑"/>
                <w:sz w:val="22"/>
                <w:szCs w:val="22"/>
              </w:rPr>
            </w:pPr>
            <w:r>
              <w:rPr>
                <w:rFonts w:eastAsia="微软雅黑"/>
                <w:sz w:val="22"/>
                <w:szCs w:val="22"/>
              </w:rPr>
              <w:t xml:space="preserve">  </w:t>
            </w:r>
            <w:bookmarkStart w:id="56" w:name="OLE_LINK46"/>
            <w:r>
              <w:rPr>
                <w:rFonts w:eastAsia="微软雅黑"/>
                <w:sz w:val="22"/>
                <w:szCs w:val="22"/>
              </w:rPr>
              <w:t>Celiac fistula</w:t>
            </w:r>
            <w:bookmarkEnd w:id="56"/>
          </w:p>
        </w:tc>
        <w:tc>
          <w:tcPr>
            <w:tcW w:w="6521" w:type="dxa"/>
          </w:tcPr>
          <w:p w14:paraId="75742EB3">
            <w:pPr>
              <w:adjustRightInd w:val="0"/>
              <w:snapToGrid w:val="0"/>
              <w:spacing w:line="360" w:lineRule="auto"/>
              <w:rPr>
                <w:rFonts w:eastAsia="微软雅黑"/>
                <w:sz w:val="22"/>
                <w:szCs w:val="22"/>
              </w:rPr>
            </w:pPr>
            <w:r>
              <w:rPr>
                <w:rFonts w:eastAsia="微软雅黑"/>
                <w:sz w:val="22"/>
                <w:szCs w:val="22"/>
              </w:rPr>
              <w:t>The drainage fluid is milky white, and more than 200ml/d and and does not decrease for 48 hour, the celiac qualitative test is positive, and the level of triglyceride &gt;110 mg/dL at the same time.</w:t>
            </w:r>
          </w:p>
        </w:tc>
      </w:tr>
      <w:tr w14:paraId="4BF25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33055AE0">
            <w:pPr>
              <w:adjustRightInd w:val="0"/>
              <w:snapToGrid w:val="0"/>
              <w:spacing w:line="360" w:lineRule="auto"/>
              <w:rPr>
                <w:rFonts w:eastAsia="微软雅黑"/>
                <w:sz w:val="22"/>
                <w:szCs w:val="22"/>
              </w:rPr>
            </w:pPr>
            <w:r>
              <w:rPr>
                <w:rFonts w:eastAsia="微软雅黑"/>
                <w:sz w:val="22"/>
                <w:szCs w:val="22"/>
              </w:rPr>
              <w:t xml:space="preserve">  Nutritional disorder after gastrectomy</w:t>
            </w:r>
          </w:p>
        </w:tc>
        <w:tc>
          <w:tcPr>
            <w:tcW w:w="6521" w:type="dxa"/>
          </w:tcPr>
          <w:p w14:paraId="521921C7">
            <w:pPr>
              <w:adjustRightInd w:val="0"/>
              <w:snapToGrid w:val="0"/>
              <w:spacing w:line="360" w:lineRule="auto"/>
              <w:rPr>
                <w:rFonts w:eastAsia="微软雅黑"/>
                <w:sz w:val="22"/>
                <w:szCs w:val="22"/>
              </w:rPr>
            </w:pPr>
            <w:r>
              <w:rPr>
                <w:rFonts w:eastAsia="微软雅黑"/>
                <w:sz w:val="22"/>
                <w:szCs w:val="22"/>
              </w:rPr>
              <w:t>In the presence of weight loss, anemia, malnutrition bone disease, vitamin a deficiency and other symptoms, laboratory tests suggest that the intestinal absorption function test is abnormal, excluding other causes of nutritional disorders</w:t>
            </w:r>
          </w:p>
        </w:tc>
      </w:tr>
      <w:tr w14:paraId="4F8DF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227EE41C">
            <w:pPr>
              <w:adjustRightInd w:val="0"/>
              <w:snapToGrid w:val="0"/>
              <w:spacing w:line="360" w:lineRule="auto"/>
              <w:rPr>
                <w:rFonts w:eastAsia="微软雅黑"/>
                <w:sz w:val="22"/>
                <w:szCs w:val="22"/>
              </w:rPr>
            </w:pPr>
            <w:r>
              <w:rPr>
                <w:rFonts w:eastAsia="微软雅黑"/>
                <w:sz w:val="22"/>
                <w:szCs w:val="22"/>
              </w:rPr>
              <w:t xml:space="preserve">  Bone disease after gastrectomy</w:t>
            </w:r>
          </w:p>
        </w:tc>
        <w:tc>
          <w:tcPr>
            <w:tcW w:w="6521" w:type="dxa"/>
          </w:tcPr>
          <w:p w14:paraId="48DFC7AB">
            <w:pPr>
              <w:adjustRightInd w:val="0"/>
              <w:snapToGrid w:val="0"/>
              <w:spacing w:line="360" w:lineRule="auto"/>
              <w:rPr>
                <w:rFonts w:eastAsia="微软雅黑"/>
                <w:sz w:val="22"/>
                <w:szCs w:val="22"/>
              </w:rPr>
            </w:pPr>
            <w:r>
              <w:rPr>
                <w:rFonts w:eastAsia="微软雅黑"/>
                <w:sz w:val="22"/>
                <w:szCs w:val="22"/>
              </w:rPr>
              <w:t xml:space="preserve">Lumbar back pain, length shortening, kyphosis, bone fractures and other symptoms. Bone density decreased combining with elevated alkaline phosphatase and serum calcium reduction, the concentration of serum 25-(O1) D3 and 1,25-(O1) 2D3 increasing and the serum parathyroid hormone increasing. Exclusion of bone disease caused by other causes. </w:t>
            </w:r>
          </w:p>
        </w:tc>
      </w:tr>
      <w:tr w14:paraId="2951E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2516FD09">
            <w:pPr>
              <w:adjustRightInd w:val="0"/>
              <w:snapToGrid w:val="0"/>
              <w:spacing w:line="360" w:lineRule="auto"/>
              <w:rPr>
                <w:rFonts w:eastAsia="微软雅黑"/>
                <w:sz w:val="22"/>
                <w:szCs w:val="22"/>
              </w:rPr>
            </w:pPr>
            <w:r>
              <w:rPr>
                <w:rFonts w:eastAsia="微软雅黑"/>
                <w:sz w:val="22"/>
                <w:szCs w:val="22"/>
              </w:rPr>
              <w:t xml:space="preserve">  Subcutaneous emphysema</w:t>
            </w:r>
          </w:p>
        </w:tc>
        <w:tc>
          <w:tcPr>
            <w:tcW w:w="6521" w:type="dxa"/>
          </w:tcPr>
          <w:p w14:paraId="03D2AEF2">
            <w:pPr>
              <w:adjustRightInd w:val="0"/>
              <w:snapToGrid w:val="0"/>
              <w:spacing w:line="360" w:lineRule="auto"/>
              <w:rPr>
                <w:rFonts w:eastAsia="微软雅黑"/>
                <w:sz w:val="22"/>
                <w:szCs w:val="22"/>
              </w:rPr>
            </w:pPr>
            <w:r>
              <w:rPr>
                <w:rFonts w:eastAsia="微软雅黑"/>
                <w:sz w:val="22"/>
                <w:szCs w:val="22"/>
              </w:rPr>
              <w:t>Visible the irregular speckle shadow under the skin in the horizontal flat sheet.</w:t>
            </w:r>
          </w:p>
        </w:tc>
      </w:tr>
      <w:tr w14:paraId="4D2D6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6377A637">
            <w:pPr>
              <w:adjustRightInd w:val="0"/>
              <w:snapToGrid w:val="0"/>
              <w:spacing w:line="360" w:lineRule="auto"/>
              <w:rPr>
                <w:rFonts w:eastAsia="微软雅黑"/>
                <w:sz w:val="22"/>
                <w:szCs w:val="22"/>
              </w:rPr>
            </w:pPr>
            <w:r>
              <w:rPr>
                <w:rFonts w:eastAsia="微软雅黑"/>
                <w:sz w:val="22"/>
                <w:szCs w:val="22"/>
              </w:rPr>
              <w:t xml:space="preserve">  Mediastinal emphysema</w:t>
            </w:r>
          </w:p>
        </w:tc>
        <w:tc>
          <w:tcPr>
            <w:tcW w:w="6521" w:type="dxa"/>
          </w:tcPr>
          <w:p w14:paraId="7D5EC06F">
            <w:pPr>
              <w:adjustRightInd w:val="0"/>
              <w:snapToGrid w:val="0"/>
              <w:spacing w:line="360" w:lineRule="auto"/>
              <w:rPr>
                <w:rFonts w:eastAsia="微软雅黑"/>
                <w:sz w:val="22"/>
                <w:szCs w:val="22"/>
              </w:rPr>
            </w:pPr>
            <w:r>
              <w:rPr>
                <w:rFonts w:eastAsia="微软雅黑"/>
                <w:sz w:val="22"/>
                <w:szCs w:val="22"/>
              </w:rPr>
              <w:t>In the posterior and</w:t>
            </w:r>
            <w:bookmarkStart w:id="57" w:name="OLE_LINK47"/>
            <w:r>
              <w:rPr>
                <w:rFonts w:eastAsia="微软雅黑"/>
                <w:sz w:val="22"/>
                <w:szCs w:val="22"/>
              </w:rPr>
              <w:t xml:space="preserve"> </w:t>
            </w:r>
            <w:bookmarkEnd w:id="57"/>
            <w:r>
              <w:rPr>
                <w:rFonts w:eastAsia="微软雅黑"/>
                <w:sz w:val="22"/>
                <w:szCs w:val="22"/>
              </w:rPr>
              <w:t>anterior flat fame, a long narrow gas shadow rises to the neck soft tissue along the mediastinal side, forming a thin-line dense shadow. In the lateral flat there was a visible and clear band between the heart and the sternum. The CT examination, if necessary, shows gas density line-like shadow around the mediastinal and mediastinal pleura closing to the direction of the lung field.</w:t>
            </w:r>
          </w:p>
        </w:tc>
      </w:tr>
      <w:tr w14:paraId="1F980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47D0CD9D">
            <w:pPr>
              <w:adjustRightInd w:val="0"/>
              <w:snapToGrid w:val="0"/>
              <w:spacing w:line="360" w:lineRule="auto"/>
              <w:ind w:firstLine="220" w:firstLineChars="100"/>
              <w:rPr>
                <w:rFonts w:eastAsia="微软雅黑"/>
                <w:sz w:val="22"/>
                <w:szCs w:val="22"/>
              </w:rPr>
            </w:pPr>
            <w:r>
              <w:rPr>
                <w:rFonts w:eastAsia="微软雅黑"/>
                <w:sz w:val="22"/>
                <w:szCs w:val="22"/>
              </w:rPr>
              <w:t>Postoperative hemorrhage</w:t>
            </w:r>
          </w:p>
        </w:tc>
        <w:tc>
          <w:tcPr>
            <w:tcW w:w="6521" w:type="dxa"/>
          </w:tcPr>
          <w:p w14:paraId="4ADD6034">
            <w:pPr>
              <w:adjustRightInd w:val="0"/>
              <w:snapToGrid w:val="0"/>
              <w:spacing w:line="360" w:lineRule="auto"/>
              <w:rPr>
                <w:rFonts w:eastAsia="微软雅黑"/>
                <w:sz w:val="22"/>
                <w:szCs w:val="22"/>
              </w:rPr>
            </w:pPr>
            <w:r>
              <w:rPr>
                <w:rFonts w:eastAsia="微软雅黑"/>
                <w:sz w:val="22"/>
                <w:szCs w:val="22"/>
              </w:rPr>
              <w:t>An amount of hemorrhage exceeding 300 ml.</w:t>
            </w:r>
          </w:p>
        </w:tc>
      </w:tr>
      <w:tr w14:paraId="30A4E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676CFEC9">
            <w:pPr>
              <w:adjustRightInd w:val="0"/>
              <w:snapToGrid w:val="0"/>
              <w:spacing w:line="360" w:lineRule="auto"/>
              <w:ind w:firstLine="220" w:firstLineChars="100"/>
              <w:rPr>
                <w:rFonts w:eastAsia="微软雅黑"/>
                <w:sz w:val="22"/>
                <w:szCs w:val="22"/>
              </w:rPr>
            </w:pPr>
            <w:bookmarkStart w:id="58" w:name="OLE_LINK48"/>
            <w:r>
              <w:rPr>
                <w:rFonts w:eastAsia="微软雅黑"/>
                <w:sz w:val="22"/>
                <w:szCs w:val="22"/>
              </w:rPr>
              <w:t>Postoperative cardiac dysfunction</w:t>
            </w:r>
            <w:bookmarkEnd w:id="58"/>
          </w:p>
        </w:tc>
        <w:tc>
          <w:tcPr>
            <w:tcW w:w="6521" w:type="dxa"/>
          </w:tcPr>
          <w:p w14:paraId="3B1D086A">
            <w:pPr>
              <w:adjustRightInd w:val="0"/>
              <w:snapToGrid w:val="0"/>
              <w:spacing w:line="360" w:lineRule="auto"/>
              <w:rPr>
                <w:rFonts w:eastAsia="微软雅黑"/>
                <w:sz w:val="22"/>
                <w:szCs w:val="22"/>
              </w:rPr>
            </w:pPr>
            <w:r>
              <w:rPr>
                <w:rFonts w:eastAsia="微软雅黑"/>
                <w:sz w:val="22"/>
                <w:szCs w:val="22"/>
              </w:rPr>
              <w:t>The symptom of snus tachycardia, sinus bradycardia, supraventricular tachycardia, ventricular tachycardia, and other arrhythmias, or heart failure preoperatively none-existing and postoperatively appearing, and other causes of the above-mentioned manifestations are excluded.</w:t>
            </w:r>
          </w:p>
        </w:tc>
      </w:tr>
      <w:tr w14:paraId="1005C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7336F2DA">
            <w:pPr>
              <w:adjustRightInd w:val="0"/>
              <w:snapToGrid w:val="0"/>
              <w:spacing w:line="360" w:lineRule="auto"/>
              <w:ind w:firstLine="220" w:firstLineChars="100"/>
              <w:rPr>
                <w:rFonts w:eastAsia="微软雅黑"/>
                <w:sz w:val="22"/>
                <w:szCs w:val="22"/>
              </w:rPr>
            </w:pPr>
            <w:r>
              <w:rPr>
                <w:rFonts w:eastAsia="微软雅黑"/>
                <w:sz w:val="22"/>
                <w:szCs w:val="22"/>
              </w:rPr>
              <w:t>Hepatic dysfunction</w:t>
            </w:r>
          </w:p>
        </w:tc>
        <w:tc>
          <w:tcPr>
            <w:tcW w:w="6521" w:type="dxa"/>
          </w:tcPr>
          <w:p w14:paraId="20577AF6">
            <w:pPr>
              <w:adjustRightInd w:val="0"/>
              <w:snapToGrid w:val="0"/>
              <w:spacing w:line="360" w:lineRule="auto"/>
              <w:rPr>
                <w:rFonts w:eastAsia="微软雅黑"/>
                <w:sz w:val="22"/>
                <w:szCs w:val="22"/>
              </w:rPr>
            </w:pPr>
            <w:r>
              <w:rPr>
                <w:rFonts w:eastAsia="微软雅黑"/>
                <w:sz w:val="22"/>
                <w:szCs w:val="22"/>
              </w:rPr>
              <w:t xml:space="preserve">Bilirubin increasing and the levels of AST and ALT &gt;5 times after operation and these symptoms no existing before surgery. </w:t>
            </w:r>
          </w:p>
        </w:tc>
      </w:tr>
      <w:tr w14:paraId="0A23D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5D992FAC">
            <w:pPr>
              <w:adjustRightInd w:val="0"/>
              <w:snapToGrid w:val="0"/>
              <w:spacing w:line="360" w:lineRule="auto"/>
              <w:ind w:firstLine="220" w:firstLineChars="100"/>
              <w:rPr>
                <w:rFonts w:eastAsia="微软雅黑"/>
                <w:sz w:val="22"/>
                <w:szCs w:val="22"/>
              </w:rPr>
            </w:pPr>
            <w:r>
              <w:rPr>
                <w:rFonts w:eastAsia="微软雅黑"/>
                <w:sz w:val="22"/>
                <w:szCs w:val="22"/>
              </w:rPr>
              <w:t>Kidney function failure</w:t>
            </w:r>
          </w:p>
        </w:tc>
        <w:tc>
          <w:tcPr>
            <w:tcW w:w="6521" w:type="dxa"/>
          </w:tcPr>
          <w:p w14:paraId="36A66470">
            <w:pPr>
              <w:adjustRightInd w:val="0"/>
              <w:snapToGrid w:val="0"/>
              <w:spacing w:line="360" w:lineRule="auto"/>
              <w:rPr>
                <w:rFonts w:eastAsia="微软雅黑"/>
                <w:sz w:val="22"/>
                <w:szCs w:val="22"/>
              </w:rPr>
            </w:pPr>
            <w:r>
              <w:rPr>
                <w:rFonts w:eastAsia="微软雅黑"/>
                <w:sz w:val="22"/>
                <w:szCs w:val="22"/>
              </w:rPr>
              <w:t>Postoperative continuing renal function insufficiency, blood creatinine rising 2mg/dl, or acute renal failure needing dialysis treatment.</w:t>
            </w:r>
          </w:p>
        </w:tc>
      </w:tr>
      <w:tr w14:paraId="7965D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257A3A45">
            <w:pPr>
              <w:adjustRightInd w:val="0"/>
              <w:snapToGrid w:val="0"/>
              <w:spacing w:line="360" w:lineRule="auto"/>
              <w:ind w:firstLine="220" w:firstLineChars="100"/>
              <w:rPr>
                <w:rFonts w:eastAsia="微软雅黑"/>
                <w:sz w:val="22"/>
                <w:szCs w:val="22"/>
              </w:rPr>
            </w:pPr>
            <w:r>
              <w:rPr>
                <w:rFonts w:eastAsia="微软雅黑"/>
                <w:sz w:val="22"/>
                <w:szCs w:val="22"/>
              </w:rPr>
              <w:t>Cerebral embolism</w:t>
            </w:r>
          </w:p>
        </w:tc>
        <w:tc>
          <w:tcPr>
            <w:tcW w:w="6521" w:type="dxa"/>
          </w:tcPr>
          <w:p w14:paraId="05615D6D">
            <w:pPr>
              <w:adjustRightInd w:val="0"/>
              <w:snapToGrid w:val="0"/>
              <w:spacing w:line="360" w:lineRule="auto"/>
              <w:rPr>
                <w:rFonts w:eastAsia="微软雅黑"/>
                <w:sz w:val="22"/>
                <w:szCs w:val="22"/>
              </w:rPr>
            </w:pPr>
            <w:r>
              <w:rPr>
                <w:rFonts w:eastAsia="微软雅黑"/>
                <w:sz w:val="22"/>
                <w:szCs w:val="22"/>
              </w:rPr>
              <w:t>Acute onset, hemiplegia, aphasia and other focal neurological function deficits. Embolism site has low-density infarction, of which border is not clear and no obstruction performance within 24-48 hours after the onset.</w:t>
            </w:r>
          </w:p>
        </w:tc>
      </w:tr>
      <w:tr w14:paraId="0BF14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6" w:hRule="atLeast"/>
        </w:trPr>
        <w:tc>
          <w:tcPr>
            <w:tcW w:w="3085" w:type="dxa"/>
          </w:tcPr>
          <w:p w14:paraId="2FD41714">
            <w:pPr>
              <w:adjustRightInd w:val="0"/>
              <w:snapToGrid w:val="0"/>
              <w:spacing w:line="360" w:lineRule="auto"/>
              <w:ind w:firstLine="220" w:firstLineChars="100"/>
              <w:rPr>
                <w:rFonts w:eastAsia="微软雅黑"/>
                <w:sz w:val="22"/>
                <w:szCs w:val="22"/>
              </w:rPr>
            </w:pPr>
            <w:r>
              <w:rPr>
                <w:rFonts w:eastAsia="微软雅黑"/>
                <w:sz w:val="22"/>
                <w:szCs w:val="22"/>
              </w:rPr>
              <w:t>Pulmonary embolism</w:t>
            </w:r>
          </w:p>
        </w:tc>
        <w:tc>
          <w:tcPr>
            <w:tcW w:w="6521" w:type="dxa"/>
          </w:tcPr>
          <w:p w14:paraId="1C85F299">
            <w:pPr>
              <w:adjustRightInd w:val="0"/>
              <w:snapToGrid w:val="0"/>
              <w:spacing w:line="360" w:lineRule="auto"/>
              <w:rPr>
                <w:rFonts w:eastAsia="微软雅黑"/>
                <w:sz w:val="22"/>
                <w:szCs w:val="22"/>
              </w:rPr>
            </w:pPr>
            <w:bookmarkStart w:id="59" w:name="OLE_LINK4"/>
            <w:r>
              <w:rPr>
                <w:rFonts w:eastAsia="微软雅黑"/>
                <w:sz w:val="22"/>
                <w:szCs w:val="22"/>
              </w:rPr>
              <w:t xml:space="preserve">Characteristics </w:t>
            </w:r>
            <w:bookmarkEnd w:id="59"/>
            <w:r>
              <w:rPr>
                <w:rFonts w:eastAsia="微软雅黑"/>
                <w:sz w:val="22"/>
                <w:szCs w:val="22"/>
              </w:rPr>
              <w:t>of dyspnea, chest pain, syncope, shortness of breath, right ventricular insufficiency and hypotension, pulmonary angiography revealed a filling defect.</w:t>
            </w:r>
          </w:p>
        </w:tc>
      </w:tr>
      <w:tr w14:paraId="35533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5DCA1F4C">
            <w:pPr>
              <w:adjustRightInd w:val="0"/>
              <w:snapToGrid w:val="0"/>
              <w:spacing w:line="360" w:lineRule="auto"/>
              <w:ind w:firstLine="220" w:firstLineChars="100"/>
              <w:rPr>
                <w:rFonts w:eastAsia="微软雅黑"/>
                <w:sz w:val="22"/>
                <w:szCs w:val="22"/>
              </w:rPr>
            </w:pPr>
            <w:r>
              <w:rPr>
                <w:rFonts w:eastAsia="微软雅黑"/>
                <w:sz w:val="22"/>
                <w:szCs w:val="22"/>
              </w:rPr>
              <w:t>Venous thrombosis of lower extremities</w:t>
            </w:r>
          </w:p>
        </w:tc>
        <w:tc>
          <w:tcPr>
            <w:tcW w:w="6521" w:type="dxa"/>
          </w:tcPr>
          <w:p w14:paraId="3E8063CE">
            <w:pPr>
              <w:adjustRightInd w:val="0"/>
              <w:snapToGrid w:val="0"/>
              <w:spacing w:line="360" w:lineRule="auto"/>
              <w:rPr>
                <w:rFonts w:eastAsia="微软雅黑"/>
                <w:sz w:val="22"/>
                <w:szCs w:val="22"/>
              </w:rPr>
            </w:pPr>
            <w:r>
              <w:rPr>
                <w:rFonts w:eastAsia="微软雅黑"/>
                <w:sz w:val="22"/>
                <w:szCs w:val="22"/>
              </w:rPr>
              <w:t>Local tenderness, swelling, purple skin color, combined with intravenous angiography to show the filling defect</w:t>
            </w:r>
          </w:p>
        </w:tc>
      </w:tr>
      <w:tr w14:paraId="4776D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77BEF566">
            <w:pPr>
              <w:adjustRightInd w:val="0"/>
              <w:snapToGrid w:val="0"/>
              <w:spacing w:line="360" w:lineRule="auto"/>
              <w:ind w:firstLine="220" w:firstLineChars="100"/>
              <w:rPr>
                <w:rFonts w:eastAsia="微软雅黑"/>
                <w:sz w:val="22"/>
                <w:szCs w:val="22"/>
              </w:rPr>
            </w:pPr>
            <w:r>
              <w:rPr>
                <w:rFonts w:eastAsia="微软雅黑"/>
                <w:sz w:val="22"/>
                <w:szCs w:val="22"/>
              </w:rPr>
              <w:t>Mesenteric arterial embolization</w:t>
            </w:r>
          </w:p>
        </w:tc>
        <w:tc>
          <w:tcPr>
            <w:tcW w:w="6521" w:type="dxa"/>
          </w:tcPr>
          <w:p w14:paraId="67B2BFDB">
            <w:pPr>
              <w:adjustRightInd w:val="0"/>
              <w:snapToGrid w:val="0"/>
              <w:spacing w:line="360" w:lineRule="auto"/>
              <w:rPr>
                <w:rFonts w:eastAsia="微软雅黑"/>
                <w:sz w:val="22"/>
                <w:szCs w:val="22"/>
              </w:rPr>
            </w:pPr>
            <w:r>
              <w:rPr>
                <w:rFonts w:eastAsia="微软雅黑"/>
                <w:sz w:val="22"/>
                <w:szCs w:val="22"/>
              </w:rPr>
              <w:t>Patients with acute abdominal pain, vomiting, diarrhea, abdominal x-ray of intestinal tract filling with gas or existing liquid level, abdominal angiography revealed a filling defect.</w:t>
            </w:r>
          </w:p>
        </w:tc>
      </w:tr>
      <w:tr w14:paraId="509A0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744998ED">
            <w:pPr>
              <w:adjustRightInd w:val="0"/>
              <w:snapToGrid w:val="0"/>
              <w:spacing w:line="360" w:lineRule="auto"/>
              <w:ind w:firstLine="220" w:firstLineChars="100"/>
              <w:rPr>
                <w:rFonts w:eastAsia="微软雅黑"/>
                <w:sz w:val="22"/>
                <w:szCs w:val="22"/>
              </w:rPr>
            </w:pPr>
            <w:r>
              <w:rPr>
                <w:rFonts w:eastAsia="微软雅黑"/>
                <w:sz w:val="22"/>
                <w:szCs w:val="22"/>
              </w:rPr>
              <w:t>DIC</w:t>
            </w:r>
          </w:p>
        </w:tc>
        <w:tc>
          <w:tcPr>
            <w:tcW w:w="6521" w:type="dxa"/>
          </w:tcPr>
          <w:p w14:paraId="73845B4D">
            <w:pPr>
              <w:numPr>
                <w:ilvl w:val="0"/>
                <w:numId w:val="11"/>
              </w:numPr>
              <w:adjustRightInd w:val="0"/>
              <w:snapToGrid w:val="0"/>
              <w:spacing w:line="360" w:lineRule="auto"/>
              <w:rPr>
                <w:rFonts w:eastAsia="微软雅黑"/>
                <w:sz w:val="22"/>
                <w:szCs w:val="22"/>
              </w:rPr>
            </w:pPr>
            <w:r>
              <w:rPr>
                <w:rFonts w:eastAsia="微软雅黑"/>
                <w:sz w:val="22"/>
                <w:szCs w:val="22"/>
              </w:rPr>
              <w:t>There are basic diseases easily leading to DIC, 2. There are more than two clinical performances: (1) severe or multiple bleeding tendencies; (2) Microcirculation disorder or shock cannot be explained by the original disease. (3) Extensive skin mucosal embolism, focal ischemic necrosis, shedding and ulcer formation, or unexplained lung, kidney, brain and another organ failure. (4) Anticoagulant treatment.is effective. 3. The laboratory meets the following conditions: (1) There are 3 or more experimental abnormalities: platelet count, prothrombin time, activated partial coagulation enzyme time, thrombin time, fibrinogen level, D-two poly, and (2) Difficult or special cases for special examination.</w:t>
            </w:r>
          </w:p>
        </w:tc>
      </w:tr>
      <w:tr w14:paraId="2A40F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0944F2B3">
            <w:pPr>
              <w:adjustRightInd w:val="0"/>
              <w:snapToGrid w:val="0"/>
              <w:spacing w:line="360" w:lineRule="auto"/>
              <w:ind w:firstLine="220" w:firstLineChars="100"/>
              <w:rPr>
                <w:rFonts w:eastAsia="微软雅黑"/>
                <w:sz w:val="22"/>
                <w:szCs w:val="22"/>
              </w:rPr>
            </w:pPr>
            <w:r>
              <w:rPr>
                <w:rFonts w:eastAsia="微软雅黑"/>
                <w:sz w:val="22"/>
                <w:szCs w:val="22"/>
              </w:rPr>
              <w:t>Other</w:t>
            </w:r>
          </w:p>
        </w:tc>
        <w:tc>
          <w:tcPr>
            <w:tcW w:w="6521" w:type="dxa"/>
          </w:tcPr>
          <w:p w14:paraId="464D3658">
            <w:pPr>
              <w:adjustRightInd w:val="0"/>
              <w:snapToGrid w:val="0"/>
              <w:spacing w:line="360" w:lineRule="auto"/>
              <w:rPr>
                <w:rFonts w:eastAsia="微软雅黑"/>
                <w:sz w:val="22"/>
                <w:szCs w:val="22"/>
              </w:rPr>
            </w:pPr>
            <w:r>
              <w:rPr>
                <w:rFonts w:eastAsia="微软雅黑"/>
                <w:sz w:val="22"/>
                <w:szCs w:val="22"/>
              </w:rPr>
              <w:t>Complications other than the above complications, which do not exist before surgery but appear after surgery</w:t>
            </w:r>
          </w:p>
        </w:tc>
      </w:tr>
    </w:tbl>
    <w:p w14:paraId="481ECFE7">
      <w:pPr>
        <w:adjustRightInd w:val="0"/>
        <w:snapToGrid w:val="0"/>
        <w:spacing w:line="360" w:lineRule="auto"/>
        <w:rPr>
          <w:bCs/>
          <w:sz w:val="24"/>
        </w:rPr>
      </w:pPr>
      <w:r>
        <w:rPr>
          <w:rFonts w:eastAsia="微软雅黑"/>
          <w:sz w:val="22"/>
          <w:szCs w:val="22"/>
        </w:rPr>
        <w:t xml:space="preserve">Severity of complication is graded according to Clavien–dindo complication scoring system, </w:t>
      </w:r>
      <w:r>
        <w:rPr>
          <w:bCs/>
          <w:sz w:val="24"/>
        </w:rPr>
        <w:fldChar w:fldCharType="begin"/>
      </w:r>
      <w:r>
        <w:rPr>
          <w:bCs/>
          <w:sz w:val="24"/>
        </w:rPr>
        <w:instrText xml:space="preserve"> ADDIN EN.CITE &lt;EndNote&gt;&lt;Cite&gt;&lt;Author&gt;Dindo&lt;/Author&gt;&lt;Year&gt;2004&lt;/Year&gt;&lt;RecNum&gt;125&lt;/RecNum&gt;&lt;DisplayText&gt;&lt;style face="superscript"&gt;31&lt;/style&gt;&lt;/DisplayText&gt;&lt;record&gt;&lt;rec-number&gt;125&lt;/rec-number&gt;&lt;foreign-keys&gt;&lt;key app="EN" db-id="xpzr0erzmxsa9se0rf4p20fqfa5wtvd0fxfr" timestamp="0"&gt;125&lt;/key&gt;&lt;/foreign-keys&gt;&lt;ref-type name="Journal Article"&gt;17&lt;/ref-type&gt;&lt;contributors&gt;&lt;authors&gt;&lt;author&gt;Dindo, D&lt;/author&gt;&lt;author&gt;Demartines, N&lt;/author&gt;&lt;author&gt;Clavien, P. A.&lt;/author&gt;&lt;/authors&gt;&lt;/contributors&gt;&lt;titles&gt;&lt;title&gt;Classification of surgical complications: a new proposal with evaluation in a cohort of 6336 patients and results of a survey&lt;/title&gt;&lt;secondary-title&gt;Annals of Surgery&lt;/secondary-title&gt;&lt;/titles&gt;&lt;periodical&gt;&lt;full-title&gt;Annals of Surgery&lt;/full-title&gt;&lt;/periodical&gt;&lt;pages&gt;205&lt;/pages&gt;&lt;volume&gt;240&lt;/volume&gt;&lt;number&gt;2&lt;/number&gt;&lt;dates&gt;&lt;year&gt;2004&lt;/year&gt;&lt;/dates&gt;&lt;urls&gt;&lt;/urls&gt;&lt;/record&gt;&lt;/Cite&gt;&lt;/EndNote&gt;</w:instrText>
      </w:r>
      <w:r>
        <w:rPr>
          <w:bCs/>
          <w:sz w:val="24"/>
        </w:rPr>
        <w:fldChar w:fldCharType="separate"/>
      </w:r>
      <w:r>
        <w:rPr>
          <w:bCs/>
          <w:sz w:val="24"/>
          <w:vertAlign w:val="superscript"/>
        </w:rPr>
        <w:t>31</w:t>
      </w:r>
      <w:r>
        <w:rPr>
          <w:bCs/>
          <w:sz w:val="24"/>
        </w:rPr>
        <w:fldChar w:fldCharType="end"/>
      </w:r>
    </w:p>
    <w:p w14:paraId="4102BA38">
      <w:pPr>
        <w:adjustRightInd w:val="0"/>
        <w:snapToGrid w:val="0"/>
        <w:spacing w:line="360" w:lineRule="auto"/>
        <w:rPr>
          <w:rFonts w:eastAsia="微软雅黑"/>
          <w:sz w:val="22"/>
          <w:szCs w:val="22"/>
        </w:rPr>
      </w:pPr>
      <w:r>
        <w:rPr>
          <w:rFonts w:eastAsia="微软雅黑"/>
          <w:sz w:val="22"/>
          <w:szCs w:val="22"/>
        </w:rPr>
        <w:t xml:space="preserve">IIIA level and above are serious complication </w:t>
      </w:r>
    </w:p>
    <w:p w14:paraId="577CC19C">
      <w:pPr>
        <w:adjustRightInd w:val="0"/>
        <w:snapToGrid w:val="0"/>
        <w:spacing w:line="360" w:lineRule="auto"/>
        <w:rPr>
          <w:rFonts w:eastAsia="微软雅黑"/>
          <w:sz w:val="22"/>
          <w:szCs w:val="22"/>
        </w:rPr>
      </w:pPr>
      <w:r>
        <w:rPr>
          <w:rFonts w:eastAsia="微软雅黑"/>
          <w:sz w:val="22"/>
          <w:szCs w:val="22"/>
        </w:rPr>
        <w:t>Ⅰ: Any deviation from the normal postoperative course without the need for pharmacologic treatment or surgical, endoscopic, and radiologic interventions. Allowed therapeutic regimens are drugs as antiemetics, antipyretics, analgesics, and diuretics, and electrolytes and physiotherapy. This grade also includes wound infections opened at the bedside.</w:t>
      </w:r>
    </w:p>
    <w:p w14:paraId="719DEFBF">
      <w:pPr>
        <w:adjustRightInd w:val="0"/>
        <w:snapToGrid w:val="0"/>
        <w:spacing w:line="360" w:lineRule="auto"/>
        <w:rPr>
          <w:rFonts w:eastAsia="微软雅黑"/>
          <w:sz w:val="22"/>
          <w:szCs w:val="22"/>
        </w:rPr>
      </w:pPr>
      <w:r>
        <w:rPr>
          <w:rFonts w:eastAsia="微软雅黑"/>
          <w:sz w:val="22"/>
          <w:szCs w:val="22"/>
        </w:rPr>
        <w:t>Ⅱ: Requiring pharmacologic treatment with drugs other than such allowed for grade I complications. Blood transfusions and total parenteral nutrition are also included.</w:t>
      </w:r>
    </w:p>
    <w:p w14:paraId="20D1A440">
      <w:pPr>
        <w:adjustRightInd w:val="0"/>
        <w:snapToGrid w:val="0"/>
        <w:spacing w:line="360" w:lineRule="auto"/>
        <w:rPr>
          <w:rFonts w:eastAsia="微软雅黑"/>
          <w:sz w:val="22"/>
          <w:szCs w:val="22"/>
        </w:rPr>
      </w:pPr>
      <w:r>
        <w:rPr>
          <w:rFonts w:eastAsia="微软雅黑"/>
          <w:sz w:val="22"/>
          <w:szCs w:val="22"/>
        </w:rPr>
        <w:t>Ⅲ: Requiring surgical, endoscopic, or radiologic intervention</w:t>
      </w:r>
    </w:p>
    <w:p w14:paraId="25040BE5">
      <w:pPr>
        <w:adjustRightInd w:val="0"/>
        <w:snapToGrid w:val="0"/>
        <w:spacing w:line="360" w:lineRule="auto"/>
        <w:rPr>
          <w:rFonts w:eastAsia="微软雅黑"/>
          <w:sz w:val="22"/>
          <w:szCs w:val="22"/>
        </w:rPr>
      </w:pPr>
      <w:r>
        <w:rPr>
          <w:rFonts w:eastAsia="微软雅黑"/>
          <w:sz w:val="22"/>
          <w:szCs w:val="22"/>
        </w:rPr>
        <w:t>Ⅲa: Intervention not under general anesthesia</w:t>
      </w:r>
    </w:p>
    <w:p w14:paraId="406EFE4D">
      <w:pPr>
        <w:adjustRightInd w:val="0"/>
        <w:snapToGrid w:val="0"/>
        <w:spacing w:line="360" w:lineRule="auto"/>
        <w:rPr>
          <w:rFonts w:eastAsia="微软雅黑"/>
          <w:sz w:val="22"/>
          <w:szCs w:val="22"/>
        </w:rPr>
      </w:pPr>
      <w:r>
        <w:rPr>
          <w:rFonts w:eastAsia="微软雅黑"/>
          <w:sz w:val="22"/>
          <w:szCs w:val="22"/>
        </w:rPr>
        <w:t>Ⅲb: Intervention under general anesthesia</w:t>
      </w:r>
    </w:p>
    <w:p w14:paraId="17722617">
      <w:pPr>
        <w:adjustRightInd w:val="0"/>
        <w:snapToGrid w:val="0"/>
        <w:spacing w:line="360" w:lineRule="auto"/>
        <w:rPr>
          <w:rFonts w:eastAsia="微软雅黑"/>
          <w:sz w:val="22"/>
          <w:szCs w:val="22"/>
        </w:rPr>
      </w:pPr>
      <w:r>
        <w:rPr>
          <w:rFonts w:eastAsia="微软雅黑"/>
          <w:sz w:val="22"/>
          <w:szCs w:val="22"/>
        </w:rPr>
        <w:t>Ⅳ: Life-threatening complication (including CNS complications) requiring IC (intermediate care)/ICU (intensive care unit)</w:t>
      </w:r>
      <w:r>
        <w:rPr>
          <w:rFonts w:eastAsia="微软雅黑"/>
          <w:sz w:val="22"/>
          <w:szCs w:val="22"/>
        </w:rPr>
        <w:br w:type="textWrapping"/>
      </w:r>
      <w:r>
        <w:rPr>
          <w:rFonts w:eastAsia="微软雅黑"/>
          <w:sz w:val="22"/>
          <w:szCs w:val="22"/>
        </w:rPr>
        <w:t>management</w:t>
      </w:r>
    </w:p>
    <w:p w14:paraId="6432E0BC">
      <w:pPr>
        <w:adjustRightInd w:val="0"/>
        <w:snapToGrid w:val="0"/>
        <w:spacing w:line="360" w:lineRule="auto"/>
        <w:rPr>
          <w:rFonts w:eastAsia="微软雅黑"/>
          <w:sz w:val="22"/>
          <w:szCs w:val="22"/>
        </w:rPr>
      </w:pPr>
      <w:r>
        <w:rPr>
          <w:rFonts w:eastAsia="微软雅黑"/>
          <w:sz w:val="22"/>
          <w:szCs w:val="22"/>
        </w:rPr>
        <w:t>Ⅳa: Single organ dysfunction (including dialysis)</w:t>
      </w:r>
    </w:p>
    <w:p w14:paraId="0C30F831">
      <w:pPr>
        <w:adjustRightInd w:val="0"/>
        <w:snapToGrid w:val="0"/>
        <w:spacing w:line="360" w:lineRule="auto"/>
        <w:rPr>
          <w:rFonts w:eastAsia="微软雅黑"/>
          <w:sz w:val="22"/>
          <w:szCs w:val="22"/>
        </w:rPr>
      </w:pPr>
      <w:r>
        <w:rPr>
          <w:rFonts w:eastAsia="微软雅黑"/>
          <w:sz w:val="22"/>
          <w:szCs w:val="22"/>
        </w:rPr>
        <w:t>Ⅳb: Multiple organ dysfunction</w:t>
      </w:r>
    </w:p>
    <w:p w14:paraId="748B7870">
      <w:pPr>
        <w:adjustRightInd w:val="0"/>
        <w:snapToGrid w:val="0"/>
        <w:spacing w:line="360" w:lineRule="auto"/>
        <w:rPr>
          <w:rFonts w:eastAsia="微软雅黑"/>
          <w:sz w:val="24"/>
        </w:rPr>
      </w:pPr>
      <w:r>
        <w:rPr>
          <w:rFonts w:eastAsia="微软雅黑"/>
          <w:sz w:val="24"/>
        </w:rPr>
        <w:t>Ⅴ: Death as a result of complications</w:t>
      </w:r>
    </w:p>
    <w:p w14:paraId="7DFBCF85">
      <w:pPr>
        <w:adjustRightInd w:val="0"/>
        <w:snapToGrid w:val="0"/>
        <w:spacing w:line="360" w:lineRule="auto"/>
        <w:rPr>
          <w:rFonts w:eastAsia="微软雅黑"/>
          <w:sz w:val="24"/>
        </w:rPr>
      </w:pPr>
      <w:r>
        <w:rPr>
          <w:rFonts w:eastAsia="微软雅黑"/>
          <w:sz w:val="24"/>
        </w:rPr>
        <w:t>(3) Blood test items (At postoperative day 1, 3, 5)</w:t>
      </w:r>
    </w:p>
    <w:p w14:paraId="25F0D507">
      <w:pPr>
        <w:spacing w:line="360" w:lineRule="auto"/>
        <w:ind w:firstLine="480" w:firstLineChars="200"/>
        <w:rPr>
          <w:rFonts w:eastAsia="微软雅黑"/>
          <w:sz w:val="24"/>
        </w:rPr>
      </w:pPr>
      <w:r>
        <w:rPr>
          <w:rFonts w:eastAsia="微软雅黑"/>
          <w:sz w:val="24"/>
        </w:rPr>
        <w:t>Peripheral blood routine assessment: Hb, RBC, WBC, LYM, NEU, NEU%, and PLT, MONO;</w:t>
      </w:r>
    </w:p>
    <w:p w14:paraId="5713EAF3">
      <w:pPr>
        <w:adjustRightInd w:val="0"/>
        <w:snapToGrid w:val="0"/>
        <w:spacing w:line="360" w:lineRule="auto"/>
        <w:rPr>
          <w:rFonts w:eastAsia="微软雅黑"/>
          <w:sz w:val="24"/>
        </w:rPr>
      </w:pPr>
      <w:r>
        <w:rPr>
          <w:rFonts w:eastAsia="微软雅黑"/>
          <w:sz w:val="24"/>
        </w:rPr>
        <w:t xml:space="preserve">  Blood biochemistry: Albumin, prealbumin, total bilirubin, AST, ALT, creatinine, urea nitrogen, fasting blood glucose, potassium, sodium, chlorine, calcium and CRP. </w:t>
      </w:r>
    </w:p>
    <w:p w14:paraId="0811310E">
      <w:pPr>
        <w:numPr>
          <w:ilvl w:val="0"/>
          <w:numId w:val="12"/>
        </w:numPr>
        <w:adjustRightInd w:val="0"/>
        <w:snapToGrid w:val="0"/>
        <w:spacing w:line="360" w:lineRule="auto"/>
        <w:rPr>
          <w:rFonts w:eastAsia="微软雅黑"/>
          <w:sz w:val="24"/>
        </w:rPr>
      </w:pPr>
      <w:r>
        <w:rPr>
          <w:rFonts w:eastAsia="微软雅黑"/>
          <w:sz w:val="24"/>
        </w:rPr>
        <w:t>Postoperative rehabilitation evaluation:</w:t>
      </w:r>
    </w:p>
    <w:p w14:paraId="77191883">
      <w:pPr>
        <w:adjustRightInd w:val="0"/>
        <w:snapToGrid w:val="0"/>
        <w:spacing w:line="360" w:lineRule="auto"/>
        <w:rPr>
          <w:rFonts w:eastAsia="微软雅黑"/>
          <w:sz w:val="24"/>
        </w:rPr>
      </w:pPr>
      <w:r>
        <w:rPr>
          <w:rFonts w:eastAsia="微软雅黑"/>
          <w:sz w:val="24"/>
        </w:rPr>
        <w:t xml:space="preserve">    Time to first ambulation (hours), time to first flatus (hour), time to liquid diet, time to </w:t>
      </w:r>
      <w:bookmarkStart w:id="60" w:name="OLE_LINK72"/>
      <w:r>
        <w:rPr>
          <w:rFonts w:eastAsia="微软雅黑"/>
          <w:sz w:val="24"/>
        </w:rPr>
        <w:t>semi-liquid diet</w:t>
      </w:r>
      <w:bookmarkEnd w:id="60"/>
      <w:r>
        <w:rPr>
          <w:rFonts w:eastAsia="微软雅黑"/>
          <w:sz w:val="24"/>
        </w:rPr>
        <w:t xml:space="preserve"> (hour), daily body temperature maximum from surgery to out-patient (℃), time to </w:t>
      </w:r>
      <w:bookmarkStart w:id="61" w:name="OLE_LINK68"/>
      <w:r>
        <w:rPr>
          <w:rFonts w:eastAsia="微软雅黑"/>
          <w:sz w:val="24"/>
        </w:rPr>
        <w:t>removal of</w:t>
      </w:r>
      <w:bookmarkEnd w:id="61"/>
      <w:r>
        <w:rPr>
          <w:rFonts w:eastAsia="微软雅黑"/>
          <w:sz w:val="24"/>
        </w:rPr>
        <w:t xml:space="preserve"> gastric tube (d), daily volume of gastric drainage (ml), time to removal of abdominal drainage tube (d), daily volume of drainage (ml).</w:t>
      </w:r>
    </w:p>
    <w:p w14:paraId="5D91B775">
      <w:pPr>
        <w:adjustRightInd w:val="0"/>
        <w:snapToGrid w:val="0"/>
        <w:spacing w:line="360" w:lineRule="auto"/>
        <w:ind w:firstLine="480" w:firstLineChars="200"/>
        <w:rPr>
          <w:rFonts w:eastAsia="微软雅黑"/>
          <w:sz w:val="24"/>
        </w:rPr>
      </w:pPr>
      <w:r>
        <w:rPr>
          <w:rFonts w:eastAsia="微软雅黑"/>
          <w:sz w:val="24"/>
        </w:rPr>
        <w:t>Blood transfusion volume (ml) from the end of surgery to postoperative discharge: a transfusion event is defined as infusion of the red blood cell suspension (ml) or whole blood (ml)</w:t>
      </w:r>
    </w:p>
    <w:p w14:paraId="3C0F8648">
      <w:pPr>
        <w:adjustRightInd w:val="0"/>
        <w:snapToGrid w:val="0"/>
        <w:spacing w:line="360" w:lineRule="auto"/>
        <w:ind w:firstLine="480" w:firstLineChars="200"/>
        <w:rPr>
          <w:rFonts w:eastAsia="微软雅黑"/>
          <w:b/>
          <w:bCs/>
          <w:sz w:val="24"/>
        </w:rPr>
      </w:pPr>
      <w:r>
        <w:rPr>
          <w:rFonts w:eastAsia="微软雅黑"/>
          <w:sz w:val="24"/>
        </w:rPr>
        <w:t>Postoperative hospital stays (days): periods form surgery day to first discharge day</w:t>
      </w:r>
    </w:p>
    <w:p w14:paraId="7BFEDAD0">
      <w:pPr>
        <w:adjustRightInd w:val="0"/>
        <w:snapToGrid w:val="0"/>
        <w:spacing w:line="360" w:lineRule="auto"/>
        <w:rPr>
          <w:rFonts w:eastAsia="微软雅黑"/>
          <w:sz w:val="24"/>
        </w:rPr>
      </w:pPr>
      <w:r>
        <w:rPr>
          <w:rFonts w:eastAsia="微软雅黑"/>
          <w:b/>
          <w:bCs/>
          <w:sz w:val="24"/>
        </w:rPr>
        <w:t>9.5 Follow-up</w:t>
      </w:r>
    </w:p>
    <w:p w14:paraId="17A3CC2B">
      <w:pPr>
        <w:adjustRightInd w:val="0"/>
        <w:snapToGrid w:val="0"/>
        <w:spacing w:line="360" w:lineRule="auto"/>
        <w:rPr>
          <w:rFonts w:eastAsia="微软雅黑"/>
          <w:b/>
          <w:sz w:val="24"/>
        </w:rPr>
      </w:pPr>
      <w:r>
        <w:rPr>
          <w:rFonts w:eastAsia="微软雅黑"/>
          <w:b/>
          <w:sz w:val="24"/>
        </w:rPr>
        <w:t>9.5.1 Follow-up period and strategy</w:t>
      </w:r>
    </w:p>
    <w:p w14:paraId="2F07DB98">
      <w:pPr>
        <w:adjustRightInd w:val="0"/>
        <w:snapToGrid w:val="0"/>
        <w:spacing w:line="360" w:lineRule="auto"/>
        <w:ind w:firstLine="480" w:firstLineChars="200"/>
        <w:rPr>
          <w:rFonts w:eastAsia="微软雅黑"/>
          <w:sz w:val="24"/>
        </w:rPr>
      </w:pPr>
      <w:r>
        <w:rPr>
          <w:rFonts w:eastAsia="微软雅黑"/>
          <w:sz w:val="24"/>
        </w:rPr>
        <w:t>Follow-up visits will be completed by special persons for all cases selected in this study .All patients are followed up with every 3 months during the first 2 years and then every 6 months beyond the third year (1, 3, 6, 9, 12, 15,18, 21, 24, 30 and 36 months after the operation). This study suggests that the above examinations should be conducted in the patient's primary surgical research center, but does not exclude outer court review. For outer court review, It recommended that visiting the hospital as a three-level hospital, and these information will be recorded by the follow-up specialist. The occurrence of tumor recurrence or metastasis and the survival status of all patients are evaluated and recorded according to the results of the various examinations. Patients who refuse to follow the protocol should be recorded as lost to follow-up, and at the end of the study, these cases should be analyzed together with cases lost to follow-up in line with the criteria of this study.</w:t>
      </w:r>
    </w:p>
    <w:p w14:paraId="079F06A3">
      <w:pPr>
        <w:adjustRightInd w:val="0"/>
        <w:snapToGrid w:val="0"/>
        <w:spacing w:line="360" w:lineRule="auto"/>
        <w:rPr>
          <w:rFonts w:eastAsia="微软雅黑"/>
          <w:b/>
          <w:sz w:val="24"/>
        </w:rPr>
      </w:pPr>
      <w:r>
        <w:rPr>
          <w:rFonts w:eastAsia="微软雅黑"/>
          <w:b/>
          <w:sz w:val="24"/>
        </w:rPr>
        <w:t>9.5.2 Assessment items during the follow-up</w:t>
      </w:r>
    </w:p>
    <w:p w14:paraId="4352A928">
      <w:pPr>
        <w:adjustRightInd w:val="0"/>
        <w:snapToGrid w:val="0"/>
        <w:spacing w:line="360" w:lineRule="auto"/>
        <w:rPr>
          <w:rFonts w:eastAsia="微软雅黑"/>
          <w:sz w:val="24"/>
        </w:rPr>
      </w:pPr>
      <w:r>
        <w:rPr>
          <w:rFonts w:eastAsia="微软雅黑"/>
          <w:sz w:val="24"/>
        </w:rPr>
        <w:t xml:space="preserve">(1) Systematic physical examination: </w:t>
      </w:r>
    </w:p>
    <w:p w14:paraId="243CF4ED">
      <w:pPr>
        <w:adjustRightInd w:val="0"/>
        <w:snapToGrid w:val="0"/>
        <w:spacing w:line="360" w:lineRule="auto"/>
        <w:ind w:firstLine="240" w:firstLineChars="100"/>
        <w:rPr>
          <w:rFonts w:eastAsia="微软雅黑"/>
          <w:sz w:val="24"/>
        </w:rPr>
      </w:pPr>
      <w:r>
        <w:rPr>
          <w:rFonts w:eastAsia="微软雅黑"/>
          <w:sz w:val="24"/>
        </w:rPr>
        <w:t>The doctor in charge will regularly conduct a systematic physical examination at the time of each follow-up, giving particular attention to superficial LNs, abdomen, and signs of metastases, among others.</w:t>
      </w:r>
    </w:p>
    <w:p w14:paraId="1F9E5F3C">
      <w:pPr>
        <w:adjustRightInd w:val="0"/>
        <w:snapToGrid w:val="0"/>
        <w:spacing w:line="360" w:lineRule="auto"/>
        <w:rPr>
          <w:rFonts w:eastAsia="微软雅黑"/>
          <w:sz w:val="24"/>
        </w:rPr>
      </w:pPr>
      <w:r>
        <w:rPr>
          <w:rFonts w:eastAsia="微软雅黑"/>
          <w:sz w:val="24"/>
        </w:rPr>
        <w:t>(2) Blood test items:</w:t>
      </w:r>
    </w:p>
    <w:p w14:paraId="69836793">
      <w:pPr>
        <w:adjustRightInd w:val="0"/>
        <w:snapToGrid w:val="0"/>
        <w:spacing w:line="360" w:lineRule="auto"/>
        <w:rPr>
          <w:rFonts w:eastAsia="微软雅黑"/>
          <w:sz w:val="24"/>
        </w:rPr>
      </w:pPr>
      <w:r>
        <w:rPr>
          <w:rFonts w:eastAsia="微软雅黑"/>
          <w:sz w:val="24"/>
        </w:rPr>
        <w:t>Peripheral blood routine assessment: Hb, RBC, WBC, LYM, NEU, NEU%, PLT, MONO</w:t>
      </w:r>
    </w:p>
    <w:p w14:paraId="52A1DB7B">
      <w:pPr>
        <w:adjustRightInd w:val="0"/>
        <w:snapToGrid w:val="0"/>
        <w:spacing w:line="360" w:lineRule="auto"/>
        <w:rPr>
          <w:rFonts w:eastAsia="微软雅黑"/>
          <w:sz w:val="24"/>
        </w:rPr>
      </w:pPr>
      <w:r>
        <w:rPr>
          <w:rFonts w:eastAsia="微软雅黑"/>
          <w:sz w:val="24"/>
        </w:rPr>
        <w:t>Biochemistry: Albumin, pre-albumin, total bilirubin, Indirect bilirubin, direct bilirubin, AST, ALT, creatinine, urea nitrogen, Total cholesterol, triglycerides, fasting blood glucose, potassium, sodium, chlorine, calcium, serum tumor markers: CEA, CA19-9, CA72-4, CA12-5, AFP</w:t>
      </w:r>
    </w:p>
    <w:p w14:paraId="51D9AD12">
      <w:pPr>
        <w:adjustRightInd w:val="0"/>
        <w:snapToGrid w:val="0"/>
        <w:spacing w:line="360" w:lineRule="auto"/>
        <w:rPr>
          <w:rFonts w:eastAsia="微软雅黑"/>
          <w:sz w:val="24"/>
        </w:rPr>
      </w:pPr>
      <w:r>
        <w:rPr>
          <w:rFonts w:eastAsia="微软雅黑"/>
          <w:sz w:val="24"/>
        </w:rPr>
        <w:t xml:space="preserve">(3) Imaging items: </w:t>
      </w:r>
    </w:p>
    <w:p w14:paraId="67564C73">
      <w:pPr>
        <w:adjustRightInd w:val="0"/>
        <w:snapToGrid w:val="0"/>
        <w:spacing w:line="360" w:lineRule="auto"/>
        <w:rPr>
          <w:rFonts w:eastAsia="微软雅黑"/>
          <w:sz w:val="24"/>
        </w:rPr>
      </w:pPr>
      <w:r>
        <w:rPr>
          <w:rFonts w:eastAsia="微软雅黑"/>
          <w:sz w:val="24"/>
        </w:rPr>
        <w:t>  Whole abdomen (including cavity) CT (thickness of 10 mm or less, in case of contrast agent allergy, CT horizontal scanning is only allowable or conversion to MRI). Upper gastrointestinal endoscopy (histopathological biopsy, endoscopic ultrasonography when necessary). Chest X-ray (AP and lateral views): lung field condition. Other means of evaluation: gastrointestinal radiography, ultrasonography of other organs, whole body bone scanning, and PET-CT, among others used at physician’s discretion.</w:t>
      </w:r>
    </w:p>
    <w:p w14:paraId="4752D08E">
      <w:pPr>
        <w:adjustRightInd w:val="0"/>
        <w:snapToGrid w:val="0"/>
        <w:spacing w:line="360" w:lineRule="auto"/>
        <w:rPr>
          <w:rFonts w:eastAsia="微软雅黑"/>
          <w:b/>
          <w:sz w:val="24"/>
        </w:rPr>
      </w:pPr>
      <w:r>
        <w:rPr>
          <w:rFonts w:eastAsia="微软雅黑"/>
          <w:b/>
          <w:sz w:val="24"/>
        </w:rPr>
        <w:t>9.5.3 Follow-up process</w:t>
      </w:r>
    </w:p>
    <w:p w14:paraId="304CA4E4">
      <w:pPr>
        <w:adjustRightInd w:val="0"/>
        <w:snapToGrid w:val="0"/>
        <w:spacing w:line="360" w:lineRule="auto"/>
        <w:jc w:val="center"/>
        <w:rPr>
          <w:rFonts w:eastAsia="微软雅黑"/>
          <w:b/>
        </w:rPr>
      </w:pPr>
    </w:p>
    <w:tbl>
      <w:tblPr>
        <w:tblStyle w:val="13"/>
        <w:tblW w:w="9251"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770"/>
        <w:gridCol w:w="769"/>
        <w:gridCol w:w="769"/>
        <w:gridCol w:w="769"/>
        <w:gridCol w:w="769"/>
        <w:gridCol w:w="769"/>
        <w:gridCol w:w="769"/>
        <w:gridCol w:w="769"/>
        <w:gridCol w:w="769"/>
        <w:gridCol w:w="769"/>
      </w:tblGrid>
      <w:tr w14:paraId="3C892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tcPr>
          <w:p w14:paraId="472FE17C">
            <w:pPr>
              <w:adjustRightInd w:val="0"/>
              <w:snapToGrid w:val="0"/>
              <w:spacing w:line="360" w:lineRule="auto"/>
              <w:rPr>
                <w:rFonts w:eastAsia="微软雅黑"/>
                <w:sz w:val="22"/>
                <w:szCs w:val="22"/>
              </w:rPr>
            </w:pPr>
            <w:r>
              <w:rPr>
                <w:rFonts w:eastAsia="微软雅黑"/>
              </w:rPr>
              <w:t>Postoperative</w:t>
            </w:r>
          </w:p>
        </w:tc>
        <w:tc>
          <w:tcPr>
            <w:tcW w:w="770" w:type="dxa"/>
          </w:tcPr>
          <w:p w14:paraId="67039080">
            <w:pPr>
              <w:adjustRightInd w:val="0"/>
              <w:snapToGrid w:val="0"/>
              <w:spacing w:line="360" w:lineRule="auto"/>
              <w:jc w:val="center"/>
              <w:rPr>
                <w:rFonts w:eastAsia="微软雅黑"/>
                <w:szCs w:val="21"/>
              </w:rPr>
            </w:pPr>
            <w:bookmarkStart w:id="62" w:name="OLE_LINK50"/>
            <w:r>
              <w:rPr>
                <w:rFonts w:eastAsia="微软雅黑"/>
                <w:szCs w:val="21"/>
              </w:rPr>
              <w:t>3 months</w:t>
            </w:r>
            <w:bookmarkEnd w:id="62"/>
          </w:p>
        </w:tc>
        <w:tc>
          <w:tcPr>
            <w:tcW w:w="769" w:type="dxa"/>
          </w:tcPr>
          <w:p w14:paraId="0E45F38F">
            <w:pPr>
              <w:adjustRightInd w:val="0"/>
              <w:snapToGrid w:val="0"/>
              <w:spacing w:line="360" w:lineRule="auto"/>
              <w:jc w:val="center"/>
              <w:rPr>
                <w:rFonts w:eastAsia="微软雅黑"/>
                <w:szCs w:val="21"/>
              </w:rPr>
            </w:pPr>
            <w:r>
              <w:rPr>
                <w:rFonts w:eastAsia="微软雅黑"/>
                <w:szCs w:val="21"/>
              </w:rPr>
              <w:t xml:space="preserve">6 </w:t>
            </w:r>
            <w:bookmarkStart w:id="63" w:name="OLE_LINK51"/>
            <w:r>
              <w:rPr>
                <w:rFonts w:eastAsia="微软雅黑"/>
                <w:szCs w:val="21"/>
              </w:rPr>
              <w:t>months</w:t>
            </w:r>
            <w:bookmarkEnd w:id="63"/>
          </w:p>
        </w:tc>
        <w:tc>
          <w:tcPr>
            <w:tcW w:w="769" w:type="dxa"/>
          </w:tcPr>
          <w:p w14:paraId="2E959338">
            <w:pPr>
              <w:adjustRightInd w:val="0"/>
              <w:snapToGrid w:val="0"/>
              <w:spacing w:line="360" w:lineRule="auto"/>
              <w:jc w:val="center"/>
              <w:rPr>
                <w:rFonts w:eastAsia="微软雅黑"/>
                <w:szCs w:val="21"/>
              </w:rPr>
            </w:pPr>
            <w:r>
              <w:rPr>
                <w:rFonts w:eastAsia="微软雅黑"/>
                <w:szCs w:val="21"/>
              </w:rPr>
              <w:t xml:space="preserve">9 </w:t>
            </w:r>
            <w:bookmarkStart w:id="64" w:name="OLE_LINK52"/>
            <w:r>
              <w:rPr>
                <w:rFonts w:eastAsia="微软雅黑"/>
                <w:szCs w:val="21"/>
              </w:rPr>
              <w:t>months</w:t>
            </w:r>
            <w:bookmarkEnd w:id="64"/>
          </w:p>
        </w:tc>
        <w:tc>
          <w:tcPr>
            <w:tcW w:w="769" w:type="dxa"/>
          </w:tcPr>
          <w:p w14:paraId="3FCE8185">
            <w:pPr>
              <w:adjustRightInd w:val="0"/>
              <w:snapToGrid w:val="0"/>
              <w:spacing w:line="360" w:lineRule="auto"/>
              <w:jc w:val="center"/>
              <w:rPr>
                <w:rFonts w:eastAsia="微软雅黑"/>
                <w:szCs w:val="21"/>
              </w:rPr>
            </w:pPr>
            <w:r>
              <w:rPr>
                <w:rFonts w:eastAsia="微软雅黑"/>
                <w:szCs w:val="21"/>
              </w:rPr>
              <w:t>12 months</w:t>
            </w:r>
          </w:p>
        </w:tc>
        <w:tc>
          <w:tcPr>
            <w:tcW w:w="769" w:type="dxa"/>
          </w:tcPr>
          <w:p w14:paraId="16E00C1B">
            <w:pPr>
              <w:adjustRightInd w:val="0"/>
              <w:snapToGrid w:val="0"/>
              <w:spacing w:line="360" w:lineRule="auto"/>
              <w:jc w:val="center"/>
              <w:rPr>
                <w:rFonts w:eastAsia="微软雅黑"/>
                <w:szCs w:val="21"/>
              </w:rPr>
            </w:pPr>
            <w:r>
              <w:rPr>
                <w:rFonts w:eastAsia="微软雅黑"/>
                <w:szCs w:val="21"/>
              </w:rPr>
              <w:t>15 months</w:t>
            </w:r>
          </w:p>
        </w:tc>
        <w:tc>
          <w:tcPr>
            <w:tcW w:w="769" w:type="dxa"/>
          </w:tcPr>
          <w:p w14:paraId="73C346E8">
            <w:pPr>
              <w:adjustRightInd w:val="0"/>
              <w:snapToGrid w:val="0"/>
              <w:spacing w:line="360" w:lineRule="auto"/>
              <w:jc w:val="center"/>
              <w:rPr>
                <w:rFonts w:eastAsia="微软雅黑"/>
                <w:szCs w:val="21"/>
              </w:rPr>
            </w:pPr>
            <w:r>
              <w:rPr>
                <w:rFonts w:eastAsia="微软雅黑"/>
                <w:szCs w:val="21"/>
              </w:rPr>
              <w:t>18 months</w:t>
            </w:r>
          </w:p>
        </w:tc>
        <w:tc>
          <w:tcPr>
            <w:tcW w:w="769" w:type="dxa"/>
          </w:tcPr>
          <w:p w14:paraId="70B0BA64">
            <w:pPr>
              <w:adjustRightInd w:val="0"/>
              <w:snapToGrid w:val="0"/>
              <w:spacing w:line="360" w:lineRule="auto"/>
              <w:jc w:val="center"/>
              <w:rPr>
                <w:rFonts w:eastAsia="微软雅黑"/>
                <w:szCs w:val="21"/>
              </w:rPr>
            </w:pPr>
            <w:r>
              <w:rPr>
                <w:rFonts w:eastAsia="微软雅黑"/>
                <w:szCs w:val="21"/>
              </w:rPr>
              <w:t>21 months</w:t>
            </w:r>
          </w:p>
        </w:tc>
        <w:tc>
          <w:tcPr>
            <w:tcW w:w="769" w:type="dxa"/>
          </w:tcPr>
          <w:p w14:paraId="44AE2354">
            <w:pPr>
              <w:adjustRightInd w:val="0"/>
              <w:snapToGrid w:val="0"/>
              <w:spacing w:line="360" w:lineRule="auto"/>
              <w:jc w:val="center"/>
              <w:rPr>
                <w:rFonts w:eastAsia="微软雅黑"/>
                <w:szCs w:val="21"/>
              </w:rPr>
            </w:pPr>
            <w:r>
              <w:rPr>
                <w:rFonts w:eastAsia="微软雅黑"/>
                <w:szCs w:val="21"/>
              </w:rPr>
              <w:t>2 years</w:t>
            </w:r>
          </w:p>
        </w:tc>
        <w:tc>
          <w:tcPr>
            <w:tcW w:w="769" w:type="dxa"/>
          </w:tcPr>
          <w:p w14:paraId="59A06EC4">
            <w:pPr>
              <w:adjustRightInd w:val="0"/>
              <w:snapToGrid w:val="0"/>
              <w:spacing w:line="360" w:lineRule="auto"/>
              <w:jc w:val="center"/>
              <w:rPr>
                <w:rFonts w:eastAsia="微软雅黑"/>
                <w:szCs w:val="21"/>
              </w:rPr>
            </w:pPr>
            <w:r>
              <w:rPr>
                <w:rFonts w:eastAsia="微软雅黑"/>
                <w:szCs w:val="21"/>
              </w:rPr>
              <w:t>2 years and a half</w:t>
            </w:r>
          </w:p>
        </w:tc>
        <w:tc>
          <w:tcPr>
            <w:tcW w:w="769" w:type="dxa"/>
          </w:tcPr>
          <w:p w14:paraId="4B9B234A">
            <w:pPr>
              <w:adjustRightInd w:val="0"/>
              <w:snapToGrid w:val="0"/>
              <w:spacing w:line="360" w:lineRule="auto"/>
              <w:jc w:val="center"/>
              <w:rPr>
                <w:rFonts w:eastAsia="微软雅黑"/>
                <w:szCs w:val="21"/>
              </w:rPr>
            </w:pPr>
            <w:r>
              <w:rPr>
                <w:rFonts w:eastAsia="微软雅黑"/>
                <w:szCs w:val="21"/>
              </w:rPr>
              <w:t>3 years</w:t>
            </w:r>
          </w:p>
        </w:tc>
      </w:tr>
      <w:tr w14:paraId="3DB9F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tcPr>
          <w:p w14:paraId="6A691B7D">
            <w:pPr>
              <w:adjustRightInd w:val="0"/>
              <w:snapToGrid w:val="0"/>
              <w:spacing w:line="360" w:lineRule="auto"/>
              <w:rPr>
                <w:rFonts w:eastAsia="微软雅黑"/>
                <w:szCs w:val="21"/>
              </w:rPr>
            </w:pPr>
            <w:r>
              <w:rPr>
                <w:rFonts w:eastAsia="微软雅黑"/>
                <w:szCs w:val="21"/>
              </w:rPr>
              <w:t>Date of actual visit</w:t>
            </w:r>
          </w:p>
        </w:tc>
        <w:tc>
          <w:tcPr>
            <w:tcW w:w="770" w:type="dxa"/>
          </w:tcPr>
          <w:p w14:paraId="63DDF6BB">
            <w:pPr>
              <w:adjustRightInd w:val="0"/>
              <w:snapToGrid w:val="0"/>
              <w:spacing w:line="360" w:lineRule="auto"/>
              <w:rPr>
                <w:rFonts w:eastAsia="微软雅黑"/>
                <w:sz w:val="22"/>
                <w:szCs w:val="22"/>
              </w:rPr>
            </w:pPr>
            <w:r>
              <w:rPr>
                <w:rFonts w:eastAsia="微软雅黑"/>
              </w:rPr>
              <w:t xml:space="preserve"> </w:t>
            </w:r>
          </w:p>
        </w:tc>
        <w:tc>
          <w:tcPr>
            <w:tcW w:w="769" w:type="dxa"/>
          </w:tcPr>
          <w:p w14:paraId="0013310F">
            <w:pPr>
              <w:adjustRightInd w:val="0"/>
              <w:snapToGrid w:val="0"/>
              <w:spacing w:line="360" w:lineRule="auto"/>
              <w:rPr>
                <w:rFonts w:eastAsia="微软雅黑"/>
                <w:sz w:val="22"/>
                <w:szCs w:val="22"/>
              </w:rPr>
            </w:pPr>
            <w:r>
              <w:rPr>
                <w:rFonts w:eastAsia="微软雅黑"/>
              </w:rPr>
              <w:t xml:space="preserve"> </w:t>
            </w:r>
          </w:p>
        </w:tc>
        <w:tc>
          <w:tcPr>
            <w:tcW w:w="769" w:type="dxa"/>
          </w:tcPr>
          <w:p w14:paraId="4F0CA25F">
            <w:pPr>
              <w:adjustRightInd w:val="0"/>
              <w:snapToGrid w:val="0"/>
              <w:spacing w:line="360" w:lineRule="auto"/>
              <w:rPr>
                <w:rFonts w:eastAsia="微软雅黑"/>
                <w:sz w:val="22"/>
                <w:szCs w:val="22"/>
              </w:rPr>
            </w:pPr>
            <w:r>
              <w:rPr>
                <w:rFonts w:eastAsia="微软雅黑"/>
              </w:rPr>
              <w:t xml:space="preserve"> </w:t>
            </w:r>
          </w:p>
        </w:tc>
        <w:tc>
          <w:tcPr>
            <w:tcW w:w="769" w:type="dxa"/>
          </w:tcPr>
          <w:p w14:paraId="428E6984">
            <w:pPr>
              <w:adjustRightInd w:val="0"/>
              <w:snapToGrid w:val="0"/>
              <w:spacing w:line="360" w:lineRule="auto"/>
              <w:rPr>
                <w:rFonts w:eastAsia="微软雅黑"/>
                <w:sz w:val="22"/>
                <w:szCs w:val="22"/>
              </w:rPr>
            </w:pPr>
            <w:r>
              <w:rPr>
                <w:rFonts w:eastAsia="微软雅黑"/>
              </w:rPr>
              <w:t xml:space="preserve"> </w:t>
            </w:r>
          </w:p>
        </w:tc>
        <w:tc>
          <w:tcPr>
            <w:tcW w:w="769" w:type="dxa"/>
          </w:tcPr>
          <w:p w14:paraId="44B6E50B">
            <w:pPr>
              <w:adjustRightInd w:val="0"/>
              <w:snapToGrid w:val="0"/>
              <w:spacing w:line="360" w:lineRule="auto"/>
              <w:rPr>
                <w:rFonts w:eastAsia="微软雅黑"/>
                <w:sz w:val="22"/>
                <w:szCs w:val="22"/>
              </w:rPr>
            </w:pPr>
            <w:r>
              <w:rPr>
                <w:rFonts w:eastAsia="微软雅黑"/>
              </w:rPr>
              <w:t xml:space="preserve"> </w:t>
            </w:r>
          </w:p>
        </w:tc>
        <w:tc>
          <w:tcPr>
            <w:tcW w:w="769" w:type="dxa"/>
          </w:tcPr>
          <w:p w14:paraId="62EC85D0">
            <w:pPr>
              <w:adjustRightInd w:val="0"/>
              <w:snapToGrid w:val="0"/>
              <w:spacing w:line="360" w:lineRule="auto"/>
              <w:rPr>
                <w:rFonts w:eastAsia="微软雅黑"/>
                <w:sz w:val="22"/>
                <w:szCs w:val="22"/>
              </w:rPr>
            </w:pPr>
            <w:r>
              <w:rPr>
                <w:rFonts w:eastAsia="微软雅黑"/>
              </w:rPr>
              <w:t xml:space="preserve"> </w:t>
            </w:r>
          </w:p>
        </w:tc>
        <w:tc>
          <w:tcPr>
            <w:tcW w:w="769" w:type="dxa"/>
          </w:tcPr>
          <w:p w14:paraId="182B9DFF">
            <w:pPr>
              <w:adjustRightInd w:val="0"/>
              <w:snapToGrid w:val="0"/>
              <w:spacing w:line="360" w:lineRule="auto"/>
              <w:rPr>
                <w:rFonts w:eastAsia="微软雅黑"/>
                <w:sz w:val="22"/>
                <w:szCs w:val="22"/>
              </w:rPr>
            </w:pPr>
            <w:r>
              <w:rPr>
                <w:rFonts w:eastAsia="微软雅黑"/>
              </w:rPr>
              <w:t xml:space="preserve"> </w:t>
            </w:r>
          </w:p>
        </w:tc>
        <w:tc>
          <w:tcPr>
            <w:tcW w:w="769" w:type="dxa"/>
          </w:tcPr>
          <w:p w14:paraId="4B967608">
            <w:pPr>
              <w:adjustRightInd w:val="0"/>
              <w:snapToGrid w:val="0"/>
              <w:spacing w:line="360" w:lineRule="auto"/>
              <w:rPr>
                <w:rFonts w:eastAsia="微软雅黑"/>
                <w:sz w:val="22"/>
                <w:szCs w:val="22"/>
              </w:rPr>
            </w:pPr>
            <w:r>
              <w:rPr>
                <w:rFonts w:eastAsia="微软雅黑"/>
              </w:rPr>
              <w:t xml:space="preserve"> </w:t>
            </w:r>
          </w:p>
        </w:tc>
        <w:tc>
          <w:tcPr>
            <w:tcW w:w="769" w:type="dxa"/>
          </w:tcPr>
          <w:p w14:paraId="55294597">
            <w:pPr>
              <w:adjustRightInd w:val="0"/>
              <w:snapToGrid w:val="0"/>
              <w:spacing w:line="360" w:lineRule="auto"/>
              <w:rPr>
                <w:rFonts w:eastAsia="微软雅黑"/>
                <w:sz w:val="22"/>
                <w:szCs w:val="22"/>
              </w:rPr>
            </w:pPr>
            <w:r>
              <w:rPr>
                <w:rFonts w:eastAsia="微软雅黑"/>
              </w:rPr>
              <w:t xml:space="preserve"> </w:t>
            </w:r>
          </w:p>
        </w:tc>
        <w:tc>
          <w:tcPr>
            <w:tcW w:w="769" w:type="dxa"/>
          </w:tcPr>
          <w:p w14:paraId="40542D34">
            <w:pPr>
              <w:adjustRightInd w:val="0"/>
              <w:snapToGrid w:val="0"/>
              <w:spacing w:line="360" w:lineRule="auto"/>
              <w:rPr>
                <w:rFonts w:eastAsia="微软雅黑"/>
                <w:sz w:val="22"/>
                <w:szCs w:val="22"/>
              </w:rPr>
            </w:pPr>
            <w:r>
              <w:rPr>
                <w:rFonts w:eastAsia="微软雅黑"/>
              </w:rPr>
              <w:t xml:space="preserve"> </w:t>
            </w:r>
          </w:p>
        </w:tc>
      </w:tr>
      <w:tr w14:paraId="5ABEA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tcPr>
          <w:p w14:paraId="75F90A9C">
            <w:pPr>
              <w:adjustRightInd w:val="0"/>
              <w:snapToGrid w:val="0"/>
              <w:spacing w:line="360" w:lineRule="auto"/>
              <w:rPr>
                <w:rFonts w:eastAsia="微软雅黑"/>
                <w:szCs w:val="21"/>
              </w:rPr>
            </w:pPr>
            <w:bookmarkStart w:id="65" w:name="OLE_LINK53"/>
            <w:r>
              <w:rPr>
                <w:rFonts w:eastAsia="微软雅黑"/>
                <w:szCs w:val="21"/>
              </w:rPr>
              <w:t>Physical examination</w:t>
            </w:r>
            <w:bookmarkEnd w:id="65"/>
          </w:p>
        </w:tc>
        <w:tc>
          <w:tcPr>
            <w:tcW w:w="770" w:type="dxa"/>
          </w:tcPr>
          <w:p w14:paraId="7B9E6CA2">
            <w:pPr>
              <w:adjustRightInd w:val="0"/>
              <w:snapToGrid w:val="0"/>
              <w:spacing w:line="360" w:lineRule="auto"/>
              <w:rPr>
                <w:rFonts w:eastAsia="微软雅黑"/>
                <w:sz w:val="22"/>
                <w:szCs w:val="22"/>
              </w:rPr>
            </w:pPr>
            <w:r>
              <w:rPr>
                <w:rFonts w:eastAsia="微软雅黑"/>
              </w:rPr>
              <w:t xml:space="preserve"> </w:t>
            </w:r>
          </w:p>
        </w:tc>
        <w:tc>
          <w:tcPr>
            <w:tcW w:w="769" w:type="dxa"/>
          </w:tcPr>
          <w:p w14:paraId="780221EC">
            <w:pPr>
              <w:adjustRightInd w:val="0"/>
              <w:snapToGrid w:val="0"/>
              <w:spacing w:line="360" w:lineRule="auto"/>
              <w:rPr>
                <w:rFonts w:eastAsia="微软雅黑"/>
                <w:sz w:val="22"/>
                <w:szCs w:val="22"/>
              </w:rPr>
            </w:pPr>
            <w:r>
              <w:rPr>
                <w:rFonts w:eastAsia="微软雅黑"/>
              </w:rPr>
              <w:t xml:space="preserve"> </w:t>
            </w:r>
          </w:p>
        </w:tc>
        <w:tc>
          <w:tcPr>
            <w:tcW w:w="769" w:type="dxa"/>
          </w:tcPr>
          <w:p w14:paraId="121F4C21">
            <w:pPr>
              <w:adjustRightInd w:val="0"/>
              <w:snapToGrid w:val="0"/>
              <w:spacing w:line="360" w:lineRule="auto"/>
              <w:rPr>
                <w:rFonts w:eastAsia="微软雅黑"/>
                <w:sz w:val="22"/>
                <w:szCs w:val="22"/>
              </w:rPr>
            </w:pPr>
            <w:r>
              <w:rPr>
                <w:rFonts w:eastAsia="微软雅黑"/>
              </w:rPr>
              <w:t xml:space="preserve"> </w:t>
            </w:r>
          </w:p>
        </w:tc>
        <w:tc>
          <w:tcPr>
            <w:tcW w:w="769" w:type="dxa"/>
          </w:tcPr>
          <w:p w14:paraId="32FB8F5A">
            <w:pPr>
              <w:adjustRightInd w:val="0"/>
              <w:snapToGrid w:val="0"/>
              <w:spacing w:line="360" w:lineRule="auto"/>
              <w:rPr>
                <w:rFonts w:eastAsia="微软雅黑"/>
                <w:sz w:val="22"/>
                <w:szCs w:val="22"/>
              </w:rPr>
            </w:pPr>
            <w:r>
              <w:rPr>
                <w:rFonts w:eastAsia="微软雅黑"/>
              </w:rPr>
              <w:t xml:space="preserve"> </w:t>
            </w:r>
          </w:p>
        </w:tc>
        <w:tc>
          <w:tcPr>
            <w:tcW w:w="769" w:type="dxa"/>
          </w:tcPr>
          <w:p w14:paraId="29E563F8">
            <w:pPr>
              <w:adjustRightInd w:val="0"/>
              <w:snapToGrid w:val="0"/>
              <w:spacing w:line="360" w:lineRule="auto"/>
              <w:rPr>
                <w:rFonts w:eastAsia="微软雅黑"/>
                <w:sz w:val="22"/>
                <w:szCs w:val="22"/>
              </w:rPr>
            </w:pPr>
            <w:r>
              <w:rPr>
                <w:rFonts w:eastAsia="微软雅黑"/>
              </w:rPr>
              <w:t xml:space="preserve"> </w:t>
            </w:r>
          </w:p>
        </w:tc>
        <w:tc>
          <w:tcPr>
            <w:tcW w:w="769" w:type="dxa"/>
          </w:tcPr>
          <w:p w14:paraId="08AB1C7D">
            <w:pPr>
              <w:adjustRightInd w:val="0"/>
              <w:snapToGrid w:val="0"/>
              <w:spacing w:line="360" w:lineRule="auto"/>
              <w:rPr>
                <w:rFonts w:eastAsia="微软雅黑"/>
                <w:sz w:val="22"/>
                <w:szCs w:val="22"/>
              </w:rPr>
            </w:pPr>
            <w:r>
              <w:rPr>
                <w:rFonts w:eastAsia="微软雅黑"/>
              </w:rPr>
              <w:t xml:space="preserve"> </w:t>
            </w:r>
          </w:p>
        </w:tc>
        <w:tc>
          <w:tcPr>
            <w:tcW w:w="769" w:type="dxa"/>
          </w:tcPr>
          <w:p w14:paraId="685B3582">
            <w:pPr>
              <w:adjustRightInd w:val="0"/>
              <w:snapToGrid w:val="0"/>
              <w:spacing w:line="360" w:lineRule="auto"/>
              <w:rPr>
                <w:rFonts w:eastAsia="微软雅黑"/>
                <w:sz w:val="22"/>
                <w:szCs w:val="22"/>
              </w:rPr>
            </w:pPr>
            <w:r>
              <w:rPr>
                <w:rFonts w:eastAsia="微软雅黑"/>
              </w:rPr>
              <w:t xml:space="preserve"> </w:t>
            </w:r>
          </w:p>
        </w:tc>
        <w:tc>
          <w:tcPr>
            <w:tcW w:w="769" w:type="dxa"/>
          </w:tcPr>
          <w:p w14:paraId="2A5F7242">
            <w:pPr>
              <w:adjustRightInd w:val="0"/>
              <w:snapToGrid w:val="0"/>
              <w:spacing w:line="360" w:lineRule="auto"/>
              <w:rPr>
                <w:rFonts w:eastAsia="微软雅黑"/>
                <w:sz w:val="22"/>
                <w:szCs w:val="22"/>
              </w:rPr>
            </w:pPr>
            <w:r>
              <w:rPr>
                <w:rFonts w:eastAsia="微软雅黑"/>
              </w:rPr>
              <w:t xml:space="preserve"> </w:t>
            </w:r>
          </w:p>
        </w:tc>
        <w:tc>
          <w:tcPr>
            <w:tcW w:w="769" w:type="dxa"/>
          </w:tcPr>
          <w:p w14:paraId="6818F1E6">
            <w:pPr>
              <w:adjustRightInd w:val="0"/>
              <w:snapToGrid w:val="0"/>
              <w:spacing w:line="360" w:lineRule="auto"/>
              <w:rPr>
                <w:rFonts w:eastAsia="微软雅黑"/>
                <w:sz w:val="22"/>
                <w:szCs w:val="22"/>
              </w:rPr>
            </w:pPr>
            <w:r>
              <w:rPr>
                <w:rFonts w:eastAsia="微软雅黑"/>
              </w:rPr>
              <w:t xml:space="preserve"> </w:t>
            </w:r>
          </w:p>
        </w:tc>
        <w:tc>
          <w:tcPr>
            <w:tcW w:w="769" w:type="dxa"/>
          </w:tcPr>
          <w:p w14:paraId="539A2876">
            <w:pPr>
              <w:adjustRightInd w:val="0"/>
              <w:snapToGrid w:val="0"/>
              <w:spacing w:line="360" w:lineRule="auto"/>
              <w:rPr>
                <w:rFonts w:eastAsia="微软雅黑"/>
                <w:sz w:val="22"/>
                <w:szCs w:val="22"/>
              </w:rPr>
            </w:pPr>
            <w:r>
              <w:rPr>
                <w:rFonts w:eastAsia="微软雅黑"/>
              </w:rPr>
              <w:t xml:space="preserve"> </w:t>
            </w:r>
          </w:p>
        </w:tc>
      </w:tr>
      <w:tr w14:paraId="7547F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tcPr>
          <w:p w14:paraId="48A222CB">
            <w:pPr>
              <w:adjustRightInd w:val="0"/>
              <w:snapToGrid w:val="0"/>
              <w:spacing w:line="360" w:lineRule="auto"/>
              <w:rPr>
                <w:rFonts w:eastAsia="微软雅黑"/>
                <w:szCs w:val="21"/>
              </w:rPr>
            </w:pPr>
            <w:r>
              <w:rPr>
                <w:rFonts w:eastAsia="微软雅黑"/>
                <w:szCs w:val="21"/>
              </w:rPr>
              <w:t>Blood Routine</w:t>
            </w:r>
          </w:p>
        </w:tc>
        <w:tc>
          <w:tcPr>
            <w:tcW w:w="770" w:type="dxa"/>
          </w:tcPr>
          <w:p w14:paraId="1E5B942E">
            <w:pPr>
              <w:adjustRightInd w:val="0"/>
              <w:snapToGrid w:val="0"/>
              <w:spacing w:line="360" w:lineRule="auto"/>
              <w:rPr>
                <w:rFonts w:eastAsia="微软雅黑"/>
                <w:sz w:val="22"/>
                <w:szCs w:val="22"/>
              </w:rPr>
            </w:pPr>
            <w:r>
              <w:rPr>
                <w:rFonts w:eastAsia="微软雅黑"/>
              </w:rPr>
              <w:t xml:space="preserve"> </w:t>
            </w:r>
          </w:p>
        </w:tc>
        <w:tc>
          <w:tcPr>
            <w:tcW w:w="769" w:type="dxa"/>
          </w:tcPr>
          <w:p w14:paraId="504B9A95">
            <w:pPr>
              <w:adjustRightInd w:val="0"/>
              <w:snapToGrid w:val="0"/>
              <w:spacing w:line="360" w:lineRule="auto"/>
              <w:rPr>
                <w:rFonts w:eastAsia="微软雅黑"/>
                <w:sz w:val="22"/>
                <w:szCs w:val="22"/>
              </w:rPr>
            </w:pPr>
            <w:r>
              <w:rPr>
                <w:rFonts w:eastAsia="微软雅黑"/>
              </w:rPr>
              <w:t xml:space="preserve"> </w:t>
            </w:r>
          </w:p>
        </w:tc>
        <w:tc>
          <w:tcPr>
            <w:tcW w:w="769" w:type="dxa"/>
          </w:tcPr>
          <w:p w14:paraId="55823509">
            <w:pPr>
              <w:adjustRightInd w:val="0"/>
              <w:snapToGrid w:val="0"/>
              <w:spacing w:line="360" w:lineRule="auto"/>
              <w:rPr>
                <w:rFonts w:eastAsia="微软雅黑"/>
                <w:sz w:val="22"/>
                <w:szCs w:val="22"/>
              </w:rPr>
            </w:pPr>
            <w:r>
              <w:rPr>
                <w:rFonts w:eastAsia="微软雅黑"/>
              </w:rPr>
              <w:t xml:space="preserve"> </w:t>
            </w:r>
          </w:p>
        </w:tc>
        <w:tc>
          <w:tcPr>
            <w:tcW w:w="769" w:type="dxa"/>
          </w:tcPr>
          <w:p w14:paraId="7708E21F">
            <w:pPr>
              <w:adjustRightInd w:val="0"/>
              <w:snapToGrid w:val="0"/>
              <w:spacing w:line="360" w:lineRule="auto"/>
              <w:rPr>
                <w:rFonts w:eastAsia="微软雅黑"/>
                <w:sz w:val="22"/>
                <w:szCs w:val="22"/>
              </w:rPr>
            </w:pPr>
            <w:r>
              <w:rPr>
                <w:rFonts w:eastAsia="微软雅黑"/>
              </w:rPr>
              <w:t xml:space="preserve"> </w:t>
            </w:r>
          </w:p>
        </w:tc>
        <w:tc>
          <w:tcPr>
            <w:tcW w:w="769" w:type="dxa"/>
          </w:tcPr>
          <w:p w14:paraId="6643820E">
            <w:pPr>
              <w:adjustRightInd w:val="0"/>
              <w:snapToGrid w:val="0"/>
              <w:spacing w:line="360" w:lineRule="auto"/>
              <w:rPr>
                <w:rFonts w:eastAsia="微软雅黑"/>
                <w:sz w:val="22"/>
                <w:szCs w:val="22"/>
              </w:rPr>
            </w:pPr>
            <w:r>
              <w:rPr>
                <w:rFonts w:eastAsia="微软雅黑"/>
              </w:rPr>
              <w:t xml:space="preserve"> </w:t>
            </w:r>
          </w:p>
        </w:tc>
        <w:tc>
          <w:tcPr>
            <w:tcW w:w="769" w:type="dxa"/>
          </w:tcPr>
          <w:p w14:paraId="096B717B">
            <w:pPr>
              <w:adjustRightInd w:val="0"/>
              <w:snapToGrid w:val="0"/>
              <w:spacing w:line="360" w:lineRule="auto"/>
              <w:rPr>
                <w:rFonts w:eastAsia="微软雅黑"/>
                <w:sz w:val="22"/>
                <w:szCs w:val="22"/>
              </w:rPr>
            </w:pPr>
            <w:r>
              <w:rPr>
                <w:rFonts w:eastAsia="微软雅黑"/>
              </w:rPr>
              <w:t xml:space="preserve"> </w:t>
            </w:r>
          </w:p>
        </w:tc>
        <w:tc>
          <w:tcPr>
            <w:tcW w:w="769" w:type="dxa"/>
          </w:tcPr>
          <w:p w14:paraId="593A2863">
            <w:pPr>
              <w:adjustRightInd w:val="0"/>
              <w:snapToGrid w:val="0"/>
              <w:spacing w:line="360" w:lineRule="auto"/>
              <w:rPr>
                <w:rFonts w:eastAsia="微软雅黑"/>
                <w:sz w:val="22"/>
                <w:szCs w:val="22"/>
              </w:rPr>
            </w:pPr>
            <w:r>
              <w:rPr>
                <w:rFonts w:eastAsia="微软雅黑"/>
              </w:rPr>
              <w:t xml:space="preserve"> </w:t>
            </w:r>
          </w:p>
        </w:tc>
        <w:tc>
          <w:tcPr>
            <w:tcW w:w="769" w:type="dxa"/>
          </w:tcPr>
          <w:p w14:paraId="5B634991">
            <w:pPr>
              <w:adjustRightInd w:val="0"/>
              <w:snapToGrid w:val="0"/>
              <w:spacing w:line="360" w:lineRule="auto"/>
              <w:rPr>
                <w:rFonts w:eastAsia="微软雅黑"/>
                <w:sz w:val="22"/>
                <w:szCs w:val="22"/>
              </w:rPr>
            </w:pPr>
            <w:r>
              <w:rPr>
                <w:rFonts w:eastAsia="微软雅黑"/>
              </w:rPr>
              <w:t xml:space="preserve"> </w:t>
            </w:r>
          </w:p>
        </w:tc>
        <w:tc>
          <w:tcPr>
            <w:tcW w:w="769" w:type="dxa"/>
          </w:tcPr>
          <w:p w14:paraId="664D2494">
            <w:pPr>
              <w:adjustRightInd w:val="0"/>
              <w:snapToGrid w:val="0"/>
              <w:spacing w:line="360" w:lineRule="auto"/>
              <w:rPr>
                <w:rFonts w:eastAsia="微软雅黑"/>
                <w:sz w:val="22"/>
                <w:szCs w:val="22"/>
              </w:rPr>
            </w:pPr>
            <w:r>
              <w:rPr>
                <w:rFonts w:eastAsia="微软雅黑"/>
              </w:rPr>
              <w:t xml:space="preserve"> </w:t>
            </w:r>
          </w:p>
        </w:tc>
        <w:tc>
          <w:tcPr>
            <w:tcW w:w="769" w:type="dxa"/>
          </w:tcPr>
          <w:p w14:paraId="09AEFEE9">
            <w:pPr>
              <w:adjustRightInd w:val="0"/>
              <w:snapToGrid w:val="0"/>
              <w:spacing w:line="360" w:lineRule="auto"/>
              <w:rPr>
                <w:rFonts w:eastAsia="微软雅黑"/>
                <w:sz w:val="22"/>
                <w:szCs w:val="22"/>
              </w:rPr>
            </w:pPr>
            <w:r>
              <w:rPr>
                <w:rFonts w:eastAsia="微软雅黑"/>
              </w:rPr>
              <w:t xml:space="preserve"> </w:t>
            </w:r>
          </w:p>
        </w:tc>
      </w:tr>
      <w:tr w14:paraId="39F64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tcPr>
          <w:p w14:paraId="7387AF20">
            <w:pPr>
              <w:adjustRightInd w:val="0"/>
              <w:snapToGrid w:val="0"/>
              <w:spacing w:line="360" w:lineRule="auto"/>
              <w:rPr>
                <w:rFonts w:eastAsia="微软雅黑"/>
                <w:szCs w:val="21"/>
              </w:rPr>
            </w:pPr>
            <w:r>
              <w:rPr>
                <w:rFonts w:eastAsia="微软雅黑"/>
                <w:szCs w:val="21"/>
              </w:rPr>
              <w:t>Blood biochemistry</w:t>
            </w:r>
          </w:p>
        </w:tc>
        <w:tc>
          <w:tcPr>
            <w:tcW w:w="770" w:type="dxa"/>
          </w:tcPr>
          <w:p w14:paraId="64C5CB85">
            <w:pPr>
              <w:adjustRightInd w:val="0"/>
              <w:snapToGrid w:val="0"/>
              <w:spacing w:line="360" w:lineRule="auto"/>
              <w:rPr>
                <w:rFonts w:eastAsia="微软雅黑"/>
                <w:sz w:val="22"/>
                <w:szCs w:val="22"/>
              </w:rPr>
            </w:pPr>
            <w:r>
              <w:rPr>
                <w:rFonts w:eastAsia="微软雅黑"/>
              </w:rPr>
              <w:t xml:space="preserve"> </w:t>
            </w:r>
          </w:p>
        </w:tc>
        <w:tc>
          <w:tcPr>
            <w:tcW w:w="769" w:type="dxa"/>
          </w:tcPr>
          <w:p w14:paraId="37F5E78E">
            <w:pPr>
              <w:adjustRightInd w:val="0"/>
              <w:snapToGrid w:val="0"/>
              <w:spacing w:line="360" w:lineRule="auto"/>
              <w:rPr>
                <w:rFonts w:eastAsia="微软雅黑"/>
                <w:sz w:val="22"/>
                <w:szCs w:val="22"/>
              </w:rPr>
            </w:pPr>
            <w:r>
              <w:rPr>
                <w:rFonts w:eastAsia="微软雅黑"/>
              </w:rPr>
              <w:t xml:space="preserve"> </w:t>
            </w:r>
          </w:p>
        </w:tc>
        <w:tc>
          <w:tcPr>
            <w:tcW w:w="769" w:type="dxa"/>
          </w:tcPr>
          <w:p w14:paraId="57831CD7">
            <w:pPr>
              <w:adjustRightInd w:val="0"/>
              <w:snapToGrid w:val="0"/>
              <w:spacing w:line="360" w:lineRule="auto"/>
              <w:rPr>
                <w:rFonts w:eastAsia="微软雅黑"/>
                <w:sz w:val="22"/>
                <w:szCs w:val="22"/>
              </w:rPr>
            </w:pPr>
            <w:r>
              <w:rPr>
                <w:rFonts w:eastAsia="微软雅黑"/>
              </w:rPr>
              <w:t xml:space="preserve"> </w:t>
            </w:r>
          </w:p>
        </w:tc>
        <w:tc>
          <w:tcPr>
            <w:tcW w:w="769" w:type="dxa"/>
          </w:tcPr>
          <w:p w14:paraId="33120896">
            <w:pPr>
              <w:adjustRightInd w:val="0"/>
              <w:snapToGrid w:val="0"/>
              <w:spacing w:line="360" w:lineRule="auto"/>
              <w:rPr>
                <w:rFonts w:eastAsia="微软雅黑"/>
                <w:sz w:val="22"/>
                <w:szCs w:val="22"/>
              </w:rPr>
            </w:pPr>
            <w:r>
              <w:rPr>
                <w:rFonts w:eastAsia="微软雅黑"/>
              </w:rPr>
              <w:t xml:space="preserve"> </w:t>
            </w:r>
          </w:p>
        </w:tc>
        <w:tc>
          <w:tcPr>
            <w:tcW w:w="769" w:type="dxa"/>
          </w:tcPr>
          <w:p w14:paraId="0F3A452E">
            <w:pPr>
              <w:adjustRightInd w:val="0"/>
              <w:snapToGrid w:val="0"/>
              <w:spacing w:line="360" w:lineRule="auto"/>
              <w:rPr>
                <w:rFonts w:eastAsia="微软雅黑"/>
                <w:sz w:val="22"/>
                <w:szCs w:val="22"/>
              </w:rPr>
            </w:pPr>
            <w:r>
              <w:rPr>
                <w:rFonts w:eastAsia="微软雅黑"/>
              </w:rPr>
              <w:t xml:space="preserve"> </w:t>
            </w:r>
          </w:p>
        </w:tc>
        <w:tc>
          <w:tcPr>
            <w:tcW w:w="769" w:type="dxa"/>
          </w:tcPr>
          <w:p w14:paraId="45C4998F">
            <w:pPr>
              <w:adjustRightInd w:val="0"/>
              <w:snapToGrid w:val="0"/>
              <w:spacing w:line="360" w:lineRule="auto"/>
              <w:rPr>
                <w:rFonts w:eastAsia="微软雅黑"/>
                <w:sz w:val="22"/>
                <w:szCs w:val="22"/>
              </w:rPr>
            </w:pPr>
            <w:r>
              <w:rPr>
                <w:rFonts w:eastAsia="微软雅黑"/>
              </w:rPr>
              <w:t xml:space="preserve"> </w:t>
            </w:r>
          </w:p>
        </w:tc>
        <w:tc>
          <w:tcPr>
            <w:tcW w:w="769" w:type="dxa"/>
          </w:tcPr>
          <w:p w14:paraId="4166E619">
            <w:pPr>
              <w:adjustRightInd w:val="0"/>
              <w:snapToGrid w:val="0"/>
              <w:spacing w:line="360" w:lineRule="auto"/>
              <w:rPr>
                <w:rFonts w:eastAsia="微软雅黑"/>
                <w:sz w:val="22"/>
                <w:szCs w:val="22"/>
              </w:rPr>
            </w:pPr>
            <w:r>
              <w:rPr>
                <w:rFonts w:eastAsia="微软雅黑"/>
              </w:rPr>
              <w:t xml:space="preserve"> </w:t>
            </w:r>
          </w:p>
        </w:tc>
        <w:tc>
          <w:tcPr>
            <w:tcW w:w="769" w:type="dxa"/>
          </w:tcPr>
          <w:p w14:paraId="7B9058EA">
            <w:pPr>
              <w:adjustRightInd w:val="0"/>
              <w:snapToGrid w:val="0"/>
              <w:spacing w:line="360" w:lineRule="auto"/>
              <w:rPr>
                <w:rFonts w:eastAsia="微软雅黑"/>
                <w:sz w:val="22"/>
                <w:szCs w:val="22"/>
              </w:rPr>
            </w:pPr>
            <w:r>
              <w:rPr>
                <w:rFonts w:eastAsia="微软雅黑"/>
              </w:rPr>
              <w:t xml:space="preserve"> </w:t>
            </w:r>
          </w:p>
        </w:tc>
        <w:tc>
          <w:tcPr>
            <w:tcW w:w="769" w:type="dxa"/>
          </w:tcPr>
          <w:p w14:paraId="5335B177">
            <w:pPr>
              <w:adjustRightInd w:val="0"/>
              <w:snapToGrid w:val="0"/>
              <w:spacing w:line="360" w:lineRule="auto"/>
              <w:rPr>
                <w:rFonts w:eastAsia="微软雅黑"/>
                <w:sz w:val="22"/>
                <w:szCs w:val="22"/>
              </w:rPr>
            </w:pPr>
            <w:r>
              <w:rPr>
                <w:rFonts w:eastAsia="微软雅黑"/>
              </w:rPr>
              <w:t xml:space="preserve"> </w:t>
            </w:r>
          </w:p>
        </w:tc>
        <w:tc>
          <w:tcPr>
            <w:tcW w:w="769" w:type="dxa"/>
          </w:tcPr>
          <w:p w14:paraId="27C49A82">
            <w:pPr>
              <w:adjustRightInd w:val="0"/>
              <w:snapToGrid w:val="0"/>
              <w:spacing w:line="360" w:lineRule="auto"/>
              <w:rPr>
                <w:rFonts w:eastAsia="微软雅黑"/>
                <w:sz w:val="22"/>
                <w:szCs w:val="22"/>
              </w:rPr>
            </w:pPr>
            <w:r>
              <w:rPr>
                <w:rFonts w:eastAsia="微软雅黑"/>
              </w:rPr>
              <w:t xml:space="preserve"> </w:t>
            </w:r>
          </w:p>
        </w:tc>
      </w:tr>
      <w:tr w14:paraId="58DC7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tcPr>
          <w:p w14:paraId="70A712FC">
            <w:pPr>
              <w:adjustRightInd w:val="0"/>
              <w:snapToGrid w:val="0"/>
              <w:spacing w:line="360" w:lineRule="auto"/>
              <w:rPr>
                <w:rFonts w:eastAsia="微软雅黑"/>
                <w:szCs w:val="21"/>
              </w:rPr>
            </w:pPr>
            <w:r>
              <w:rPr>
                <w:rFonts w:eastAsia="微软雅黑"/>
                <w:szCs w:val="21"/>
              </w:rPr>
              <w:t>Tumor Markers</w:t>
            </w:r>
          </w:p>
        </w:tc>
        <w:tc>
          <w:tcPr>
            <w:tcW w:w="770" w:type="dxa"/>
          </w:tcPr>
          <w:p w14:paraId="293F43B7">
            <w:pPr>
              <w:adjustRightInd w:val="0"/>
              <w:snapToGrid w:val="0"/>
              <w:spacing w:line="360" w:lineRule="auto"/>
              <w:rPr>
                <w:rFonts w:eastAsia="微软雅黑"/>
                <w:sz w:val="22"/>
                <w:szCs w:val="22"/>
              </w:rPr>
            </w:pPr>
            <w:r>
              <w:rPr>
                <w:rFonts w:eastAsia="微软雅黑"/>
              </w:rPr>
              <w:t xml:space="preserve"> </w:t>
            </w:r>
          </w:p>
        </w:tc>
        <w:tc>
          <w:tcPr>
            <w:tcW w:w="769" w:type="dxa"/>
          </w:tcPr>
          <w:p w14:paraId="4139D74A">
            <w:pPr>
              <w:adjustRightInd w:val="0"/>
              <w:snapToGrid w:val="0"/>
              <w:spacing w:line="360" w:lineRule="auto"/>
              <w:rPr>
                <w:rFonts w:eastAsia="微软雅黑"/>
                <w:sz w:val="22"/>
                <w:szCs w:val="22"/>
              </w:rPr>
            </w:pPr>
            <w:r>
              <w:rPr>
                <w:rFonts w:eastAsia="微软雅黑"/>
              </w:rPr>
              <w:t xml:space="preserve"> </w:t>
            </w:r>
          </w:p>
        </w:tc>
        <w:tc>
          <w:tcPr>
            <w:tcW w:w="769" w:type="dxa"/>
          </w:tcPr>
          <w:p w14:paraId="2F2DC9F2">
            <w:pPr>
              <w:adjustRightInd w:val="0"/>
              <w:snapToGrid w:val="0"/>
              <w:spacing w:line="360" w:lineRule="auto"/>
              <w:rPr>
                <w:rFonts w:eastAsia="微软雅黑"/>
                <w:sz w:val="22"/>
                <w:szCs w:val="22"/>
              </w:rPr>
            </w:pPr>
            <w:r>
              <w:rPr>
                <w:rFonts w:eastAsia="微软雅黑"/>
              </w:rPr>
              <w:t xml:space="preserve"> </w:t>
            </w:r>
          </w:p>
        </w:tc>
        <w:tc>
          <w:tcPr>
            <w:tcW w:w="769" w:type="dxa"/>
          </w:tcPr>
          <w:p w14:paraId="3A0F5F93">
            <w:pPr>
              <w:adjustRightInd w:val="0"/>
              <w:snapToGrid w:val="0"/>
              <w:spacing w:line="360" w:lineRule="auto"/>
              <w:rPr>
                <w:rFonts w:eastAsia="微软雅黑"/>
                <w:sz w:val="22"/>
                <w:szCs w:val="22"/>
              </w:rPr>
            </w:pPr>
            <w:r>
              <w:rPr>
                <w:rFonts w:eastAsia="微软雅黑"/>
              </w:rPr>
              <w:t xml:space="preserve"> </w:t>
            </w:r>
          </w:p>
        </w:tc>
        <w:tc>
          <w:tcPr>
            <w:tcW w:w="769" w:type="dxa"/>
          </w:tcPr>
          <w:p w14:paraId="55A79858">
            <w:pPr>
              <w:adjustRightInd w:val="0"/>
              <w:snapToGrid w:val="0"/>
              <w:spacing w:line="360" w:lineRule="auto"/>
              <w:rPr>
                <w:rFonts w:eastAsia="微软雅黑"/>
                <w:sz w:val="22"/>
                <w:szCs w:val="22"/>
              </w:rPr>
            </w:pPr>
            <w:r>
              <w:rPr>
                <w:rFonts w:eastAsia="微软雅黑"/>
              </w:rPr>
              <w:t xml:space="preserve"> </w:t>
            </w:r>
          </w:p>
        </w:tc>
        <w:tc>
          <w:tcPr>
            <w:tcW w:w="769" w:type="dxa"/>
          </w:tcPr>
          <w:p w14:paraId="077A3D09">
            <w:pPr>
              <w:adjustRightInd w:val="0"/>
              <w:snapToGrid w:val="0"/>
              <w:spacing w:line="360" w:lineRule="auto"/>
              <w:rPr>
                <w:rFonts w:eastAsia="微软雅黑"/>
                <w:sz w:val="22"/>
                <w:szCs w:val="22"/>
              </w:rPr>
            </w:pPr>
            <w:r>
              <w:rPr>
                <w:rFonts w:eastAsia="微软雅黑"/>
              </w:rPr>
              <w:t xml:space="preserve"> </w:t>
            </w:r>
          </w:p>
        </w:tc>
        <w:tc>
          <w:tcPr>
            <w:tcW w:w="769" w:type="dxa"/>
          </w:tcPr>
          <w:p w14:paraId="7D0DF8D4">
            <w:pPr>
              <w:adjustRightInd w:val="0"/>
              <w:snapToGrid w:val="0"/>
              <w:spacing w:line="360" w:lineRule="auto"/>
              <w:rPr>
                <w:rFonts w:eastAsia="微软雅黑"/>
                <w:sz w:val="22"/>
                <w:szCs w:val="22"/>
              </w:rPr>
            </w:pPr>
            <w:r>
              <w:rPr>
                <w:rFonts w:eastAsia="微软雅黑"/>
              </w:rPr>
              <w:t xml:space="preserve"> </w:t>
            </w:r>
          </w:p>
        </w:tc>
        <w:tc>
          <w:tcPr>
            <w:tcW w:w="769" w:type="dxa"/>
          </w:tcPr>
          <w:p w14:paraId="740BC57C">
            <w:pPr>
              <w:adjustRightInd w:val="0"/>
              <w:snapToGrid w:val="0"/>
              <w:spacing w:line="360" w:lineRule="auto"/>
              <w:rPr>
                <w:rFonts w:eastAsia="微软雅黑"/>
                <w:sz w:val="22"/>
                <w:szCs w:val="22"/>
              </w:rPr>
            </w:pPr>
            <w:r>
              <w:rPr>
                <w:rFonts w:eastAsia="微软雅黑"/>
              </w:rPr>
              <w:t xml:space="preserve"> </w:t>
            </w:r>
          </w:p>
        </w:tc>
        <w:tc>
          <w:tcPr>
            <w:tcW w:w="769" w:type="dxa"/>
          </w:tcPr>
          <w:p w14:paraId="28F749D9">
            <w:pPr>
              <w:adjustRightInd w:val="0"/>
              <w:snapToGrid w:val="0"/>
              <w:spacing w:line="360" w:lineRule="auto"/>
              <w:rPr>
                <w:rFonts w:eastAsia="微软雅黑"/>
                <w:sz w:val="22"/>
                <w:szCs w:val="22"/>
              </w:rPr>
            </w:pPr>
            <w:r>
              <w:rPr>
                <w:rFonts w:eastAsia="微软雅黑"/>
              </w:rPr>
              <w:t xml:space="preserve"> </w:t>
            </w:r>
          </w:p>
        </w:tc>
        <w:tc>
          <w:tcPr>
            <w:tcW w:w="769" w:type="dxa"/>
          </w:tcPr>
          <w:p w14:paraId="541E2BC5">
            <w:pPr>
              <w:adjustRightInd w:val="0"/>
              <w:snapToGrid w:val="0"/>
              <w:spacing w:line="360" w:lineRule="auto"/>
              <w:rPr>
                <w:rFonts w:eastAsia="微软雅黑"/>
                <w:sz w:val="22"/>
                <w:szCs w:val="22"/>
              </w:rPr>
            </w:pPr>
            <w:r>
              <w:rPr>
                <w:rFonts w:eastAsia="微软雅黑"/>
              </w:rPr>
              <w:t xml:space="preserve"> </w:t>
            </w:r>
          </w:p>
        </w:tc>
      </w:tr>
      <w:tr w14:paraId="53AA1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tcPr>
          <w:p w14:paraId="6C8FD610">
            <w:pPr>
              <w:adjustRightInd w:val="0"/>
              <w:snapToGrid w:val="0"/>
              <w:spacing w:line="360" w:lineRule="auto"/>
              <w:rPr>
                <w:rFonts w:eastAsia="微软雅黑"/>
                <w:szCs w:val="21"/>
              </w:rPr>
            </w:pPr>
            <w:r>
              <w:rPr>
                <w:rFonts w:eastAsia="微软雅黑"/>
                <w:szCs w:val="21"/>
              </w:rPr>
              <w:t>Chest slices</w:t>
            </w:r>
          </w:p>
        </w:tc>
        <w:tc>
          <w:tcPr>
            <w:tcW w:w="770" w:type="dxa"/>
          </w:tcPr>
          <w:p w14:paraId="13FED630">
            <w:pPr>
              <w:adjustRightInd w:val="0"/>
              <w:snapToGrid w:val="0"/>
              <w:spacing w:line="360" w:lineRule="auto"/>
              <w:rPr>
                <w:rFonts w:eastAsia="微软雅黑"/>
                <w:sz w:val="22"/>
                <w:szCs w:val="22"/>
              </w:rPr>
            </w:pPr>
            <w:r>
              <w:rPr>
                <w:rFonts w:eastAsia="微软雅黑"/>
              </w:rPr>
              <w:t xml:space="preserve"> </w:t>
            </w:r>
          </w:p>
        </w:tc>
        <w:tc>
          <w:tcPr>
            <w:tcW w:w="769" w:type="dxa"/>
          </w:tcPr>
          <w:p w14:paraId="2E24B51C">
            <w:pPr>
              <w:adjustRightInd w:val="0"/>
              <w:snapToGrid w:val="0"/>
              <w:spacing w:line="360" w:lineRule="auto"/>
              <w:rPr>
                <w:rFonts w:eastAsia="微软雅黑"/>
                <w:sz w:val="22"/>
                <w:szCs w:val="22"/>
              </w:rPr>
            </w:pPr>
            <w:r>
              <w:rPr>
                <w:rFonts w:eastAsia="微软雅黑"/>
              </w:rPr>
              <w:t xml:space="preserve"> </w:t>
            </w:r>
          </w:p>
        </w:tc>
        <w:tc>
          <w:tcPr>
            <w:tcW w:w="769" w:type="dxa"/>
          </w:tcPr>
          <w:p w14:paraId="22B7CCD0">
            <w:pPr>
              <w:adjustRightInd w:val="0"/>
              <w:snapToGrid w:val="0"/>
              <w:spacing w:line="360" w:lineRule="auto"/>
              <w:rPr>
                <w:rFonts w:eastAsia="微软雅黑"/>
                <w:sz w:val="22"/>
                <w:szCs w:val="22"/>
              </w:rPr>
            </w:pPr>
            <w:r>
              <w:rPr>
                <w:rFonts w:eastAsia="微软雅黑"/>
              </w:rPr>
              <w:t xml:space="preserve"> </w:t>
            </w:r>
          </w:p>
        </w:tc>
        <w:tc>
          <w:tcPr>
            <w:tcW w:w="769" w:type="dxa"/>
          </w:tcPr>
          <w:p w14:paraId="4C87FC0B">
            <w:pPr>
              <w:adjustRightInd w:val="0"/>
              <w:snapToGrid w:val="0"/>
              <w:spacing w:line="360" w:lineRule="auto"/>
              <w:rPr>
                <w:rFonts w:eastAsia="微软雅黑"/>
                <w:sz w:val="22"/>
                <w:szCs w:val="22"/>
              </w:rPr>
            </w:pPr>
            <w:r>
              <w:rPr>
                <w:rFonts w:eastAsia="微软雅黑"/>
              </w:rPr>
              <w:t xml:space="preserve"> </w:t>
            </w:r>
          </w:p>
        </w:tc>
        <w:tc>
          <w:tcPr>
            <w:tcW w:w="769" w:type="dxa"/>
          </w:tcPr>
          <w:p w14:paraId="54C184F7">
            <w:pPr>
              <w:adjustRightInd w:val="0"/>
              <w:snapToGrid w:val="0"/>
              <w:spacing w:line="360" w:lineRule="auto"/>
              <w:rPr>
                <w:rFonts w:eastAsia="微软雅黑"/>
                <w:sz w:val="22"/>
                <w:szCs w:val="22"/>
              </w:rPr>
            </w:pPr>
            <w:r>
              <w:rPr>
                <w:rFonts w:eastAsia="微软雅黑"/>
              </w:rPr>
              <w:t xml:space="preserve"> </w:t>
            </w:r>
          </w:p>
        </w:tc>
        <w:tc>
          <w:tcPr>
            <w:tcW w:w="769" w:type="dxa"/>
          </w:tcPr>
          <w:p w14:paraId="1AD15A21">
            <w:pPr>
              <w:adjustRightInd w:val="0"/>
              <w:snapToGrid w:val="0"/>
              <w:spacing w:line="360" w:lineRule="auto"/>
              <w:rPr>
                <w:rFonts w:eastAsia="微软雅黑"/>
                <w:sz w:val="22"/>
                <w:szCs w:val="22"/>
              </w:rPr>
            </w:pPr>
            <w:r>
              <w:rPr>
                <w:rFonts w:eastAsia="微软雅黑"/>
              </w:rPr>
              <w:t xml:space="preserve"> </w:t>
            </w:r>
          </w:p>
        </w:tc>
        <w:tc>
          <w:tcPr>
            <w:tcW w:w="769" w:type="dxa"/>
          </w:tcPr>
          <w:p w14:paraId="62E02C61">
            <w:pPr>
              <w:adjustRightInd w:val="0"/>
              <w:snapToGrid w:val="0"/>
              <w:spacing w:line="360" w:lineRule="auto"/>
              <w:rPr>
                <w:rFonts w:eastAsia="微软雅黑"/>
                <w:sz w:val="22"/>
                <w:szCs w:val="22"/>
              </w:rPr>
            </w:pPr>
            <w:r>
              <w:rPr>
                <w:rFonts w:eastAsia="微软雅黑"/>
              </w:rPr>
              <w:t xml:space="preserve"> </w:t>
            </w:r>
          </w:p>
        </w:tc>
        <w:tc>
          <w:tcPr>
            <w:tcW w:w="769" w:type="dxa"/>
          </w:tcPr>
          <w:p w14:paraId="3C4598AC">
            <w:pPr>
              <w:adjustRightInd w:val="0"/>
              <w:snapToGrid w:val="0"/>
              <w:spacing w:line="360" w:lineRule="auto"/>
              <w:rPr>
                <w:rFonts w:eastAsia="微软雅黑"/>
                <w:sz w:val="22"/>
                <w:szCs w:val="22"/>
              </w:rPr>
            </w:pPr>
            <w:r>
              <w:rPr>
                <w:rFonts w:eastAsia="微软雅黑"/>
              </w:rPr>
              <w:t xml:space="preserve"> </w:t>
            </w:r>
          </w:p>
        </w:tc>
        <w:tc>
          <w:tcPr>
            <w:tcW w:w="769" w:type="dxa"/>
          </w:tcPr>
          <w:p w14:paraId="5518CB7A">
            <w:pPr>
              <w:adjustRightInd w:val="0"/>
              <w:snapToGrid w:val="0"/>
              <w:spacing w:line="360" w:lineRule="auto"/>
              <w:rPr>
                <w:rFonts w:eastAsia="微软雅黑"/>
                <w:sz w:val="22"/>
                <w:szCs w:val="22"/>
              </w:rPr>
            </w:pPr>
            <w:r>
              <w:rPr>
                <w:rFonts w:eastAsia="微软雅黑"/>
              </w:rPr>
              <w:t xml:space="preserve"> </w:t>
            </w:r>
          </w:p>
        </w:tc>
        <w:tc>
          <w:tcPr>
            <w:tcW w:w="769" w:type="dxa"/>
          </w:tcPr>
          <w:p w14:paraId="194A8C26">
            <w:pPr>
              <w:adjustRightInd w:val="0"/>
              <w:snapToGrid w:val="0"/>
              <w:spacing w:line="360" w:lineRule="auto"/>
              <w:rPr>
                <w:rFonts w:eastAsia="微软雅黑"/>
                <w:sz w:val="22"/>
                <w:szCs w:val="22"/>
              </w:rPr>
            </w:pPr>
            <w:r>
              <w:rPr>
                <w:rFonts w:eastAsia="微软雅黑"/>
              </w:rPr>
              <w:t xml:space="preserve"> </w:t>
            </w:r>
          </w:p>
        </w:tc>
      </w:tr>
      <w:tr w14:paraId="17649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tcPr>
          <w:p w14:paraId="689A7E17">
            <w:pPr>
              <w:adjustRightInd w:val="0"/>
              <w:snapToGrid w:val="0"/>
              <w:spacing w:line="360" w:lineRule="auto"/>
              <w:rPr>
                <w:rFonts w:eastAsia="微软雅黑"/>
                <w:szCs w:val="21"/>
              </w:rPr>
            </w:pPr>
            <w:bookmarkStart w:id="66" w:name="OLE_LINK54"/>
            <w:r>
              <w:rPr>
                <w:rFonts w:eastAsia="微软雅黑"/>
                <w:szCs w:val="21"/>
              </w:rPr>
              <w:t>Upper digestive tract endoscopy</w:t>
            </w:r>
            <w:bookmarkEnd w:id="66"/>
          </w:p>
        </w:tc>
        <w:tc>
          <w:tcPr>
            <w:tcW w:w="770" w:type="dxa"/>
            <w:tcBorders>
              <w:tl2br w:val="single" w:color="auto" w:sz="4" w:space="0"/>
            </w:tcBorders>
          </w:tcPr>
          <w:p w14:paraId="55FB8D9C">
            <w:pPr>
              <w:adjustRightInd w:val="0"/>
              <w:snapToGrid w:val="0"/>
              <w:spacing w:line="360" w:lineRule="auto"/>
              <w:rPr>
                <w:rFonts w:eastAsia="微软雅黑"/>
                <w:sz w:val="22"/>
                <w:szCs w:val="22"/>
              </w:rPr>
            </w:pPr>
            <w:r>
              <w:rPr>
                <w:rFonts w:eastAsia="微软雅黑"/>
              </w:rPr>
              <w:t xml:space="preserve"> </w:t>
            </w:r>
          </w:p>
        </w:tc>
        <w:tc>
          <w:tcPr>
            <w:tcW w:w="769" w:type="dxa"/>
            <w:tcBorders>
              <w:tl2br w:val="single" w:color="auto" w:sz="4" w:space="0"/>
            </w:tcBorders>
          </w:tcPr>
          <w:p w14:paraId="12BC182D">
            <w:pPr>
              <w:adjustRightInd w:val="0"/>
              <w:snapToGrid w:val="0"/>
              <w:spacing w:line="360" w:lineRule="auto"/>
              <w:rPr>
                <w:rFonts w:eastAsia="微软雅黑"/>
                <w:sz w:val="22"/>
                <w:szCs w:val="22"/>
              </w:rPr>
            </w:pPr>
            <w:r>
              <w:rPr>
                <w:rFonts w:eastAsia="微软雅黑"/>
              </w:rPr>
              <w:t xml:space="preserve"> </w:t>
            </w:r>
          </w:p>
        </w:tc>
        <w:tc>
          <w:tcPr>
            <w:tcW w:w="769" w:type="dxa"/>
            <w:tcBorders>
              <w:tl2br w:val="single" w:color="auto" w:sz="4" w:space="0"/>
            </w:tcBorders>
          </w:tcPr>
          <w:p w14:paraId="26DC37A6">
            <w:pPr>
              <w:adjustRightInd w:val="0"/>
              <w:snapToGrid w:val="0"/>
              <w:spacing w:line="360" w:lineRule="auto"/>
              <w:rPr>
                <w:rFonts w:eastAsia="微软雅黑"/>
                <w:sz w:val="22"/>
                <w:szCs w:val="22"/>
              </w:rPr>
            </w:pPr>
            <w:r>
              <w:rPr>
                <w:rFonts w:eastAsia="微软雅黑"/>
              </w:rPr>
              <w:t xml:space="preserve"> </w:t>
            </w:r>
          </w:p>
        </w:tc>
        <w:tc>
          <w:tcPr>
            <w:tcW w:w="769" w:type="dxa"/>
          </w:tcPr>
          <w:p w14:paraId="21F0949D">
            <w:pPr>
              <w:adjustRightInd w:val="0"/>
              <w:snapToGrid w:val="0"/>
              <w:spacing w:line="360" w:lineRule="auto"/>
              <w:rPr>
                <w:rFonts w:eastAsia="微软雅黑"/>
                <w:sz w:val="22"/>
                <w:szCs w:val="22"/>
              </w:rPr>
            </w:pPr>
            <w:r>
              <w:rPr>
                <w:rFonts w:eastAsia="微软雅黑"/>
              </w:rPr>
              <w:t xml:space="preserve"> </w:t>
            </w:r>
          </w:p>
        </w:tc>
        <w:tc>
          <w:tcPr>
            <w:tcW w:w="769" w:type="dxa"/>
            <w:tcBorders>
              <w:tl2br w:val="single" w:color="auto" w:sz="4" w:space="0"/>
            </w:tcBorders>
          </w:tcPr>
          <w:p w14:paraId="03BF2909">
            <w:pPr>
              <w:adjustRightInd w:val="0"/>
              <w:snapToGrid w:val="0"/>
              <w:spacing w:line="360" w:lineRule="auto"/>
              <w:rPr>
                <w:rFonts w:eastAsia="微软雅黑"/>
                <w:sz w:val="22"/>
                <w:szCs w:val="22"/>
              </w:rPr>
            </w:pPr>
            <w:r>
              <w:rPr>
                <w:rFonts w:eastAsia="微软雅黑"/>
              </w:rPr>
              <w:t xml:space="preserve"> </w:t>
            </w:r>
          </w:p>
        </w:tc>
        <w:tc>
          <w:tcPr>
            <w:tcW w:w="769" w:type="dxa"/>
            <w:tcBorders>
              <w:tl2br w:val="single" w:color="auto" w:sz="4" w:space="0"/>
            </w:tcBorders>
          </w:tcPr>
          <w:p w14:paraId="3BF7AC66">
            <w:pPr>
              <w:adjustRightInd w:val="0"/>
              <w:snapToGrid w:val="0"/>
              <w:spacing w:line="360" w:lineRule="auto"/>
              <w:rPr>
                <w:rFonts w:eastAsia="微软雅黑"/>
                <w:sz w:val="22"/>
                <w:szCs w:val="22"/>
              </w:rPr>
            </w:pPr>
            <w:r>
              <w:rPr>
                <w:rFonts w:eastAsia="微软雅黑"/>
              </w:rPr>
              <w:t xml:space="preserve"> </w:t>
            </w:r>
          </w:p>
        </w:tc>
        <w:tc>
          <w:tcPr>
            <w:tcW w:w="769" w:type="dxa"/>
            <w:tcBorders>
              <w:tl2br w:val="single" w:color="auto" w:sz="4" w:space="0"/>
            </w:tcBorders>
          </w:tcPr>
          <w:p w14:paraId="0025E5A1">
            <w:pPr>
              <w:adjustRightInd w:val="0"/>
              <w:snapToGrid w:val="0"/>
              <w:spacing w:line="360" w:lineRule="auto"/>
              <w:rPr>
                <w:rFonts w:eastAsia="微软雅黑"/>
                <w:sz w:val="22"/>
                <w:szCs w:val="22"/>
              </w:rPr>
            </w:pPr>
            <w:r>
              <w:rPr>
                <w:rFonts w:eastAsia="微软雅黑"/>
              </w:rPr>
              <w:t xml:space="preserve"> </w:t>
            </w:r>
          </w:p>
        </w:tc>
        <w:tc>
          <w:tcPr>
            <w:tcW w:w="769" w:type="dxa"/>
          </w:tcPr>
          <w:p w14:paraId="1C67C841">
            <w:pPr>
              <w:adjustRightInd w:val="0"/>
              <w:snapToGrid w:val="0"/>
              <w:spacing w:line="360" w:lineRule="auto"/>
              <w:rPr>
                <w:rFonts w:eastAsia="微软雅黑"/>
                <w:sz w:val="22"/>
                <w:szCs w:val="22"/>
              </w:rPr>
            </w:pPr>
            <w:r>
              <w:rPr>
                <w:rFonts w:eastAsia="微软雅黑"/>
              </w:rPr>
              <w:t xml:space="preserve"> </w:t>
            </w:r>
          </w:p>
        </w:tc>
        <w:tc>
          <w:tcPr>
            <w:tcW w:w="769" w:type="dxa"/>
            <w:tcBorders>
              <w:tl2br w:val="single" w:color="auto" w:sz="4" w:space="0"/>
            </w:tcBorders>
          </w:tcPr>
          <w:p w14:paraId="2F7477C5">
            <w:pPr>
              <w:adjustRightInd w:val="0"/>
              <w:snapToGrid w:val="0"/>
              <w:spacing w:line="360" w:lineRule="auto"/>
              <w:rPr>
                <w:rFonts w:eastAsia="微软雅黑"/>
                <w:sz w:val="22"/>
                <w:szCs w:val="22"/>
              </w:rPr>
            </w:pPr>
            <w:r>
              <w:rPr>
                <w:rFonts w:eastAsia="微软雅黑"/>
              </w:rPr>
              <w:t xml:space="preserve"> </w:t>
            </w:r>
          </w:p>
        </w:tc>
        <w:tc>
          <w:tcPr>
            <w:tcW w:w="769" w:type="dxa"/>
          </w:tcPr>
          <w:p w14:paraId="70F47B03">
            <w:pPr>
              <w:adjustRightInd w:val="0"/>
              <w:snapToGrid w:val="0"/>
              <w:spacing w:line="360" w:lineRule="auto"/>
              <w:rPr>
                <w:rFonts w:eastAsia="微软雅黑"/>
                <w:sz w:val="22"/>
                <w:szCs w:val="22"/>
              </w:rPr>
            </w:pPr>
            <w:r>
              <w:rPr>
                <w:rFonts w:eastAsia="微软雅黑"/>
              </w:rPr>
              <w:t xml:space="preserve"> </w:t>
            </w:r>
          </w:p>
        </w:tc>
      </w:tr>
      <w:tr w14:paraId="7ED56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tcPr>
          <w:p w14:paraId="2FD9FAB8">
            <w:pPr>
              <w:adjustRightInd w:val="0"/>
              <w:snapToGrid w:val="0"/>
              <w:spacing w:line="360" w:lineRule="auto"/>
              <w:rPr>
                <w:rFonts w:eastAsia="微软雅黑"/>
                <w:szCs w:val="21"/>
              </w:rPr>
            </w:pPr>
            <w:r>
              <w:rPr>
                <w:rFonts w:eastAsia="微软雅黑"/>
                <w:szCs w:val="21"/>
              </w:rPr>
              <w:t>Abdominal CT</w:t>
            </w:r>
          </w:p>
        </w:tc>
        <w:tc>
          <w:tcPr>
            <w:tcW w:w="770" w:type="dxa"/>
            <w:tcBorders>
              <w:tl2br w:val="single" w:color="auto" w:sz="4" w:space="0"/>
            </w:tcBorders>
          </w:tcPr>
          <w:p w14:paraId="00F675B0">
            <w:pPr>
              <w:adjustRightInd w:val="0"/>
              <w:snapToGrid w:val="0"/>
              <w:spacing w:line="360" w:lineRule="auto"/>
              <w:rPr>
                <w:rFonts w:eastAsia="微软雅黑"/>
                <w:sz w:val="22"/>
                <w:szCs w:val="22"/>
              </w:rPr>
            </w:pPr>
            <w:r>
              <w:rPr>
                <w:rFonts w:eastAsia="微软雅黑"/>
              </w:rPr>
              <w:t xml:space="preserve"> </w:t>
            </w:r>
          </w:p>
        </w:tc>
        <w:tc>
          <w:tcPr>
            <w:tcW w:w="769" w:type="dxa"/>
            <w:tcBorders>
              <w:bottom w:val="single" w:color="auto" w:sz="4" w:space="0"/>
            </w:tcBorders>
          </w:tcPr>
          <w:p w14:paraId="057FE1A3">
            <w:pPr>
              <w:adjustRightInd w:val="0"/>
              <w:snapToGrid w:val="0"/>
              <w:spacing w:line="360" w:lineRule="auto"/>
              <w:rPr>
                <w:rFonts w:eastAsia="微软雅黑"/>
                <w:sz w:val="22"/>
                <w:szCs w:val="22"/>
              </w:rPr>
            </w:pPr>
            <w:r>
              <w:rPr>
                <w:rFonts w:eastAsia="微软雅黑"/>
              </w:rPr>
              <w:t xml:space="preserve"> </w:t>
            </w:r>
          </w:p>
        </w:tc>
        <w:tc>
          <w:tcPr>
            <w:tcW w:w="769" w:type="dxa"/>
            <w:tcBorders>
              <w:tl2br w:val="single" w:color="auto" w:sz="4" w:space="0"/>
            </w:tcBorders>
          </w:tcPr>
          <w:p w14:paraId="155634DD">
            <w:pPr>
              <w:adjustRightInd w:val="0"/>
              <w:snapToGrid w:val="0"/>
              <w:spacing w:line="360" w:lineRule="auto"/>
              <w:rPr>
                <w:rFonts w:eastAsia="微软雅黑"/>
                <w:sz w:val="22"/>
                <w:szCs w:val="22"/>
              </w:rPr>
            </w:pPr>
            <w:r>
              <w:rPr>
                <w:rFonts w:eastAsia="微软雅黑"/>
              </w:rPr>
              <w:t xml:space="preserve"> </w:t>
            </w:r>
          </w:p>
        </w:tc>
        <w:tc>
          <w:tcPr>
            <w:tcW w:w="769" w:type="dxa"/>
          </w:tcPr>
          <w:p w14:paraId="2A7C9892">
            <w:pPr>
              <w:adjustRightInd w:val="0"/>
              <w:snapToGrid w:val="0"/>
              <w:spacing w:line="360" w:lineRule="auto"/>
              <w:rPr>
                <w:rFonts w:eastAsia="微软雅黑"/>
                <w:sz w:val="22"/>
                <w:szCs w:val="22"/>
              </w:rPr>
            </w:pPr>
            <w:r>
              <w:rPr>
                <w:rFonts w:eastAsia="微软雅黑"/>
              </w:rPr>
              <w:t xml:space="preserve"> </w:t>
            </w:r>
          </w:p>
        </w:tc>
        <w:tc>
          <w:tcPr>
            <w:tcW w:w="769" w:type="dxa"/>
            <w:tcBorders>
              <w:tl2br w:val="single" w:color="auto" w:sz="4" w:space="0"/>
            </w:tcBorders>
          </w:tcPr>
          <w:p w14:paraId="40ED28A7">
            <w:pPr>
              <w:adjustRightInd w:val="0"/>
              <w:snapToGrid w:val="0"/>
              <w:spacing w:line="360" w:lineRule="auto"/>
              <w:rPr>
                <w:rFonts w:eastAsia="微软雅黑"/>
                <w:sz w:val="22"/>
                <w:szCs w:val="22"/>
              </w:rPr>
            </w:pPr>
            <w:r>
              <w:rPr>
                <w:rFonts w:eastAsia="微软雅黑"/>
              </w:rPr>
              <w:t xml:space="preserve"> </w:t>
            </w:r>
          </w:p>
        </w:tc>
        <w:tc>
          <w:tcPr>
            <w:tcW w:w="769" w:type="dxa"/>
          </w:tcPr>
          <w:p w14:paraId="2AB35464">
            <w:pPr>
              <w:adjustRightInd w:val="0"/>
              <w:snapToGrid w:val="0"/>
              <w:spacing w:line="360" w:lineRule="auto"/>
              <w:rPr>
                <w:rFonts w:eastAsia="微软雅黑"/>
                <w:sz w:val="22"/>
                <w:szCs w:val="22"/>
              </w:rPr>
            </w:pPr>
            <w:r>
              <w:rPr>
                <w:rFonts w:eastAsia="微软雅黑"/>
              </w:rPr>
              <w:t xml:space="preserve"> </w:t>
            </w:r>
          </w:p>
        </w:tc>
        <w:tc>
          <w:tcPr>
            <w:tcW w:w="769" w:type="dxa"/>
            <w:tcBorders>
              <w:tl2br w:val="single" w:color="auto" w:sz="4" w:space="0"/>
            </w:tcBorders>
          </w:tcPr>
          <w:p w14:paraId="2989002C">
            <w:pPr>
              <w:adjustRightInd w:val="0"/>
              <w:snapToGrid w:val="0"/>
              <w:spacing w:line="360" w:lineRule="auto"/>
              <w:rPr>
                <w:rFonts w:eastAsia="微软雅黑"/>
                <w:sz w:val="22"/>
                <w:szCs w:val="22"/>
              </w:rPr>
            </w:pPr>
            <w:r>
              <w:rPr>
                <w:rFonts w:eastAsia="微软雅黑"/>
              </w:rPr>
              <w:t xml:space="preserve"> </w:t>
            </w:r>
          </w:p>
        </w:tc>
        <w:tc>
          <w:tcPr>
            <w:tcW w:w="769" w:type="dxa"/>
          </w:tcPr>
          <w:p w14:paraId="3E534EB8">
            <w:pPr>
              <w:adjustRightInd w:val="0"/>
              <w:snapToGrid w:val="0"/>
              <w:spacing w:line="360" w:lineRule="auto"/>
              <w:rPr>
                <w:rFonts w:eastAsia="微软雅黑"/>
                <w:sz w:val="22"/>
                <w:szCs w:val="22"/>
              </w:rPr>
            </w:pPr>
            <w:r>
              <w:rPr>
                <w:rFonts w:eastAsia="微软雅黑"/>
              </w:rPr>
              <w:t xml:space="preserve"> </w:t>
            </w:r>
          </w:p>
        </w:tc>
        <w:tc>
          <w:tcPr>
            <w:tcW w:w="769" w:type="dxa"/>
          </w:tcPr>
          <w:p w14:paraId="6713BB5A">
            <w:pPr>
              <w:adjustRightInd w:val="0"/>
              <w:snapToGrid w:val="0"/>
              <w:spacing w:line="360" w:lineRule="auto"/>
              <w:rPr>
                <w:rFonts w:eastAsia="微软雅黑"/>
                <w:sz w:val="22"/>
                <w:szCs w:val="22"/>
              </w:rPr>
            </w:pPr>
            <w:r>
              <w:rPr>
                <w:rFonts w:eastAsia="微软雅黑"/>
              </w:rPr>
              <w:t xml:space="preserve"> </w:t>
            </w:r>
          </w:p>
        </w:tc>
        <w:tc>
          <w:tcPr>
            <w:tcW w:w="769" w:type="dxa"/>
          </w:tcPr>
          <w:p w14:paraId="5FD69F41">
            <w:pPr>
              <w:adjustRightInd w:val="0"/>
              <w:snapToGrid w:val="0"/>
              <w:spacing w:line="360" w:lineRule="auto"/>
              <w:rPr>
                <w:rFonts w:eastAsia="微软雅黑"/>
                <w:sz w:val="22"/>
                <w:szCs w:val="22"/>
              </w:rPr>
            </w:pPr>
            <w:r>
              <w:rPr>
                <w:rFonts w:eastAsia="微软雅黑"/>
              </w:rPr>
              <w:t xml:space="preserve"> </w:t>
            </w:r>
          </w:p>
        </w:tc>
      </w:tr>
      <w:tr w14:paraId="71554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tcPr>
          <w:p w14:paraId="7775A44F">
            <w:pPr>
              <w:adjustRightInd w:val="0"/>
              <w:snapToGrid w:val="0"/>
              <w:spacing w:line="360" w:lineRule="auto"/>
              <w:ind w:left="420" w:hanging="420" w:hangingChars="200"/>
              <w:rPr>
                <w:rFonts w:eastAsia="微软雅黑"/>
                <w:szCs w:val="21"/>
              </w:rPr>
            </w:pPr>
            <w:r>
              <w:rPr>
                <w:rFonts w:eastAsia="微软雅黑"/>
                <w:szCs w:val="21"/>
              </w:rPr>
              <w:t>Full abdominalultrasound</w:t>
            </w:r>
          </w:p>
        </w:tc>
        <w:tc>
          <w:tcPr>
            <w:tcW w:w="770" w:type="dxa"/>
          </w:tcPr>
          <w:p w14:paraId="5DE297CC">
            <w:pPr>
              <w:adjustRightInd w:val="0"/>
              <w:snapToGrid w:val="0"/>
              <w:spacing w:line="360" w:lineRule="auto"/>
              <w:rPr>
                <w:rFonts w:eastAsia="微软雅黑"/>
              </w:rPr>
            </w:pPr>
          </w:p>
        </w:tc>
        <w:tc>
          <w:tcPr>
            <w:tcW w:w="769" w:type="dxa"/>
            <w:tcBorders>
              <w:bottom w:val="single" w:color="auto" w:sz="4" w:space="0"/>
              <w:tl2br w:val="single" w:color="auto" w:sz="4" w:space="0"/>
            </w:tcBorders>
          </w:tcPr>
          <w:p w14:paraId="11630900">
            <w:pPr>
              <w:adjustRightInd w:val="0"/>
              <w:snapToGrid w:val="0"/>
              <w:spacing w:line="360" w:lineRule="auto"/>
              <w:rPr>
                <w:rFonts w:eastAsia="微软雅黑"/>
              </w:rPr>
            </w:pPr>
          </w:p>
        </w:tc>
        <w:tc>
          <w:tcPr>
            <w:tcW w:w="769" w:type="dxa"/>
          </w:tcPr>
          <w:p w14:paraId="3783269D">
            <w:pPr>
              <w:adjustRightInd w:val="0"/>
              <w:snapToGrid w:val="0"/>
              <w:spacing w:line="360" w:lineRule="auto"/>
              <w:rPr>
                <w:rFonts w:eastAsia="微软雅黑"/>
              </w:rPr>
            </w:pPr>
          </w:p>
        </w:tc>
        <w:tc>
          <w:tcPr>
            <w:tcW w:w="769" w:type="dxa"/>
            <w:tcBorders>
              <w:tl2br w:val="single" w:color="auto" w:sz="4" w:space="0"/>
            </w:tcBorders>
          </w:tcPr>
          <w:p w14:paraId="67BED47D">
            <w:pPr>
              <w:adjustRightInd w:val="0"/>
              <w:snapToGrid w:val="0"/>
              <w:spacing w:line="360" w:lineRule="auto"/>
              <w:rPr>
                <w:rFonts w:eastAsia="微软雅黑"/>
              </w:rPr>
            </w:pPr>
          </w:p>
        </w:tc>
        <w:tc>
          <w:tcPr>
            <w:tcW w:w="769" w:type="dxa"/>
          </w:tcPr>
          <w:p w14:paraId="43931DDB">
            <w:pPr>
              <w:adjustRightInd w:val="0"/>
              <w:snapToGrid w:val="0"/>
              <w:spacing w:line="360" w:lineRule="auto"/>
              <w:rPr>
                <w:rFonts w:eastAsia="微软雅黑"/>
              </w:rPr>
            </w:pPr>
          </w:p>
        </w:tc>
        <w:tc>
          <w:tcPr>
            <w:tcW w:w="769" w:type="dxa"/>
            <w:tcBorders>
              <w:tl2br w:val="single" w:color="auto" w:sz="4" w:space="0"/>
            </w:tcBorders>
          </w:tcPr>
          <w:p w14:paraId="1DB77B16">
            <w:pPr>
              <w:adjustRightInd w:val="0"/>
              <w:snapToGrid w:val="0"/>
              <w:spacing w:line="360" w:lineRule="auto"/>
              <w:rPr>
                <w:rFonts w:eastAsia="微软雅黑"/>
              </w:rPr>
            </w:pPr>
          </w:p>
        </w:tc>
        <w:tc>
          <w:tcPr>
            <w:tcW w:w="769" w:type="dxa"/>
          </w:tcPr>
          <w:p w14:paraId="1C9E79B4">
            <w:pPr>
              <w:adjustRightInd w:val="0"/>
              <w:snapToGrid w:val="0"/>
              <w:spacing w:line="360" w:lineRule="auto"/>
              <w:rPr>
                <w:rFonts w:eastAsia="微软雅黑"/>
              </w:rPr>
            </w:pPr>
          </w:p>
        </w:tc>
        <w:tc>
          <w:tcPr>
            <w:tcW w:w="769" w:type="dxa"/>
            <w:tcBorders>
              <w:tl2br w:val="single" w:color="auto" w:sz="4" w:space="0"/>
            </w:tcBorders>
          </w:tcPr>
          <w:p w14:paraId="18171EE3">
            <w:pPr>
              <w:adjustRightInd w:val="0"/>
              <w:snapToGrid w:val="0"/>
              <w:spacing w:line="360" w:lineRule="auto"/>
              <w:rPr>
                <w:rFonts w:eastAsia="微软雅黑"/>
              </w:rPr>
            </w:pPr>
          </w:p>
        </w:tc>
        <w:tc>
          <w:tcPr>
            <w:tcW w:w="769" w:type="dxa"/>
            <w:tcBorders>
              <w:tl2br w:val="single" w:color="auto" w:sz="4" w:space="0"/>
            </w:tcBorders>
          </w:tcPr>
          <w:p w14:paraId="5E219EAB">
            <w:pPr>
              <w:adjustRightInd w:val="0"/>
              <w:snapToGrid w:val="0"/>
              <w:spacing w:line="360" w:lineRule="auto"/>
              <w:rPr>
                <w:rFonts w:eastAsia="微软雅黑"/>
              </w:rPr>
            </w:pPr>
          </w:p>
        </w:tc>
        <w:tc>
          <w:tcPr>
            <w:tcW w:w="769" w:type="dxa"/>
            <w:tcBorders>
              <w:tl2br w:val="single" w:color="auto" w:sz="4" w:space="0"/>
            </w:tcBorders>
          </w:tcPr>
          <w:p w14:paraId="68977F42">
            <w:pPr>
              <w:adjustRightInd w:val="0"/>
              <w:snapToGrid w:val="0"/>
              <w:spacing w:line="360" w:lineRule="auto"/>
              <w:rPr>
                <w:rFonts w:eastAsia="微软雅黑"/>
              </w:rPr>
            </w:pPr>
          </w:p>
        </w:tc>
      </w:tr>
      <w:tr w14:paraId="1B9B3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tcPr>
          <w:p w14:paraId="14957BF3">
            <w:pPr>
              <w:adjustRightInd w:val="0"/>
              <w:snapToGrid w:val="0"/>
              <w:spacing w:line="360" w:lineRule="auto"/>
              <w:rPr>
                <w:rFonts w:eastAsia="微软雅黑"/>
                <w:szCs w:val="21"/>
              </w:rPr>
            </w:pPr>
            <w:r>
              <w:rPr>
                <w:rFonts w:eastAsia="微软雅黑"/>
                <w:szCs w:val="21"/>
              </w:rPr>
              <w:t>Other (if necessary)</w:t>
            </w:r>
          </w:p>
        </w:tc>
        <w:tc>
          <w:tcPr>
            <w:tcW w:w="770" w:type="dxa"/>
          </w:tcPr>
          <w:p w14:paraId="3C861A95">
            <w:pPr>
              <w:adjustRightInd w:val="0"/>
              <w:snapToGrid w:val="0"/>
              <w:spacing w:line="360" w:lineRule="auto"/>
              <w:rPr>
                <w:rFonts w:eastAsia="微软雅黑"/>
              </w:rPr>
            </w:pPr>
          </w:p>
        </w:tc>
        <w:tc>
          <w:tcPr>
            <w:tcW w:w="769" w:type="dxa"/>
            <w:tcBorders>
              <w:top w:val="single" w:color="auto" w:sz="4" w:space="0"/>
            </w:tcBorders>
          </w:tcPr>
          <w:p w14:paraId="5A196220">
            <w:pPr>
              <w:adjustRightInd w:val="0"/>
              <w:snapToGrid w:val="0"/>
              <w:spacing w:line="360" w:lineRule="auto"/>
              <w:rPr>
                <w:rFonts w:eastAsia="微软雅黑"/>
              </w:rPr>
            </w:pPr>
          </w:p>
        </w:tc>
        <w:tc>
          <w:tcPr>
            <w:tcW w:w="769" w:type="dxa"/>
          </w:tcPr>
          <w:p w14:paraId="52040C5A">
            <w:pPr>
              <w:adjustRightInd w:val="0"/>
              <w:snapToGrid w:val="0"/>
              <w:spacing w:line="360" w:lineRule="auto"/>
              <w:rPr>
                <w:rFonts w:eastAsia="微软雅黑"/>
              </w:rPr>
            </w:pPr>
          </w:p>
        </w:tc>
        <w:tc>
          <w:tcPr>
            <w:tcW w:w="769" w:type="dxa"/>
          </w:tcPr>
          <w:p w14:paraId="57F05D37">
            <w:pPr>
              <w:adjustRightInd w:val="0"/>
              <w:snapToGrid w:val="0"/>
              <w:spacing w:line="360" w:lineRule="auto"/>
              <w:rPr>
                <w:rFonts w:eastAsia="微软雅黑"/>
              </w:rPr>
            </w:pPr>
          </w:p>
        </w:tc>
        <w:tc>
          <w:tcPr>
            <w:tcW w:w="769" w:type="dxa"/>
          </w:tcPr>
          <w:p w14:paraId="1F86082F">
            <w:pPr>
              <w:adjustRightInd w:val="0"/>
              <w:snapToGrid w:val="0"/>
              <w:spacing w:line="360" w:lineRule="auto"/>
              <w:rPr>
                <w:rFonts w:eastAsia="微软雅黑"/>
              </w:rPr>
            </w:pPr>
          </w:p>
        </w:tc>
        <w:tc>
          <w:tcPr>
            <w:tcW w:w="769" w:type="dxa"/>
          </w:tcPr>
          <w:p w14:paraId="53A1E1A0">
            <w:pPr>
              <w:adjustRightInd w:val="0"/>
              <w:snapToGrid w:val="0"/>
              <w:spacing w:line="360" w:lineRule="auto"/>
              <w:rPr>
                <w:rFonts w:eastAsia="微软雅黑"/>
              </w:rPr>
            </w:pPr>
          </w:p>
        </w:tc>
        <w:tc>
          <w:tcPr>
            <w:tcW w:w="769" w:type="dxa"/>
          </w:tcPr>
          <w:p w14:paraId="790D1375">
            <w:pPr>
              <w:adjustRightInd w:val="0"/>
              <w:snapToGrid w:val="0"/>
              <w:spacing w:line="360" w:lineRule="auto"/>
              <w:rPr>
                <w:rFonts w:eastAsia="微软雅黑"/>
              </w:rPr>
            </w:pPr>
          </w:p>
        </w:tc>
        <w:tc>
          <w:tcPr>
            <w:tcW w:w="769" w:type="dxa"/>
          </w:tcPr>
          <w:p w14:paraId="10BA4CFB">
            <w:pPr>
              <w:adjustRightInd w:val="0"/>
              <w:snapToGrid w:val="0"/>
              <w:spacing w:line="360" w:lineRule="auto"/>
              <w:rPr>
                <w:rFonts w:eastAsia="微软雅黑"/>
              </w:rPr>
            </w:pPr>
          </w:p>
        </w:tc>
        <w:tc>
          <w:tcPr>
            <w:tcW w:w="769" w:type="dxa"/>
          </w:tcPr>
          <w:p w14:paraId="7FADB41B">
            <w:pPr>
              <w:adjustRightInd w:val="0"/>
              <w:snapToGrid w:val="0"/>
              <w:spacing w:line="360" w:lineRule="auto"/>
              <w:rPr>
                <w:rFonts w:eastAsia="微软雅黑"/>
              </w:rPr>
            </w:pPr>
          </w:p>
        </w:tc>
        <w:tc>
          <w:tcPr>
            <w:tcW w:w="769" w:type="dxa"/>
          </w:tcPr>
          <w:p w14:paraId="755FDBED">
            <w:pPr>
              <w:adjustRightInd w:val="0"/>
              <w:snapToGrid w:val="0"/>
              <w:spacing w:line="360" w:lineRule="auto"/>
              <w:rPr>
                <w:rFonts w:eastAsia="微软雅黑"/>
              </w:rPr>
            </w:pPr>
          </w:p>
        </w:tc>
      </w:tr>
    </w:tbl>
    <w:p w14:paraId="5FC32EB2">
      <w:pPr>
        <w:adjustRightInd w:val="0"/>
        <w:snapToGrid w:val="0"/>
        <w:spacing w:line="360" w:lineRule="auto"/>
        <w:jc w:val="center"/>
        <w:rPr>
          <w:rFonts w:eastAsia="微软雅黑"/>
          <w:szCs w:val="21"/>
        </w:rPr>
      </w:pPr>
    </w:p>
    <w:p w14:paraId="2747FB48">
      <w:pPr>
        <w:adjustRightInd w:val="0"/>
        <w:snapToGrid w:val="0"/>
        <w:spacing w:line="360" w:lineRule="auto"/>
        <w:rPr>
          <w:rFonts w:eastAsia="微软雅黑"/>
          <w:b/>
          <w:sz w:val="28"/>
          <w:szCs w:val="28"/>
        </w:rPr>
      </w:pPr>
      <w:r>
        <w:rPr>
          <w:rFonts w:eastAsia="微软雅黑"/>
          <w:b/>
          <w:sz w:val="28"/>
          <w:szCs w:val="28"/>
        </w:rPr>
        <w:t>9.6 Post-operative adjuvant therapy</w:t>
      </w:r>
    </w:p>
    <w:p w14:paraId="7C7FD18B">
      <w:pPr>
        <w:spacing w:line="360" w:lineRule="auto"/>
        <w:rPr>
          <w:rFonts w:eastAsia="微软雅黑"/>
          <w:b/>
          <w:sz w:val="24"/>
        </w:rPr>
      </w:pPr>
      <w:r>
        <w:rPr>
          <w:rFonts w:eastAsia="微软雅黑"/>
          <w:b/>
          <w:sz w:val="24"/>
        </w:rPr>
        <w:t>9.6.1 Indications for postoperative adjuvant chemotherapy</w:t>
      </w:r>
    </w:p>
    <w:p w14:paraId="33FB6ACE">
      <w:pPr>
        <w:spacing w:line="360" w:lineRule="auto"/>
        <w:rPr>
          <w:rFonts w:eastAsia="微软雅黑"/>
          <w:sz w:val="24"/>
        </w:rPr>
      </w:pPr>
      <w:r>
        <w:rPr>
          <w:rFonts w:eastAsia="Wingdings 2"/>
          <w:sz w:val="24"/>
        </w:rPr>
        <w:t></w:t>
      </w:r>
      <w:r>
        <w:rPr>
          <w:rFonts w:eastAsia="微软雅黑"/>
          <w:sz w:val="24"/>
        </w:rPr>
        <w:t>After completion of the surgical treatment, according to the postoperative pathological results, subjects among the R0 resection cases that are stage II and above are administered postoperative adjuvant chemotherapy according to the provisions of this program.</w:t>
      </w:r>
    </w:p>
    <w:p w14:paraId="39D82084">
      <w:pPr>
        <w:spacing w:line="360" w:lineRule="auto"/>
        <w:rPr>
          <w:rFonts w:eastAsia="微软雅黑"/>
          <w:sz w:val="24"/>
        </w:rPr>
      </w:pPr>
      <w:r>
        <w:rPr>
          <w:rFonts w:eastAsia="Wingdings 2"/>
          <w:sz w:val="24"/>
        </w:rPr>
        <w:t></w:t>
      </w:r>
      <w:r>
        <w:rPr>
          <w:rFonts w:eastAsia="微软雅黑"/>
          <w:sz w:val="24"/>
        </w:rPr>
        <w:t xml:space="preserve">For cases of non-R0 resection or recurrence after R0 resection, this study does not stipulate the follow-up treatment plan; </w:t>
      </w:r>
      <w:r>
        <w:rPr>
          <w:rFonts w:hint="eastAsia" w:eastAsia="微软雅黑"/>
          <w:sz w:val="24"/>
          <w:lang w:val="en-US" w:eastAsia="zh-CN"/>
        </w:rPr>
        <w:t>the doctor can</w:t>
      </w:r>
      <w:r>
        <w:rPr>
          <w:rFonts w:eastAsia="微软雅黑"/>
          <w:sz w:val="24"/>
        </w:rPr>
        <w:t xml:space="preserve"> decide on the action to be taken according to the clinical treatment routine.</w:t>
      </w:r>
    </w:p>
    <w:p w14:paraId="2F740595">
      <w:pPr>
        <w:spacing w:line="360" w:lineRule="auto"/>
        <w:outlineLvl w:val="0"/>
        <w:rPr>
          <w:rFonts w:eastAsia="微软雅黑"/>
          <w:b/>
          <w:sz w:val="24"/>
        </w:rPr>
      </w:pPr>
      <w:bookmarkStart w:id="67" w:name="_Toc6829"/>
      <w:r>
        <w:rPr>
          <w:rFonts w:eastAsia="微软雅黑"/>
          <w:b/>
          <w:sz w:val="24"/>
        </w:rPr>
        <w:t>9.6.2 Postoperative adjuvant chemotherapy</w:t>
      </w:r>
      <w:bookmarkEnd w:id="67"/>
    </w:p>
    <w:p w14:paraId="02657360">
      <w:pPr>
        <w:spacing w:line="360" w:lineRule="auto"/>
        <w:rPr>
          <w:rFonts w:eastAsia="微软雅黑"/>
          <w:sz w:val="24"/>
        </w:rPr>
      </w:pPr>
      <w:r>
        <w:rPr>
          <w:rFonts w:eastAsia="Wingdings 2"/>
          <w:sz w:val="24"/>
        </w:rPr>
        <w:t></w:t>
      </w:r>
      <w:r>
        <w:rPr>
          <w:rFonts w:eastAsia="微软雅黑"/>
          <w:sz w:val="24"/>
        </w:rPr>
        <w:t>This study uses a combination of chemotherapy based on 5-FU (5-fluorouracil) and recommends the SOX regimen.</w:t>
      </w:r>
    </w:p>
    <w:p w14:paraId="66099503">
      <w:pPr>
        <w:spacing w:line="360" w:lineRule="auto"/>
        <w:rPr>
          <w:rFonts w:eastAsia="微软雅黑"/>
          <w:sz w:val="24"/>
        </w:rPr>
      </w:pPr>
      <w:r>
        <w:rPr>
          <w:rFonts w:eastAsia="Wingdings 2"/>
          <w:sz w:val="24"/>
        </w:rPr>
        <w:t></w:t>
      </w:r>
      <w:r>
        <w:rPr>
          <w:rFonts w:eastAsia="微软雅黑"/>
          <w:sz w:val="24"/>
        </w:rPr>
        <w:t>The adjuvant chemotherapy cycle is half a year (6 months postoperatively).</w:t>
      </w:r>
    </w:p>
    <w:p w14:paraId="176529A8">
      <w:pPr>
        <w:spacing w:line="360" w:lineRule="auto"/>
        <w:rPr>
          <w:rFonts w:eastAsia="微软雅黑"/>
          <w:sz w:val="24"/>
        </w:rPr>
      </w:pPr>
      <w:r>
        <w:rPr>
          <w:rFonts w:eastAsia="Wingdings 2"/>
          <w:sz w:val="24"/>
        </w:rPr>
        <w:t></w:t>
      </w:r>
      <w:r>
        <w:rPr>
          <w:rFonts w:eastAsia="微软雅黑"/>
          <w:sz w:val="24"/>
        </w:rPr>
        <w:t>In cases of good physical and tolerable conditions, chemotherapy is first started within 8 weeks after surgery and then according to the regularity of the chemotherapy cycle.</w:t>
      </w:r>
    </w:p>
    <w:p w14:paraId="4F3EA8AF">
      <w:pPr>
        <w:spacing w:line="360" w:lineRule="auto"/>
        <w:rPr>
          <w:rFonts w:eastAsia="微软雅黑"/>
          <w:sz w:val="24"/>
        </w:rPr>
      </w:pPr>
      <w:r>
        <w:rPr>
          <w:rFonts w:eastAsia="Wingdings 2"/>
          <w:sz w:val="24"/>
        </w:rPr>
        <w:t></w:t>
      </w:r>
      <w:r>
        <w:rPr>
          <w:rFonts w:eastAsia="微软雅黑"/>
          <w:sz w:val="24"/>
        </w:rPr>
        <w:t>During the chemotherapy period, tumor recurrence should be assessed according to the follow-up plan.</w:t>
      </w:r>
    </w:p>
    <w:p w14:paraId="062A4A51">
      <w:pPr>
        <w:spacing w:line="360" w:lineRule="auto"/>
        <w:rPr>
          <w:rFonts w:eastAsia="微软雅黑"/>
          <w:sz w:val="24"/>
        </w:rPr>
      </w:pPr>
      <w:r>
        <w:rPr>
          <w:rFonts w:eastAsia="Wingdings 2"/>
          <w:sz w:val="24"/>
        </w:rPr>
        <w:t></w:t>
      </w:r>
      <w:r>
        <w:rPr>
          <w:rFonts w:eastAsia="微软雅黑"/>
          <w:sz w:val="24"/>
        </w:rPr>
        <w:t>When tumor recurrence occurs during chemotherapy, the adjuvant chemotherapy regimen of this study is discontinued. The follow-up treatment is decided according to the clinical treatment routine. This study does not make regulations, but the cause and follow-up treatment plan should be recorded in the CRF.</w:t>
      </w:r>
    </w:p>
    <w:p w14:paraId="070E0C28">
      <w:pPr>
        <w:spacing w:line="360" w:lineRule="auto"/>
        <w:rPr>
          <w:rFonts w:eastAsia="微软雅黑"/>
          <w:sz w:val="24"/>
        </w:rPr>
      </w:pPr>
      <w:r>
        <w:rPr>
          <w:rFonts w:eastAsia="Wingdings 2"/>
          <w:sz w:val="24"/>
        </w:rPr>
        <w:t></w:t>
      </w:r>
      <w:r>
        <w:rPr>
          <w:rFonts w:eastAsia="微软雅黑"/>
          <w:sz w:val="24"/>
        </w:rPr>
        <w:t>If there is no recurrence during chemotherapy, adjuvant chemotherapy is terminated after 6 months, and the follow-up plan continues.</w:t>
      </w:r>
    </w:p>
    <w:p w14:paraId="44DB6BE4">
      <w:pPr>
        <w:spacing w:line="360" w:lineRule="auto"/>
        <w:rPr>
          <w:rFonts w:eastAsia="微软雅黑"/>
          <w:sz w:val="24"/>
        </w:rPr>
      </w:pPr>
      <w:r>
        <w:rPr>
          <w:rFonts w:eastAsia="Wingdings 2"/>
          <w:sz w:val="24"/>
        </w:rPr>
        <w:t></w:t>
      </w:r>
      <w:r>
        <w:rPr>
          <w:rFonts w:eastAsia="微软雅黑"/>
          <w:sz w:val="24"/>
        </w:rPr>
        <w:t>Adjuvant chemotherapy requires written approval from the patient.</w:t>
      </w:r>
    </w:p>
    <w:p w14:paraId="23440371">
      <w:pPr>
        <w:spacing w:line="360" w:lineRule="auto"/>
        <w:rPr>
          <w:rFonts w:eastAsia="微软雅黑"/>
          <w:sz w:val="24"/>
        </w:rPr>
      </w:pPr>
      <w:r>
        <w:rPr>
          <w:rFonts w:eastAsia="Wingdings 2"/>
          <w:sz w:val="24"/>
        </w:rPr>
        <w:t></w:t>
      </w:r>
      <w:r>
        <w:rPr>
          <w:rFonts w:eastAsia="微软雅黑"/>
          <w:sz w:val="24"/>
        </w:rPr>
        <w:t>Subjects that refuse postoperative adjuvant chemotherapy or do not complete the adjuvant chemotherapy are not excluded from this study, but the cause is marked and recorded in the CRF.</w:t>
      </w:r>
    </w:p>
    <w:p w14:paraId="2ABD9835">
      <w:pPr>
        <w:spacing w:line="360" w:lineRule="auto"/>
        <w:rPr>
          <w:rFonts w:eastAsia="微软雅黑"/>
          <w:sz w:val="24"/>
        </w:rPr>
      </w:pPr>
      <w:r>
        <w:rPr>
          <w:rFonts w:eastAsia="Wingdings 2"/>
          <w:sz w:val="24"/>
        </w:rPr>
        <w:t></w:t>
      </w:r>
      <w:r>
        <w:rPr>
          <w:rFonts w:eastAsia="微软雅黑"/>
          <w:sz w:val="24"/>
        </w:rPr>
        <w:t xml:space="preserve">For elderly patients (70 years and older), considering differences in the physical fitness of the elderly and ensuring the safety of patients, </w:t>
      </w:r>
      <w:r>
        <w:rPr>
          <w:rFonts w:hint="eastAsia" w:eastAsia="微软雅黑"/>
          <w:sz w:val="24"/>
          <w:lang w:val="en-US" w:eastAsia="zh-CN"/>
        </w:rPr>
        <w:t xml:space="preserve">the doctors can </w:t>
      </w:r>
      <w:r>
        <w:rPr>
          <w:rFonts w:eastAsia="微软雅黑"/>
          <w:sz w:val="24"/>
        </w:rPr>
        <w:t xml:space="preserve">decide according to the clinical treatment routine. This study does not recommend or stipulate any chemotherapy regimen for patients of this age. </w:t>
      </w:r>
    </w:p>
    <w:p w14:paraId="70576B8E">
      <w:pPr>
        <w:spacing w:line="360" w:lineRule="auto"/>
        <w:rPr>
          <w:rFonts w:eastAsia="微软雅黑"/>
          <w:sz w:val="24"/>
        </w:rPr>
      </w:pPr>
      <w:r>
        <w:rPr>
          <w:rFonts w:eastAsia="Wingdings 2"/>
          <w:sz w:val="24"/>
        </w:rPr>
        <w:t></w:t>
      </w:r>
      <w:r>
        <w:rPr>
          <w:rFonts w:eastAsia="微软雅黑"/>
          <w:sz w:val="24"/>
        </w:rPr>
        <w:t>Patients who choose adjuvant chemotherapy, irregular chemotherapy, or a nonfirst-line regimen are not excluded from the study, but the Efficacy and Safety Evaluation Committee is obliged to monitor patient safety during follow-up. The patient's chemotherapy medication must be recorded in the CRF.</w:t>
      </w:r>
    </w:p>
    <w:p w14:paraId="71974003">
      <w:pPr>
        <w:spacing w:line="360" w:lineRule="auto"/>
        <w:rPr>
          <w:rFonts w:eastAsia="微软雅黑"/>
          <w:sz w:val="24"/>
        </w:rPr>
      </w:pPr>
      <w:r>
        <w:rPr>
          <w:rFonts w:eastAsia="Wingdings 2"/>
          <w:sz w:val="24"/>
        </w:rPr>
        <w:t></w:t>
      </w:r>
      <w:r>
        <w:rPr>
          <w:rFonts w:eastAsia="微软雅黑"/>
          <w:sz w:val="24"/>
        </w:rPr>
        <w:t>The principles of processing in terms of the method of administration of adjuvant chemotherapy, toxic reactions, and dose adjustment with intolerance are implemented according to the original literature on drug toxicity and dose adjustment for each chemotherapy regimen. This study does not regulate these principles.</w:t>
      </w:r>
    </w:p>
    <w:p w14:paraId="3CEA1311">
      <w:pPr>
        <w:spacing w:line="360" w:lineRule="auto"/>
        <w:rPr>
          <w:rFonts w:eastAsia="微软雅黑"/>
          <w:b/>
          <w:sz w:val="24"/>
        </w:rPr>
      </w:pPr>
      <w:r>
        <w:rPr>
          <w:rFonts w:eastAsia="微软雅黑"/>
          <w:b/>
          <w:sz w:val="24"/>
        </w:rPr>
        <w:t xml:space="preserve">9.6.3 Safety Evaluation Indicators of Postoperative Adjuvant Chemotherapy </w:t>
      </w:r>
    </w:p>
    <w:p w14:paraId="75D2F4A5">
      <w:pPr>
        <w:spacing w:line="360" w:lineRule="auto"/>
        <w:ind w:firstLine="480" w:firstLineChars="200"/>
        <w:rPr>
          <w:rFonts w:eastAsia="微软雅黑"/>
          <w:sz w:val="24"/>
        </w:rPr>
      </w:pPr>
      <w:r>
        <w:rPr>
          <w:rFonts w:eastAsia="微软雅黑"/>
          <w:sz w:val="24"/>
        </w:rPr>
        <w:t xml:space="preserve">The safety evaluation indicators for patients enrolled in the study should be immediately filled out by the investigators before and after each postoperative adjuvant chemotherapy cycle, with specific items including the following: </w:t>
      </w:r>
    </w:p>
    <w:p w14:paraId="07AF8315">
      <w:pPr>
        <w:numPr>
          <w:ilvl w:val="255"/>
          <w:numId w:val="0"/>
        </w:numPr>
        <w:spacing w:line="360" w:lineRule="auto"/>
        <w:rPr>
          <w:rFonts w:eastAsia="微软雅黑"/>
          <w:bCs/>
          <w:sz w:val="24"/>
        </w:rPr>
      </w:pPr>
      <w:r>
        <w:rPr>
          <w:rFonts w:eastAsia="微软雅黑"/>
          <w:bCs/>
          <w:sz w:val="24"/>
        </w:rPr>
        <w:t xml:space="preserve">(1) Performance Status (ECOG) </w:t>
      </w:r>
    </w:p>
    <w:p w14:paraId="5AD23744">
      <w:pPr>
        <w:numPr>
          <w:ilvl w:val="255"/>
          <w:numId w:val="0"/>
        </w:numPr>
        <w:spacing w:line="360" w:lineRule="auto"/>
        <w:rPr>
          <w:rFonts w:eastAsia="微软雅黑"/>
          <w:bCs/>
          <w:sz w:val="24"/>
        </w:rPr>
      </w:pPr>
      <w:r>
        <w:rPr>
          <w:rFonts w:eastAsia="微软雅黑"/>
          <w:bCs/>
          <w:sz w:val="24"/>
        </w:rPr>
        <w:t xml:space="preserve">(2) Subjective and objective status (according to the records of CTCAE v3.0 Short Name) </w:t>
      </w:r>
    </w:p>
    <w:p w14:paraId="525D4630">
      <w:pPr>
        <w:spacing w:line="360" w:lineRule="auto"/>
        <w:rPr>
          <w:rFonts w:eastAsia="微软雅黑"/>
          <w:bCs/>
          <w:sz w:val="24"/>
        </w:rPr>
      </w:pPr>
      <w:r>
        <w:rPr>
          <w:rFonts w:eastAsia="微软雅黑"/>
          <w:bCs/>
          <w:sz w:val="24"/>
        </w:rPr>
        <w:t xml:space="preserve">(3) Blood tests: </w:t>
      </w:r>
    </w:p>
    <w:p w14:paraId="5AA70AC5">
      <w:pPr>
        <w:spacing w:line="360" w:lineRule="auto"/>
        <w:rPr>
          <w:rFonts w:eastAsia="微软雅黑"/>
          <w:sz w:val="24"/>
        </w:rPr>
      </w:pPr>
      <w:r>
        <w:rPr>
          <w:rFonts w:eastAsia="Wingdings 2"/>
          <w:sz w:val="24"/>
        </w:rPr>
        <w:t></w:t>
      </w:r>
      <w:r>
        <w:rPr>
          <w:rFonts w:eastAsia="微软雅黑"/>
          <w:sz w:val="24"/>
        </w:rPr>
        <w:t>Peripheral venous blood assessment: Hb, RBC, WBC, LYM, NEU, NEU%, PLT, MONO.</w:t>
      </w:r>
    </w:p>
    <w:p w14:paraId="02108384">
      <w:pPr>
        <w:spacing w:line="360" w:lineRule="auto"/>
        <w:rPr>
          <w:rFonts w:eastAsia="微软雅黑"/>
          <w:sz w:val="24"/>
        </w:rPr>
      </w:pPr>
      <w:r>
        <w:rPr>
          <w:rFonts w:eastAsia="Wingdings 2"/>
          <w:sz w:val="24"/>
        </w:rPr>
        <w:t></w:t>
      </w:r>
      <w:r>
        <w:rPr>
          <w:rFonts w:eastAsia="微软雅黑"/>
          <w:sz w:val="24"/>
        </w:rPr>
        <w:t>Blood biochemistry: albumin, prealbumin, total bilirubin, AST, ALT, creatinine, urea nitrogen, fasting blood glucose, serum tumor markers (CEA, CA19-9, CA72-4, CA12-5, AFP)</w:t>
      </w:r>
    </w:p>
    <w:p w14:paraId="5568BFFC">
      <w:pPr>
        <w:spacing w:line="360" w:lineRule="auto"/>
        <w:rPr>
          <w:rFonts w:eastAsia="微软雅黑"/>
          <w:sz w:val="24"/>
        </w:rPr>
      </w:pPr>
      <w:r>
        <w:rPr>
          <w:rFonts w:eastAsia="微软雅黑"/>
          <w:bCs/>
          <w:sz w:val="24"/>
        </w:rPr>
        <w:t>(4) Safety evaluation items to be implemented during chemotherapy when necessary (refer to CTCAE v3.0):</w:t>
      </w:r>
      <w:r>
        <w:rPr>
          <w:rFonts w:eastAsia="微软雅黑"/>
          <w:sz w:val="24"/>
        </w:rPr>
        <w:t xml:space="preserve"> </w:t>
      </w:r>
    </w:p>
    <w:p w14:paraId="1A28A077">
      <w:pPr>
        <w:numPr>
          <w:ilvl w:val="0"/>
          <w:numId w:val="13"/>
        </w:numPr>
        <w:spacing w:line="360" w:lineRule="auto"/>
        <w:outlineLvl w:val="0"/>
        <w:rPr>
          <w:rFonts w:eastAsia="微软雅黑"/>
          <w:sz w:val="24"/>
        </w:rPr>
      </w:pPr>
      <w:bookmarkStart w:id="68" w:name="_Toc32208"/>
      <w:r>
        <w:rPr>
          <w:rFonts w:eastAsia="微软雅黑"/>
          <w:sz w:val="24"/>
        </w:rPr>
        <w:t>Neurotoxicity</w:t>
      </w:r>
      <w:bookmarkEnd w:id="68"/>
      <w:r>
        <w:rPr>
          <w:rFonts w:eastAsia="微软雅黑"/>
          <w:sz w:val="24"/>
        </w:rPr>
        <w:t xml:space="preserve"> </w:t>
      </w:r>
    </w:p>
    <w:p w14:paraId="46FFA9AB">
      <w:pPr>
        <w:numPr>
          <w:ilvl w:val="0"/>
          <w:numId w:val="13"/>
        </w:numPr>
        <w:spacing w:line="360" w:lineRule="auto"/>
        <w:rPr>
          <w:rFonts w:eastAsia="微软雅黑"/>
          <w:sz w:val="24"/>
        </w:rPr>
      </w:pPr>
      <w:r>
        <w:rPr>
          <w:rFonts w:eastAsia="微软雅黑"/>
          <w:sz w:val="24"/>
        </w:rPr>
        <w:t xml:space="preserve">Cardiovascular system (cardiac toxicity, ischemic heart disease, etc.) </w:t>
      </w:r>
    </w:p>
    <w:p w14:paraId="3357386D">
      <w:pPr>
        <w:numPr>
          <w:ilvl w:val="0"/>
          <w:numId w:val="13"/>
        </w:numPr>
        <w:spacing w:line="360" w:lineRule="auto"/>
        <w:rPr>
          <w:rFonts w:eastAsia="微软雅黑"/>
          <w:sz w:val="24"/>
        </w:rPr>
      </w:pPr>
      <w:r>
        <w:rPr>
          <w:rFonts w:eastAsia="微软雅黑"/>
          <w:sz w:val="24"/>
        </w:rPr>
        <w:t xml:space="preserve">Bone marrow suppression and infections due to immune dysfunction </w:t>
      </w:r>
    </w:p>
    <w:p w14:paraId="5B44EA90">
      <w:pPr>
        <w:numPr>
          <w:ilvl w:val="0"/>
          <w:numId w:val="13"/>
        </w:numPr>
        <w:spacing w:line="360" w:lineRule="auto"/>
        <w:outlineLvl w:val="0"/>
        <w:rPr>
          <w:rFonts w:eastAsia="微软雅黑"/>
          <w:sz w:val="24"/>
        </w:rPr>
      </w:pPr>
      <w:bookmarkStart w:id="69" w:name="_Toc4415"/>
      <w:r>
        <w:rPr>
          <w:rFonts w:eastAsia="微软雅黑"/>
          <w:sz w:val="24"/>
        </w:rPr>
        <w:t>Others</w:t>
      </w:r>
      <w:bookmarkEnd w:id="69"/>
      <w:r>
        <w:rPr>
          <w:rFonts w:eastAsia="微软雅黑"/>
          <w:sz w:val="24"/>
        </w:rPr>
        <w:t xml:space="preserve"> </w:t>
      </w:r>
    </w:p>
    <w:p w14:paraId="2A1715E7">
      <w:pPr>
        <w:spacing w:line="360" w:lineRule="auto"/>
        <w:outlineLvl w:val="0"/>
        <w:rPr>
          <w:rFonts w:eastAsia="微软雅黑"/>
          <w:b/>
          <w:sz w:val="24"/>
        </w:rPr>
      </w:pPr>
      <w:bookmarkStart w:id="70" w:name="_Toc30175"/>
      <w:r>
        <w:rPr>
          <w:rFonts w:eastAsia="微软雅黑"/>
          <w:b/>
          <w:sz w:val="24"/>
        </w:rPr>
        <w:t>9.7 Study calendar</w:t>
      </w:r>
      <w:bookmarkEnd w:id="70"/>
    </w:p>
    <w:tbl>
      <w:tblPr>
        <w:tblStyle w:val="13"/>
        <w:tblW w:w="10066" w:type="dxa"/>
        <w:tblInd w:w="-8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8"/>
        <w:gridCol w:w="1296"/>
        <w:gridCol w:w="587"/>
        <w:gridCol w:w="587"/>
        <w:gridCol w:w="587"/>
        <w:gridCol w:w="588"/>
        <w:gridCol w:w="587"/>
        <w:gridCol w:w="587"/>
        <w:gridCol w:w="588"/>
        <w:gridCol w:w="587"/>
        <w:gridCol w:w="587"/>
        <w:gridCol w:w="587"/>
        <w:gridCol w:w="588"/>
        <w:gridCol w:w="587"/>
        <w:gridCol w:w="587"/>
        <w:gridCol w:w="588"/>
      </w:tblGrid>
      <w:tr w14:paraId="1E750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91" w:hRule="atLeast"/>
        </w:trPr>
        <w:tc>
          <w:tcPr>
            <w:tcW w:w="1844" w:type="dxa"/>
            <w:gridSpan w:val="2"/>
          </w:tcPr>
          <w:p w14:paraId="0149DD15">
            <w:pPr>
              <w:spacing w:line="360" w:lineRule="auto"/>
              <w:rPr>
                <w:sz w:val="20"/>
                <w:szCs w:val="21"/>
              </w:rPr>
            </w:pPr>
            <w:r>
              <w:rPr>
                <w:sz w:val="20"/>
                <w:szCs w:val="21"/>
              </w:rPr>
              <w:t xml:space="preserve">Observation </w:t>
            </w:r>
          </w:p>
          <w:p w14:paraId="65D7A13D">
            <w:pPr>
              <w:spacing w:line="360" w:lineRule="auto"/>
              <w:rPr>
                <w:sz w:val="20"/>
                <w:szCs w:val="21"/>
              </w:rPr>
            </w:pPr>
            <w:r>
              <w:rPr>
                <w:sz w:val="20"/>
                <w:szCs w:val="21"/>
              </w:rPr>
              <w:t xml:space="preserve">Stage </w:t>
            </w:r>
          </w:p>
        </w:tc>
        <w:tc>
          <w:tcPr>
            <w:tcW w:w="587" w:type="dxa"/>
            <w:textDirection w:val="tbRl"/>
          </w:tcPr>
          <w:p w14:paraId="169F3B77">
            <w:pPr>
              <w:spacing w:line="360" w:lineRule="auto"/>
              <w:ind w:left="113" w:right="113"/>
              <w:rPr>
                <w:sz w:val="20"/>
                <w:szCs w:val="21"/>
              </w:rPr>
            </w:pPr>
            <w:r>
              <w:rPr>
                <w:sz w:val="20"/>
                <w:szCs w:val="21"/>
              </w:rPr>
              <w:t>Performance Status</w:t>
            </w:r>
          </w:p>
        </w:tc>
        <w:tc>
          <w:tcPr>
            <w:tcW w:w="587" w:type="dxa"/>
            <w:textDirection w:val="tbRl"/>
          </w:tcPr>
          <w:p w14:paraId="359DA0BD">
            <w:pPr>
              <w:spacing w:line="360" w:lineRule="auto"/>
              <w:ind w:left="113" w:right="113"/>
              <w:rPr>
                <w:sz w:val="20"/>
                <w:szCs w:val="21"/>
              </w:rPr>
            </w:pPr>
            <w:r>
              <w:rPr>
                <w:sz w:val="20"/>
                <w:szCs w:val="21"/>
              </w:rPr>
              <w:t>Blood biochemistry</w:t>
            </w:r>
          </w:p>
        </w:tc>
        <w:tc>
          <w:tcPr>
            <w:tcW w:w="587" w:type="dxa"/>
            <w:textDirection w:val="tbRl"/>
          </w:tcPr>
          <w:p w14:paraId="43078BA3">
            <w:pPr>
              <w:spacing w:line="360" w:lineRule="auto"/>
              <w:ind w:left="113" w:right="113"/>
              <w:rPr>
                <w:sz w:val="20"/>
                <w:szCs w:val="21"/>
              </w:rPr>
            </w:pPr>
            <w:r>
              <w:rPr>
                <w:sz w:val="20"/>
                <w:szCs w:val="21"/>
              </w:rPr>
              <w:t>Tumor markers</w:t>
            </w:r>
          </w:p>
        </w:tc>
        <w:tc>
          <w:tcPr>
            <w:tcW w:w="588" w:type="dxa"/>
            <w:textDirection w:val="tbRl"/>
          </w:tcPr>
          <w:p w14:paraId="767A455E">
            <w:pPr>
              <w:spacing w:line="360" w:lineRule="auto"/>
              <w:ind w:left="113" w:right="113"/>
              <w:rPr>
                <w:sz w:val="20"/>
                <w:szCs w:val="21"/>
              </w:rPr>
            </w:pPr>
            <w:r>
              <w:rPr>
                <w:sz w:val="20"/>
                <w:szCs w:val="21"/>
              </w:rPr>
              <w:t>Electrocardiogram, respiratory function</w:t>
            </w:r>
          </w:p>
        </w:tc>
        <w:tc>
          <w:tcPr>
            <w:tcW w:w="587" w:type="dxa"/>
            <w:textDirection w:val="tbRl"/>
          </w:tcPr>
          <w:p w14:paraId="41F943EE">
            <w:pPr>
              <w:spacing w:line="360" w:lineRule="auto"/>
              <w:ind w:left="113" w:right="113"/>
              <w:rPr>
                <w:sz w:val="20"/>
                <w:szCs w:val="21"/>
              </w:rPr>
            </w:pPr>
            <w:r>
              <w:rPr>
                <w:sz w:val="20"/>
                <w:szCs w:val="21"/>
              </w:rPr>
              <w:t xml:space="preserve">Upper gastrointestinal endoscopy </w:t>
            </w:r>
          </w:p>
        </w:tc>
        <w:tc>
          <w:tcPr>
            <w:tcW w:w="587" w:type="dxa"/>
            <w:textDirection w:val="tbRl"/>
          </w:tcPr>
          <w:p w14:paraId="6118A85C">
            <w:pPr>
              <w:spacing w:line="360" w:lineRule="auto"/>
              <w:ind w:left="113" w:right="113"/>
              <w:rPr>
                <w:sz w:val="20"/>
                <w:szCs w:val="21"/>
              </w:rPr>
            </w:pPr>
            <w:r>
              <w:rPr>
                <w:sz w:val="20"/>
                <w:szCs w:val="21"/>
              </w:rPr>
              <w:t xml:space="preserve">Chest X-ray, full abdominal CT Or ultrasound </w:t>
            </w:r>
          </w:p>
        </w:tc>
        <w:tc>
          <w:tcPr>
            <w:tcW w:w="588" w:type="dxa"/>
            <w:textDirection w:val="tbRl"/>
          </w:tcPr>
          <w:p w14:paraId="3A870DC6">
            <w:pPr>
              <w:spacing w:line="360" w:lineRule="auto"/>
              <w:ind w:left="113" w:right="113"/>
              <w:rPr>
                <w:sz w:val="20"/>
                <w:szCs w:val="21"/>
              </w:rPr>
            </w:pPr>
            <w:r>
              <w:rPr>
                <w:sz w:val="20"/>
                <w:szCs w:val="21"/>
              </w:rPr>
              <w:t xml:space="preserve">Eligibility confirmation notice </w:t>
            </w:r>
          </w:p>
        </w:tc>
        <w:tc>
          <w:tcPr>
            <w:tcW w:w="587" w:type="dxa"/>
            <w:textDirection w:val="tbRl"/>
          </w:tcPr>
          <w:p w14:paraId="5FDD20BC">
            <w:pPr>
              <w:spacing w:line="360" w:lineRule="auto"/>
              <w:ind w:left="113" w:right="113"/>
              <w:rPr>
                <w:sz w:val="20"/>
                <w:szCs w:val="21"/>
              </w:rPr>
            </w:pPr>
            <w:r>
              <w:rPr>
                <w:sz w:val="20"/>
                <w:szCs w:val="21"/>
              </w:rPr>
              <w:t xml:space="preserve">Preoperative, postoperative complications </w:t>
            </w:r>
          </w:p>
        </w:tc>
        <w:tc>
          <w:tcPr>
            <w:tcW w:w="587" w:type="dxa"/>
            <w:textDirection w:val="tbRl"/>
          </w:tcPr>
          <w:p w14:paraId="7515F26C">
            <w:pPr>
              <w:spacing w:line="360" w:lineRule="auto"/>
              <w:ind w:left="113" w:right="113"/>
              <w:rPr>
                <w:sz w:val="20"/>
                <w:szCs w:val="21"/>
              </w:rPr>
            </w:pPr>
            <w:r>
              <w:rPr>
                <w:sz w:val="20"/>
                <w:szCs w:val="21"/>
              </w:rPr>
              <w:t xml:space="preserve">Adverse chemotherapy events </w:t>
            </w:r>
          </w:p>
        </w:tc>
        <w:tc>
          <w:tcPr>
            <w:tcW w:w="587" w:type="dxa"/>
            <w:textDirection w:val="tbRl"/>
          </w:tcPr>
          <w:p w14:paraId="5B81AF5C">
            <w:pPr>
              <w:spacing w:line="360" w:lineRule="auto"/>
              <w:ind w:left="113" w:right="113"/>
              <w:rPr>
                <w:sz w:val="20"/>
                <w:szCs w:val="21"/>
              </w:rPr>
            </w:pPr>
            <w:r>
              <w:rPr>
                <w:sz w:val="20"/>
                <w:szCs w:val="21"/>
              </w:rPr>
              <w:t xml:space="preserve">CRF- Preoperative </w:t>
            </w:r>
          </w:p>
        </w:tc>
        <w:tc>
          <w:tcPr>
            <w:tcW w:w="588" w:type="dxa"/>
            <w:textDirection w:val="tbRl"/>
          </w:tcPr>
          <w:p w14:paraId="36FD46B0">
            <w:pPr>
              <w:spacing w:line="360" w:lineRule="auto"/>
              <w:ind w:left="113" w:right="113"/>
              <w:rPr>
                <w:sz w:val="20"/>
                <w:szCs w:val="21"/>
              </w:rPr>
            </w:pPr>
            <w:r>
              <w:rPr>
                <w:sz w:val="20"/>
                <w:szCs w:val="21"/>
              </w:rPr>
              <w:t xml:space="preserve">CRF-Intraoperative </w:t>
            </w:r>
          </w:p>
        </w:tc>
        <w:tc>
          <w:tcPr>
            <w:tcW w:w="587" w:type="dxa"/>
            <w:textDirection w:val="tbRl"/>
          </w:tcPr>
          <w:p w14:paraId="43E1E9A4">
            <w:pPr>
              <w:spacing w:line="360" w:lineRule="auto"/>
              <w:ind w:left="113" w:right="113"/>
              <w:rPr>
                <w:sz w:val="20"/>
                <w:szCs w:val="21"/>
              </w:rPr>
            </w:pPr>
            <w:r>
              <w:rPr>
                <w:sz w:val="20"/>
                <w:szCs w:val="21"/>
              </w:rPr>
              <w:t>CRF- Postoperative</w:t>
            </w:r>
          </w:p>
        </w:tc>
        <w:tc>
          <w:tcPr>
            <w:tcW w:w="587" w:type="dxa"/>
            <w:textDirection w:val="tbRl"/>
          </w:tcPr>
          <w:p w14:paraId="5423EC2F">
            <w:pPr>
              <w:spacing w:line="360" w:lineRule="auto"/>
              <w:ind w:left="113" w:right="113"/>
              <w:rPr>
                <w:sz w:val="20"/>
                <w:szCs w:val="21"/>
              </w:rPr>
            </w:pPr>
            <w:r>
              <w:rPr>
                <w:sz w:val="20"/>
                <w:szCs w:val="21"/>
              </w:rPr>
              <w:t xml:space="preserve">CRF- treatment end </w:t>
            </w:r>
          </w:p>
          <w:p w14:paraId="712894A4">
            <w:pPr>
              <w:spacing w:line="360" w:lineRule="auto"/>
              <w:ind w:left="113" w:right="113"/>
              <w:rPr>
                <w:sz w:val="20"/>
                <w:szCs w:val="21"/>
              </w:rPr>
            </w:pPr>
            <w:r>
              <w:rPr>
                <w:sz w:val="20"/>
                <w:szCs w:val="21"/>
              </w:rPr>
              <w:t xml:space="preserve">report </w:t>
            </w:r>
          </w:p>
        </w:tc>
        <w:tc>
          <w:tcPr>
            <w:tcW w:w="588" w:type="dxa"/>
            <w:textDirection w:val="tbRl"/>
          </w:tcPr>
          <w:p w14:paraId="250EF11E">
            <w:pPr>
              <w:spacing w:line="360" w:lineRule="auto"/>
              <w:ind w:left="113" w:right="113"/>
              <w:rPr>
                <w:sz w:val="20"/>
                <w:szCs w:val="21"/>
              </w:rPr>
            </w:pPr>
            <w:r>
              <w:rPr>
                <w:sz w:val="20"/>
                <w:szCs w:val="21"/>
              </w:rPr>
              <w:t xml:space="preserve">CRF- follow-up observation surgery </w:t>
            </w:r>
          </w:p>
        </w:tc>
      </w:tr>
      <w:tr w14:paraId="28E04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gridSpan w:val="2"/>
          </w:tcPr>
          <w:p w14:paraId="78DBD2CE">
            <w:pPr>
              <w:jc w:val="left"/>
              <w:rPr>
                <w:sz w:val="20"/>
                <w:szCs w:val="21"/>
              </w:rPr>
            </w:pPr>
            <w:r>
              <w:rPr>
                <w:sz w:val="20"/>
                <w:szCs w:val="21"/>
              </w:rPr>
              <w:t>Selection Application</w:t>
            </w:r>
          </w:p>
        </w:tc>
        <w:tc>
          <w:tcPr>
            <w:tcW w:w="587" w:type="dxa"/>
          </w:tcPr>
          <w:p w14:paraId="3E78685C">
            <w:pPr>
              <w:spacing w:line="360" w:lineRule="auto"/>
              <w:rPr>
                <w:sz w:val="20"/>
                <w:szCs w:val="21"/>
              </w:rPr>
            </w:pPr>
            <w:r>
              <w:rPr>
                <w:rFonts w:eastAsia="Calibri"/>
                <w:sz w:val="20"/>
                <w:szCs w:val="21"/>
              </w:rPr>
              <w:t>○</w:t>
            </w:r>
          </w:p>
        </w:tc>
        <w:tc>
          <w:tcPr>
            <w:tcW w:w="587" w:type="dxa"/>
          </w:tcPr>
          <w:p w14:paraId="72D86B86">
            <w:pPr>
              <w:spacing w:line="360" w:lineRule="auto"/>
              <w:rPr>
                <w:sz w:val="20"/>
                <w:szCs w:val="21"/>
              </w:rPr>
            </w:pPr>
            <w:r>
              <w:rPr>
                <w:rFonts w:eastAsia="Calibri"/>
                <w:sz w:val="20"/>
                <w:szCs w:val="21"/>
              </w:rPr>
              <w:t>○</w:t>
            </w:r>
          </w:p>
        </w:tc>
        <w:tc>
          <w:tcPr>
            <w:tcW w:w="587" w:type="dxa"/>
          </w:tcPr>
          <w:p w14:paraId="12F4D954">
            <w:pPr>
              <w:spacing w:line="360" w:lineRule="auto"/>
              <w:rPr>
                <w:sz w:val="20"/>
                <w:szCs w:val="21"/>
              </w:rPr>
            </w:pPr>
            <w:r>
              <w:rPr>
                <w:rFonts w:eastAsia="Calibri"/>
                <w:sz w:val="20"/>
                <w:szCs w:val="21"/>
              </w:rPr>
              <w:t>○</w:t>
            </w:r>
          </w:p>
        </w:tc>
        <w:tc>
          <w:tcPr>
            <w:tcW w:w="588" w:type="dxa"/>
          </w:tcPr>
          <w:p w14:paraId="5AE98306">
            <w:pPr>
              <w:spacing w:line="360" w:lineRule="auto"/>
              <w:rPr>
                <w:sz w:val="20"/>
                <w:szCs w:val="21"/>
              </w:rPr>
            </w:pPr>
            <w:r>
              <w:rPr>
                <w:rFonts w:eastAsia="Calibri"/>
                <w:sz w:val="20"/>
                <w:szCs w:val="21"/>
              </w:rPr>
              <w:t>○</w:t>
            </w:r>
          </w:p>
        </w:tc>
        <w:tc>
          <w:tcPr>
            <w:tcW w:w="587" w:type="dxa"/>
          </w:tcPr>
          <w:p w14:paraId="7D2CE6A9">
            <w:pPr>
              <w:spacing w:line="360" w:lineRule="auto"/>
              <w:rPr>
                <w:sz w:val="20"/>
                <w:szCs w:val="21"/>
              </w:rPr>
            </w:pPr>
            <w:r>
              <w:rPr>
                <w:rFonts w:eastAsia="Calibri"/>
                <w:sz w:val="20"/>
                <w:szCs w:val="21"/>
              </w:rPr>
              <w:t>○</w:t>
            </w:r>
          </w:p>
        </w:tc>
        <w:tc>
          <w:tcPr>
            <w:tcW w:w="587" w:type="dxa"/>
          </w:tcPr>
          <w:p w14:paraId="1C4CCC44">
            <w:pPr>
              <w:spacing w:line="360" w:lineRule="auto"/>
              <w:rPr>
                <w:sz w:val="20"/>
                <w:szCs w:val="21"/>
              </w:rPr>
            </w:pPr>
            <w:r>
              <w:rPr>
                <w:rFonts w:eastAsia="Calibri"/>
                <w:sz w:val="20"/>
                <w:szCs w:val="21"/>
              </w:rPr>
              <w:t>○</w:t>
            </w:r>
          </w:p>
        </w:tc>
        <w:tc>
          <w:tcPr>
            <w:tcW w:w="588" w:type="dxa"/>
          </w:tcPr>
          <w:p w14:paraId="4A66D0BE">
            <w:pPr>
              <w:spacing w:line="360" w:lineRule="auto"/>
              <w:rPr>
                <w:sz w:val="20"/>
                <w:szCs w:val="21"/>
              </w:rPr>
            </w:pPr>
          </w:p>
        </w:tc>
        <w:tc>
          <w:tcPr>
            <w:tcW w:w="587" w:type="dxa"/>
          </w:tcPr>
          <w:p w14:paraId="77319FD8">
            <w:pPr>
              <w:spacing w:line="360" w:lineRule="auto"/>
              <w:rPr>
                <w:sz w:val="20"/>
                <w:szCs w:val="21"/>
              </w:rPr>
            </w:pPr>
          </w:p>
        </w:tc>
        <w:tc>
          <w:tcPr>
            <w:tcW w:w="587" w:type="dxa"/>
          </w:tcPr>
          <w:p w14:paraId="464F9B20">
            <w:pPr>
              <w:spacing w:line="360" w:lineRule="auto"/>
              <w:rPr>
                <w:sz w:val="20"/>
                <w:szCs w:val="21"/>
              </w:rPr>
            </w:pPr>
          </w:p>
        </w:tc>
        <w:tc>
          <w:tcPr>
            <w:tcW w:w="587" w:type="dxa"/>
          </w:tcPr>
          <w:p w14:paraId="0ACA6E00">
            <w:pPr>
              <w:spacing w:line="360" w:lineRule="auto"/>
              <w:rPr>
                <w:sz w:val="20"/>
                <w:szCs w:val="21"/>
              </w:rPr>
            </w:pPr>
          </w:p>
        </w:tc>
        <w:tc>
          <w:tcPr>
            <w:tcW w:w="588" w:type="dxa"/>
          </w:tcPr>
          <w:p w14:paraId="1AA70B31">
            <w:pPr>
              <w:spacing w:line="360" w:lineRule="auto"/>
              <w:rPr>
                <w:sz w:val="20"/>
                <w:szCs w:val="21"/>
              </w:rPr>
            </w:pPr>
          </w:p>
        </w:tc>
        <w:tc>
          <w:tcPr>
            <w:tcW w:w="587" w:type="dxa"/>
          </w:tcPr>
          <w:p w14:paraId="6DFE789F">
            <w:pPr>
              <w:spacing w:line="360" w:lineRule="auto"/>
              <w:rPr>
                <w:sz w:val="20"/>
                <w:szCs w:val="21"/>
              </w:rPr>
            </w:pPr>
          </w:p>
        </w:tc>
        <w:tc>
          <w:tcPr>
            <w:tcW w:w="587" w:type="dxa"/>
          </w:tcPr>
          <w:p w14:paraId="078CDBE9">
            <w:pPr>
              <w:spacing w:line="360" w:lineRule="auto"/>
              <w:rPr>
                <w:sz w:val="20"/>
                <w:szCs w:val="21"/>
              </w:rPr>
            </w:pPr>
          </w:p>
        </w:tc>
        <w:tc>
          <w:tcPr>
            <w:tcW w:w="588" w:type="dxa"/>
          </w:tcPr>
          <w:p w14:paraId="694B8494">
            <w:pPr>
              <w:spacing w:line="360" w:lineRule="auto"/>
              <w:rPr>
                <w:sz w:val="20"/>
                <w:szCs w:val="21"/>
              </w:rPr>
            </w:pPr>
          </w:p>
        </w:tc>
      </w:tr>
      <w:tr w14:paraId="76978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gridSpan w:val="2"/>
          </w:tcPr>
          <w:p w14:paraId="711A68CF">
            <w:pPr>
              <w:jc w:val="left"/>
              <w:rPr>
                <w:sz w:val="20"/>
                <w:szCs w:val="21"/>
              </w:rPr>
            </w:pPr>
            <w:r>
              <w:rPr>
                <w:sz w:val="20"/>
                <w:szCs w:val="21"/>
              </w:rPr>
              <w:t xml:space="preserve">After selection and prior to surgery </w:t>
            </w:r>
          </w:p>
        </w:tc>
        <w:tc>
          <w:tcPr>
            <w:tcW w:w="587" w:type="dxa"/>
          </w:tcPr>
          <w:p w14:paraId="1CC12989">
            <w:pPr>
              <w:spacing w:line="360" w:lineRule="auto"/>
              <w:rPr>
                <w:sz w:val="20"/>
                <w:szCs w:val="21"/>
              </w:rPr>
            </w:pPr>
          </w:p>
        </w:tc>
        <w:tc>
          <w:tcPr>
            <w:tcW w:w="587" w:type="dxa"/>
          </w:tcPr>
          <w:p w14:paraId="4729C290">
            <w:pPr>
              <w:spacing w:line="360" w:lineRule="auto"/>
              <w:rPr>
                <w:sz w:val="20"/>
                <w:szCs w:val="21"/>
              </w:rPr>
            </w:pPr>
          </w:p>
        </w:tc>
        <w:tc>
          <w:tcPr>
            <w:tcW w:w="587" w:type="dxa"/>
          </w:tcPr>
          <w:p w14:paraId="46E38723">
            <w:pPr>
              <w:spacing w:line="360" w:lineRule="auto"/>
              <w:rPr>
                <w:sz w:val="20"/>
                <w:szCs w:val="21"/>
              </w:rPr>
            </w:pPr>
          </w:p>
        </w:tc>
        <w:tc>
          <w:tcPr>
            <w:tcW w:w="588" w:type="dxa"/>
          </w:tcPr>
          <w:p w14:paraId="68CCA25B">
            <w:pPr>
              <w:spacing w:line="360" w:lineRule="auto"/>
              <w:rPr>
                <w:sz w:val="20"/>
                <w:szCs w:val="21"/>
              </w:rPr>
            </w:pPr>
          </w:p>
        </w:tc>
        <w:tc>
          <w:tcPr>
            <w:tcW w:w="587" w:type="dxa"/>
          </w:tcPr>
          <w:p w14:paraId="3541CEF4">
            <w:pPr>
              <w:spacing w:line="360" w:lineRule="auto"/>
              <w:rPr>
                <w:sz w:val="20"/>
                <w:szCs w:val="21"/>
              </w:rPr>
            </w:pPr>
          </w:p>
        </w:tc>
        <w:tc>
          <w:tcPr>
            <w:tcW w:w="587" w:type="dxa"/>
          </w:tcPr>
          <w:p w14:paraId="34CB7106">
            <w:pPr>
              <w:spacing w:line="360" w:lineRule="auto"/>
              <w:rPr>
                <w:sz w:val="20"/>
                <w:szCs w:val="21"/>
              </w:rPr>
            </w:pPr>
          </w:p>
        </w:tc>
        <w:tc>
          <w:tcPr>
            <w:tcW w:w="588" w:type="dxa"/>
          </w:tcPr>
          <w:p w14:paraId="3329D28D">
            <w:pPr>
              <w:spacing w:line="360" w:lineRule="auto"/>
              <w:rPr>
                <w:sz w:val="20"/>
                <w:szCs w:val="21"/>
              </w:rPr>
            </w:pPr>
            <w:r>
              <w:rPr>
                <w:rFonts w:eastAsia="Calibri"/>
                <w:sz w:val="20"/>
                <w:szCs w:val="21"/>
              </w:rPr>
              <w:t>○</w:t>
            </w:r>
          </w:p>
        </w:tc>
        <w:tc>
          <w:tcPr>
            <w:tcW w:w="587" w:type="dxa"/>
          </w:tcPr>
          <w:p w14:paraId="49A73AD6">
            <w:pPr>
              <w:spacing w:line="360" w:lineRule="auto"/>
              <w:rPr>
                <w:sz w:val="20"/>
                <w:szCs w:val="21"/>
              </w:rPr>
            </w:pPr>
          </w:p>
        </w:tc>
        <w:tc>
          <w:tcPr>
            <w:tcW w:w="587" w:type="dxa"/>
          </w:tcPr>
          <w:p w14:paraId="1433BDF6">
            <w:pPr>
              <w:spacing w:line="360" w:lineRule="auto"/>
              <w:rPr>
                <w:sz w:val="20"/>
                <w:szCs w:val="21"/>
              </w:rPr>
            </w:pPr>
          </w:p>
        </w:tc>
        <w:tc>
          <w:tcPr>
            <w:tcW w:w="587" w:type="dxa"/>
          </w:tcPr>
          <w:p w14:paraId="0EBD6870">
            <w:pPr>
              <w:spacing w:line="360" w:lineRule="auto"/>
              <w:rPr>
                <w:sz w:val="20"/>
                <w:szCs w:val="21"/>
              </w:rPr>
            </w:pPr>
            <w:r>
              <w:rPr>
                <w:rFonts w:eastAsia="Calibri"/>
                <w:sz w:val="20"/>
                <w:szCs w:val="21"/>
              </w:rPr>
              <w:t>○</w:t>
            </w:r>
          </w:p>
        </w:tc>
        <w:tc>
          <w:tcPr>
            <w:tcW w:w="588" w:type="dxa"/>
          </w:tcPr>
          <w:p w14:paraId="3135BD0F">
            <w:pPr>
              <w:spacing w:line="360" w:lineRule="auto"/>
              <w:rPr>
                <w:sz w:val="20"/>
                <w:szCs w:val="21"/>
              </w:rPr>
            </w:pPr>
          </w:p>
        </w:tc>
        <w:tc>
          <w:tcPr>
            <w:tcW w:w="587" w:type="dxa"/>
          </w:tcPr>
          <w:p w14:paraId="210C93C2">
            <w:pPr>
              <w:spacing w:line="360" w:lineRule="auto"/>
              <w:rPr>
                <w:sz w:val="20"/>
                <w:szCs w:val="21"/>
              </w:rPr>
            </w:pPr>
          </w:p>
        </w:tc>
        <w:tc>
          <w:tcPr>
            <w:tcW w:w="587" w:type="dxa"/>
          </w:tcPr>
          <w:p w14:paraId="58E896F0">
            <w:pPr>
              <w:spacing w:line="360" w:lineRule="auto"/>
              <w:rPr>
                <w:sz w:val="20"/>
                <w:szCs w:val="21"/>
              </w:rPr>
            </w:pPr>
          </w:p>
        </w:tc>
        <w:tc>
          <w:tcPr>
            <w:tcW w:w="588" w:type="dxa"/>
          </w:tcPr>
          <w:p w14:paraId="3614E098">
            <w:pPr>
              <w:spacing w:line="360" w:lineRule="auto"/>
              <w:rPr>
                <w:sz w:val="20"/>
                <w:szCs w:val="21"/>
              </w:rPr>
            </w:pPr>
          </w:p>
        </w:tc>
      </w:tr>
      <w:tr w14:paraId="28838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gridSpan w:val="2"/>
          </w:tcPr>
          <w:p w14:paraId="666A1F59">
            <w:pPr>
              <w:jc w:val="left"/>
              <w:rPr>
                <w:sz w:val="20"/>
                <w:szCs w:val="21"/>
              </w:rPr>
            </w:pPr>
            <w:r>
              <w:rPr>
                <w:sz w:val="20"/>
                <w:szCs w:val="21"/>
              </w:rPr>
              <w:t xml:space="preserve">Intraoperative period </w:t>
            </w:r>
          </w:p>
        </w:tc>
        <w:tc>
          <w:tcPr>
            <w:tcW w:w="587" w:type="dxa"/>
          </w:tcPr>
          <w:p w14:paraId="3AD50FBD">
            <w:pPr>
              <w:spacing w:line="360" w:lineRule="auto"/>
              <w:rPr>
                <w:sz w:val="20"/>
                <w:szCs w:val="21"/>
              </w:rPr>
            </w:pPr>
          </w:p>
        </w:tc>
        <w:tc>
          <w:tcPr>
            <w:tcW w:w="587" w:type="dxa"/>
          </w:tcPr>
          <w:p w14:paraId="744AD09C">
            <w:pPr>
              <w:spacing w:line="360" w:lineRule="auto"/>
              <w:rPr>
                <w:sz w:val="20"/>
                <w:szCs w:val="21"/>
              </w:rPr>
            </w:pPr>
          </w:p>
        </w:tc>
        <w:tc>
          <w:tcPr>
            <w:tcW w:w="587" w:type="dxa"/>
          </w:tcPr>
          <w:p w14:paraId="2167EE5C">
            <w:pPr>
              <w:spacing w:line="360" w:lineRule="auto"/>
              <w:rPr>
                <w:sz w:val="20"/>
                <w:szCs w:val="21"/>
              </w:rPr>
            </w:pPr>
          </w:p>
        </w:tc>
        <w:tc>
          <w:tcPr>
            <w:tcW w:w="588" w:type="dxa"/>
          </w:tcPr>
          <w:p w14:paraId="169E4B11">
            <w:pPr>
              <w:spacing w:line="360" w:lineRule="auto"/>
              <w:rPr>
                <w:sz w:val="20"/>
                <w:szCs w:val="21"/>
              </w:rPr>
            </w:pPr>
          </w:p>
        </w:tc>
        <w:tc>
          <w:tcPr>
            <w:tcW w:w="587" w:type="dxa"/>
          </w:tcPr>
          <w:p w14:paraId="0EF0E962">
            <w:pPr>
              <w:spacing w:line="360" w:lineRule="auto"/>
              <w:rPr>
                <w:sz w:val="20"/>
                <w:szCs w:val="21"/>
              </w:rPr>
            </w:pPr>
          </w:p>
        </w:tc>
        <w:tc>
          <w:tcPr>
            <w:tcW w:w="587" w:type="dxa"/>
          </w:tcPr>
          <w:p w14:paraId="4ED544A9">
            <w:pPr>
              <w:spacing w:line="360" w:lineRule="auto"/>
              <w:rPr>
                <w:sz w:val="20"/>
                <w:szCs w:val="21"/>
              </w:rPr>
            </w:pPr>
          </w:p>
        </w:tc>
        <w:tc>
          <w:tcPr>
            <w:tcW w:w="588" w:type="dxa"/>
          </w:tcPr>
          <w:p w14:paraId="1690497E">
            <w:pPr>
              <w:spacing w:line="360" w:lineRule="auto"/>
              <w:rPr>
                <w:sz w:val="20"/>
                <w:szCs w:val="21"/>
              </w:rPr>
            </w:pPr>
          </w:p>
        </w:tc>
        <w:tc>
          <w:tcPr>
            <w:tcW w:w="587" w:type="dxa"/>
          </w:tcPr>
          <w:p w14:paraId="535BBE16">
            <w:pPr>
              <w:spacing w:line="360" w:lineRule="auto"/>
              <w:rPr>
                <w:sz w:val="20"/>
                <w:szCs w:val="21"/>
              </w:rPr>
            </w:pPr>
            <w:r>
              <w:rPr>
                <w:rFonts w:eastAsia="Calibri"/>
                <w:sz w:val="20"/>
                <w:szCs w:val="21"/>
              </w:rPr>
              <w:t>○</w:t>
            </w:r>
          </w:p>
        </w:tc>
        <w:tc>
          <w:tcPr>
            <w:tcW w:w="587" w:type="dxa"/>
          </w:tcPr>
          <w:p w14:paraId="28373763">
            <w:pPr>
              <w:spacing w:line="360" w:lineRule="auto"/>
              <w:rPr>
                <w:sz w:val="20"/>
                <w:szCs w:val="21"/>
              </w:rPr>
            </w:pPr>
          </w:p>
        </w:tc>
        <w:tc>
          <w:tcPr>
            <w:tcW w:w="587" w:type="dxa"/>
          </w:tcPr>
          <w:p w14:paraId="2139637B">
            <w:pPr>
              <w:spacing w:line="360" w:lineRule="auto"/>
              <w:rPr>
                <w:sz w:val="20"/>
                <w:szCs w:val="21"/>
              </w:rPr>
            </w:pPr>
          </w:p>
        </w:tc>
        <w:tc>
          <w:tcPr>
            <w:tcW w:w="588" w:type="dxa"/>
          </w:tcPr>
          <w:p w14:paraId="2E0F2F65">
            <w:pPr>
              <w:spacing w:line="360" w:lineRule="auto"/>
              <w:rPr>
                <w:sz w:val="20"/>
                <w:szCs w:val="21"/>
              </w:rPr>
            </w:pPr>
            <w:r>
              <w:rPr>
                <w:rFonts w:eastAsia="Calibri"/>
                <w:sz w:val="20"/>
                <w:szCs w:val="21"/>
              </w:rPr>
              <w:t>○</w:t>
            </w:r>
          </w:p>
        </w:tc>
        <w:tc>
          <w:tcPr>
            <w:tcW w:w="587" w:type="dxa"/>
          </w:tcPr>
          <w:p w14:paraId="058C6E81">
            <w:pPr>
              <w:spacing w:line="360" w:lineRule="auto"/>
              <w:rPr>
                <w:sz w:val="20"/>
                <w:szCs w:val="21"/>
              </w:rPr>
            </w:pPr>
          </w:p>
        </w:tc>
        <w:tc>
          <w:tcPr>
            <w:tcW w:w="587" w:type="dxa"/>
          </w:tcPr>
          <w:p w14:paraId="621EF0B7">
            <w:pPr>
              <w:spacing w:line="360" w:lineRule="auto"/>
              <w:rPr>
                <w:sz w:val="20"/>
                <w:szCs w:val="21"/>
              </w:rPr>
            </w:pPr>
          </w:p>
        </w:tc>
        <w:tc>
          <w:tcPr>
            <w:tcW w:w="588" w:type="dxa"/>
          </w:tcPr>
          <w:p w14:paraId="6E20BA3A">
            <w:pPr>
              <w:spacing w:line="360" w:lineRule="auto"/>
              <w:rPr>
                <w:sz w:val="20"/>
                <w:szCs w:val="21"/>
              </w:rPr>
            </w:pPr>
          </w:p>
        </w:tc>
      </w:tr>
      <w:tr w14:paraId="6A064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gridSpan w:val="2"/>
          </w:tcPr>
          <w:p w14:paraId="3BAA485D">
            <w:pPr>
              <w:jc w:val="left"/>
              <w:rPr>
                <w:sz w:val="20"/>
                <w:szCs w:val="21"/>
              </w:rPr>
            </w:pPr>
            <w:r>
              <w:rPr>
                <w:sz w:val="20"/>
                <w:szCs w:val="21"/>
              </w:rPr>
              <w:t xml:space="preserve">Early postoperative period </w:t>
            </w:r>
          </w:p>
        </w:tc>
        <w:tc>
          <w:tcPr>
            <w:tcW w:w="587" w:type="dxa"/>
          </w:tcPr>
          <w:p w14:paraId="7D471AD4">
            <w:pPr>
              <w:spacing w:line="360" w:lineRule="auto"/>
              <w:rPr>
                <w:sz w:val="20"/>
                <w:szCs w:val="21"/>
              </w:rPr>
            </w:pPr>
          </w:p>
        </w:tc>
        <w:tc>
          <w:tcPr>
            <w:tcW w:w="587" w:type="dxa"/>
          </w:tcPr>
          <w:p w14:paraId="0653FFE4">
            <w:pPr>
              <w:spacing w:line="360" w:lineRule="auto"/>
              <w:rPr>
                <w:sz w:val="20"/>
                <w:szCs w:val="21"/>
              </w:rPr>
            </w:pPr>
          </w:p>
        </w:tc>
        <w:tc>
          <w:tcPr>
            <w:tcW w:w="587" w:type="dxa"/>
          </w:tcPr>
          <w:p w14:paraId="70508BE9">
            <w:pPr>
              <w:spacing w:line="360" w:lineRule="auto"/>
              <w:rPr>
                <w:sz w:val="20"/>
                <w:szCs w:val="21"/>
              </w:rPr>
            </w:pPr>
          </w:p>
        </w:tc>
        <w:tc>
          <w:tcPr>
            <w:tcW w:w="588" w:type="dxa"/>
          </w:tcPr>
          <w:p w14:paraId="1ABEDD09">
            <w:pPr>
              <w:spacing w:line="360" w:lineRule="auto"/>
              <w:rPr>
                <w:sz w:val="20"/>
                <w:szCs w:val="21"/>
              </w:rPr>
            </w:pPr>
          </w:p>
        </w:tc>
        <w:tc>
          <w:tcPr>
            <w:tcW w:w="587" w:type="dxa"/>
          </w:tcPr>
          <w:p w14:paraId="1F0607C3">
            <w:pPr>
              <w:spacing w:line="360" w:lineRule="auto"/>
              <w:rPr>
                <w:sz w:val="20"/>
                <w:szCs w:val="21"/>
              </w:rPr>
            </w:pPr>
          </w:p>
        </w:tc>
        <w:tc>
          <w:tcPr>
            <w:tcW w:w="587" w:type="dxa"/>
          </w:tcPr>
          <w:p w14:paraId="45D1E795">
            <w:pPr>
              <w:spacing w:line="360" w:lineRule="auto"/>
              <w:rPr>
                <w:sz w:val="20"/>
                <w:szCs w:val="21"/>
              </w:rPr>
            </w:pPr>
          </w:p>
        </w:tc>
        <w:tc>
          <w:tcPr>
            <w:tcW w:w="588" w:type="dxa"/>
          </w:tcPr>
          <w:p w14:paraId="57DE84A9">
            <w:pPr>
              <w:spacing w:line="360" w:lineRule="auto"/>
              <w:rPr>
                <w:sz w:val="20"/>
                <w:szCs w:val="21"/>
              </w:rPr>
            </w:pPr>
          </w:p>
        </w:tc>
        <w:tc>
          <w:tcPr>
            <w:tcW w:w="587" w:type="dxa"/>
          </w:tcPr>
          <w:p w14:paraId="148DE54A">
            <w:pPr>
              <w:spacing w:line="360" w:lineRule="auto"/>
              <w:rPr>
                <w:sz w:val="20"/>
                <w:szCs w:val="21"/>
              </w:rPr>
            </w:pPr>
            <w:r>
              <w:rPr>
                <w:rFonts w:eastAsia="Calibri"/>
                <w:sz w:val="20"/>
                <w:szCs w:val="21"/>
              </w:rPr>
              <w:t>○</w:t>
            </w:r>
          </w:p>
        </w:tc>
        <w:tc>
          <w:tcPr>
            <w:tcW w:w="587" w:type="dxa"/>
          </w:tcPr>
          <w:p w14:paraId="2C489E6A">
            <w:pPr>
              <w:spacing w:line="360" w:lineRule="auto"/>
              <w:rPr>
                <w:sz w:val="20"/>
                <w:szCs w:val="21"/>
              </w:rPr>
            </w:pPr>
          </w:p>
        </w:tc>
        <w:tc>
          <w:tcPr>
            <w:tcW w:w="587" w:type="dxa"/>
          </w:tcPr>
          <w:p w14:paraId="6E3A9444">
            <w:pPr>
              <w:spacing w:line="360" w:lineRule="auto"/>
              <w:rPr>
                <w:sz w:val="20"/>
                <w:szCs w:val="21"/>
              </w:rPr>
            </w:pPr>
          </w:p>
        </w:tc>
        <w:tc>
          <w:tcPr>
            <w:tcW w:w="588" w:type="dxa"/>
          </w:tcPr>
          <w:p w14:paraId="5F95094B">
            <w:pPr>
              <w:spacing w:line="360" w:lineRule="auto"/>
              <w:rPr>
                <w:sz w:val="20"/>
                <w:szCs w:val="21"/>
              </w:rPr>
            </w:pPr>
          </w:p>
        </w:tc>
        <w:tc>
          <w:tcPr>
            <w:tcW w:w="587" w:type="dxa"/>
          </w:tcPr>
          <w:p w14:paraId="7F3EFA43">
            <w:pPr>
              <w:spacing w:line="360" w:lineRule="auto"/>
              <w:rPr>
                <w:sz w:val="20"/>
                <w:szCs w:val="21"/>
              </w:rPr>
            </w:pPr>
            <w:r>
              <w:rPr>
                <w:rFonts w:eastAsia="Calibri"/>
                <w:sz w:val="20"/>
                <w:szCs w:val="21"/>
              </w:rPr>
              <w:t>○</w:t>
            </w:r>
          </w:p>
        </w:tc>
        <w:tc>
          <w:tcPr>
            <w:tcW w:w="587" w:type="dxa"/>
          </w:tcPr>
          <w:p w14:paraId="7AD80E3D">
            <w:pPr>
              <w:spacing w:line="360" w:lineRule="auto"/>
              <w:rPr>
                <w:sz w:val="20"/>
                <w:szCs w:val="21"/>
              </w:rPr>
            </w:pPr>
            <w:r>
              <w:rPr>
                <w:rFonts w:eastAsia="Calibri"/>
                <w:sz w:val="20"/>
                <w:szCs w:val="21"/>
              </w:rPr>
              <w:t>○</w:t>
            </w:r>
          </w:p>
        </w:tc>
        <w:tc>
          <w:tcPr>
            <w:tcW w:w="588" w:type="dxa"/>
          </w:tcPr>
          <w:p w14:paraId="77C4732A">
            <w:pPr>
              <w:spacing w:line="360" w:lineRule="auto"/>
              <w:rPr>
                <w:sz w:val="20"/>
                <w:szCs w:val="21"/>
              </w:rPr>
            </w:pPr>
          </w:p>
        </w:tc>
      </w:tr>
      <w:tr w14:paraId="17D96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gridSpan w:val="2"/>
          </w:tcPr>
          <w:p w14:paraId="53638037">
            <w:pPr>
              <w:jc w:val="left"/>
              <w:rPr>
                <w:sz w:val="20"/>
                <w:szCs w:val="21"/>
              </w:rPr>
            </w:pPr>
            <w:r>
              <w:rPr>
                <w:sz w:val="20"/>
                <w:szCs w:val="21"/>
              </w:rPr>
              <w:t xml:space="preserve">Before postoperative first chemotherapy </w:t>
            </w:r>
          </w:p>
        </w:tc>
        <w:tc>
          <w:tcPr>
            <w:tcW w:w="587" w:type="dxa"/>
          </w:tcPr>
          <w:p w14:paraId="4F18887C">
            <w:pPr>
              <w:spacing w:line="360" w:lineRule="auto"/>
              <w:rPr>
                <w:sz w:val="20"/>
                <w:szCs w:val="21"/>
              </w:rPr>
            </w:pPr>
            <w:r>
              <w:rPr>
                <w:rFonts w:eastAsia="Calibri"/>
                <w:sz w:val="20"/>
                <w:szCs w:val="21"/>
              </w:rPr>
              <w:t>○</w:t>
            </w:r>
          </w:p>
        </w:tc>
        <w:tc>
          <w:tcPr>
            <w:tcW w:w="587" w:type="dxa"/>
          </w:tcPr>
          <w:p w14:paraId="0C8134EF">
            <w:pPr>
              <w:spacing w:line="360" w:lineRule="auto"/>
              <w:rPr>
                <w:sz w:val="20"/>
                <w:szCs w:val="21"/>
              </w:rPr>
            </w:pPr>
            <w:r>
              <w:rPr>
                <w:rFonts w:eastAsia="Calibri"/>
                <w:sz w:val="20"/>
                <w:szCs w:val="21"/>
              </w:rPr>
              <w:t>○</w:t>
            </w:r>
          </w:p>
        </w:tc>
        <w:tc>
          <w:tcPr>
            <w:tcW w:w="587" w:type="dxa"/>
          </w:tcPr>
          <w:p w14:paraId="1EF2E700">
            <w:pPr>
              <w:spacing w:line="360" w:lineRule="auto"/>
              <w:rPr>
                <w:sz w:val="20"/>
                <w:szCs w:val="21"/>
              </w:rPr>
            </w:pPr>
            <w:r>
              <w:rPr>
                <w:rFonts w:eastAsia="Calibri"/>
                <w:sz w:val="20"/>
                <w:szCs w:val="21"/>
              </w:rPr>
              <w:t>○</w:t>
            </w:r>
          </w:p>
        </w:tc>
        <w:tc>
          <w:tcPr>
            <w:tcW w:w="588" w:type="dxa"/>
          </w:tcPr>
          <w:p w14:paraId="4680EFDA">
            <w:pPr>
              <w:spacing w:line="360" w:lineRule="auto"/>
              <w:rPr>
                <w:sz w:val="20"/>
                <w:szCs w:val="21"/>
              </w:rPr>
            </w:pPr>
          </w:p>
        </w:tc>
        <w:tc>
          <w:tcPr>
            <w:tcW w:w="587" w:type="dxa"/>
          </w:tcPr>
          <w:p w14:paraId="0D602711">
            <w:pPr>
              <w:spacing w:line="360" w:lineRule="auto"/>
              <w:rPr>
                <w:sz w:val="20"/>
                <w:szCs w:val="21"/>
              </w:rPr>
            </w:pPr>
          </w:p>
        </w:tc>
        <w:tc>
          <w:tcPr>
            <w:tcW w:w="587" w:type="dxa"/>
          </w:tcPr>
          <w:p w14:paraId="423C2628">
            <w:pPr>
              <w:spacing w:line="360" w:lineRule="auto"/>
              <w:rPr>
                <w:sz w:val="20"/>
                <w:szCs w:val="21"/>
              </w:rPr>
            </w:pPr>
            <w:r>
              <w:rPr>
                <w:rFonts w:eastAsia="Calibri"/>
                <w:sz w:val="20"/>
                <w:szCs w:val="21"/>
              </w:rPr>
              <w:t>○</w:t>
            </w:r>
          </w:p>
        </w:tc>
        <w:tc>
          <w:tcPr>
            <w:tcW w:w="588" w:type="dxa"/>
          </w:tcPr>
          <w:p w14:paraId="1CEBBC61">
            <w:pPr>
              <w:spacing w:line="360" w:lineRule="auto"/>
              <w:rPr>
                <w:sz w:val="20"/>
                <w:szCs w:val="21"/>
              </w:rPr>
            </w:pPr>
          </w:p>
        </w:tc>
        <w:tc>
          <w:tcPr>
            <w:tcW w:w="587" w:type="dxa"/>
          </w:tcPr>
          <w:p w14:paraId="4C191916">
            <w:pPr>
              <w:spacing w:line="360" w:lineRule="auto"/>
              <w:rPr>
                <w:sz w:val="20"/>
                <w:szCs w:val="21"/>
              </w:rPr>
            </w:pPr>
          </w:p>
        </w:tc>
        <w:tc>
          <w:tcPr>
            <w:tcW w:w="587" w:type="dxa"/>
          </w:tcPr>
          <w:p w14:paraId="1A81DA32">
            <w:pPr>
              <w:spacing w:line="360" w:lineRule="auto"/>
              <w:rPr>
                <w:sz w:val="20"/>
                <w:szCs w:val="21"/>
              </w:rPr>
            </w:pPr>
          </w:p>
        </w:tc>
        <w:tc>
          <w:tcPr>
            <w:tcW w:w="587" w:type="dxa"/>
          </w:tcPr>
          <w:p w14:paraId="121B47AB">
            <w:pPr>
              <w:spacing w:line="360" w:lineRule="auto"/>
              <w:rPr>
                <w:sz w:val="20"/>
                <w:szCs w:val="21"/>
              </w:rPr>
            </w:pPr>
          </w:p>
        </w:tc>
        <w:tc>
          <w:tcPr>
            <w:tcW w:w="588" w:type="dxa"/>
          </w:tcPr>
          <w:p w14:paraId="50EA2B75">
            <w:pPr>
              <w:spacing w:line="360" w:lineRule="auto"/>
              <w:rPr>
                <w:sz w:val="20"/>
                <w:szCs w:val="21"/>
              </w:rPr>
            </w:pPr>
          </w:p>
        </w:tc>
        <w:tc>
          <w:tcPr>
            <w:tcW w:w="587" w:type="dxa"/>
          </w:tcPr>
          <w:p w14:paraId="3832841C">
            <w:pPr>
              <w:spacing w:line="360" w:lineRule="auto"/>
              <w:rPr>
                <w:sz w:val="20"/>
                <w:szCs w:val="21"/>
              </w:rPr>
            </w:pPr>
          </w:p>
        </w:tc>
        <w:tc>
          <w:tcPr>
            <w:tcW w:w="587" w:type="dxa"/>
          </w:tcPr>
          <w:p w14:paraId="12EE256B">
            <w:pPr>
              <w:spacing w:line="360" w:lineRule="auto"/>
              <w:rPr>
                <w:sz w:val="20"/>
                <w:szCs w:val="21"/>
              </w:rPr>
            </w:pPr>
          </w:p>
        </w:tc>
        <w:tc>
          <w:tcPr>
            <w:tcW w:w="588" w:type="dxa"/>
          </w:tcPr>
          <w:p w14:paraId="6C839F1C">
            <w:pPr>
              <w:spacing w:line="360" w:lineRule="auto"/>
              <w:rPr>
                <w:sz w:val="20"/>
                <w:szCs w:val="21"/>
              </w:rPr>
            </w:pPr>
          </w:p>
        </w:tc>
      </w:tr>
      <w:tr w14:paraId="5AC41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gridSpan w:val="2"/>
          </w:tcPr>
          <w:p w14:paraId="6FAB1B21">
            <w:pPr>
              <w:jc w:val="left"/>
              <w:rPr>
                <w:sz w:val="20"/>
                <w:szCs w:val="21"/>
              </w:rPr>
            </w:pPr>
            <w:r>
              <w:rPr>
                <w:sz w:val="20"/>
                <w:szCs w:val="21"/>
              </w:rPr>
              <w:t xml:space="preserve">Regular chemotherapy </w:t>
            </w:r>
          </w:p>
        </w:tc>
        <w:tc>
          <w:tcPr>
            <w:tcW w:w="587" w:type="dxa"/>
          </w:tcPr>
          <w:p w14:paraId="2C8FDD69">
            <w:pPr>
              <w:spacing w:line="360" w:lineRule="auto"/>
              <w:rPr>
                <w:sz w:val="20"/>
                <w:szCs w:val="21"/>
              </w:rPr>
            </w:pPr>
            <w:r>
              <w:rPr>
                <w:rFonts w:eastAsia="Calibri"/>
                <w:sz w:val="20"/>
                <w:szCs w:val="21"/>
              </w:rPr>
              <w:t>○</w:t>
            </w:r>
          </w:p>
        </w:tc>
        <w:tc>
          <w:tcPr>
            <w:tcW w:w="587" w:type="dxa"/>
          </w:tcPr>
          <w:p w14:paraId="00656435">
            <w:pPr>
              <w:spacing w:line="360" w:lineRule="auto"/>
              <w:rPr>
                <w:sz w:val="20"/>
                <w:szCs w:val="21"/>
              </w:rPr>
            </w:pPr>
            <w:r>
              <w:rPr>
                <w:rFonts w:eastAsia="Calibri"/>
                <w:sz w:val="20"/>
                <w:szCs w:val="21"/>
              </w:rPr>
              <w:t>○</w:t>
            </w:r>
          </w:p>
        </w:tc>
        <w:tc>
          <w:tcPr>
            <w:tcW w:w="587" w:type="dxa"/>
          </w:tcPr>
          <w:p w14:paraId="6DFD0B0E">
            <w:pPr>
              <w:spacing w:line="360" w:lineRule="auto"/>
              <w:rPr>
                <w:sz w:val="20"/>
                <w:szCs w:val="21"/>
              </w:rPr>
            </w:pPr>
            <w:r>
              <w:rPr>
                <w:rFonts w:eastAsia="Calibri"/>
                <w:sz w:val="20"/>
                <w:szCs w:val="21"/>
              </w:rPr>
              <w:t>○</w:t>
            </w:r>
          </w:p>
        </w:tc>
        <w:tc>
          <w:tcPr>
            <w:tcW w:w="588" w:type="dxa"/>
          </w:tcPr>
          <w:p w14:paraId="67938095">
            <w:pPr>
              <w:spacing w:line="360" w:lineRule="auto"/>
              <w:rPr>
                <w:sz w:val="20"/>
                <w:szCs w:val="21"/>
              </w:rPr>
            </w:pPr>
          </w:p>
        </w:tc>
        <w:tc>
          <w:tcPr>
            <w:tcW w:w="587" w:type="dxa"/>
          </w:tcPr>
          <w:p w14:paraId="5355E0DE">
            <w:pPr>
              <w:spacing w:line="360" w:lineRule="auto"/>
              <w:rPr>
                <w:sz w:val="20"/>
                <w:szCs w:val="21"/>
              </w:rPr>
            </w:pPr>
          </w:p>
        </w:tc>
        <w:tc>
          <w:tcPr>
            <w:tcW w:w="587" w:type="dxa"/>
          </w:tcPr>
          <w:p w14:paraId="6B6FC480">
            <w:pPr>
              <w:spacing w:line="360" w:lineRule="auto"/>
              <w:rPr>
                <w:sz w:val="20"/>
                <w:szCs w:val="21"/>
              </w:rPr>
            </w:pPr>
          </w:p>
        </w:tc>
        <w:tc>
          <w:tcPr>
            <w:tcW w:w="588" w:type="dxa"/>
          </w:tcPr>
          <w:p w14:paraId="74FB3956">
            <w:pPr>
              <w:spacing w:line="360" w:lineRule="auto"/>
              <w:rPr>
                <w:sz w:val="20"/>
                <w:szCs w:val="21"/>
              </w:rPr>
            </w:pPr>
          </w:p>
        </w:tc>
        <w:tc>
          <w:tcPr>
            <w:tcW w:w="587" w:type="dxa"/>
          </w:tcPr>
          <w:p w14:paraId="4FAC031B">
            <w:pPr>
              <w:spacing w:line="360" w:lineRule="auto"/>
              <w:rPr>
                <w:sz w:val="20"/>
                <w:szCs w:val="21"/>
              </w:rPr>
            </w:pPr>
          </w:p>
        </w:tc>
        <w:tc>
          <w:tcPr>
            <w:tcW w:w="587" w:type="dxa"/>
          </w:tcPr>
          <w:p w14:paraId="775D8EAE">
            <w:pPr>
              <w:spacing w:line="360" w:lineRule="auto"/>
              <w:rPr>
                <w:sz w:val="20"/>
                <w:szCs w:val="21"/>
              </w:rPr>
            </w:pPr>
            <w:r>
              <w:rPr>
                <w:rFonts w:eastAsia="Calibri"/>
                <w:sz w:val="20"/>
                <w:szCs w:val="21"/>
              </w:rPr>
              <w:t>○</w:t>
            </w:r>
          </w:p>
        </w:tc>
        <w:tc>
          <w:tcPr>
            <w:tcW w:w="587" w:type="dxa"/>
          </w:tcPr>
          <w:p w14:paraId="76A34906">
            <w:pPr>
              <w:spacing w:line="360" w:lineRule="auto"/>
              <w:rPr>
                <w:sz w:val="20"/>
                <w:szCs w:val="21"/>
              </w:rPr>
            </w:pPr>
          </w:p>
        </w:tc>
        <w:tc>
          <w:tcPr>
            <w:tcW w:w="588" w:type="dxa"/>
          </w:tcPr>
          <w:p w14:paraId="44F2518E">
            <w:pPr>
              <w:spacing w:line="360" w:lineRule="auto"/>
              <w:rPr>
                <w:sz w:val="20"/>
                <w:szCs w:val="21"/>
              </w:rPr>
            </w:pPr>
          </w:p>
        </w:tc>
        <w:tc>
          <w:tcPr>
            <w:tcW w:w="587" w:type="dxa"/>
          </w:tcPr>
          <w:p w14:paraId="1E0A1B3F">
            <w:pPr>
              <w:spacing w:line="360" w:lineRule="auto"/>
              <w:rPr>
                <w:sz w:val="20"/>
                <w:szCs w:val="21"/>
              </w:rPr>
            </w:pPr>
          </w:p>
        </w:tc>
        <w:tc>
          <w:tcPr>
            <w:tcW w:w="587" w:type="dxa"/>
          </w:tcPr>
          <w:p w14:paraId="21364ADE">
            <w:pPr>
              <w:spacing w:line="360" w:lineRule="auto"/>
              <w:rPr>
                <w:sz w:val="20"/>
                <w:szCs w:val="21"/>
              </w:rPr>
            </w:pPr>
          </w:p>
        </w:tc>
        <w:tc>
          <w:tcPr>
            <w:tcW w:w="588" w:type="dxa"/>
          </w:tcPr>
          <w:p w14:paraId="10AEBB8B">
            <w:pPr>
              <w:spacing w:line="360" w:lineRule="auto"/>
              <w:rPr>
                <w:sz w:val="20"/>
                <w:szCs w:val="21"/>
              </w:rPr>
            </w:pPr>
          </w:p>
        </w:tc>
      </w:tr>
      <w:tr w14:paraId="20751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dxa"/>
            <w:vMerge w:val="restart"/>
            <w:textDirection w:val="tbRl"/>
          </w:tcPr>
          <w:p w14:paraId="5A6ED14B">
            <w:pPr>
              <w:ind w:left="113" w:right="113"/>
              <w:jc w:val="center"/>
              <w:rPr>
                <w:sz w:val="20"/>
                <w:szCs w:val="21"/>
              </w:rPr>
            </w:pPr>
            <w:r>
              <w:rPr>
                <w:sz w:val="20"/>
                <w:szCs w:val="21"/>
              </w:rPr>
              <w:t>Follow-up period Postoperative advanced stage</w:t>
            </w:r>
          </w:p>
        </w:tc>
        <w:tc>
          <w:tcPr>
            <w:tcW w:w="1296" w:type="dxa"/>
          </w:tcPr>
          <w:p w14:paraId="1F464B8F">
            <w:pPr>
              <w:jc w:val="left"/>
              <w:rPr>
                <w:sz w:val="20"/>
                <w:szCs w:val="21"/>
              </w:rPr>
            </w:pPr>
            <w:r>
              <w:rPr>
                <w:sz w:val="20"/>
                <w:szCs w:val="21"/>
              </w:rPr>
              <w:t xml:space="preserve">At </w:t>
            </w:r>
          </w:p>
          <w:p w14:paraId="6F65F6F6">
            <w:pPr>
              <w:jc w:val="left"/>
              <w:rPr>
                <w:sz w:val="20"/>
                <w:szCs w:val="21"/>
              </w:rPr>
            </w:pPr>
            <w:r>
              <w:rPr>
                <w:sz w:val="20"/>
                <w:szCs w:val="21"/>
              </w:rPr>
              <w:t>postoperative 1 month (</w:t>
            </w:r>
            <w:r>
              <w:rPr>
                <w:rFonts w:eastAsia="Helvetica"/>
                <w:sz w:val="20"/>
                <w:szCs w:val="21"/>
              </w:rPr>
              <w:t>±</w:t>
            </w:r>
            <w:r>
              <w:rPr>
                <w:sz w:val="20"/>
                <w:szCs w:val="21"/>
              </w:rPr>
              <w:t>7 days)</w:t>
            </w:r>
          </w:p>
        </w:tc>
        <w:tc>
          <w:tcPr>
            <w:tcW w:w="587" w:type="dxa"/>
          </w:tcPr>
          <w:p w14:paraId="1E0BD854">
            <w:pPr>
              <w:spacing w:line="360" w:lineRule="auto"/>
              <w:rPr>
                <w:sz w:val="20"/>
                <w:szCs w:val="21"/>
              </w:rPr>
            </w:pPr>
            <w:r>
              <w:rPr>
                <w:rFonts w:eastAsia="Calibri"/>
                <w:sz w:val="20"/>
                <w:szCs w:val="21"/>
              </w:rPr>
              <w:t>○</w:t>
            </w:r>
          </w:p>
        </w:tc>
        <w:tc>
          <w:tcPr>
            <w:tcW w:w="587" w:type="dxa"/>
          </w:tcPr>
          <w:p w14:paraId="3E12B077">
            <w:pPr>
              <w:spacing w:line="360" w:lineRule="auto"/>
              <w:rPr>
                <w:sz w:val="20"/>
                <w:szCs w:val="21"/>
              </w:rPr>
            </w:pPr>
            <w:r>
              <w:rPr>
                <w:rFonts w:eastAsia="Calibri"/>
                <w:sz w:val="20"/>
                <w:szCs w:val="21"/>
              </w:rPr>
              <w:t>○</w:t>
            </w:r>
          </w:p>
        </w:tc>
        <w:tc>
          <w:tcPr>
            <w:tcW w:w="587" w:type="dxa"/>
          </w:tcPr>
          <w:p w14:paraId="4CA40542">
            <w:pPr>
              <w:spacing w:line="360" w:lineRule="auto"/>
              <w:rPr>
                <w:sz w:val="20"/>
                <w:szCs w:val="21"/>
              </w:rPr>
            </w:pPr>
            <w:r>
              <w:rPr>
                <w:rFonts w:eastAsia="Calibri"/>
                <w:sz w:val="20"/>
                <w:szCs w:val="21"/>
              </w:rPr>
              <w:t>○</w:t>
            </w:r>
          </w:p>
        </w:tc>
        <w:tc>
          <w:tcPr>
            <w:tcW w:w="588" w:type="dxa"/>
          </w:tcPr>
          <w:p w14:paraId="40A35C7D">
            <w:pPr>
              <w:spacing w:line="360" w:lineRule="auto"/>
              <w:rPr>
                <w:sz w:val="20"/>
                <w:szCs w:val="21"/>
              </w:rPr>
            </w:pPr>
          </w:p>
        </w:tc>
        <w:tc>
          <w:tcPr>
            <w:tcW w:w="587" w:type="dxa"/>
          </w:tcPr>
          <w:p w14:paraId="45921DE0">
            <w:pPr>
              <w:spacing w:line="360" w:lineRule="auto"/>
              <w:rPr>
                <w:sz w:val="20"/>
                <w:szCs w:val="21"/>
              </w:rPr>
            </w:pPr>
          </w:p>
        </w:tc>
        <w:tc>
          <w:tcPr>
            <w:tcW w:w="587" w:type="dxa"/>
          </w:tcPr>
          <w:p w14:paraId="5D66B98B">
            <w:pPr>
              <w:spacing w:line="360" w:lineRule="auto"/>
              <w:rPr>
                <w:sz w:val="20"/>
                <w:szCs w:val="21"/>
              </w:rPr>
            </w:pPr>
            <w:r>
              <w:rPr>
                <w:rFonts w:eastAsia="Calibri"/>
                <w:sz w:val="20"/>
                <w:szCs w:val="21"/>
              </w:rPr>
              <w:t>○</w:t>
            </w:r>
          </w:p>
        </w:tc>
        <w:tc>
          <w:tcPr>
            <w:tcW w:w="588" w:type="dxa"/>
          </w:tcPr>
          <w:p w14:paraId="0CBC42DD">
            <w:pPr>
              <w:spacing w:line="360" w:lineRule="auto"/>
              <w:rPr>
                <w:sz w:val="20"/>
                <w:szCs w:val="21"/>
              </w:rPr>
            </w:pPr>
          </w:p>
        </w:tc>
        <w:tc>
          <w:tcPr>
            <w:tcW w:w="587" w:type="dxa"/>
          </w:tcPr>
          <w:p w14:paraId="2BA65AE4">
            <w:pPr>
              <w:spacing w:line="360" w:lineRule="auto"/>
              <w:rPr>
                <w:sz w:val="20"/>
                <w:szCs w:val="21"/>
              </w:rPr>
            </w:pPr>
            <w:r>
              <w:rPr>
                <w:rFonts w:eastAsia="Calibri"/>
                <w:sz w:val="20"/>
                <w:szCs w:val="21"/>
              </w:rPr>
              <w:t>○</w:t>
            </w:r>
          </w:p>
        </w:tc>
        <w:tc>
          <w:tcPr>
            <w:tcW w:w="587" w:type="dxa"/>
          </w:tcPr>
          <w:p w14:paraId="591CE599">
            <w:pPr>
              <w:spacing w:line="360" w:lineRule="auto"/>
              <w:rPr>
                <w:sz w:val="20"/>
                <w:szCs w:val="21"/>
              </w:rPr>
            </w:pPr>
          </w:p>
        </w:tc>
        <w:tc>
          <w:tcPr>
            <w:tcW w:w="587" w:type="dxa"/>
          </w:tcPr>
          <w:p w14:paraId="5FCC4034">
            <w:pPr>
              <w:spacing w:line="360" w:lineRule="auto"/>
              <w:rPr>
                <w:sz w:val="20"/>
                <w:szCs w:val="21"/>
              </w:rPr>
            </w:pPr>
          </w:p>
        </w:tc>
        <w:tc>
          <w:tcPr>
            <w:tcW w:w="588" w:type="dxa"/>
          </w:tcPr>
          <w:p w14:paraId="70D826DF">
            <w:pPr>
              <w:spacing w:line="360" w:lineRule="auto"/>
              <w:rPr>
                <w:sz w:val="20"/>
                <w:szCs w:val="21"/>
              </w:rPr>
            </w:pPr>
          </w:p>
        </w:tc>
        <w:tc>
          <w:tcPr>
            <w:tcW w:w="587" w:type="dxa"/>
          </w:tcPr>
          <w:p w14:paraId="134461A4">
            <w:pPr>
              <w:spacing w:line="360" w:lineRule="auto"/>
              <w:rPr>
                <w:sz w:val="20"/>
                <w:szCs w:val="21"/>
              </w:rPr>
            </w:pPr>
          </w:p>
        </w:tc>
        <w:tc>
          <w:tcPr>
            <w:tcW w:w="587" w:type="dxa"/>
          </w:tcPr>
          <w:p w14:paraId="1EFBC0D1">
            <w:pPr>
              <w:spacing w:line="360" w:lineRule="auto"/>
              <w:rPr>
                <w:sz w:val="20"/>
                <w:szCs w:val="21"/>
              </w:rPr>
            </w:pPr>
          </w:p>
        </w:tc>
        <w:tc>
          <w:tcPr>
            <w:tcW w:w="588" w:type="dxa"/>
          </w:tcPr>
          <w:p w14:paraId="0858BEFC">
            <w:pPr>
              <w:spacing w:line="360" w:lineRule="auto"/>
              <w:rPr>
                <w:sz w:val="20"/>
                <w:szCs w:val="21"/>
              </w:rPr>
            </w:pPr>
            <w:r>
              <w:rPr>
                <w:rFonts w:eastAsia="Calibri"/>
                <w:sz w:val="20"/>
                <w:szCs w:val="21"/>
              </w:rPr>
              <w:t>○</w:t>
            </w:r>
          </w:p>
        </w:tc>
      </w:tr>
      <w:tr w14:paraId="6AC3B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dxa"/>
            <w:vMerge w:val="continue"/>
          </w:tcPr>
          <w:p w14:paraId="35A1CC78">
            <w:pPr>
              <w:rPr>
                <w:sz w:val="20"/>
                <w:szCs w:val="21"/>
              </w:rPr>
            </w:pPr>
          </w:p>
        </w:tc>
        <w:tc>
          <w:tcPr>
            <w:tcW w:w="1296" w:type="dxa"/>
          </w:tcPr>
          <w:p w14:paraId="5775257C">
            <w:pPr>
              <w:jc w:val="left"/>
              <w:rPr>
                <w:sz w:val="20"/>
                <w:szCs w:val="21"/>
              </w:rPr>
            </w:pPr>
            <w:r>
              <w:rPr>
                <w:sz w:val="20"/>
                <w:szCs w:val="21"/>
              </w:rPr>
              <w:t>At</w:t>
            </w:r>
          </w:p>
          <w:p w14:paraId="12CEBB41">
            <w:pPr>
              <w:rPr>
                <w:sz w:val="20"/>
                <w:szCs w:val="21"/>
              </w:rPr>
            </w:pPr>
            <w:r>
              <w:rPr>
                <w:sz w:val="20"/>
                <w:szCs w:val="21"/>
              </w:rPr>
              <w:t>postoperative 3 months (</w:t>
            </w:r>
            <w:r>
              <w:rPr>
                <w:rFonts w:eastAsia="Helvetica"/>
                <w:sz w:val="20"/>
                <w:szCs w:val="21"/>
              </w:rPr>
              <w:t>±</w:t>
            </w:r>
            <w:r>
              <w:rPr>
                <w:sz w:val="20"/>
                <w:szCs w:val="21"/>
              </w:rPr>
              <w:t>15 days)</w:t>
            </w:r>
          </w:p>
        </w:tc>
        <w:tc>
          <w:tcPr>
            <w:tcW w:w="587" w:type="dxa"/>
          </w:tcPr>
          <w:p w14:paraId="0EFE9F53">
            <w:pPr>
              <w:spacing w:line="360" w:lineRule="auto"/>
              <w:rPr>
                <w:sz w:val="20"/>
                <w:szCs w:val="21"/>
              </w:rPr>
            </w:pPr>
            <w:r>
              <w:rPr>
                <w:rFonts w:eastAsia="Calibri"/>
                <w:sz w:val="20"/>
                <w:szCs w:val="21"/>
              </w:rPr>
              <w:t>○</w:t>
            </w:r>
          </w:p>
        </w:tc>
        <w:tc>
          <w:tcPr>
            <w:tcW w:w="587" w:type="dxa"/>
          </w:tcPr>
          <w:p w14:paraId="5A350DF1">
            <w:pPr>
              <w:spacing w:line="360" w:lineRule="auto"/>
              <w:rPr>
                <w:sz w:val="20"/>
                <w:szCs w:val="21"/>
              </w:rPr>
            </w:pPr>
            <w:r>
              <w:rPr>
                <w:rFonts w:eastAsia="Calibri"/>
                <w:sz w:val="20"/>
                <w:szCs w:val="21"/>
              </w:rPr>
              <w:t>○</w:t>
            </w:r>
          </w:p>
        </w:tc>
        <w:tc>
          <w:tcPr>
            <w:tcW w:w="587" w:type="dxa"/>
          </w:tcPr>
          <w:p w14:paraId="7985EC6F">
            <w:pPr>
              <w:spacing w:line="360" w:lineRule="auto"/>
              <w:rPr>
                <w:sz w:val="20"/>
                <w:szCs w:val="21"/>
              </w:rPr>
            </w:pPr>
            <w:r>
              <w:rPr>
                <w:rFonts w:eastAsia="Calibri"/>
                <w:sz w:val="20"/>
                <w:szCs w:val="21"/>
              </w:rPr>
              <w:t>○</w:t>
            </w:r>
          </w:p>
        </w:tc>
        <w:tc>
          <w:tcPr>
            <w:tcW w:w="588" w:type="dxa"/>
          </w:tcPr>
          <w:p w14:paraId="3436BB7F">
            <w:pPr>
              <w:spacing w:line="360" w:lineRule="auto"/>
              <w:rPr>
                <w:sz w:val="20"/>
                <w:szCs w:val="21"/>
              </w:rPr>
            </w:pPr>
          </w:p>
        </w:tc>
        <w:tc>
          <w:tcPr>
            <w:tcW w:w="587" w:type="dxa"/>
          </w:tcPr>
          <w:p w14:paraId="05852476">
            <w:pPr>
              <w:spacing w:line="360" w:lineRule="auto"/>
              <w:rPr>
                <w:sz w:val="20"/>
                <w:szCs w:val="21"/>
              </w:rPr>
            </w:pPr>
          </w:p>
        </w:tc>
        <w:tc>
          <w:tcPr>
            <w:tcW w:w="587" w:type="dxa"/>
          </w:tcPr>
          <w:p w14:paraId="066746F9">
            <w:pPr>
              <w:spacing w:line="360" w:lineRule="auto"/>
              <w:rPr>
                <w:sz w:val="20"/>
                <w:szCs w:val="21"/>
              </w:rPr>
            </w:pPr>
          </w:p>
        </w:tc>
        <w:tc>
          <w:tcPr>
            <w:tcW w:w="588" w:type="dxa"/>
          </w:tcPr>
          <w:p w14:paraId="2C9EA02A">
            <w:pPr>
              <w:spacing w:line="360" w:lineRule="auto"/>
              <w:rPr>
                <w:sz w:val="20"/>
                <w:szCs w:val="21"/>
              </w:rPr>
            </w:pPr>
          </w:p>
        </w:tc>
        <w:tc>
          <w:tcPr>
            <w:tcW w:w="587" w:type="dxa"/>
          </w:tcPr>
          <w:p w14:paraId="32276B06">
            <w:pPr>
              <w:spacing w:line="360" w:lineRule="auto"/>
              <w:rPr>
                <w:sz w:val="20"/>
                <w:szCs w:val="21"/>
              </w:rPr>
            </w:pPr>
            <w:r>
              <w:rPr>
                <w:rFonts w:eastAsia="Calibri"/>
                <w:sz w:val="20"/>
                <w:szCs w:val="21"/>
              </w:rPr>
              <w:t>○</w:t>
            </w:r>
          </w:p>
        </w:tc>
        <w:tc>
          <w:tcPr>
            <w:tcW w:w="587" w:type="dxa"/>
          </w:tcPr>
          <w:p w14:paraId="4D2AD862">
            <w:pPr>
              <w:spacing w:line="360" w:lineRule="auto"/>
              <w:rPr>
                <w:sz w:val="20"/>
                <w:szCs w:val="21"/>
              </w:rPr>
            </w:pPr>
          </w:p>
        </w:tc>
        <w:tc>
          <w:tcPr>
            <w:tcW w:w="587" w:type="dxa"/>
          </w:tcPr>
          <w:p w14:paraId="37632077">
            <w:pPr>
              <w:spacing w:line="360" w:lineRule="auto"/>
              <w:rPr>
                <w:sz w:val="20"/>
                <w:szCs w:val="21"/>
              </w:rPr>
            </w:pPr>
          </w:p>
        </w:tc>
        <w:tc>
          <w:tcPr>
            <w:tcW w:w="588" w:type="dxa"/>
          </w:tcPr>
          <w:p w14:paraId="58D49C4B">
            <w:pPr>
              <w:spacing w:line="360" w:lineRule="auto"/>
              <w:rPr>
                <w:sz w:val="20"/>
                <w:szCs w:val="21"/>
              </w:rPr>
            </w:pPr>
          </w:p>
        </w:tc>
        <w:tc>
          <w:tcPr>
            <w:tcW w:w="587" w:type="dxa"/>
          </w:tcPr>
          <w:p w14:paraId="0740B79A">
            <w:pPr>
              <w:spacing w:line="360" w:lineRule="auto"/>
              <w:rPr>
                <w:sz w:val="20"/>
                <w:szCs w:val="21"/>
              </w:rPr>
            </w:pPr>
          </w:p>
        </w:tc>
        <w:tc>
          <w:tcPr>
            <w:tcW w:w="587" w:type="dxa"/>
          </w:tcPr>
          <w:p w14:paraId="5268D883">
            <w:pPr>
              <w:spacing w:line="360" w:lineRule="auto"/>
              <w:rPr>
                <w:sz w:val="20"/>
                <w:szCs w:val="21"/>
              </w:rPr>
            </w:pPr>
          </w:p>
        </w:tc>
        <w:tc>
          <w:tcPr>
            <w:tcW w:w="588" w:type="dxa"/>
          </w:tcPr>
          <w:p w14:paraId="74B4AFDD">
            <w:pPr>
              <w:spacing w:line="360" w:lineRule="auto"/>
              <w:rPr>
                <w:sz w:val="20"/>
                <w:szCs w:val="21"/>
              </w:rPr>
            </w:pPr>
            <w:r>
              <w:rPr>
                <w:rFonts w:eastAsia="Calibri"/>
                <w:sz w:val="20"/>
                <w:szCs w:val="21"/>
              </w:rPr>
              <w:t>○</w:t>
            </w:r>
          </w:p>
        </w:tc>
      </w:tr>
      <w:tr w14:paraId="6E07E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dxa"/>
            <w:vMerge w:val="continue"/>
          </w:tcPr>
          <w:p w14:paraId="50DD8C2D">
            <w:pPr>
              <w:rPr>
                <w:sz w:val="20"/>
                <w:szCs w:val="21"/>
              </w:rPr>
            </w:pPr>
          </w:p>
        </w:tc>
        <w:tc>
          <w:tcPr>
            <w:tcW w:w="1296" w:type="dxa"/>
          </w:tcPr>
          <w:p w14:paraId="53F0C03A">
            <w:pPr>
              <w:jc w:val="left"/>
              <w:rPr>
                <w:sz w:val="20"/>
                <w:szCs w:val="21"/>
              </w:rPr>
            </w:pPr>
            <w:r>
              <w:rPr>
                <w:sz w:val="20"/>
                <w:szCs w:val="21"/>
              </w:rPr>
              <w:t>At</w:t>
            </w:r>
          </w:p>
          <w:p w14:paraId="5FE589F5">
            <w:pPr>
              <w:rPr>
                <w:sz w:val="20"/>
                <w:szCs w:val="21"/>
              </w:rPr>
            </w:pPr>
            <w:r>
              <w:rPr>
                <w:sz w:val="20"/>
                <w:szCs w:val="21"/>
              </w:rPr>
              <w:t>postoperative 6 months (</w:t>
            </w:r>
            <w:r>
              <w:rPr>
                <w:rFonts w:eastAsia="Helvetica"/>
                <w:sz w:val="20"/>
                <w:szCs w:val="21"/>
              </w:rPr>
              <w:t>±</w:t>
            </w:r>
            <w:r>
              <w:rPr>
                <w:sz w:val="20"/>
                <w:szCs w:val="21"/>
              </w:rPr>
              <w:t>15 days)</w:t>
            </w:r>
          </w:p>
        </w:tc>
        <w:tc>
          <w:tcPr>
            <w:tcW w:w="587" w:type="dxa"/>
          </w:tcPr>
          <w:p w14:paraId="521BBBAD">
            <w:pPr>
              <w:spacing w:line="360" w:lineRule="auto"/>
              <w:rPr>
                <w:sz w:val="20"/>
                <w:szCs w:val="21"/>
              </w:rPr>
            </w:pPr>
            <w:r>
              <w:rPr>
                <w:rFonts w:eastAsia="Calibri"/>
                <w:sz w:val="20"/>
                <w:szCs w:val="21"/>
              </w:rPr>
              <w:t>○</w:t>
            </w:r>
          </w:p>
        </w:tc>
        <w:tc>
          <w:tcPr>
            <w:tcW w:w="587" w:type="dxa"/>
          </w:tcPr>
          <w:p w14:paraId="3F75EC4C">
            <w:pPr>
              <w:spacing w:line="360" w:lineRule="auto"/>
              <w:rPr>
                <w:sz w:val="20"/>
                <w:szCs w:val="21"/>
              </w:rPr>
            </w:pPr>
            <w:r>
              <w:rPr>
                <w:rFonts w:eastAsia="Calibri"/>
                <w:sz w:val="20"/>
                <w:szCs w:val="21"/>
              </w:rPr>
              <w:t>○</w:t>
            </w:r>
          </w:p>
        </w:tc>
        <w:tc>
          <w:tcPr>
            <w:tcW w:w="587" w:type="dxa"/>
          </w:tcPr>
          <w:p w14:paraId="711A88BA">
            <w:pPr>
              <w:spacing w:line="360" w:lineRule="auto"/>
              <w:rPr>
                <w:sz w:val="20"/>
                <w:szCs w:val="21"/>
              </w:rPr>
            </w:pPr>
            <w:r>
              <w:rPr>
                <w:rFonts w:eastAsia="Calibri"/>
                <w:sz w:val="20"/>
                <w:szCs w:val="21"/>
              </w:rPr>
              <w:t>○</w:t>
            </w:r>
          </w:p>
        </w:tc>
        <w:tc>
          <w:tcPr>
            <w:tcW w:w="588" w:type="dxa"/>
          </w:tcPr>
          <w:p w14:paraId="00FCABDF">
            <w:pPr>
              <w:spacing w:line="360" w:lineRule="auto"/>
              <w:rPr>
                <w:sz w:val="20"/>
                <w:szCs w:val="21"/>
              </w:rPr>
            </w:pPr>
          </w:p>
        </w:tc>
        <w:tc>
          <w:tcPr>
            <w:tcW w:w="587" w:type="dxa"/>
          </w:tcPr>
          <w:p w14:paraId="7882C3C1">
            <w:pPr>
              <w:spacing w:line="360" w:lineRule="auto"/>
              <w:rPr>
                <w:sz w:val="20"/>
                <w:szCs w:val="21"/>
              </w:rPr>
            </w:pPr>
          </w:p>
        </w:tc>
        <w:tc>
          <w:tcPr>
            <w:tcW w:w="587" w:type="dxa"/>
          </w:tcPr>
          <w:p w14:paraId="544C6141">
            <w:pPr>
              <w:spacing w:line="360" w:lineRule="auto"/>
              <w:rPr>
                <w:sz w:val="20"/>
                <w:szCs w:val="21"/>
              </w:rPr>
            </w:pPr>
            <w:r>
              <w:rPr>
                <w:rFonts w:eastAsia="Calibri"/>
                <w:sz w:val="20"/>
                <w:szCs w:val="21"/>
              </w:rPr>
              <w:t>○</w:t>
            </w:r>
          </w:p>
        </w:tc>
        <w:tc>
          <w:tcPr>
            <w:tcW w:w="588" w:type="dxa"/>
          </w:tcPr>
          <w:p w14:paraId="03263CCA">
            <w:pPr>
              <w:spacing w:line="360" w:lineRule="auto"/>
              <w:rPr>
                <w:sz w:val="20"/>
                <w:szCs w:val="21"/>
              </w:rPr>
            </w:pPr>
          </w:p>
        </w:tc>
        <w:tc>
          <w:tcPr>
            <w:tcW w:w="587" w:type="dxa"/>
          </w:tcPr>
          <w:p w14:paraId="63873145">
            <w:pPr>
              <w:spacing w:line="360" w:lineRule="auto"/>
              <w:rPr>
                <w:sz w:val="20"/>
                <w:szCs w:val="21"/>
              </w:rPr>
            </w:pPr>
            <w:r>
              <w:rPr>
                <w:rFonts w:eastAsia="Calibri"/>
                <w:sz w:val="20"/>
                <w:szCs w:val="21"/>
              </w:rPr>
              <w:t>○</w:t>
            </w:r>
          </w:p>
        </w:tc>
        <w:tc>
          <w:tcPr>
            <w:tcW w:w="587" w:type="dxa"/>
          </w:tcPr>
          <w:p w14:paraId="21E743FE">
            <w:pPr>
              <w:spacing w:line="360" w:lineRule="auto"/>
              <w:rPr>
                <w:sz w:val="20"/>
                <w:szCs w:val="21"/>
              </w:rPr>
            </w:pPr>
          </w:p>
        </w:tc>
        <w:tc>
          <w:tcPr>
            <w:tcW w:w="587" w:type="dxa"/>
          </w:tcPr>
          <w:p w14:paraId="7549F1B5">
            <w:pPr>
              <w:spacing w:line="360" w:lineRule="auto"/>
              <w:rPr>
                <w:sz w:val="20"/>
                <w:szCs w:val="21"/>
              </w:rPr>
            </w:pPr>
          </w:p>
        </w:tc>
        <w:tc>
          <w:tcPr>
            <w:tcW w:w="588" w:type="dxa"/>
          </w:tcPr>
          <w:p w14:paraId="13A43D7E">
            <w:pPr>
              <w:spacing w:line="360" w:lineRule="auto"/>
              <w:rPr>
                <w:sz w:val="20"/>
                <w:szCs w:val="21"/>
              </w:rPr>
            </w:pPr>
          </w:p>
        </w:tc>
        <w:tc>
          <w:tcPr>
            <w:tcW w:w="587" w:type="dxa"/>
          </w:tcPr>
          <w:p w14:paraId="4703B29F">
            <w:pPr>
              <w:spacing w:line="360" w:lineRule="auto"/>
              <w:rPr>
                <w:sz w:val="20"/>
                <w:szCs w:val="21"/>
              </w:rPr>
            </w:pPr>
          </w:p>
        </w:tc>
        <w:tc>
          <w:tcPr>
            <w:tcW w:w="587" w:type="dxa"/>
          </w:tcPr>
          <w:p w14:paraId="6A8C2807">
            <w:pPr>
              <w:spacing w:line="360" w:lineRule="auto"/>
              <w:rPr>
                <w:sz w:val="20"/>
                <w:szCs w:val="21"/>
              </w:rPr>
            </w:pPr>
          </w:p>
        </w:tc>
        <w:tc>
          <w:tcPr>
            <w:tcW w:w="588" w:type="dxa"/>
          </w:tcPr>
          <w:p w14:paraId="3EBCF2B2">
            <w:pPr>
              <w:spacing w:line="360" w:lineRule="auto"/>
              <w:rPr>
                <w:sz w:val="20"/>
                <w:szCs w:val="21"/>
              </w:rPr>
            </w:pPr>
            <w:r>
              <w:rPr>
                <w:rFonts w:eastAsia="Calibri"/>
                <w:sz w:val="20"/>
                <w:szCs w:val="21"/>
              </w:rPr>
              <w:t>○</w:t>
            </w:r>
          </w:p>
        </w:tc>
      </w:tr>
      <w:tr w14:paraId="62BD6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dxa"/>
            <w:vMerge w:val="continue"/>
          </w:tcPr>
          <w:p w14:paraId="7CF064D3">
            <w:pPr>
              <w:rPr>
                <w:sz w:val="20"/>
                <w:szCs w:val="21"/>
              </w:rPr>
            </w:pPr>
          </w:p>
        </w:tc>
        <w:tc>
          <w:tcPr>
            <w:tcW w:w="1296" w:type="dxa"/>
          </w:tcPr>
          <w:p w14:paraId="50D0D72D">
            <w:pPr>
              <w:jc w:val="left"/>
              <w:rPr>
                <w:sz w:val="20"/>
                <w:szCs w:val="21"/>
              </w:rPr>
            </w:pPr>
            <w:r>
              <w:rPr>
                <w:sz w:val="20"/>
                <w:szCs w:val="21"/>
              </w:rPr>
              <w:t>At</w:t>
            </w:r>
          </w:p>
          <w:p w14:paraId="7335AAC5">
            <w:pPr>
              <w:rPr>
                <w:sz w:val="20"/>
                <w:szCs w:val="21"/>
              </w:rPr>
            </w:pPr>
            <w:r>
              <w:rPr>
                <w:sz w:val="20"/>
                <w:szCs w:val="21"/>
              </w:rPr>
              <w:t>postoperative 9 months (</w:t>
            </w:r>
            <w:r>
              <w:rPr>
                <w:rFonts w:eastAsia="Helvetica"/>
                <w:sz w:val="20"/>
                <w:szCs w:val="21"/>
              </w:rPr>
              <w:t>±</w:t>
            </w:r>
            <w:r>
              <w:rPr>
                <w:sz w:val="20"/>
                <w:szCs w:val="21"/>
              </w:rPr>
              <w:t>15 days)</w:t>
            </w:r>
          </w:p>
        </w:tc>
        <w:tc>
          <w:tcPr>
            <w:tcW w:w="587" w:type="dxa"/>
          </w:tcPr>
          <w:p w14:paraId="107F7D1C">
            <w:pPr>
              <w:spacing w:line="360" w:lineRule="auto"/>
              <w:rPr>
                <w:sz w:val="20"/>
                <w:szCs w:val="21"/>
              </w:rPr>
            </w:pPr>
            <w:r>
              <w:rPr>
                <w:rFonts w:eastAsia="Calibri"/>
                <w:sz w:val="20"/>
                <w:szCs w:val="21"/>
              </w:rPr>
              <w:t>○</w:t>
            </w:r>
          </w:p>
        </w:tc>
        <w:tc>
          <w:tcPr>
            <w:tcW w:w="587" w:type="dxa"/>
          </w:tcPr>
          <w:p w14:paraId="090D6F81">
            <w:pPr>
              <w:spacing w:line="360" w:lineRule="auto"/>
              <w:rPr>
                <w:sz w:val="20"/>
                <w:szCs w:val="21"/>
              </w:rPr>
            </w:pPr>
            <w:r>
              <w:rPr>
                <w:rFonts w:eastAsia="Calibri"/>
                <w:sz w:val="20"/>
                <w:szCs w:val="21"/>
              </w:rPr>
              <w:t>○</w:t>
            </w:r>
          </w:p>
        </w:tc>
        <w:tc>
          <w:tcPr>
            <w:tcW w:w="587" w:type="dxa"/>
          </w:tcPr>
          <w:p w14:paraId="794E1F5A">
            <w:pPr>
              <w:spacing w:line="360" w:lineRule="auto"/>
              <w:rPr>
                <w:sz w:val="20"/>
                <w:szCs w:val="21"/>
              </w:rPr>
            </w:pPr>
            <w:r>
              <w:rPr>
                <w:rFonts w:eastAsia="Calibri"/>
                <w:sz w:val="20"/>
                <w:szCs w:val="21"/>
              </w:rPr>
              <w:t>○</w:t>
            </w:r>
          </w:p>
        </w:tc>
        <w:tc>
          <w:tcPr>
            <w:tcW w:w="588" w:type="dxa"/>
          </w:tcPr>
          <w:p w14:paraId="3C4AD257">
            <w:pPr>
              <w:spacing w:line="360" w:lineRule="auto"/>
              <w:rPr>
                <w:sz w:val="20"/>
                <w:szCs w:val="21"/>
              </w:rPr>
            </w:pPr>
          </w:p>
        </w:tc>
        <w:tc>
          <w:tcPr>
            <w:tcW w:w="587" w:type="dxa"/>
          </w:tcPr>
          <w:p w14:paraId="351AE080">
            <w:pPr>
              <w:spacing w:line="360" w:lineRule="auto"/>
              <w:rPr>
                <w:sz w:val="20"/>
                <w:szCs w:val="21"/>
              </w:rPr>
            </w:pPr>
          </w:p>
        </w:tc>
        <w:tc>
          <w:tcPr>
            <w:tcW w:w="587" w:type="dxa"/>
          </w:tcPr>
          <w:p w14:paraId="3B383F7F">
            <w:pPr>
              <w:spacing w:line="360" w:lineRule="auto"/>
              <w:rPr>
                <w:sz w:val="20"/>
                <w:szCs w:val="21"/>
              </w:rPr>
            </w:pPr>
          </w:p>
        </w:tc>
        <w:tc>
          <w:tcPr>
            <w:tcW w:w="588" w:type="dxa"/>
          </w:tcPr>
          <w:p w14:paraId="50EC121A">
            <w:pPr>
              <w:spacing w:line="360" w:lineRule="auto"/>
              <w:rPr>
                <w:sz w:val="20"/>
                <w:szCs w:val="21"/>
              </w:rPr>
            </w:pPr>
          </w:p>
        </w:tc>
        <w:tc>
          <w:tcPr>
            <w:tcW w:w="587" w:type="dxa"/>
          </w:tcPr>
          <w:p w14:paraId="02634739">
            <w:pPr>
              <w:spacing w:line="360" w:lineRule="auto"/>
              <w:rPr>
                <w:sz w:val="20"/>
                <w:szCs w:val="21"/>
              </w:rPr>
            </w:pPr>
            <w:r>
              <w:rPr>
                <w:rFonts w:eastAsia="Calibri"/>
                <w:sz w:val="20"/>
                <w:szCs w:val="21"/>
              </w:rPr>
              <w:t>○</w:t>
            </w:r>
          </w:p>
        </w:tc>
        <w:tc>
          <w:tcPr>
            <w:tcW w:w="587" w:type="dxa"/>
          </w:tcPr>
          <w:p w14:paraId="6D3FE8AE">
            <w:pPr>
              <w:spacing w:line="360" w:lineRule="auto"/>
              <w:rPr>
                <w:sz w:val="20"/>
                <w:szCs w:val="21"/>
              </w:rPr>
            </w:pPr>
          </w:p>
        </w:tc>
        <w:tc>
          <w:tcPr>
            <w:tcW w:w="587" w:type="dxa"/>
          </w:tcPr>
          <w:p w14:paraId="7EFF5724">
            <w:pPr>
              <w:spacing w:line="360" w:lineRule="auto"/>
              <w:rPr>
                <w:sz w:val="20"/>
                <w:szCs w:val="21"/>
              </w:rPr>
            </w:pPr>
          </w:p>
        </w:tc>
        <w:tc>
          <w:tcPr>
            <w:tcW w:w="588" w:type="dxa"/>
          </w:tcPr>
          <w:p w14:paraId="31EB4221">
            <w:pPr>
              <w:spacing w:line="360" w:lineRule="auto"/>
              <w:rPr>
                <w:sz w:val="20"/>
                <w:szCs w:val="21"/>
              </w:rPr>
            </w:pPr>
          </w:p>
        </w:tc>
        <w:tc>
          <w:tcPr>
            <w:tcW w:w="587" w:type="dxa"/>
          </w:tcPr>
          <w:p w14:paraId="28A403BB">
            <w:pPr>
              <w:spacing w:line="360" w:lineRule="auto"/>
              <w:rPr>
                <w:sz w:val="20"/>
                <w:szCs w:val="21"/>
              </w:rPr>
            </w:pPr>
          </w:p>
        </w:tc>
        <w:tc>
          <w:tcPr>
            <w:tcW w:w="587" w:type="dxa"/>
          </w:tcPr>
          <w:p w14:paraId="40BC5229">
            <w:pPr>
              <w:spacing w:line="360" w:lineRule="auto"/>
              <w:rPr>
                <w:sz w:val="20"/>
                <w:szCs w:val="21"/>
              </w:rPr>
            </w:pPr>
          </w:p>
        </w:tc>
        <w:tc>
          <w:tcPr>
            <w:tcW w:w="588" w:type="dxa"/>
          </w:tcPr>
          <w:p w14:paraId="5CEB1C72">
            <w:pPr>
              <w:spacing w:line="360" w:lineRule="auto"/>
              <w:rPr>
                <w:sz w:val="20"/>
                <w:szCs w:val="21"/>
              </w:rPr>
            </w:pPr>
            <w:r>
              <w:rPr>
                <w:rFonts w:eastAsia="Calibri"/>
                <w:sz w:val="20"/>
                <w:szCs w:val="21"/>
              </w:rPr>
              <w:t>○</w:t>
            </w:r>
          </w:p>
        </w:tc>
      </w:tr>
      <w:tr w14:paraId="4A89B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dxa"/>
            <w:vMerge w:val="continue"/>
          </w:tcPr>
          <w:p w14:paraId="739EEEFA">
            <w:pPr>
              <w:rPr>
                <w:sz w:val="20"/>
                <w:szCs w:val="21"/>
              </w:rPr>
            </w:pPr>
          </w:p>
        </w:tc>
        <w:tc>
          <w:tcPr>
            <w:tcW w:w="1296" w:type="dxa"/>
          </w:tcPr>
          <w:p w14:paraId="5219E5D4">
            <w:pPr>
              <w:jc w:val="left"/>
              <w:rPr>
                <w:sz w:val="20"/>
                <w:szCs w:val="21"/>
              </w:rPr>
            </w:pPr>
            <w:r>
              <w:rPr>
                <w:sz w:val="20"/>
                <w:szCs w:val="21"/>
              </w:rPr>
              <w:t>At</w:t>
            </w:r>
          </w:p>
          <w:p w14:paraId="653024F8">
            <w:pPr>
              <w:rPr>
                <w:sz w:val="20"/>
                <w:szCs w:val="21"/>
              </w:rPr>
            </w:pPr>
            <w:r>
              <w:rPr>
                <w:sz w:val="20"/>
                <w:szCs w:val="21"/>
              </w:rPr>
              <w:t>postoperative 1 year (</w:t>
            </w:r>
            <w:r>
              <w:rPr>
                <w:rFonts w:eastAsia="Helvetica"/>
                <w:sz w:val="20"/>
                <w:szCs w:val="21"/>
              </w:rPr>
              <w:t>±</w:t>
            </w:r>
            <w:r>
              <w:rPr>
                <w:sz w:val="20"/>
                <w:szCs w:val="21"/>
              </w:rPr>
              <w:t>15 days)</w:t>
            </w:r>
          </w:p>
        </w:tc>
        <w:tc>
          <w:tcPr>
            <w:tcW w:w="587" w:type="dxa"/>
          </w:tcPr>
          <w:p w14:paraId="69B882C9">
            <w:pPr>
              <w:spacing w:line="360" w:lineRule="auto"/>
              <w:rPr>
                <w:sz w:val="20"/>
                <w:szCs w:val="21"/>
              </w:rPr>
            </w:pPr>
            <w:r>
              <w:rPr>
                <w:rFonts w:eastAsia="Calibri"/>
                <w:sz w:val="20"/>
                <w:szCs w:val="21"/>
              </w:rPr>
              <w:t>○</w:t>
            </w:r>
          </w:p>
        </w:tc>
        <w:tc>
          <w:tcPr>
            <w:tcW w:w="587" w:type="dxa"/>
          </w:tcPr>
          <w:p w14:paraId="375EC36B">
            <w:pPr>
              <w:spacing w:line="360" w:lineRule="auto"/>
              <w:rPr>
                <w:sz w:val="20"/>
                <w:szCs w:val="21"/>
              </w:rPr>
            </w:pPr>
            <w:r>
              <w:rPr>
                <w:rFonts w:eastAsia="Calibri"/>
                <w:sz w:val="20"/>
                <w:szCs w:val="21"/>
              </w:rPr>
              <w:t>○</w:t>
            </w:r>
          </w:p>
        </w:tc>
        <w:tc>
          <w:tcPr>
            <w:tcW w:w="587" w:type="dxa"/>
          </w:tcPr>
          <w:p w14:paraId="1F387478">
            <w:pPr>
              <w:spacing w:line="360" w:lineRule="auto"/>
              <w:rPr>
                <w:sz w:val="20"/>
                <w:szCs w:val="21"/>
              </w:rPr>
            </w:pPr>
            <w:r>
              <w:rPr>
                <w:rFonts w:eastAsia="Calibri"/>
                <w:sz w:val="20"/>
                <w:szCs w:val="21"/>
              </w:rPr>
              <w:t>○</w:t>
            </w:r>
          </w:p>
        </w:tc>
        <w:tc>
          <w:tcPr>
            <w:tcW w:w="588" w:type="dxa"/>
          </w:tcPr>
          <w:p w14:paraId="59DBB946">
            <w:pPr>
              <w:spacing w:line="360" w:lineRule="auto"/>
              <w:rPr>
                <w:sz w:val="20"/>
                <w:szCs w:val="21"/>
              </w:rPr>
            </w:pPr>
          </w:p>
        </w:tc>
        <w:tc>
          <w:tcPr>
            <w:tcW w:w="587" w:type="dxa"/>
          </w:tcPr>
          <w:p w14:paraId="2709CC35">
            <w:pPr>
              <w:spacing w:line="360" w:lineRule="auto"/>
              <w:rPr>
                <w:sz w:val="20"/>
                <w:szCs w:val="21"/>
              </w:rPr>
            </w:pPr>
          </w:p>
        </w:tc>
        <w:tc>
          <w:tcPr>
            <w:tcW w:w="587" w:type="dxa"/>
          </w:tcPr>
          <w:p w14:paraId="4A592AA3">
            <w:pPr>
              <w:spacing w:line="360" w:lineRule="auto"/>
              <w:rPr>
                <w:sz w:val="20"/>
                <w:szCs w:val="21"/>
              </w:rPr>
            </w:pPr>
            <w:r>
              <w:rPr>
                <w:rFonts w:eastAsia="Calibri"/>
                <w:sz w:val="20"/>
                <w:szCs w:val="21"/>
              </w:rPr>
              <w:t>○</w:t>
            </w:r>
          </w:p>
        </w:tc>
        <w:tc>
          <w:tcPr>
            <w:tcW w:w="588" w:type="dxa"/>
          </w:tcPr>
          <w:p w14:paraId="2E9872FB">
            <w:pPr>
              <w:spacing w:line="360" w:lineRule="auto"/>
              <w:rPr>
                <w:sz w:val="20"/>
                <w:szCs w:val="21"/>
              </w:rPr>
            </w:pPr>
          </w:p>
        </w:tc>
        <w:tc>
          <w:tcPr>
            <w:tcW w:w="587" w:type="dxa"/>
          </w:tcPr>
          <w:p w14:paraId="2C48E203">
            <w:pPr>
              <w:spacing w:line="360" w:lineRule="auto"/>
              <w:rPr>
                <w:sz w:val="20"/>
                <w:szCs w:val="21"/>
              </w:rPr>
            </w:pPr>
            <w:r>
              <w:rPr>
                <w:rFonts w:eastAsia="Calibri"/>
                <w:sz w:val="20"/>
                <w:szCs w:val="21"/>
              </w:rPr>
              <w:t>○</w:t>
            </w:r>
          </w:p>
        </w:tc>
        <w:tc>
          <w:tcPr>
            <w:tcW w:w="587" w:type="dxa"/>
          </w:tcPr>
          <w:p w14:paraId="0084A2D1">
            <w:pPr>
              <w:spacing w:line="360" w:lineRule="auto"/>
              <w:rPr>
                <w:sz w:val="20"/>
                <w:szCs w:val="21"/>
              </w:rPr>
            </w:pPr>
          </w:p>
        </w:tc>
        <w:tc>
          <w:tcPr>
            <w:tcW w:w="587" w:type="dxa"/>
          </w:tcPr>
          <w:p w14:paraId="38AA3B51">
            <w:pPr>
              <w:spacing w:line="360" w:lineRule="auto"/>
              <w:rPr>
                <w:sz w:val="20"/>
                <w:szCs w:val="21"/>
              </w:rPr>
            </w:pPr>
          </w:p>
        </w:tc>
        <w:tc>
          <w:tcPr>
            <w:tcW w:w="588" w:type="dxa"/>
          </w:tcPr>
          <w:p w14:paraId="032DFA71">
            <w:pPr>
              <w:spacing w:line="360" w:lineRule="auto"/>
              <w:rPr>
                <w:sz w:val="20"/>
                <w:szCs w:val="21"/>
              </w:rPr>
            </w:pPr>
          </w:p>
        </w:tc>
        <w:tc>
          <w:tcPr>
            <w:tcW w:w="587" w:type="dxa"/>
          </w:tcPr>
          <w:p w14:paraId="3D558BBE">
            <w:pPr>
              <w:spacing w:line="360" w:lineRule="auto"/>
              <w:rPr>
                <w:sz w:val="20"/>
                <w:szCs w:val="21"/>
              </w:rPr>
            </w:pPr>
          </w:p>
        </w:tc>
        <w:tc>
          <w:tcPr>
            <w:tcW w:w="587" w:type="dxa"/>
          </w:tcPr>
          <w:p w14:paraId="22A5E03F">
            <w:pPr>
              <w:spacing w:line="360" w:lineRule="auto"/>
              <w:rPr>
                <w:sz w:val="20"/>
                <w:szCs w:val="21"/>
              </w:rPr>
            </w:pPr>
          </w:p>
        </w:tc>
        <w:tc>
          <w:tcPr>
            <w:tcW w:w="588" w:type="dxa"/>
          </w:tcPr>
          <w:p w14:paraId="66E1F12B">
            <w:pPr>
              <w:spacing w:line="360" w:lineRule="auto"/>
              <w:rPr>
                <w:sz w:val="20"/>
                <w:szCs w:val="21"/>
              </w:rPr>
            </w:pPr>
            <w:r>
              <w:rPr>
                <w:rFonts w:eastAsia="Calibri"/>
                <w:sz w:val="20"/>
                <w:szCs w:val="21"/>
              </w:rPr>
              <w:t>○</w:t>
            </w:r>
          </w:p>
        </w:tc>
      </w:tr>
      <w:tr w14:paraId="6CE4D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dxa"/>
            <w:vMerge w:val="continue"/>
          </w:tcPr>
          <w:p w14:paraId="361DB6E4">
            <w:pPr>
              <w:rPr>
                <w:sz w:val="20"/>
                <w:szCs w:val="21"/>
              </w:rPr>
            </w:pPr>
          </w:p>
        </w:tc>
        <w:tc>
          <w:tcPr>
            <w:tcW w:w="1296" w:type="dxa"/>
          </w:tcPr>
          <w:p w14:paraId="707329C5">
            <w:pPr>
              <w:jc w:val="left"/>
              <w:rPr>
                <w:sz w:val="20"/>
                <w:szCs w:val="21"/>
              </w:rPr>
            </w:pPr>
            <w:r>
              <w:rPr>
                <w:sz w:val="20"/>
                <w:szCs w:val="21"/>
              </w:rPr>
              <w:t>At</w:t>
            </w:r>
          </w:p>
          <w:p w14:paraId="6B674E86">
            <w:pPr>
              <w:rPr>
                <w:sz w:val="20"/>
                <w:szCs w:val="21"/>
              </w:rPr>
            </w:pPr>
            <w:r>
              <w:rPr>
                <w:sz w:val="20"/>
                <w:szCs w:val="21"/>
              </w:rPr>
              <w:t>postoperative 15 months (</w:t>
            </w:r>
            <w:r>
              <w:rPr>
                <w:rFonts w:eastAsia="Helvetica"/>
                <w:sz w:val="20"/>
                <w:szCs w:val="21"/>
              </w:rPr>
              <w:t>±</w:t>
            </w:r>
            <w:r>
              <w:rPr>
                <w:sz w:val="20"/>
                <w:szCs w:val="21"/>
              </w:rPr>
              <w:t>15 days)</w:t>
            </w:r>
          </w:p>
        </w:tc>
        <w:tc>
          <w:tcPr>
            <w:tcW w:w="587" w:type="dxa"/>
          </w:tcPr>
          <w:p w14:paraId="1870B4B3">
            <w:pPr>
              <w:spacing w:line="360" w:lineRule="auto"/>
              <w:rPr>
                <w:sz w:val="20"/>
                <w:szCs w:val="21"/>
              </w:rPr>
            </w:pPr>
            <w:r>
              <w:rPr>
                <w:rFonts w:eastAsia="Calibri"/>
                <w:sz w:val="20"/>
                <w:szCs w:val="21"/>
              </w:rPr>
              <w:t>○</w:t>
            </w:r>
          </w:p>
        </w:tc>
        <w:tc>
          <w:tcPr>
            <w:tcW w:w="587" w:type="dxa"/>
          </w:tcPr>
          <w:p w14:paraId="7B74D1A2">
            <w:pPr>
              <w:spacing w:line="360" w:lineRule="auto"/>
              <w:rPr>
                <w:sz w:val="20"/>
                <w:szCs w:val="21"/>
              </w:rPr>
            </w:pPr>
            <w:r>
              <w:rPr>
                <w:rFonts w:eastAsia="Calibri"/>
                <w:sz w:val="20"/>
                <w:szCs w:val="21"/>
              </w:rPr>
              <w:t>○</w:t>
            </w:r>
          </w:p>
        </w:tc>
        <w:tc>
          <w:tcPr>
            <w:tcW w:w="587" w:type="dxa"/>
          </w:tcPr>
          <w:p w14:paraId="59815A60">
            <w:pPr>
              <w:spacing w:line="360" w:lineRule="auto"/>
              <w:rPr>
                <w:sz w:val="20"/>
                <w:szCs w:val="21"/>
              </w:rPr>
            </w:pPr>
            <w:r>
              <w:rPr>
                <w:rFonts w:eastAsia="Calibri"/>
                <w:sz w:val="20"/>
                <w:szCs w:val="21"/>
              </w:rPr>
              <w:t>○</w:t>
            </w:r>
          </w:p>
        </w:tc>
        <w:tc>
          <w:tcPr>
            <w:tcW w:w="588" w:type="dxa"/>
          </w:tcPr>
          <w:p w14:paraId="7882D2E1">
            <w:pPr>
              <w:spacing w:line="360" w:lineRule="auto"/>
              <w:rPr>
                <w:sz w:val="20"/>
                <w:szCs w:val="21"/>
              </w:rPr>
            </w:pPr>
          </w:p>
        </w:tc>
        <w:tc>
          <w:tcPr>
            <w:tcW w:w="587" w:type="dxa"/>
          </w:tcPr>
          <w:p w14:paraId="268B3AAD">
            <w:pPr>
              <w:spacing w:line="360" w:lineRule="auto"/>
              <w:rPr>
                <w:sz w:val="20"/>
                <w:szCs w:val="21"/>
              </w:rPr>
            </w:pPr>
          </w:p>
        </w:tc>
        <w:tc>
          <w:tcPr>
            <w:tcW w:w="587" w:type="dxa"/>
          </w:tcPr>
          <w:p w14:paraId="6B55AFFC">
            <w:pPr>
              <w:spacing w:line="360" w:lineRule="auto"/>
              <w:rPr>
                <w:sz w:val="20"/>
                <w:szCs w:val="21"/>
              </w:rPr>
            </w:pPr>
          </w:p>
        </w:tc>
        <w:tc>
          <w:tcPr>
            <w:tcW w:w="588" w:type="dxa"/>
          </w:tcPr>
          <w:p w14:paraId="71889A4D">
            <w:pPr>
              <w:spacing w:line="360" w:lineRule="auto"/>
              <w:rPr>
                <w:sz w:val="20"/>
                <w:szCs w:val="21"/>
              </w:rPr>
            </w:pPr>
          </w:p>
        </w:tc>
        <w:tc>
          <w:tcPr>
            <w:tcW w:w="587" w:type="dxa"/>
          </w:tcPr>
          <w:p w14:paraId="1D38F88C">
            <w:pPr>
              <w:spacing w:line="360" w:lineRule="auto"/>
              <w:rPr>
                <w:sz w:val="20"/>
                <w:szCs w:val="21"/>
              </w:rPr>
            </w:pPr>
            <w:r>
              <w:rPr>
                <w:rFonts w:eastAsia="Calibri"/>
                <w:sz w:val="20"/>
                <w:szCs w:val="21"/>
              </w:rPr>
              <w:t>○</w:t>
            </w:r>
          </w:p>
        </w:tc>
        <w:tc>
          <w:tcPr>
            <w:tcW w:w="587" w:type="dxa"/>
          </w:tcPr>
          <w:p w14:paraId="621AFDBF">
            <w:pPr>
              <w:spacing w:line="360" w:lineRule="auto"/>
              <w:rPr>
                <w:sz w:val="20"/>
                <w:szCs w:val="21"/>
              </w:rPr>
            </w:pPr>
          </w:p>
        </w:tc>
        <w:tc>
          <w:tcPr>
            <w:tcW w:w="587" w:type="dxa"/>
          </w:tcPr>
          <w:p w14:paraId="39271CFC">
            <w:pPr>
              <w:spacing w:line="360" w:lineRule="auto"/>
              <w:rPr>
                <w:sz w:val="20"/>
                <w:szCs w:val="21"/>
              </w:rPr>
            </w:pPr>
          </w:p>
        </w:tc>
        <w:tc>
          <w:tcPr>
            <w:tcW w:w="588" w:type="dxa"/>
          </w:tcPr>
          <w:p w14:paraId="01EE51D3">
            <w:pPr>
              <w:spacing w:line="360" w:lineRule="auto"/>
              <w:rPr>
                <w:sz w:val="20"/>
                <w:szCs w:val="21"/>
              </w:rPr>
            </w:pPr>
          </w:p>
        </w:tc>
        <w:tc>
          <w:tcPr>
            <w:tcW w:w="587" w:type="dxa"/>
          </w:tcPr>
          <w:p w14:paraId="6406104F">
            <w:pPr>
              <w:spacing w:line="360" w:lineRule="auto"/>
              <w:rPr>
                <w:sz w:val="20"/>
                <w:szCs w:val="21"/>
              </w:rPr>
            </w:pPr>
          </w:p>
        </w:tc>
        <w:tc>
          <w:tcPr>
            <w:tcW w:w="587" w:type="dxa"/>
          </w:tcPr>
          <w:p w14:paraId="1971A4FE">
            <w:pPr>
              <w:spacing w:line="360" w:lineRule="auto"/>
              <w:rPr>
                <w:sz w:val="20"/>
                <w:szCs w:val="21"/>
              </w:rPr>
            </w:pPr>
          </w:p>
        </w:tc>
        <w:tc>
          <w:tcPr>
            <w:tcW w:w="588" w:type="dxa"/>
          </w:tcPr>
          <w:p w14:paraId="783164A1">
            <w:pPr>
              <w:spacing w:line="360" w:lineRule="auto"/>
              <w:rPr>
                <w:sz w:val="20"/>
                <w:szCs w:val="21"/>
              </w:rPr>
            </w:pPr>
            <w:r>
              <w:rPr>
                <w:rFonts w:eastAsia="Calibri"/>
                <w:sz w:val="20"/>
                <w:szCs w:val="21"/>
              </w:rPr>
              <w:t>○</w:t>
            </w:r>
          </w:p>
        </w:tc>
      </w:tr>
      <w:tr w14:paraId="6F601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dxa"/>
            <w:vMerge w:val="continue"/>
          </w:tcPr>
          <w:p w14:paraId="3061293C">
            <w:pPr>
              <w:rPr>
                <w:sz w:val="20"/>
                <w:szCs w:val="21"/>
              </w:rPr>
            </w:pPr>
          </w:p>
        </w:tc>
        <w:tc>
          <w:tcPr>
            <w:tcW w:w="1296" w:type="dxa"/>
          </w:tcPr>
          <w:p w14:paraId="712767C3">
            <w:pPr>
              <w:jc w:val="left"/>
              <w:rPr>
                <w:sz w:val="20"/>
                <w:szCs w:val="21"/>
              </w:rPr>
            </w:pPr>
            <w:r>
              <w:rPr>
                <w:sz w:val="20"/>
                <w:szCs w:val="21"/>
              </w:rPr>
              <w:t>At</w:t>
            </w:r>
          </w:p>
          <w:p w14:paraId="06052424">
            <w:pPr>
              <w:rPr>
                <w:sz w:val="20"/>
                <w:szCs w:val="21"/>
              </w:rPr>
            </w:pPr>
            <w:r>
              <w:rPr>
                <w:sz w:val="20"/>
                <w:szCs w:val="21"/>
              </w:rPr>
              <w:t>postoperative 18 months (</w:t>
            </w:r>
            <w:r>
              <w:rPr>
                <w:rFonts w:eastAsia="Helvetica"/>
                <w:sz w:val="20"/>
                <w:szCs w:val="21"/>
              </w:rPr>
              <w:t>±</w:t>
            </w:r>
            <w:r>
              <w:rPr>
                <w:sz w:val="20"/>
                <w:szCs w:val="21"/>
              </w:rPr>
              <w:t>15 days)</w:t>
            </w:r>
          </w:p>
        </w:tc>
        <w:tc>
          <w:tcPr>
            <w:tcW w:w="587" w:type="dxa"/>
          </w:tcPr>
          <w:p w14:paraId="5A136BA2">
            <w:pPr>
              <w:spacing w:line="360" w:lineRule="auto"/>
              <w:rPr>
                <w:sz w:val="20"/>
                <w:szCs w:val="21"/>
              </w:rPr>
            </w:pPr>
            <w:r>
              <w:rPr>
                <w:rFonts w:eastAsia="Calibri"/>
                <w:sz w:val="20"/>
                <w:szCs w:val="21"/>
              </w:rPr>
              <w:t>○</w:t>
            </w:r>
          </w:p>
        </w:tc>
        <w:tc>
          <w:tcPr>
            <w:tcW w:w="587" w:type="dxa"/>
          </w:tcPr>
          <w:p w14:paraId="7FCCBB79">
            <w:pPr>
              <w:spacing w:line="360" w:lineRule="auto"/>
              <w:rPr>
                <w:sz w:val="20"/>
                <w:szCs w:val="21"/>
              </w:rPr>
            </w:pPr>
            <w:r>
              <w:rPr>
                <w:rFonts w:eastAsia="Calibri"/>
                <w:sz w:val="20"/>
                <w:szCs w:val="21"/>
              </w:rPr>
              <w:t>○</w:t>
            </w:r>
          </w:p>
        </w:tc>
        <w:tc>
          <w:tcPr>
            <w:tcW w:w="587" w:type="dxa"/>
          </w:tcPr>
          <w:p w14:paraId="7B6D8645">
            <w:pPr>
              <w:spacing w:line="360" w:lineRule="auto"/>
              <w:rPr>
                <w:sz w:val="20"/>
                <w:szCs w:val="21"/>
              </w:rPr>
            </w:pPr>
            <w:r>
              <w:rPr>
                <w:rFonts w:eastAsia="Calibri"/>
                <w:sz w:val="20"/>
                <w:szCs w:val="21"/>
              </w:rPr>
              <w:t>○</w:t>
            </w:r>
          </w:p>
        </w:tc>
        <w:tc>
          <w:tcPr>
            <w:tcW w:w="588" w:type="dxa"/>
          </w:tcPr>
          <w:p w14:paraId="410EE4FF">
            <w:pPr>
              <w:spacing w:line="360" w:lineRule="auto"/>
              <w:rPr>
                <w:sz w:val="20"/>
                <w:szCs w:val="21"/>
              </w:rPr>
            </w:pPr>
          </w:p>
        </w:tc>
        <w:tc>
          <w:tcPr>
            <w:tcW w:w="587" w:type="dxa"/>
          </w:tcPr>
          <w:p w14:paraId="72522F85">
            <w:pPr>
              <w:spacing w:line="360" w:lineRule="auto"/>
              <w:rPr>
                <w:sz w:val="20"/>
                <w:szCs w:val="21"/>
              </w:rPr>
            </w:pPr>
          </w:p>
        </w:tc>
        <w:tc>
          <w:tcPr>
            <w:tcW w:w="587" w:type="dxa"/>
          </w:tcPr>
          <w:p w14:paraId="467E629C">
            <w:pPr>
              <w:spacing w:line="360" w:lineRule="auto"/>
              <w:rPr>
                <w:sz w:val="20"/>
                <w:szCs w:val="21"/>
              </w:rPr>
            </w:pPr>
            <w:r>
              <w:rPr>
                <w:rFonts w:eastAsia="Calibri"/>
                <w:sz w:val="20"/>
                <w:szCs w:val="21"/>
              </w:rPr>
              <w:t>○</w:t>
            </w:r>
          </w:p>
        </w:tc>
        <w:tc>
          <w:tcPr>
            <w:tcW w:w="588" w:type="dxa"/>
          </w:tcPr>
          <w:p w14:paraId="0DD42CE9">
            <w:pPr>
              <w:spacing w:line="360" w:lineRule="auto"/>
              <w:rPr>
                <w:sz w:val="20"/>
                <w:szCs w:val="21"/>
              </w:rPr>
            </w:pPr>
          </w:p>
        </w:tc>
        <w:tc>
          <w:tcPr>
            <w:tcW w:w="587" w:type="dxa"/>
          </w:tcPr>
          <w:p w14:paraId="50D494B2">
            <w:pPr>
              <w:spacing w:line="360" w:lineRule="auto"/>
              <w:rPr>
                <w:sz w:val="20"/>
                <w:szCs w:val="21"/>
              </w:rPr>
            </w:pPr>
            <w:r>
              <w:rPr>
                <w:rFonts w:eastAsia="Calibri"/>
                <w:sz w:val="20"/>
                <w:szCs w:val="21"/>
              </w:rPr>
              <w:t>○</w:t>
            </w:r>
          </w:p>
        </w:tc>
        <w:tc>
          <w:tcPr>
            <w:tcW w:w="587" w:type="dxa"/>
          </w:tcPr>
          <w:p w14:paraId="17E65758">
            <w:pPr>
              <w:spacing w:line="360" w:lineRule="auto"/>
              <w:rPr>
                <w:sz w:val="20"/>
                <w:szCs w:val="21"/>
              </w:rPr>
            </w:pPr>
          </w:p>
        </w:tc>
        <w:tc>
          <w:tcPr>
            <w:tcW w:w="587" w:type="dxa"/>
          </w:tcPr>
          <w:p w14:paraId="4E00FE26">
            <w:pPr>
              <w:spacing w:line="360" w:lineRule="auto"/>
              <w:rPr>
                <w:sz w:val="20"/>
                <w:szCs w:val="21"/>
              </w:rPr>
            </w:pPr>
          </w:p>
        </w:tc>
        <w:tc>
          <w:tcPr>
            <w:tcW w:w="588" w:type="dxa"/>
          </w:tcPr>
          <w:p w14:paraId="22EA3549">
            <w:pPr>
              <w:spacing w:line="360" w:lineRule="auto"/>
              <w:rPr>
                <w:sz w:val="20"/>
                <w:szCs w:val="21"/>
              </w:rPr>
            </w:pPr>
          </w:p>
        </w:tc>
        <w:tc>
          <w:tcPr>
            <w:tcW w:w="587" w:type="dxa"/>
          </w:tcPr>
          <w:p w14:paraId="114DE9FF">
            <w:pPr>
              <w:spacing w:line="360" w:lineRule="auto"/>
              <w:rPr>
                <w:sz w:val="20"/>
                <w:szCs w:val="21"/>
              </w:rPr>
            </w:pPr>
          </w:p>
        </w:tc>
        <w:tc>
          <w:tcPr>
            <w:tcW w:w="587" w:type="dxa"/>
          </w:tcPr>
          <w:p w14:paraId="53A91418">
            <w:pPr>
              <w:spacing w:line="360" w:lineRule="auto"/>
              <w:rPr>
                <w:sz w:val="20"/>
                <w:szCs w:val="21"/>
              </w:rPr>
            </w:pPr>
          </w:p>
        </w:tc>
        <w:tc>
          <w:tcPr>
            <w:tcW w:w="588" w:type="dxa"/>
          </w:tcPr>
          <w:p w14:paraId="6F39DF83">
            <w:pPr>
              <w:spacing w:line="360" w:lineRule="auto"/>
              <w:rPr>
                <w:sz w:val="20"/>
                <w:szCs w:val="21"/>
              </w:rPr>
            </w:pPr>
            <w:r>
              <w:rPr>
                <w:rFonts w:eastAsia="Calibri"/>
                <w:sz w:val="20"/>
                <w:szCs w:val="21"/>
              </w:rPr>
              <w:t>○</w:t>
            </w:r>
          </w:p>
        </w:tc>
      </w:tr>
      <w:tr w14:paraId="13D60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dxa"/>
            <w:vMerge w:val="continue"/>
          </w:tcPr>
          <w:p w14:paraId="6DB9E00E">
            <w:pPr>
              <w:rPr>
                <w:sz w:val="20"/>
                <w:szCs w:val="21"/>
              </w:rPr>
            </w:pPr>
          </w:p>
        </w:tc>
        <w:tc>
          <w:tcPr>
            <w:tcW w:w="1296" w:type="dxa"/>
          </w:tcPr>
          <w:p w14:paraId="1C5569BA">
            <w:pPr>
              <w:jc w:val="left"/>
              <w:rPr>
                <w:sz w:val="20"/>
                <w:szCs w:val="21"/>
              </w:rPr>
            </w:pPr>
            <w:r>
              <w:rPr>
                <w:sz w:val="20"/>
                <w:szCs w:val="21"/>
              </w:rPr>
              <w:t>At</w:t>
            </w:r>
          </w:p>
          <w:p w14:paraId="7088329C">
            <w:pPr>
              <w:rPr>
                <w:sz w:val="20"/>
                <w:szCs w:val="21"/>
              </w:rPr>
            </w:pPr>
            <w:r>
              <w:rPr>
                <w:sz w:val="20"/>
                <w:szCs w:val="21"/>
              </w:rPr>
              <w:t>postoperative 21 months (</w:t>
            </w:r>
            <w:r>
              <w:rPr>
                <w:rFonts w:eastAsia="Helvetica"/>
                <w:sz w:val="20"/>
                <w:szCs w:val="21"/>
              </w:rPr>
              <w:t>±</w:t>
            </w:r>
            <w:r>
              <w:rPr>
                <w:sz w:val="20"/>
                <w:szCs w:val="21"/>
              </w:rPr>
              <w:t>15 days)</w:t>
            </w:r>
          </w:p>
        </w:tc>
        <w:tc>
          <w:tcPr>
            <w:tcW w:w="587" w:type="dxa"/>
          </w:tcPr>
          <w:p w14:paraId="7EF8C792">
            <w:pPr>
              <w:spacing w:line="360" w:lineRule="auto"/>
              <w:rPr>
                <w:sz w:val="20"/>
                <w:szCs w:val="21"/>
              </w:rPr>
            </w:pPr>
            <w:r>
              <w:rPr>
                <w:rFonts w:eastAsia="Calibri"/>
                <w:sz w:val="20"/>
                <w:szCs w:val="21"/>
              </w:rPr>
              <w:t>○</w:t>
            </w:r>
          </w:p>
        </w:tc>
        <w:tc>
          <w:tcPr>
            <w:tcW w:w="587" w:type="dxa"/>
          </w:tcPr>
          <w:p w14:paraId="36318AD5">
            <w:pPr>
              <w:spacing w:line="360" w:lineRule="auto"/>
              <w:rPr>
                <w:sz w:val="20"/>
                <w:szCs w:val="21"/>
              </w:rPr>
            </w:pPr>
            <w:r>
              <w:rPr>
                <w:rFonts w:eastAsia="Calibri"/>
                <w:sz w:val="20"/>
                <w:szCs w:val="21"/>
              </w:rPr>
              <w:t>○</w:t>
            </w:r>
          </w:p>
        </w:tc>
        <w:tc>
          <w:tcPr>
            <w:tcW w:w="587" w:type="dxa"/>
          </w:tcPr>
          <w:p w14:paraId="6D837A45">
            <w:pPr>
              <w:spacing w:line="360" w:lineRule="auto"/>
              <w:rPr>
                <w:sz w:val="20"/>
                <w:szCs w:val="21"/>
              </w:rPr>
            </w:pPr>
            <w:r>
              <w:rPr>
                <w:rFonts w:eastAsia="Calibri"/>
                <w:sz w:val="20"/>
                <w:szCs w:val="21"/>
              </w:rPr>
              <w:t>○</w:t>
            </w:r>
          </w:p>
        </w:tc>
        <w:tc>
          <w:tcPr>
            <w:tcW w:w="588" w:type="dxa"/>
          </w:tcPr>
          <w:p w14:paraId="0B075237">
            <w:pPr>
              <w:spacing w:line="360" w:lineRule="auto"/>
              <w:rPr>
                <w:sz w:val="20"/>
                <w:szCs w:val="21"/>
              </w:rPr>
            </w:pPr>
          </w:p>
        </w:tc>
        <w:tc>
          <w:tcPr>
            <w:tcW w:w="587" w:type="dxa"/>
          </w:tcPr>
          <w:p w14:paraId="70163045">
            <w:pPr>
              <w:spacing w:line="360" w:lineRule="auto"/>
              <w:rPr>
                <w:sz w:val="20"/>
                <w:szCs w:val="21"/>
              </w:rPr>
            </w:pPr>
          </w:p>
        </w:tc>
        <w:tc>
          <w:tcPr>
            <w:tcW w:w="587" w:type="dxa"/>
          </w:tcPr>
          <w:p w14:paraId="031006EB">
            <w:pPr>
              <w:spacing w:line="360" w:lineRule="auto"/>
              <w:rPr>
                <w:sz w:val="20"/>
                <w:szCs w:val="21"/>
              </w:rPr>
            </w:pPr>
          </w:p>
        </w:tc>
        <w:tc>
          <w:tcPr>
            <w:tcW w:w="588" w:type="dxa"/>
          </w:tcPr>
          <w:p w14:paraId="29654126">
            <w:pPr>
              <w:spacing w:line="360" w:lineRule="auto"/>
              <w:rPr>
                <w:sz w:val="20"/>
                <w:szCs w:val="21"/>
              </w:rPr>
            </w:pPr>
          </w:p>
        </w:tc>
        <w:tc>
          <w:tcPr>
            <w:tcW w:w="587" w:type="dxa"/>
          </w:tcPr>
          <w:p w14:paraId="087159B7">
            <w:pPr>
              <w:spacing w:line="360" w:lineRule="auto"/>
              <w:rPr>
                <w:sz w:val="20"/>
                <w:szCs w:val="21"/>
              </w:rPr>
            </w:pPr>
            <w:r>
              <w:rPr>
                <w:rFonts w:eastAsia="Calibri"/>
                <w:sz w:val="20"/>
                <w:szCs w:val="21"/>
              </w:rPr>
              <w:t>○</w:t>
            </w:r>
          </w:p>
        </w:tc>
        <w:tc>
          <w:tcPr>
            <w:tcW w:w="587" w:type="dxa"/>
          </w:tcPr>
          <w:p w14:paraId="43AB63F9">
            <w:pPr>
              <w:spacing w:line="360" w:lineRule="auto"/>
              <w:rPr>
                <w:sz w:val="20"/>
                <w:szCs w:val="21"/>
              </w:rPr>
            </w:pPr>
          </w:p>
        </w:tc>
        <w:tc>
          <w:tcPr>
            <w:tcW w:w="587" w:type="dxa"/>
          </w:tcPr>
          <w:p w14:paraId="0A7094E6">
            <w:pPr>
              <w:spacing w:line="360" w:lineRule="auto"/>
              <w:rPr>
                <w:sz w:val="20"/>
                <w:szCs w:val="21"/>
              </w:rPr>
            </w:pPr>
          </w:p>
        </w:tc>
        <w:tc>
          <w:tcPr>
            <w:tcW w:w="588" w:type="dxa"/>
          </w:tcPr>
          <w:p w14:paraId="2B6AB791">
            <w:pPr>
              <w:spacing w:line="360" w:lineRule="auto"/>
              <w:rPr>
                <w:sz w:val="20"/>
                <w:szCs w:val="21"/>
              </w:rPr>
            </w:pPr>
          </w:p>
        </w:tc>
        <w:tc>
          <w:tcPr>
            <w:tcW w:w="587" w:type="dxa"/>
          </w:tcPr>
          <w:p w14:paraId="761E8411">
            <w:pPr>
              <w:spacing w:line="360" w:lineRule="auto"/>
              <w:rPr>
                <w:sz w:val="20"/>
                <w:szCs w:val="21"/>
              </w:rPr>
            </w:pPr>
          </w:p>
        </w:tc>
        <w:tc>
          <w:tcPr>
            <w:tcW w:w="587" w:type="dxa"/>
          </w:tcPr>
          <w:p w14:paraId="2AB7EEAD">
            <w:pPr>
              <w:spacing w:line="360" w:lineRule="auto"/>
              <w:rPr>
                <w:sz w:val="20"/>
                <w:szCs w:val="21"/>
              </w:rPr>
            </w:pPr>
          </w:p>
        </w:tc>
        <w:tc>
          <w:tcPr>
            <w:tcW w:w="588" w:type="dxa"/>
          </w:tcPr>
          <w:p w14:paraId="12D33A0F">
            <w:pPr>
              <w:spacing w:line="360" w:lineRule="auto"/>
              <w:rPr>
                <w:sz w:val="20"/>
                <w:szCs w:val="21"/>
              </w:rPr>
            </w:pPr>
            <w:r>
              <w:rPr>
                <w:rFonts w:eastAsia="Calibri"/>
                <w:sz w:val="20"/>
                <w:szCs w:val="21"/>
              </w:rPr>
              <w:t>○</w:t>
            </w:r>
          </w:p>
        </w:tc>
      </w:tr>
      <w:tr w14:paraId="69925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dxa"/>
            <w:vMerge w:val="continue"/>
          </w:tcPr>
          <w:p w14:paraId="6A68ACF8">
            <w:pPr>
              <w:rPr>
                <w:sz w:val="20"/>
                <w:szCs w:val="21"/>
              </w:rPr>
            </w:pPr>
          </w:p>
        </w:tc>
        <w:tc>
          <w:tcPr>
            <w:tcW w:w="1296" w:type="dxa"/>
          </w:tcPr>
          <w:p w14:paraId="34CBE19C">
            <w:pPr>
              <w:jc w:val="left"/>
              <w:rPr>
                <w:sz w:val="20"/>
                <w:szCs w:val="21"/>
              </w:rPr>
            </w:pPr>
            <w:r>
              <w:rPr>
                <w:sz w:val="20"/>
                <w:szCs w:val="21"/>
              </w:rPr>
              <w:t>At</w:t>
            </w:r>
          </w:p>
          <w:p w14:paraId="32621D32">
            <w:pPr>
              <w:rPr>
                <w:sz w:val="20"/>
                <w:szCs w:val="21"/>
              </w:rPr>
            </w:pPr>
            <w:r>
              <w:rPr>
                <w:sz w:val="20"/>
                <w:szCs w:val="21"/>
              </w:rPr>
              <w:t>postoperative 2 years (</w:t>
            </w:r>
            <w:r>
              <w:rPr>
                <w:rFonts w:eastAsia="Helvetica"/>
                <w:sz w:val="20"/>
                <w:szCs w:val="21"/>
              </w:rPr>
              <w:t>±</w:t>
            </w:r>
            <w:r>
              <w:rPr>
                <w:sz w:val="20"/>
                <w:szCs w:val="21"/>
              </w:rPr>
              <w:t>15 days)</w:t>
            </w:r>
          </w:p>
        </w:tc>
        <w:tc>
          <w:tcPr>
            <w:tcW w:w="587" w:type="dxa"/>
          </w:tcPr>
          <w:p w14:paraId="7C512E05">
            <w:pPr>
              <w:spacing w:line="360" w:lineRule="auto"/>
              <w:rPr>
                <w:sz w:val="20"/>
                <w:szCs w:val="21"/>
              </w:rPr>
            </w:pPr>
            <w:r>
              <w:rPr>
                <w:rFonts w:eastAsia="Calibri"/>
                <w:sz w:val="20"/>
                <w:szCs w:val="21"/>
              </w:rPr>
              <w:t>○</w:t>
            </w:r>
          </w:p>
        </w:tc>
        <w:tc>
          <w:tcPr>
            <w:tcW w:w="587" w:type="dxa"/>
          </w:tcPr>
          <w:p w14:paraId="399F185A">
            <w:pPr>
              <w:spacing w:line="360" w:lineRule="auto"/>
              <w:rPr>
                <w:sz w:val="20"/>
                <w:szCs w:val="21"/>
              </w:rPr>
            </w:pPr>
            <w:r>
              <w:rPr>
                <w:rFonts w:eastAsia="Calibri"/>
                <w:sz w:val="20"/>
                <w:szCs w:val="21"/>
              </w:rPr>
              <w:t>○</w:t>
            </w:r>
          </w:p>
        </w:tc>
        <w:tc>
          <w:tcPr>
            <w:tcW w:w="587" w:type="dxa"/>
          </w:tcPr>
          <w:p w14:paraId="0E005011">
            <w:pPr>
              <w:spacing w:line="360" w:lineRule="auto"/>
              <w:rPr>
                <w:sz w:val="20"/>
                <w:szCs w:val="21"/>
              </w:rPr>
            </w:pPr>
            <w:r>
              <w:rPr>
                <w:rFonts w:eastAsia="Calibri"/>
                <w:sz w:val="20"/>
                <w:szCs w:val="21"/>
              </w:rPr>
              <w:t>○</w:t>
            </w:r>
          </w:p>
        </w:tc>
        <w:tc>
          <w:tcPr>
            <w:tcW w:w="588" w:type="dxa"/>
          </w:tcPr>
          <w:p w14:paraId="6DCD6BB8">
            <w:pPr>
              <w:spacing w:line="360" w:lineRule="auto"/>
              <w:rPr>
                <w:sz w:val="20"/>
                <w:szCs w:val="21"/>
              </w:rPr>
            </w:pPr>
          </w:p>
        </w:tc>
        <w:tc>
          <w:tcPr>
            <w:tcW w:w="587" w:type="dxa"/>
          </w:tcPr>
          <w:p w14:paraId="71BBE246">
            <w:pPr>
              <w:spacing w:line="360" w:lineRule="auto"/>
              <w:rPr>
                <w:sz w:val="20"/>
                <w:szCs w:val="21"/>
              </w:rPr>
            </w:pPr>
          </w:p>
        </w:tc>
        <w:tc>
          <w:tcPr>
            <w:tcW w:w="587" w:type="dxa"/>
          </w:tcPr>
          <w:p w14:paraId="74D8101F">
            <w:pPr>
              <w:spacing w:line="360" w:lineRule="auto"/>
              <w:rPr>
                <w:sz w:val="20"/>
                <w:szCs w:val="21"/>
              </w:rPr>
            </w:pPr>
          </w:p>
        </w:tc>
        <w:tc>
          <w:tcPr>
            <w:tcW w:w="588" w:type="dxa"/>
          </w:tcPr>
          <w:p w14:paraId="68B58596">
            <w:pPr>
              <w:spacing w:line="360" w:lineRule="auto"/>
              <w:rPr>
                <w:sz w:val="20"/>
                <w:szCs w:val="21"/>
              </w:rPr>
            </w:pPr>
            <w:r>
              <w:rPr>
                <w:rFonts w:eastAsia="Calibri"/>
                <w:sz w:val="20"/>
                <w:szCs w:val="21"/>
              </w:rPr>
              <w:t>○</w:t>
            </w:r>
          </w:p>
        </w:tc>
        <w:tc>
          <w:tcPr>
            <w:tcW w:w="587" w:type="dxa"/>
          </w:tcPr>
          <w:p w14:paraId="0A911567">
            <w:pPr>
              <w:spacing w:line="360" w:lineRule="auto"/>
              <w:rPr>
                <w:sz w:val="20"/>
                <w:szCs w:val="21"/>
              </w:rPr>
            </w:pPr>
            <w:r>
              <w:rPr>
                <w:rFonts w:eastAsia="Calibri"/>
                <w:sz w:val="20"/>
                <w:szCs w:val="21"/>
              </w:rPr>
              <w:t>○</w:t>
            </w:r>
          </w:p>
        </w:tc>
        <w:tc>
          <w:tcPr>
            <w:tcW w:w="587" w:type="dxa"/>
          </w:tcPr>
          <w:p w14:paraId="6FC85BB4">
            <w:pPr>
              <w:spacing w:line="360" w:lineRule="auto"/>
              <w:rPr>
                <w:sz w:val="20"/>
                <w:szCs w:val="21"/>
              </w:rPr>
            </w:pPr>
          </w:p>
        </w:tc>
        <w:tc>
          <w:tcPr>
            <w:tcW w:w="587" w:type="dxa"/>
          </w:tcPr>
          <w:p w14:paraId="0E5A07B8">
            <w:pPr>
              <w:spacing w:line="360" w:lineRule="auto"/>
              <w:rPr>
                <w:sz w:val="20"/>
                <w:szCs w:val="21"/>
              </w:rPr>
            </w:pPr>
          </w:p>
        </w:tc>
        <w:tc>
          <w:tcPr>
            <w:tcW w:w="588" w:type="dxa"/>
          </w:tcPr>
          <w:p w14:paraId="5E777A71">
            <w:pPr>
              <w:spacing w:line="360" w:lineRule="auto"/>
              <w:rPr>
                <w:sz w:val="20"/>
                <w:szCs w:val="21"/>
              </w:rPr>
            </w:pPr>
          </w:p>
        </w:tc>
        <w:tc>
          <w:tcPr>
            <w:tcW w:w="587" w:type="dxa"/>
          </w:tcPr>
          <w:p w14:paraId="2C9A8A6C">
            <w:pPr>
              <w:spacing w:line="360" w:lineRule="auto"/>
              <w:rPr>
                <w:sz w:val="20"/>
                <w:szCs w:val="21"/>
              </w:rPr>
            </w:pPr>
          </w:p>
        </w:tc>
        <w:tc>
          <w:tcPr>
            <w:tcW w:w="587" w:type="dxa"/>
          </w:tcPr>
          <w:p w14:paraId="29FA1BFF">
            <w:pPr>
              <w:spacing w:line="360" w:lineRule="auto"/>
              <w:rPr>
                <w:sz w:val="20"/>
                <w:szCs w:val="21"/>
              </w:rPr>
            </w:pPr>
          </w:p>
        </w:tc>
        <w:tc>
          <w:tcPr>
            <w:tcW w:w="588" w:type="dxa"/>
          </w:tcPr>
          <w:p w14:paraId="6A4363EA">
            <w:pPr>
              <w:spacing w:line="360" w:lineRule="auto"/>
              <w:rPr>
                <w:sz w:val="20"/>
                <w:szCs w:val="21"/>
              </w:rPr>
            </w:pPr>
            <w:r>
              <w:rPr>
                <w:rFonts w:eastAsia="Calibri"/>
                <w:sz w:val="20"/>
                <w:szCs w:val="21"/>
              </w:rPr>
              <w:t>○</w:t>
            </w:r>
          </w:p>
        </w:tc>
      </w:tr>
      <w:tr w14:paraId="5FCDB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dxa"/>
            <w:vMerge w:val="continue"/>
          </w:tcPr>
          <w:p w14:paraId="4F649444">
            <w:pPr>
              <w:rPr>
                <w:sz w:val="20"/>
                <w:szCs w:val="21"/>
              </w:rPr>
            </w:pPr>
          </w:p>
        </w:tc>
        <w:tc>
          <w:tcPr>
            <w:tcW w:w="1296" w:type="dxa"/>
          </w:tcPr>
          <w:p w14:paraId="57FC29E0">
            <w:pPr>
              <w:jc w:val="left"/>
              <w:rPr>
                <w:sz w:val="20"/>
                <w:szCs w:val="21"/>
              </w:rPr>
            </w:pPr>
            <w:r>
              <w:rPr>
                <w:sz w:val="20"/>
                <w:szCs w:val="21"/>
              </w:rPr>
              <w:t>At</w:t>
            </w:r>
          </w:p>
          <w:p w14:paraId="5EA2A47E">
            <w:pPr>
              <w:rPr>
                <w:sz w:val="20"/>
                <w:szCs w:val="21"/>
              </w:rPr>
            </w:pPr>
            <w:r>
              <w:rPr>
                <w:sz w:val="20"/>
                <w:szCs w:val="21"/>
              </w:rPr>
              <w:t>postoperative 2 years (</w:t>
            </w:r>
            <w:r>
              <w:rPr>
                <w:rFonts w:eastAsia="Helvetica"/>
                <w:sz w:val="20"/>
                <w:szCs w:val="21"/>
              </w:rPr>
              <w:t>±</w:t>
            </w:r>
            <w:r>
              <w:rPr>
                <w:sz w:val="20"/>
                <w:szCs w:val="21"/>
              </w:rPr>
              <w:t>15 days)</w:t>
            </w:r>
          </w:p>
        </w:tc>
        <w:tc>
          <w:tcPr>
            <w:tcW w:w="587" w:type="dxa"/>
          </w:tcPr>
          <w:p w14:paraId="6AB96560">
            <w:pPr>
              <w:spacing w:line="360" w:lineRule="auto"/>
              <w:rPr>
                <w:sz w:val="20"/>
                <w:szCs w:val="21"/>
              </w:rPr>
            </w:pPr>
            <w:r>
              <w:rPr>
                <w:rFonts w:eastAsia="Calibri"/>
                <w:sz w:val="20"/>
                <w:szCs w:val="21"/>
              </w:rPr>
              <w:t>○</w:t>
            </w:r>
          </w:p>
        </w:tc>
        <w:tc>
          <w:tcPr>
            <w:tcW w:w="587" w:type="dxa"/>
          </w:tcPr>
          <w:p w14:paraId="6A39314D">
            <w:pPr>
              <w:spacing w:line="360" w:lineRule="auto"/>
              <w:rPr>
                <w:sz w:val="20"/>
                <w:szCs w:val="21"/>
              </w:rPr>
            </w:pPr>
            <w:r>
              <w:rPr>
                <w:rFonts w:eastAsia="Calibri"/>
                <w:sz w:val="20"/>
                <w:szCs w:val="21"/>
              </w:rPr>
              <w:t>○</w:t>
            </w:r>
          </w:p>
        </w:tc>
        <w:tc>
          <w:tcPr>
            <w:tcW w:w="587" w:type="dxa"/>
          </w:tcPr>
          <w:p w14:paraId="78126E12">
            <w:pPr>
              <w:spacing w:line="360" w:lineRule="auto"/>
              <w:rPr>
                <w:sz w:val="20"/>
                <w:szCs w:val="21"/>
              </w:rPr>
            </w:pPr>
            <w:r>
              <w:rPr>
                <w:rFonts w:eastAsia="Calibri"/>
                <w:sz w:val="20"/>
                <w:szCs w:val="21"/>
              </w:rPr>
              <w:t>○</w:t>
            </w:r>
          </w:p>
        </w:tc>
        <w:tc>
          <w:tcPr>
            <w:tcW w:w="588" w:type="dxa"/>
          </w:tcPr>
          <w:p w14:paraId="6B375C95">
            <w:pPr>
              <w:spacing w:line="360" w:lineRule="auto"/>
              <w:rPr>
                <w:sz w:val="20"/>
                <w:szCs w:val="21"/>
              </w:rPr>
            </w:pPr>
          </w:p>
        </w:tc>
        <w:tc>
          <w:tcPr>
            <w:tcW w:w="587" w:type="dxa"/>
          </w:tcPr>
          <w:p w14:paraId="6D6CC274">
            <w:pPr>
              <w:spacing w:line="360" w:lineRule="auto"/>
              <w:rPr>
                <w:sz w:val="20"/>
                <w:szCs w:val="21"/>
              </w:rPr>
            </w:pPr>
          </w:p>
        </w:tc>
        <w:tc>
          <w:tcPr>
            <w:tcW w:w="587" w:type="dxa"/>
          </w:tcPr>
          <w:p w14:paraId="098F35B3">
            <w:pPr>
              <w:spacing w:line="360" w:lineRule="auto"/>
              <w:rPr>
                <w:sz w:val="20"/>
                <w:szCs w:val="21"/>
              </w:rPr>
            </w:pPr>
          </w:p>
        </w:tc>
        <w:tc>
          <w:tcPr>
            <w:tcW w:w="588" w:type="dxa"/>
          </w:tcPr>
          <w:p w14:paraId="5C727DCC">
            <w:pPr>
              <w:spacing w:line="360" w:lineRule="auto"/>
              <w:rPr>
                <w:sz w:val="20"/>
                <w:szCs w:val="21"/>
              </w:rPr>
            </w:pPr>
            <w:r>
              <w:rPr>
                <w:rFonts w:eastAsia="Calibri"/>
                <w:sz w:val="20"/>
                <w:szCs w:val="21"/>
              </w:rPr>
              <w:t>○</w:t>
            </w:r>
          </w:p>
        </w:tc>
        <w:tc>
          <w:tcPr>
            <w:tcW w:w="587" w:type="dxa"/>
          </w:tcPr>
          <w:p w14:paraId="10221533">
            <w:pPr>
              <w:spacing w:line="360" w:lineRule="auto"/>
              <w:rPr>
                <w:sz w:val="20"/>
                <w:szCs w:val="21"/>
              </w:rPr>
            </w:pPr>
            <w:r>
              <w:rPr>
                <w:rFonts w:eastAsia="Calibri"/>
                <w:sz w:val="20"/>
                <w:szCs w:val="21"/>
              </w:rPr>
              <w:t>○</w:t>
            </w:r>
          </w:p>
        </w:tc>
        <w:tc>
          <w:tcPr>
            <w:tcW w:w="587" w:type="dxa"/>
          </w:tcPr>
          <w:p w14:paraId="3BDC19BD">
            <w:pPr>
              <w:spacing w:line="360" w:lineRule="auto"/>
              <w:rPr>
                <w:sz w:val="20"/>
                <w:szCs w:val="21"/>
              </w:rPr>
            </w:pPr>
          </w:p>
        </w:tc>
        <w:tc>
          <w:tcPr>
            <w:tcW w:w="587" w:type="dxa"/>
          </w:tcPr>
          <w:p w14:paraId="437C30DA">
            <w:pPr>
              <w:spacing w:line="360" w:lineRule="auto"/>
              <w:rPr>
                <w:sz w:val="20"/>
                <w:szCs w:val="21"/>
              </w:rPr>
            </w:pPr>
          </w:p>
        </w:tc>
        <w:tc>
          <w:tcPr>
            <w:tcW w:w="588" w:type="dxa"/>
          </w:tcPr>
          <w:p w14:paraId="4B9EC723">
            <w:pPr>
              <w:spacing w:line="360" w:lineRule="auto"/>
              <w:rPr>
                <w:sz w:val="20"/>
                <w:szCs w:val="21"/>
              </w:rPr>
            </w:pPr>
          </w:p>
        </w:tc>
        <w:tc>
          <w:tcPr>
            <w:tcW w:w="587" w:type="dxa"/>
          </w:tcPr>
          <w:p w14:paraId="36FBA610">
            <w:pPr>
              <w:spacing w:line="360" w:lineRule="auto"/>
              <w:rPr>
                <w:sz w:val="20"/>
                <w:szCs w:val="21"/>
              </w:rPr>
            </w:pPr>
          </w:p>
        </w:tc>
        <w:tc>
          <w:tcPr>
            <w:tcW w:w="587" w:type="dxa"/>
          </w:tcPr>
          <w:p w14:paraId="016976D9">
            <w:pPr>
              <w:spacing w:line="360" w:lineRule="auto"/>
              <w:rPr>
                <w:sz w:val="20"/>
                <w:szCs w:val="21"/>
              </w:rPr>
            </w:pPr>
          </w:p>
        </w:tc>
        <w:tc>
          <w:tcPr>
            <w:tcW w:w="588" w:type="dxa"/>
          </w:tcPr>
          <w:p w14:paraId="0CE1AF8D">
            <w:pPr>
              <w:spacing w:line="360" w:lineRule="auto"/>
              <w:rPr>
                <w:sz w:val="20"/>
                <w:szCs w:val="21"/>
              </w:rPr>
            </w:pPr>
            <w:r>
              <w:rPr>
                <w:rFonts w:eastAsia="Calibri"/>
                <w:sz w:val="20"/>
                <w:szCs w:val="21"/>
              </w:rPr>
              <w:t>○</w:t>
            </w:r>
          </w:p>
        </w:tc>
      </w:tr>
      <w:tr w14:paraId="70480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dxa"/>
            <w:vMerge w:val="continue"/>
          </w:tcPr>
          <w:p w14:paraId="37DBE39A">
            <w:pPr>
              <w:rPr>
                <w:sz w:val="20"/>
                <w:szCs w:val="21"/>
              </w:rPr>
            </w:pPr>
          </w:p>
        </w:tc>
        <w:tc>
          <w:tcPr>
            <w:tcW w:w="1296" w:type="dxa"/>
          </w:tcPr>
          <w:p w14:paraId="3F8315E0">
            <w:pPr>
              <w:jc w:val="left"/>
              <w:rPr>
                <w:sz w:val="20"/>
                <w:szCs w:val="21"/>
              </w:rPr>
            </w:pPr>
            <w:r>
              <w:rPr>
                <w:sz w:val="20"/>
                <w:szCs w:val="21"/>
              </w:rPr>
              <w:t>At</w:t>
            </w:r>
          </w:p>
          <w:p w14:paraId="7A8CB1FE">
            <w:pPr>
              <w:rPr>
                <w:sz w:val="20"/>
                <w:szCs w:val="21"/>
              </w:rPr>
            </w:pPr>
            <w:r>
              <w:rPr>
                <w:sz w:val="20"/>
                <w:szCs w:val="21"/>
              </w:rPr>
              <w:t>postoperative 3 years (</w:t>
            </w:r>
            <w:r>
              <w:rPr>
                <w:rFonts w:eastAsia="Helvetica"/>
                <w:sz w:val="20"/>
                <w:szCs w:val="21"/>
              </w:rPr>
              <w:t>±</w:t>
            </w:r>
            <w:r>
              <w:rPr>
                <w:sz w:val="20"/>
                <w:szCs w:val="21"/>
              </w:rPr>
              <w:t>15 days)</w:t>
            </w:r>
          </w:p>
        </w:tc>
        <w:tc>
          <w:tcPr>
            <w:tcW w:w="587" w:type="dxa"/>
          </w:tcPr>
          <w:p w14:paraId="2AF85E00">
            <w:pPr>
              <w:spacing w:line="360" w:lineRule="auto"/>
              <w:rPr>
                <w:sz w:val="20"/>
                <w:szCs w:val="21"/>
              </w:rPr>
            </w:pPr>
            <w:r>
              <w:rPr>
                <w:rFonts w:eastAsia="Calibri"/>
                <w:sz w:val="20"/>
                <w:szCs w:val="21"/>
              </w:rPr>
              <w:t>○</w:t>
            </w:r>
          </w:p>
        </w:tc>
        <w:tc>
          <w:tcPr>
            <w:tcW w:w="587" w:type="dxa"/>
          </w:tcPr>
          <w:p w14:paraId="24A0FAB0">
            <w:pPr>
              <w:spacing w:line="360" w:lineRule="auto"/>
              <w:rPr>
                <w:sz w:val="20"/>
                <w:szCs w:val="21"/>
              </w:rPr>
            </w:pPr>
            <w:r>
              <w:rPr>
                <w:rFonts w:eastAsia="Calibri"/>
                <w:sz w:val="20"/>
                <w:szCs w:val="21"/>
              </w:rPr>
              <w:t>○</w:t>
            </w:r>
          </w:p>
        </w:tc>
        <w:tc>
          <w:tcPr>
            <w:tcW w:w="587" w:type="dxa"/>
          </w:tcPr>
          <w:p w14:paraId="32E56248">
            <w:pPr>
              <w:spacing w:line="360" w:lineRule="auto"/>
              <w:rPr>
                <w:sz w:val="20"/>
                <w:szCs w:val="21"/>
              </w:rPr>
            </w:pPr>
            <w:r>
              <w:rPr>
                <w:rFonts w:eastAsia="Calibri"/>
                <w:sz w:val="20"/>
                <w:szCs w:val="21"/>
              </w:rPr>
              <w:t>○</w:t>
            </w:r>
          </w:p>
        </w:tc>
        <w:tc>
          <w:tcPr>
            <w:tcW w:w="588" w:type="dxa"/>
          </w:tcPr>
          <w:p w14:paraId="1435B575">
            <w:pPr>
              <w:spacing w:line="360" w:lineRule="auto"/>
              <w:rPr>
                <w:sz w:val="20"/>
                <w:szCs w:val="21"/>
              </w:rPr>
            </w:pPr>
          </w:p>
        </w:tc>
        <w:tc>
          <w:tcPr>
            <w:tcW w:w="587" w:type="dxa"/>
          </w:tcPr>
          <w:p w14:paraId="73E28A8B">
            <w:pPr>
              <w:spacing w:line="360" w:lineRule="auto"/>
              <w:rPr>
                <w:sz w:val="20"/>
                <w:szCs w:val="21"/>
              </w:rPr>
            </w:pPr>
          </w:p>
        </w:tc>
        <w:tc>
          <w:tcPr>
            <w:tcW w:w="587" w:type="dxa"/>
          </w:tcPr>
          <w:p w14:paraId="13260A67">
            <w:pPr>
              <w:spacing w:line="360" w:lineRule="auto"/>
              <w:rPr>
                <w:sz w:val="20"/>
                <w:szCs w:val="21"/>
              </w:rPr>
            </w:pPr>
          </w:p>
        </w:tc>
        <w:tc>
          <w:tcPr>
            <w:tcW w:w="588" w:type="dxa"/>
          </w:tcPr>
          <w:p w14:paraId="1ED06242">
            <w:pPr>
              <w:spacing w:line="360" w:lineRule="auto"/>
              <w:rPr>
                <w:sz w:val="20"/>
                <w:szCs w:val="21"/>
              </w:rPr>
            </w:pPr>
            <w:r>
              <w:rPr>
                <w:rFonts w:eastAsia="Calibri"/>
                <w:sz w:val="20"/>
                <w:szCs w:val="21"/>
              </w:rPr>
              <w:t>○</w:t>
            </w:r>
          </w:p>
        </w:tc>
        <w:tc>
          <w:tcPr>
            <w:tcW w:w="587" w:type="dxa"/>
          </w:tcPr>
          <w:p w14:paraId="12AC8FE3">
            <w:pPr>
              <w:spacing w:line="360" w:lineRule="auto"/>
              <w:rPr>
                <w:sz w:val="20"/>
                <w:szCs w:val="21"/>
              </w:rPr>
            </w:pPr>
            <w:r>
              <w:rPr>
                <w:rFonts w:eastAsia="Calibri"/>
                <w:sz w:val="20"/>
                <w:szCs w:val="21"/>
              </w:rPr>
              <w:t>○</w:t>
            </w:r>
          </w:p>
        </w:tc>
        <w:tc>
          <w:tcPr>
            <w:tcW w:w="587" w:type="dxa"/>
          </w:tcPr>
          <w:p w14:paraId="57048A17">
            <w:pPr>
              <w:spacing w:line="360" w:lineRule="auto"/>
              <w:rPr>
                <w:sz w:val="20"/>
                <w:szCs w:val="21"/>
              </w:rPr>
            </w:pPr>
          </w:p>
        </w:tc>
        <w:tc>
          <w:tcPr>
            <w:tcW w:w="587" w:type="dxa"/>
          </w:tcPr>
          <w:p w14:paraId="7AE6FF3D">
            <w:pPr>
              <w:spacing w:line="360" w:lineRule="auto"/>
              <w:rPr>
                <w:sz w:val="20"/>
                <w:szCs w:val="21"/>
              </w:rPr>
            </w:pPr>
          </w:p>
        </w:tc>
        <w:tc>
          <w:tcPr>
            <w:tcW w:w="588" w:type="dxa"/>
          </w:tcPr>
          <w:p w14:paraId="18683493">
            <w:pPr>
              <w:spacing w:line="360" w:lineRule="auto"/>
              <w:rPr>
                <w:sz w:val="20"/>
                <w:szCs w:val="21"/>
              </w:rPr>
            </w:pPr>
          </w:p>
        </w:tc>
        <w:tc>
          <w:tcPr>
            <w:tcW w:w="587" w:type="dxa"/>
          </w:tcPr>
          <w:p w14:paraId="41A72731">
            <w:pPr>
              <w:spacing w:line="360" w:lineRule="auto"/>
              <w:rPr>
                <w:sz w:val="20"/>
                <w:szCs w:val="21"/>
              </w:rPr>
            </w:pPr>
          </w:p>
        </w:tc>
        <w:tc>
          <w:tcPr>
            <w:tcW w:w="587" w:type="dxa"/>
          </w:tcPr>
          <w:p w14:paraId="7D00EA63">
            <w:pPr>
              <w:spacing w:line="360" w:lineRule="auto"/>
              <w:rPr>
                <w:sz w:val="20"/>
                <w:szCs w:val="21"/>
              </w:rPr>
            </w:pPr>
          </w:p>
        </w:tc>
        <w:tc>
          <w:tcPr>
            <w:tcW w:w="588" w:type="dxa"/>
          </w:tcPr>
          <w:p w14:paraId="1B5809F6">
            <w:pPr>
              <w:spacing w:line="360" w:lineRule="auto"/>
              <w:rPr>
                <w:sz w:val="20"/>
                <w:szCs w:val="21"/>
              </w:rPr>
            </w:pPr>
            <w:r>
              <w:rPr>
                <w:rFonts w:eastAsia="Calibri"/>
                <w:sz w:val="20"/>
                <w:szCs w:val="21"/>
              </w:rPr>
              <w:t>○</w:t>
            </w:r>
          </w:p>
        </w:tc>
      </w:tr>
    </w:tbl>
    <w:p w14:paraId="6072FE29">
      <w:pPr>
        <w:spacing w:line="360" w:lineRule="auto"/>
        <w:rPr>
          <w:rFonts w:eastAsia="MS Mincho"/>
          <w:szCs w:val="21"/>
        </w:rPr>
      </w:pPr>
      <w:r>
        <w:rPr>
          <w:rFonts w:eastAsia="Calibri"/>
          <w:szCs w:val="21"/>
        </w:rPr>
        <w:t>○</w:t>
      </w:r>
      <w:r>
        <w:rPr>
          <w:rFonts w:eastAsia="MS Mincho"/>
          <w:szCs w:val="21"/>
        </w:rPr>
        <w:t>: must do</w:t>
      </w:r>
    </w:p>
    <w:p w14:paraId="36D21CA0">
      <w:pPr>
        <w:spacing w:line="360" w:lineRule="auto"/>
        <w:rPr>
          <w:rFonts w:eastAsia="MS Mincho"/>
          <w:szCs w:val="21"/>
        </w:rPr>
      </w:pPr>
    </w:p>
    <w:p w14:paraId="68439CD8">
      <w:pPr>
        <w:adjustRightInd w:val="0"/>
        <w:snapToGrid w:val="0"/>
        <w:spacing w:line="360" w:lineRule="auto"/>
        <w:jc w:val="left"/>
        <w:rPr>
          <w:rFonts w:eastAsia="微软雅黑"/>
          <w:b/>
          <w:sz w:val="24"/>
        </w:rPr>
      </w:pPr>
      <w:r>
        <w:rPr>
          <w:rFonts w:eastAsia="微软雅黑"/>
          <w:b/>
          <w:sz w:val="24"/>
        </w:rPr>
        <w:t>9.8 Definitions involved in SOP</w:t>
      </w:r>
    </w:p>
    <w:p w14:paraId="484A27E0">
      <w:pPr>
        <w:adjustRightInd w:val="0"/>
        <w:snapToGrid w:val="0"/>
        <w:spacing w:line="360" w:lineRule="auto"/>
        <w:rPr>
          <w:rFonts w:eastAsia="微软雅黑"/>
          <w:b/>
          <w:sz w:val="22"/>
          <w:szCs w:val="22"/>
        </w:rPr>
      </w:pPr>
      <w:r>
        <w:rPr>
          <w:rFonts w:eastAsia="微软雅黑"/>
          <w:b/>
          <w:sz w:val="22"/>
          <w:szCs w:val="22"/>
        </w:rPr>
        <w:t>9.8.1 ECOG performance status score</w:t>
      </w:r>
    </w:p>
    <w:p w14:paraId="15897F71">
      <w:pPr>
        <w:spacing w:line="360" w:lineRule="auto"/>
        <w:ind w:firstLine="440" w:firstLineChars="200"/>
        <w:rPr>
          <w:rFonts w:eastAsia="微软雅黑"/>
          <w:sz w:val="22"/>
          <w:szCs w:val="22"/>
        </w:rPr>
      </w:pPr>
      <w:bookmarkStart w:id="71" w:name="OLE_LINK56"/>
      <w:r>
        <w:rPr>
          <w:rFonts w:eastAsia="微软雅黑"/>
          <w:sz w:val="22"/>
          <w:szCs w:val="22"/>
        </w:rPr>
        <w:t xml:space="preserve">According to the simplified performance status score scale developed by the ECOG, the patients’ performance status can be classified into 6 levels, namely 0-5, as follows:  </w:t>
      </w:r>
    </w:p>
    <w:p w14:paraId="1B831AA6">
      <w:pPr>
        <w:spacing w:line="360" w:lineRule="auto"/>
        <w:ind w:firstLine="440" w:firstLineChars="200"/>
        <w:rPr>
          <w:rFonts w:eastAsia="微软雅黑"/>
          <w:sz w:val="22"/>
          <w:szCs w:val="22"/>
        </w:rPr>
      </w:pPr>
      <w:r>
        <w:rPr>
          <w:rFonts w:eastAsia="微软雅黑"/>
          <w:sz w:val="22"/>
          <w:szCs w:val="22"/>
        </w:rPr>
        <w:t xml:space="preserve">0: Fully active, able to carry on all pre-disease performance without restriction </w:t>
      </w:r>
    </w:p>
    <w:p w14:paraId="1345CBED">
      <w:pPr>
        <w:spacing w:line="360" w:lineRule="auto"/>
        <w:ind w:firstLine="440" w:firstLineChars="200"/>
        <w:rPr>
          <w:rFonts w:eastAsia="微软雅黑"/>
          <w:sz w:val="22"/>
          <w:szCs w:val="22"/>
        </w:rPr>
      </w:pPr>
      <w:r>
        <w:rPr>
          <w:rFonts w:eastAsia="微软雅黑"/>
          <w:sz w:val="22"/>
          <w:szCs w:val="22"/>
        </w:rPr>
        <w:t xml:space="preserve">1: Restricted in physically strenuous activity but ambulatory and able to carry out work of a light or sedentary nature, e.g., light housework, office work </w:t>
      </w:r>
    </w:p>
    <w:p w14:paraId="5EEB446E">
      <w:pPr>
        <w:spacing w:line="360" w:lineRule="auto"/>
        <w:ind w:firstLine="440" w:firstLineChars="200"/>
        <w:rPr>
          <w:rFonts w:eastAsia="微软雅黑"/>
          <w:sz w:val="22"/>
          <w:szCs w:val="22"/>
        </w:rPr>
      </w:pPr>
      <w:r>
        <w:rPr>
          <w:rFonts w:eastAsia="微软雅黑"/>
          <w:sz w:val="22"/>
          <w:szCs w:val="22"/>
        </w:rPr>
        <w:t xml:space="preserve">2: Ambulatory and capable of all self-care but unable to carry out any work activities. Up and about more than 50% of waking hours </w:t>
      </w:r>
    </w:p>
    <w:p w14:paraId="40B60458">
      <w:pPr>
        <w:spacing w:line="360" w:lineRule="auto"/>
        <w:ind w:firstLine="440" w:firstLineChars="200"/>
        <w:rPr>
          <w:rFonts w:eastAsia="微软雅黑"/>
          <w:sz w:val="22"/>
          <w:szCs w:val="22"/>
        </w:rPr>
      </w:pPr>
      <w:r>
        <w:rPr>
          <w:rFonts w:eastAsia="微软雅黑"/>
          <w:sz w:val="22"/>
          <w:szCs w:val="22"/>
        </w:rPr>
        <w:t xml:space="preserve">3: Capable of only limited self-care, confined to bed or chair more than 50% of waking hours </w:t>
      </w:r>
    </w:p>
    <w:p w14:paraId="2F118D18">
      <w:pPr>
        <w:spacing w:line="360" w:lineRule="auto"/>
        <w:ind w:firstLine="440" w:firstLineChars="200"/>
        <w:rPr>
          <w:rFonts w:eastAsia="微软雅黑"/>
          <w:sz w:val="22"/>
          <w:szCs w:val="22"/>
        </w:rPr>
      </w:pPr>
      <w:r>
        <w:rPr>
          <w:rFonts w:eastAsia="微软雅黑"/>
          <w:sz w:val="22"/>
          <w:szCs w:val="22"/>
        </w:rPr>
        <w:t xml:space="preserve">4: Completely disabled. Cannot carry on any self-care. In total, confined to bed or chair </w:t>
      </w:r>
    </w:p>
    <w:p w14:paraId="7C3C821F">
      <w:pPr>
        <w:spacing w:line="360" w:lineRule="auto"/>
        <w:ind w:firstLine="440" w:firstLineChars="200"/>
        <w:rPr>
          <w:rFonts w:eastAsia="微软雅黑"/>
          <w:sz w:val="22"/>
          <w:szCs w:val="22"/>
        </w:rPr>
      </w:pPr>
      <w:r>
        <w:rPr>
          <w:rFonts w:eastAsia="微软雅黑"/>
          <w:sz w:val="22"/>
          <w:szCs w:val="22"/>
        </w:rPr>
        <w:t xml:space="preserve">5: Dead </w:t>
      </w:r>
    </w:p>
    <w:p w14:paraId="454C7268">
      <w:pPr>
        <w:spacing w:line="360" w:lineRule="auto"/>
        <w:ind w:firstLine="440" w:firstLineChars="200"/>
        <w:rPr>
          <w:rFonts w:eastAsia="微软雅黑"/>
          <w:sz w:val="22"/>
          <w:szCs w:val="22"/>
        </w:rPr>
      </w:pPr>
      <w:r>
        <w:rPr>
          <w:rFonts w:eastAsia="微软雅黑"/>
          <w:sz w:val="22"/>
          <w:szCs w:val="22"/>
        </w:rPr>
        <w:t>Patients at levels 3, 4 and 5 are generally considered to be unsuitable for surgical treatment or chemotherapy.</w:t>
      </w:r>
    </w:p>
    <w:bookmarkEnd w:id="71"/>
    <w:p w14:paraId="48D926BC">
      <w:pPr>
        <w:adjustRightInd w:val="0"/>
        <w:snapToGrid w:val="0"/>
        <w:spacing w:line="360" w:lineRule="auto"/>
        <w:rPr>
          <w:rFonts w:eastAsia="微软雅黑"/>
          <w:b/>
          <w:sz w:val="22"/>
          <w:szCs w:val="22"/>
        </w:rPr>
      </w:pPr>
      <w:r>
        <w:rPr>
          <w:rFonts w:eastAsia="微软雅黑"/>
          <w:b/>
          <w:sz w:val="22"/>
          <w:szCs w:val="22"/>
        </w:rPr>
        <w:t>9.8.2 ASA classification</w:t>
      </w:r>
    </w:p>
    <w:p w14:paraId="336DF3A2">
      <w:pPr>
        <w:adjustRightInd w:val="0"/>
        <w:snapToGrid w:val="0"/>
        <w:spacing w:line="360" w:lineRule="auto"/>
        <w:ind w:firstLine="440"/>
        <w:rPr>
          <w:rFonts w:eastAsia="微软雅黑"/>
          <w:sz w:val="22"/>
          <w:szCs w:val="22"/>
        </w:rPr>
      </w:pPr>
      <w:r>
        <w:rPr>
          <w:rFonts w:eastAsia="微软雅黑"/>
          <w:sz w:val="22"/>
          <w:szCs w:val="22"/>
        </w:rPr>
        <w:t>According to the patients' physical status and surgical risk before anesthesia, the American Society of Anesthesiologists (ASA) has categorized patients into 5 levels (I-V levels):</w:t>
      </w:r>
      <w:r>
        <w:t xml:space="preserve"> </w:t>
      </w:r>
      <w:r>
        <w:rPr>
          <w:rFonts w:eastAsia="微软雅黑"/>
          <w:sz w:val="22"/>
          <w:szCs w:val="22"/>
        </w:rPr>
        <w:t></w:t>
      </w:r>
    </w:p>
    <w:p w14:paraId="5A75E491">
      <w:pPr>
        <w:adjustRightInd w:val="0"/>
        <w:snapToGrid w:val="0"/>
        <w:spacing w:line="360" w:lineRule="auto"/>
        <w:ind w:firstLine="440"/>
        <w:rPr>
          <w:rFonts w:eastAsia="微软雅黑"/>
          <w:sz w:val="22"/>
          <w:szCs w:val="22"/>
        </w:rPr>
      </w:pPr>
      <w:r>
        <w:rPr>
          <w:rFonts w:eastAsia="微软雅黑"/>
          <w:sz w:val="22"/>
          <w:szCs w:val="22"/>
        </w:rPr>
        <w:t xml:space="preserve">Class I: Well-developed patients with physical health and normal function of various organs, with a perioperative mortality rate of 0.06% -0.08%. </w:t>
      </w:r>
    </w:p>
    <w:p w14:paraId="0F5B8701">
      <w:pPr>
        <w:adjustRightInd w:val="0"/>
        <w:snapToGrid w:val="0"/>
        <w:spacing w:line="360" w:lineRule="auto"/>
        <w:ind w:firstLine="440"/>
        <w:rPr>
          <w:rFonts w:eastAsia="微软雅黑"/>
          <w:sz w:val="22"/>
          <w:szCs w:val="22"/>
        </w:rPr>
      </w:pPr>
      <w:r>
        <w:rPr>
          <w:rFonts w:eastAsia="微软雅黑"/>
          <w:sz w:val="22"/>
          <w:szCs w:val="22"/>
        </w:rPr>
        <w:t xml:space="preserve">Class II: Patients with mild complications and good functional compensation in addition to surgical diseases, with a perioperative mortality rate of 0.27% -0.40%. </w:t>
      </w:r>
    </w:p>
    <w:p w14:paraId="7CB91CB8">
      <w:pPr>
        <w:adjustRightInd w:val="0"/>
        <w:snapToGrid w:val="0"/>
        <w:spacing w:line="360" w:lineRule="auto"/>
        <w:ind w:firstLine="440"/>
        <w:rPr>
          <w:rFonts w:eastAsia="微软雅黑"/>
          <w:sz w:val="22"/>
          <w:szCs w:val="22"/>
        </w:rPr>
      </w:pPr>
      <w:r>
        <w:rPr>
          <w:rFonts w:eastAsia="微软雅黑"/>
          <w:sz w:val="22"/>
          <w:szCs w:val="22"/>
        </w:rPr>
        <w:t xml:space="preserve">Class III: Patients with severe complications and restricted physical activity but still capable of coping with day-to-day activities, with a perioperative mortality rate of 1.82% -4.30%. </w:t>
      </w:r>
    </w:p>
    <w:p w14:paraId="78AA91BE">
      <w:pPr>
        <w:adjustRightInd w:val="0"/>
        <w:snapToGrid w:val="0"/>
        <w:spacing w:line="360" w:lineRule="auto"/>
        <w:ind w:firstLine="440"/>
        <w:rPr>
          <w:rFonts w:eastAsia="微软雅黑"/>
          <w:sz w:val="22"/>
          <w:szCs w:val="22"/>
        </w:rPr>
      </w:pPr>
      <w:r>
        <w:rPr>
          <w:rFonts w:eastAsia="微软雅黑"/>
          <w:sz w:val="22"/>
          <w:szCs w:val="22"/>
        </w:rPr>
        <w:t xml:space="preserve">Class IV: Patients with serious complications who have lost the ability to perform day-to-day activities, often have life-threatening conditions, and a perioperative mortality rate of 7.80% -23.0%. </w:t>
      </w:r>
    </w:p>
    <w:p w14:paraId="055C2948">
      <w:pPr>
        <w:adjustRightInd w:val="0"/>
        <w:snapToGrid w:val="0"/>
        <w:spacing w:line="360" w:lineRule="auto"/>
        <w:ind w:firstLine="440"/>
        <w:rPr>
          <w:rFonts w:eastAsia="微软雅黑"/>
          <w:sz w:val="22"/>
          <w:szCs w:val="22"/>
        </w:rPr>
      </w:pPr>
      <w:r>
        <w:rPr>
          <w:rFonts w:eastAsia="微软雅黑"/>
          <w:sz w:val="22"/>
          <w:szCs w:val="22"/>
        </w:rPr>
        <w:t xml:space="preserve">Class V: Moribund patients either receiving surgery or not, have little chance for survival, and a perioperative mortality rate of 9.40% -50.70%. </w:t>
      </w:r>
    </w:p>
    <w:p w14:paraId="6EBA0108">
      <w:pPr>
        <w:adjustRightInd w:val="0"/>
        <w:snapToGrid w:val="0"/>
        <w:spacing w:line="360" w:lineRule="auto"/>
        <w:ind w:firstLine="440"/>
        <w:rPr>
          <w:rFonts w:eastAsia="微软雅黑"/>
          <w:sz w:val="22"/>
          <w:szCs w:val="22"/>
        </w:rPr>
      </w:pPr>
      <w:r>
        <w:rPr>
          <w:rFonts w:eastAsia="微软雅黑"/>
          <w:sz w:val="22"/>
          <w:szCs w:val="22"/>
        </w:rPr>
        <w:t>Generally, Class I/II patients are considered good for anesthesia and surgical tolerance, with a smooth anesthesia process. Class III patients are exposed to some anesthesia risks; therefore, good preparations should be fully made before anesthesia, and effective measures should be taken to prevent potential complications during anesthesia. Class IV patients are exposed to the most risks, even if good preoperative preparations are made, and have a very high perioperative mortality rate. Class V patients are moribund patients and should not undergo an elective surgery.</w:t>
      </w:r>
    </w:p>
    <w:p w14:paraId="2397703A">
      <w:pPr>
        <w:spacing w:line="360" w:lineRule="auto"/>
        <w:outlineLvl w:val="0"/>
        <w:rPr>
          <w:rFonts w:eastAsia="微软雅黑"/>
          <w:b/>
          <w:szCs w:val="21"/>
        </w:rPr>
      </w:pPr>
      <w:bookmarkStart w:id="72" w:name="_Toc10985"/>
      <w:r>
        <w:rPr>
          <w:rFonts w:eastAsia="微软雅黑"/>
          <w:b/>
          <w:sz w:val="25"/>
          <w:szCs w:val="25"/>
        </w:rPr>
        <w:t>9.8.3 Oncology-related definitions</w:t>
      </w:r>
      <w:bookmarkEnd w:id="72"/>
    </w:p>
    <w:p w14:paraId="1A9E4E99">
      <w:pPr>
        <w:spacing w:line="360" w:lineRule="auto"/>
        <w:rPr>
          <w:rFonts w:eastAsia="微软雅黑"/>
          <w:sz w:val="22"/>
          <w:szCs w:val="22"/>
        </w:rPr>
      </w:pPr>
      <w:r>
        <w:rPr>
          <w:rFonts w:eastAsia="微软雅黑"/>
          <w:sz w:val="22"/>
          <w:szCs w:val="22"/>
        </w:rPr>
        <w:t>In this study, tumor staging is based on AJCC-8; surgical treatment follows the Japanese Gastric Cancer Treatment Guidelines, Physicians Edition, 3rd Edition, 2010.10, and other writing and recording principles follow the Japanese Gastric Cancer Statute 15th.</w:t>
      </w:r>
    </w:p>
    <w:p w14:paraId="2661B2A2">
      <w:pPr>
        <w:spacing w:line="360" w:lineRule="auto"/>
        <w:outlineLvl w:val="0"/>
        <w:rPr>
          <w:rFonts w:eastAsia="微软雅黑"/>
          <w:b/>
          <w:sz w:val="22"/>
          <w:szCs w:val="22"/>
        </w:rPr>
      </w:pPr>
      <w:bookmarkStart w:id="73" w:name="_Toc25592"/>
      <w:r>
        <w:rPr>
          <w:rFonts w:eastAsia="微软雅黑"/>
          <w:b/>
          <w:sz w:val="22"/>
          <w:szCs w:val="22"/>
        </w:rPr>
        <w:t>9.8.3.1 Primary focus location</w:t>
      </w:r>
      <w:bookmarkEnd w:id="73"/>
    </w:p>
    <w:p w14:paraId="10F5A29D">
      <w:pPr>
        <w:spacing w:line="360" w:lineRule="auto"/>
        <w:rPr>
          <w:rFonts w:eastAsia="微软雅黑"/>
          <w:sz w:val="22"/>
          <w:szCs w:val="22"/>
        </w:rPr>
      </w:pPr>
      <w:r>
        <w:rPr>
          <w:rFonts w:eastAsia="微软雅黑"/>
          <w:sz w:val="22"/>
          <w:szCs w:val="22"/>
        </w:rPr>
        <w:t xml:space="preserve">The greater and lesser curvature of the stomach are divided into three equal parts, the U (upper), M (middle) and L (lower) areas, connected to the corresponding points. Esophagus and duodenum infiltration are recorded as E (esophagus), and D (duodenum), respectively. If the lesions are located in two or more adjacent areas, they should be recorded in the order of the main portions of the lesions. </w:t>
      </w:r>
    </w:p>
    <w:p w14:paraId="5815AE27">
      <w:pPr>
        <w:spacing w:line="360" w:lineRule="auto"/>
        <w:rPr>
          <w:rFonts w:eastAsia="微软雅黑"/>
          <w:szCs w:val="21"/>
        </w:rPr>
      </w:pPr>
      <w:r>
        <w:rPr>
          <w:rFonts w:eastAsia="微软雅黑"/>
          <w:szCs w:val="21"/>
        </w:rPr>
        <w:drawing>
          <wp:inline distT="0" distB="0" distL="0" distR="0">
            <wp:extent cx="5375275" cy="233616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31">
                      <a:lum bright="-20000" contrast="40000"/>
                      <a:extLst>
                        <a:ext uri="{28A0092B-C50C-407E-A947-70E740481C1C}">
                          <a14:useLocalDpi xmlns:a14="http://schemas.microsoft.com/office/drawing/2010/main" val="0"/>
                        </a:ext>
                      </a:extLst>
                    </a:blip>
                    <a:srcRect/>
                    <a:stretch>
                      <a:fillRect/>
                    </a:stretch>
                  </pic:blipFill>
                  <pic:spPr>
                    <a:xfrm>
                      <a:off x="0" y="0"/>
                      <a:ext cx="5375275" cy="2336762"/>
                    </a:xfrm>
                    <a:prstGeom prst="rect">
                      <a:avLst/>
                    </a:prstGeom>
                    <a:noFill/>
                    <a:ln>
                      <a:noFill/>
                    </a:ln>
                  </pic:spPr>
                </pic:pic>
              </a:graphicData>
            </a:graphic>
          </wp:inline>
        </w:drawing>
      </w:r>
    </w:p>
    <w:p w14:paraId="1C7C33DE">
      <w:pPr>
        <w:spacing w:line="360" w:lineRule="auto"/>
        <w:outlineLvl w:val="0"/>
        <w:rPr>
          <w:rFonts w:eastAsia="微软雅黑"/>
          <w:sz w:val="22"/>
          <w:szCs w:val="22"/>
        </w:rPr>
      </w:pPr>
      <w:bookmarkStart w:id="74" w:name="_Toc28019"/>
      <w:r>
        <w:rPr>
          <w:rFonts w:eastAsia="微软雅黑"/>
          <w:sz w:val="22"/>
          <w:szCs w:val="22"/>
        </w:rPr>
        <w:t>Fig. 3. Division of the Three Areas of the Stomach</w:t>
      </w:r>
      <w:bookmarkEnd w:id="74"/>
      <w:r>
        <w:rPr>
          <w:rFonts w:eastAsia="微软雅黑"/>
          <w:sz w:val="22"/>
          <w:szCs w:val="22"/>
        </w:rPr>
        <w:t xml:space="preserve"> </w:t>
      </w:r>
    </w:p>
    <w:p w14:paraId="532283C7">
      <w:pPr>
        <w:spacing w:line="360" w:lineRule="auto"/>
        <w:rPr>
          <w:rFonts w:eastAsia="微软雅黑"/>
          <w:b/>
          <w:sz w:val="22"/>
          <w:szCs w:val="22"/>
        </w:rPr>
      </w:pPr>
      <w:r>
        <w:rPr>
          <w:rFonts w:eastAsia="微软雅黑"/>
          <w:b/>
          <w:sz w:val="22"/>
          <w:szCs w:val="22"/>
        </w:rPr>
        <w:t>9.8.3.2 Tumor staging record</w:t>
      </w:r>
    </w:p>
    <w:p w14:paraId="03AF61EF">
      <w:pPr>
        <w:spacing w:line="360" w:lineRule="auto"/>
        <w:rPr>
          <w:rFonts w:eastAsia="微软雅黑"/>
          <w:b/>
          <w:sz w:val="22"/>
          <w:szCs w:val="22"/>
        </w:rPr>
      </w:pPr>
      <w:r>
        <w:rPr>
          <w:rFonts w:eastAsia="微软雅黑"/>
          <w:b/>
          <w:sz w:val="22"/>
          <w:szCs w:val="22"/>
        </w:rPr>
        <w:t xml:space="preserve">9.8.3.2.1 Recording principle </w:t>
      </w:r>
    </w:p>
    <w:p w14:paraId="1970F63D">
      <w:pPr>
        <w:spacing w:line="360" w:lineRule="auto"/>
        <w:rPr>
          <w:rFonts w:eastAsia="微软雅黑"/>
          <w:sz w:val="22"/>
          <w:szCs w:val="22"/>
        </w:rPr>
      </w:pPr>
      <w:r>
        <w:rPr>
          <w:rFonts w:eastAsia="微软雅黑"/>
          <w:sz w:val="22"/>
          <w:szCs w:val="22"/>
        </w:rPr>
        <w:t xml:space="preserve">The two staging records for clinical classification and pathological classification involve T (invasion depth), N (regional LN) and M (distant metastasis), which are expressed in Arabic numerals and denoted as x if indefinite. </w:t>
      </w:r>
    </w:p>
    <w:tbl>
      <w:tblPr>
        <w:tblStyle w:val="1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14:paraId="61750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522E30AD">
            <w:pPr>
              <w:spacing w:line="360" w:lineRule="auto"/>
              <w:rPr>
                <w:rFonts w:eastAsia="微软雅黑"/>
                <w:sz w:val="22"/>
              </w:rPr>
            </w:pPr>
            <w:r>
              <w:rPr>
                <w:rFonts w:eastAsia="微软雅黑"/>
                <w:sz w:val="22"/>
                <w:szCs w:val="22"/>
              </w:rPr>
              <w:t>Clinical classification</w:t>
            </w:r>
          </w:p>
        </w:tc>
        <w:tc>
          <w:tcPr>
            <w:tcW w:w="4261" w:type="dxa"/>
          </w:tcPr>
          <w:p w14:paraId="4A70EED5">
            <w:pPr>
              <w:spacing w:line="360" w:lineRule="auto"/>
              <w:rPr>
                <w:rFonts w:eastAsia="微软雅黑"/>
                <w:sz w:val="22"/>
              </w:rPr>
            </w:pPr>
            <w:r>
              <w:rPr>
                <w:rFonts w:eastAsia="微软雅黑"/>
                <w:sz w:val="22"/>
                <w:szCs w:val="22"/>
              </w:rPr>
              <w:t xml:space="preserve">Pathological classification </w:t>
            </w:r>
          </w:p>
        </w:tc>
      </w:tr>
      <w:tr w14:paraId="3D68F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78154120">
            <w:pPr>
              <w:spacing w:line="360" w:lineRule="auto"/>
              <w:jc w:val="left"/>
              <w:rPr>
                <w:rFonts w:eastAsia="微软雅黑"/>
                <w:sz w:val="22"/>
              </w:rPr>
            </w:pPr>
            <w:r>
              <w:rPr>
                <w:rFonts w:eastAsia="微软雅黑"/>
                <w:sz w:val="22"/>
                <w:szCs w:val="22"/>
              </w:rPr>
              <w:t xml:space="preserve">Physical examination X-ray, endoscopy, diagnostic imaging laparoscopy, intraoperative observations (laparotomy/laparoscopy), biopsy, cytology, biochemistry, biology examination </w:t>
            </w:r>
          </w:p>
        </w:tc>
        <w:tc>
          <w:tcPr>
            <w:tcW w:w="4261" w:type="dxa"/>
          </w:tcPr>
          <w:p w14:paraId="733CB2DD">
            <w:pPr>
              <w:spacing w:line="360" w:lineRule="auto"/>
              <w:rPr>
                <w:rFonts w:eastAsia="微软雅黑"/>
                <w:sz w:val="22"/>
              </w:rPr>
            </w:pPr>
            <w:r>
              <w:rPr>
                <w:rFonts w:eastAsia="微软雅黑"/>
                <w:sz w:val="22"/>
                <w:szCs w:val="22"/>
              </w:rPr>
              <w:t xml:space="preserve">Pathological diagnosis of the </w:t>
            </w:r>
          </w:p>
          <w:p w14:paraId="6548FCD9">
            <w:pPr>
              <w:spacing w:line="360" w:lineRule="auto"/>
              <w:rPr>
                <w:rFonts w:eastAsia="微软雅黑"/>
                <w:sz w:val="22"/>
              </w:rPr>
            </w:pPr>
            <w:r>
              <w:rPr>
                <w:rFonts w:eastAsia="微软雅黑"/>
                <w:sz w:val="22"/>
                <w:szCs w:val="22"/>
              </w:rPr>
              <w:t xml:space="preserve">endoscopic/surgical specimens </w:t>
            </w:r>
          </w:p>
          <w:p w14:paraId="2999634C">
            <w:pPr>
              <w:spacing w:line="360" w:lineRule="auto"/>
              <w:rPr>
                <w:rFonts w:eastAsia="微软雅黑"/>
                <w:sz w:val="22"/>
              </w:rPr>
            </w:pPr>
            <w:r>
              <w:rPr>
                <w:rFonts w:eastAsia="微软雅黑"/>
                <w:sz w:val="22"/>
                <w:szCs w:val="22"/>
              </w:rPr>
              <w:t xml:space="preserve">Intraperitoneal exfoliative cytology </w:t>
            </w:r>
          </w:p>
        </w:tc>
      </w:tr>
    </w:tbl>
    <w:p w14:paraId="12DEFE01">
      <w:pPr>
        <w:spacing w:line="360" w:lineRule="auto"/>
        <w:rPr>
          <w:rFonts w:eastAsia="微软雅黑"/>
          <w:b/>
          <w:sz w:val="22"/>
          <w:szCs w:val="22"/>
        </w:rPr>
      </w:pPr>
      <w:r>
        <w:rPr>
          <w:rFonts w:eastAsia="微软雅黑"/>
          <w:b/>
          <w:sz w:val="22"/>
          <w:szCs w:val="22"/>
        </w:rPr>
        <w:t xml:space="preserve">9.8.3.2.2 Records of tumor invasion depth </w:t>
      </w:r>
    </w:p>
    <w:p w14:paraId="678F1DCA">
      <w:pPr>
        <w:spacing w:line="360" w:lineRule="auto"/>
        <w:rPr>
          <w:rFonts w:eastAsia="微软雅黑"/>
          <w:sz w:val="22"/>
          <w:szCs w:val="22"/>
        </w:rPr>
      </w:pPr>
      <w:r>
        <w:rPr>
          <w:rFonts w:eastAsia="微软雅黑"/>
          <w:sz w:val="22"/>
          <w:szCs w:val="22"/>
        </w:rPr>
        <w:t>Tumor invasion depth is defined as follows:</w:t>
      </w:r>
    </w:p>
    <w:p w14:paraId="088D5F47">
      <w:pPr>
        <w:numPr>
          <w:ilvl w:val="255"/>
          <w:numId w:val="0"/>
        </w:numPr>
        <w:spacing w:line="360" w:lineRule="auto"/>
        <w:outlineLvl w:val="0"/>
        <w:rPr>
          <w:rFonts w:eastAsia="微软雅黑"/>
          <w:sz w:val="22"/>
          <w:szCs w:val="22"/>
        </w:rPr>
      </w:pPr>
      <w:bookmarkStart w:id="75" w:name="_Toc15229"/>
      <w:r>
        <w:rPr>
          <w:rFonts w:eastAsia="Wingdings 2"/>
          <w:sz w:val="24"/>
        </w:rPr>
        <w:t></w:t>
      </w:r>
      <w:r>
        <w:rPr>
          <w:rFonts w:eastAsia="微软雅黑"/>
          <w:sz w:val="22"/>
          <w:szCs w:val="22"/>
        </w:rPr>
        <w:t>TX: Unknown cancer invasion depth</w:t>
      </w:r>
      <w:bookmarkEnd w:id="75"/>
      <w:r>
        <w:rPr>
          <w:rFonts w:eastAsia="微软雅黑"/>
          <w:sz w:val="22"/>
          <w:szCs w:val="22"/>
        </w:rPr>
        <w:t xml:space="preserve"> </w:t>
      </w:r>
    </w:p>
    <w:p w14:paraId="55B71323">
      <w:pPr>
        <w:numPr>
          <w:ilvl w:val="255"/>
          <w:numId w:val="0"/>
        </w:numPr>
        <w:spacing w:line="360" w:lineRule="auto"/>
        <w:rPr>
          <w:rFonts w:eastAsia="微软雅黑"/>
          <w:sz w:val="22"/>
          <w:szCs w:val="22"/>
        </w:rPr>
      </w:pPr>
      <w:r>
        <w:rPr>
          <w:rFonts w:eastAsia="Wingdings 2"/>
          <w:sz w:val="24"/>
        </w:rPr>
        <w:t></w:t>
      </w:r>
      <w:r>
        <w:rPr>
          <w:rFonts w:eastAsia="微软雅黑"/>
          <w:sz w:val="22"/>
          <w:szCs w:val="22"/>
        </w:rPr>
        <w:t xml:space="preserve">T0: No cancer found </w:t>
      </w:r>
    </w:p>
    <w:p w14:paraId="552EF3BB">
      <w:pPr>
        <w:numPr>
          <w:ilvl w:val="255"/>
          <w:numId w:val="0"/>
        </w:numPr>
        <w:spacing w:line="360" w:lineRule="auto"/>
        <w:rPr>
          <w:rFonts w:eastAsia="微软雅黑"/>
          <w:sz w:val="22"/>
          <w:szCs w:val="22"/>
        </w:rPr>
      </w:pPr>
      <w:r>
        <w:rPr>
          <w:rFonts w:eastAsia="Wingdings 2"/>
          <w:sz w:val="24"/>
        </w:rPr>
        <w:t></w:t>
      </w:r>
      <w:r>
        <w:rPr>
          <w:rFonts w:eastAsia="微软雅黑"/>
          <w:sz w:val="22"/>
          <w:szCs w:val="22"/>
        </w:rPr>
        <w:t xml:space="preserve">T1: Cancer invasion is only confined to the mucosa (M) or the submucosal tissue (SM) </w:t>
      </w:r>
    </w:p>
    <w:p w14:paraId="79D1F0EE">
      <w:pPr>
        <w:pStyle w:val="25"/>
        <w:numPr>
          <w:ilvl w:val="0"/>
          <w:numId w:val="14"/>
        </w:numPr>
        <w:spacing w:line="360" w:lineRule="auto"/>
        <w:ind w:firstLineChars="0"/>
        <w:rPr>
          <w:rFonts w:eastAsia="微软雅黑"/>
          <w:sz w:val="22"/>
          <w:szCs w:val="22"/>
        </w:rPr>
      </w:pPr>
      <w:r>
        <w:rPr>
          <w:rFonts w:eastAsia="微软雅黑"/>
          <w:sz w:val="22"/>
          <w:szCs w:val="22"/>
        </w:rPr>
        <w:t xml:space="preserve">T1a: Cancer invasion is only confined to the mucosa (M) </w:t>
      </w:r>
    </w:p>
    <w:p w14:paraId="2322D20E">
      <w:pPr>
        <w:pStyle w:val="25"/>
        <w:numPr>
          <w:ilvl w:val="0"/>
          <w:numId w:val="14"/>
        </w:numPr>
        <w:spacing w:line="360" w:lineRule="auto"/>
        <w:ind w:firstLineChars="0"/>
        <w:rPr>
          <w:rFonts w:eastAsia="微软雅黑"/>
          <w:sz w:val="22"/>
          <w:szCs w:val="22"/>
        </w:rPr>
      </w:pPr>
      <w:r>
        <w:rPr>
          <w:rFonts w:eastAsia="微软雅黑"/>
          <w:sz w:val="22"/>
          <w:szCs w:val="22"/>
        </w:rPr>
        <w:t xml:space="preserve">T1b: Cancer invasion is confined to the submucosal tissue (SM) </w:t>
      </w:r>
    </w:p>
    <w:p w14:paraId="0E63BE7F">
      <w:pPr>
        <w:numPr>
          <w:ilvl w:val="255"/>
          <w:numId w:val="0"/>
        </w:numPr>
        <w:spacing w:line="360" w:lineRule="auto"/>
        <w:rPr>
          <w:rFonts w:eastAsia="微软雅黑"/>
          <w:sz w:val="22"/>
          <w:szCs w:val="22"/>
        </w:rPr>
      </w:pPr>
      <w:r>
        <w:rPr>
          <w:rFonts w:eastAsia="Wingdings 2"/>
          <w:sz w:val="24"/>
        </w:rPr>
        <w:t></w:t>
      </w:r>
      <w:r>
        <w:rPr>
          <w:rFonts w:eastAsia="微软雅黑"/>
          <w:sz w:val="22"/>
          <w:szCs w:val="22"/>
        </w:rPr>
        <w:t xml:space="preserve">T2: Cancer invasion exceeds the submucosal tissue but is only confined to the inherent muscular layer (MP) </w:t>
      </w:r>
    </w:p>
    <w:p w14:paraId="2B14181B">
      <w:pPr>
        <w:numPr>
          <w:ilvl w:val="255"/>
          <w:numId w:val="0"/>
        </w:numPr>
        <w:spacing w:line="360" w:lineRule="auto"/>
        <w:rPr>
          <w:rFonts w:eastAsia="微软雅黑"/>
          <w:sz w:val="22"/>
          <w:szCs w:val="22"/>
        </w:rPr>
      </w:pPr>
      <w:r>
        <w:rPr>
          <w:rFonts w:eastAsia="Wingdings 2"/>
          <w:sz w:val="24"/>
        </w:rPr>
        <w:t></w:t>
      </w:r>
      <w:r>
        <w:rPr>
          <w:rFonts w:eastAsia="微软雅黑"/>
          <w:sz w:val="22"/>
          <w:szCs w:val="22"/>
        </w:rPr>
        <w:t xml:space="preserve">T3: Cancer invasion exceeds the inherent muscular layer (MP) but is only confined to the subserosal tissue (SS) </w:t>
      </w:r>
    </w:p>
    <w:p w14:paraId="714CD038">
      <w:pPr>
        <w:numPr>
          <w:ilvl w:val="255"/>
          <w:numId w:val="0"/>
        </w:numPr>
        <w:spacing w:line="360" w:lineRule="auto"/>
        <w:rPr>
          <w:rFonts w:eastAsia="微软雅黑"/>
          <w:sz w:val="22"/>
          <w:szCs w:val="22"/>
        </w:rPr>
      </w:pPr>
      <w:r>
        <w:rPr>
          <w:rFonts w:eastAsia="Wingdings 2"/>
          <w:sz w:val="24"/>
        </w:rPr>
        <w:t></w:t>
      </w:r>
      <w:r>
        <w:rPr>
          <w:rFonts w:eastAsia="微软雅黑"/>
          <w:sz w:val="22"/>
          <w:szCs w:val="22"/>
        </w:rPr>
        <w:t xml:space="preserve">T4: Cancer invasion involves the serosa (SE) or direct invasion of adjacent structures (SI) </w:t>
      </w:r>
    </w:p>
    <w:p w14:paraId="2CD6A81C">
      <w:pPr>
        <w:pStyle w:val="25"/>
        <w:numPr>
          <w:ilvl w:val="0"/>
          <w:numId w:val="15"/>
        </w:numPr>
        <w:spacing w:line="360" w:lineRule="auto"/>
        <w:ind w:firstLineChars="0"/>
        <w:rPr>
          <w:rFonts w:eastAsia="微软雅黑"/>
          <w:sz w:val="22"/>
          <w:szCs w:val="22"/>
        </w:rPr>
      </w:pPr>
      <w:r>
        <w:rPr>
          <w:rFonts w:eastAsia="微软雅黑"/>
          <w:sz w:val="22"/>
          <w:szCs w:val="22"/>
        </w:rPr>
        <w:t xml:space="preserve">T4a: Cancer invasion involves only the serosa (SE) </w:t>
      </w:r>
    </w:p>
    <w:p w14:paraId="69623725">
      <w:pPr>
        <w:pStyle w:val="25"/>
        <w:numPr>
          <w:ilvl w:val="0"/>
          <w:numId w:val="15"/>
        </w:numPr>
        <w:spacing w:line="360" w:lineRule="auto"/>
        <w:ind w:firstLineChars="0"/>
        <w:rPr>
          <w:rFonts w:eastAsia="微软雅黑"/>
          <w:sz w:val="22"/>
          <w:szCs w:val="22"/>
        </w:rPr>
      </w:pPr>
      <w:r>
        <w:rPr>
          <w:rFonts w:eastAsia="微软雅黑"/>
          <w:sz w:val="22"/>
          <w:szCs w:val="22"/>
        </w:rPr>
        <w:t>T4b: Cancer directly invades the adjacent structures (SI)</w:t>
      </w:r>
    </w:p>
    <w:p w14:paraId="145B5E2E">
      <w:pPr>
        <w:spacing w:line="360" w:lineRule="auto"/>
        <w:outlineLvl w:val="0"/>
        <w:rPr>
          <w:rFonts w:eastAsia="微软雅黑"/>
          <w:b/>
          <w:sz w:val="22"/>
          <w:szCs w:val="22"/>
        </w:rPr>
      </w:pPr>
      <w:bookmarkStart w:id="76" w:name="_Toc14497"/>
      <w:r>
        <w:rPr>
          <w:rFonts w:eastAsia="微软雅黑"/>
          <w:b/>
          <w:sz w:val="22"/>
          <w:szCs w:val="22"/>
        </w:rPr>
        <w:t>9.8.3.2.3 Records of tumor metastasis</w:t>
      </w:r>
      <w:bookmarkEnd w:id="76"/>
    </w:p>
    <w:p w14:paraId="61DDF30C">
      <w:pPr>
        <w:spacing w:line="360" w:lineRule="auto"/>
        <w:rPr>
          <w:rFonts w:eastAsia="微软雅黑"/>
          <w:sz w:val="22"/>
          <w:szCs w:val="22"/>
        </w:rPr>
      </w:pPr>
      <w:r>
        <w:rPr>
          <w:rFonts w:eastAsia="微软雅黑"/>
          <w:sz w:val="22"/>
          <w:szCs w:val="22"/>
        </w:rPr>
        <w:t xml:space="preserve">(1) Lymph node metastasis: </w:t>
      </w:r>
    </w:p>
    <w:p w14:paraId="5240BF42">
      <w:pPr>
        <w:spacing w:line="360" w:lineRule="auto"/>
        <w:outlineLvl w:val="0"/>
        <w:rPr>
          <w:rFonts w:eastAsia="微软雅黑"/>
          <w:sz w:val="22"/>
          <w:szCs w:val="22"/>
        </w:rPr>
      </w:pPr>
      <w:bookmarkStart w:id="77" w:name="_Toc22366"/>
      <w:r>
        <w:rPr>
          <w:rFonts w:eastAsia="Wingdings 2"/>
          <w:sz w:val="24"/>
        </w:rPr>
        <w:t></w:t>
      </w:r>
      <w:r>
        <w:rPr>
          <w:rFonts w:eastAsia="微软雅黑"/>
          <w:sz w:val="22"/>
          <w:szCs w:val="22"/>
        </w:rPr>
        <w:t>NX: Number of LN metastases is unknown</w:t>
      </w:r>
      <w:bookmarkEnd w:id="77"/>
      <w:r>
        <w:rPr>
          <w:rFonts w:eastAsia="微软雅黑"/>
          <w:sz w:val="22"/>
          <w:szCs w:val="22"/>
        </w:rPr>
        <w:t xml:space="preserve"> </w:t>
      </w:r>
    </w:p>
    <w:p w14:paraId="6D42179F">
      <w:pPr>
        <w:spacing w:line="360" w:lineRule="auto"/>
        <w:rPr>
          <w:rFonts w:eastAsia="微软雅黑"/>
          <w:sz w:val="22"/>
          <w:szCs w:val="22"/>
        </w:rPr>
      </w:pPr>
      <w:r>
        <w:rPr>
          <w:rFonts w:eastAsia="Wingdings 2"/>
          <w:sz w:val="24"/>
        </w:rPr>
        <w:t></w:t>
      </w:r>
      <w:r>
        <w:rPr>
          <w:rFonts w:eastAsia="微软雅黑"/>
          <w:sz w:val="22"/>
          <w:szCs w:val="22"/>
        </w:rPr>
        <w:t xml:space="preserve">N0: No LN metastasis </w:t>
      </w:r>
    </w:p>
    <w:p w14:paraId="3AC02437">
      <w:pPr>
        <w:spacing w:line="360" w:lineRule="auto"/>
        <w:rPr>
          <w:rFonts w:eastAsia="微软雅黑"/>
          <w:sz w:val="22"/>
          <w:szCs w:val="22"/>
        </w:rPr>
      </w:pPr>
      <w:r>
        <w:rPr>
          <w:rFonts w:eastAsia="Wingdings 2"/>
          <w:sz w:val="24"/>
        </w:rPr>
        <w:t></w:t>
      </w:r>
      <w:r>
        <w:rPr>
          <w:rFonts w:eastAsia="微软雅黑"/>
          <w:sz w:val="22"/>
          <w:szCs w:val="22"/>
        </w:rPr>
        <w:t xml:space="preserve">N1: Lymph node metastasis of 1-2 areas </w:t>
      </w:r>
    </w:p>
    <w:p w14:paraId="03499340">
      <w:pPr>
        <w:spacing w:line="360" w:lineRule="auto"/>
        <w:rPr>
          <w:rFonts w:eastAsia="微软雅黑"/>
          <w:sz w:val="22"/>
          <w:szCs w:val="22"/>
        </w:rPr>
      </w:pPr>
      <w:r>
        <w:rPr>
          <w:rFonts w:eastAsia="Wingdings 2"/>
          <w:sz w:val="24"/>
        </w:rPr>
        <w:t></w:t>
      </w:r>
      <w:r>
        <w:rPr>
          <w:rFonts w:eastAsia="微软雅黑"/>
          <w:sz w:val="22"/>
          <w:szCs w:val="22"/>
        </w:rPr>
        <w:t xml:space="preserve">N2: Lymph node metastasis of 3-6 areas </w:t>
      </w:r>
    </w:p>
    <w:p w14:paraId="3424BE36">
      <w:pPr>
        <w:spacing w:line="360" w:lineRule="auto"/>
        <w:rPr>
          <w:rFonts w:eastAsia="微软雅黑"/>
          <w:sz w:val="22"/>
          <w:szCs w:val="22"/>
        </w:rPr>
      </w:pPr>
      <w:r>
        <w:rPr>
          <w:rFonts w:eastAsia="Wingdings 2"/>
          <w:sz w:val="24"/>
        </w:rPr>
        <w:t></w:t>
      </w:r>
      <w:r>
        <w:rPr>
          <w:rFonts w:eastAsia="微软雅黑"/>
          <w:sz w:val="22"/>
          <w:szCs w:val="22"/>
        </w:rPr>
        <w:t xml:space="preserve">N3: Lymph node metastasis of 7 and more areas </w:t>
      </w:r>
    </w:p>
    <w:p w14:paraId="6F4AD61C">
      <w:pPr>
        <w:pStyle w:val="25"/>
        <w:numPr>
          <w:ilvl w:val="0"/>
          <w:numId w:val="16"/>
        </w:numPr>
        <w:spacing w:line="360" w:lineRule="auto"/>
        <w:ind w:firstLineChars="0"/>
        <w:outlineLvl w:val="0"/>
        <w:rPr>
          <w:rFonts w:eastAsia="微软雅黑"/>
          <w:sz w:val="22"/>
          <w:szCs w:val="22"/>
        </w:rPr>
      </w:pPr>
      <w:bookmarkStart w:id="78" w:name="_Toc5338"/>
      <w:r>
        <w:rPr>
          <w:rFonts w:eastAsia="微软雅黑"/>
          <w:sz w:val="22"/>
          <w:szCs w:val="22"/>
        </w:rPr>
        <w:t>N3a: Lymph node metastasis of 7-15 areas</w:t>
      </w:r>
      <w:bookmarkEnd w:id="78"/>
      <w:r>
        <w:rPr>
          <w:rFonts w:eastAsia="微软雅黑"/>
          <w:sz w:val="22"/>
          <w:szCs w:val="22"/>
        </w:rPr>
        <w:t xml:space="preserve"> </w:t>
      </w:r>
    </w:p>
    <w:p w14:paraId="74FA84D1">
      <w:pPr>
        <w:pStyle w:val="25"/>
        <w:numPr>
          <w:ilvl w:val="0"/>
          <w:numId w:val="16"/>
        </w:numPr>
        <w:spacing w:line="360" w:lineRule="auto"/>
        <w:ind w:firstLineChars="0"/>
        <w:rPr>
          <w:rFonts w:eastAsia="微软雅黑"/>
          <w:sz w:val="22"/>
          <w:szCs w:val="22"/>
        </w:rPr>
      </w:pPr>
      <w:r>
        <w:rPr>
          <w:rFonts w:eastAsia="微软雅黑"/>
          <w:sz w:val="22"/>
          <w:szCs w:val="22"/>
        </w:rPr>
        <w:t xml:space="preserve">N3b: Lymph node metastasis of 16 and more areas </w:t>
      </w:r>
    </w:p>
    <w:p w14:paraId="77731BB4">
      <w:pPr>
        <w:spacing w:line="360" w:lineRule="auto"/>
        <w:rPr>
          <w:rFonts w:eastAsia="微软雅黑"/>
          <w:sz w:val="22"/>
          <w:szCs w:val="22"/>
        </w:rPr>
      </w:pPr>
      <w:r>
        <w:rPr>
          <w:rFonts w:eastAsia="微软雅黑"/>
          <w:sz w:val="22"/>
          <w:szCs w:val="22"/>
        </w:rPr>
        <w:t>Lymph node numbers are defined as follows:</w:t>
      </w:r>
    </w:p>
    <w:tbl>
      <w:tblPr>
        <w:tblStyle w:val="13"/>
        <w:tblW w:w="86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4"/>
        <w:gridCol w:w="1653"/>
        <w:gridCol w:w="6284"/>
      </w:tblGrid>
      <w:tr w14:paraId="01F9A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trPr>
        <w:tc>
          <w:tcPr>
            <w:tcW w:w="744" w:type="dxa"/>
          </w:tcPr>
          <w:p w14:paraId="4EB7F4DA">
            <w:pPr>
              <w:spacing w:line="360" w:lineRule="auto"/>
              <w:rPr>
                <w:rFonts w:eastAsia="微软雅黑"/>
                <w:sz w:val="22"/>
              </w:rPr>
            </w:pPr>
            <w:r>
              <w:rPr>
                <w:rFonts w:eastAsia="微软雅黑"/>
                <w:sz w:val="22"/>
                <w:szCs w:val="22"/>
              </w:rPr>
              <w:t xml:space="preserve">No. </w:t>
            </w:r>
          </w:p>
        </w:tc>
        <w:tc>
          <w:tcPr>
            <w:tcW w:w="1653" w:type="dxa"/>
          </w:tcPr>
          <w:p w14:paraId="2D98C7C1">
            <w:pPr>
              <w:spacing w:line="360" w:lineRule="auto"/>
              <w:rPr>
                <w:rFonts w:eastAsia="微软雅黑"/>
                <w:sz w:val="22"/>
              </w:rPr>
            </w:pPr>
            <w:r>
              <w:rPr>
                <w:rFonts w:eastAsia="微软雅黑"/>
                <w:sz w:val="22"/>
                <w:szCs w:val="22"/>
              </w:rPr>
              <w:t xml:space="preserve">Name  </w:t>
            </w:r>
          </w:p>
        </w:tc>
        <w:tc>
          <w:tcPr>
            <w:tcW w:w="6284" w:type="dxa"/>
          </w:tcPr>
          <w:p w14:paraId="4938C7B7">
            <w:pPr>
              <w:spacing w:line="360" w:lineRule="auto"/>
              <w:rPr>
                <w:rFonts w:eastAsia="微软雅黑"/>
                <w:sz w:val="22"/>
              </w:rPr>
            </w:pPr>
            <w:r>
              <w:rPr>
                <w:rFonts w:eastAsia="微软雅黑"/>
                <w:sz w:val="22"/>
                <w:szCs w:val="22"/>
              </w:rPr>
              <w:t xml:space="preserve">Definition </w:t>
            </w:r>
          </w:p>
        </w:tc>
      </w:tr>
      <w:tr w14:paraId="41633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744" w:type="dxa"/>
          </w:tcPr>
          <w:p w14:paraId="776AEABD">
            <w:pPr>
              <w:spacing w:line="360" w:lineRule="auto"/>
              <w:rPr>
                <w:rFonts w:eastAsia="微软雅黑"/>
                <w:sz w:val="22"/>
              </w:rPr>
            </w:pPr>
            <w:r>
              <w:rPr>
                <w:rFonts w:eastAsia="微软雅黑"/>
                <w:sz w:val="22"/>
                <w:szCs w:val="22"/>
              </w:rPr>
              <w:t xml:space="preserve">1 </w:t>
            </w:r>
          </w:p>
        </w:tc>
        <w:tc>
          <w:tcPr>
            <w:tcW w:w="1653" w:type="dxa"/>
          </w:tcPr>
          <w:p w14:paraId="4B84B1C7">
            <w:pPr>
              <w:rPr>
                <w:rFonts w:eastAsia="微软雅黑"/>
                <w:sz w:val="22"/>
              </w:rPr>
            </w:pPr>
            <w:r>
              <w:rPr>
                <w:rFonts w:eastAsia="微软雅黑"/>
                <w:sz w:val="22"/>
                <w:szCs w:val="22"/>
              </w:rPr>
              <w:t xml:space="preserve">Cardia right </w:t>
            </w:r>
          </w:p>
        </w:tc>
        <w:tc>
          <w:tcPr>
            <w:tcW w:w="6284" w:type="dxa"/>
          </w:tcPr>
          <w:p w14:paraId="5AFB5797">
            <w:pPr>
              <w:rPr>
                <w:rFonts w:eastAsia="微软雅黑"/>
                <w:sz w:val="22"/>
              </w:rPr>
            </w:pPr>
            <w:r>
              <w:rPr>
                <w:rFonts w:eastAsia="微软雅黑"/>
                <w:sz w:val="22"/>
                <w:szCs w:val="22"/>
              </w:rPr>
              <w:t xml:space="preserve">Lymph nodes around the gastric wall first branch (cardia branch) of ascending branches of the left gastric artery and those at the cardia sides </w:t>
            </w:r>
          </w:p>
        </w:tc>
      </w:tr>
      <w:tr w14:paraId="6171F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744" w:type="dxa"/>
          </w:tcPr>
          <w:p w14:paraId="1962A306">
            <w:pPr>
              <w:spacing w:line="360" w:lineRule="auto"/>
              <w:rPr>
                <w:rFonts w:eastAsia="微软雅黑"/>
                <w:sz w:val="22"/>
              </w:rPr>
            </w:pPr>
            <w:r>
              <w:rPr>
                <w:rFonts w:eastAsia="微软雅黑"/>
                <w:sz w:val="22"/>
                <w:szCs w:val="22"/>
              </w:rPr>
              <w:t xml:space="preserve">2 </w:t>
            </w:r>
          </w:p>
        </w:tc>
        <w:tc>
          <w:tcPr>
            <w:tcW w:w="1653" w:type="dxa"/>
          </w:tcPr>
          <w:p w14:paraId="474BDAA4">
            <w:pPr>
              <w:rPr>
                <w:rFonts w:eastAsia="微软雅黑"/>
                <w:sz w:val="22"/>
              </w:rPr>
            </w:pPr>
            <w:r>
              <w:rPr>
                <w:rFonts w:eastAsia="微软雅黑"/>
                <w:sz w:val="22"/>
                <w:szCs w:val="22"/>
              </w:rPr>
              <w:t xml:space="preserve">Cardia left </w:t>
            </w:r>
          </w:p>
        </w:tc>
        <w:tc>
          <w:tcPr>
            <w:tcW w:w="6284" w:type="dxa"/>
          </w:tcPr>
          <w:p w14:paraId="5BCB175E">
            <w:pPr>
              <w:rPr>
                <w:rFonts w:eastAsia="微软雅黑"/>
                <w:sz w:val="22"/>
              </w:rPr>
            </w:pPr>
            <w:r>
              <w:rPr>
                <w:rFonts w:eastAsia="微软雅黑"/>
                <w:sz w:val="22"/>
                <w:szCs w:val="22"/>
              </w:rPr>
              <w:t>Lymph nodes at the left side of the cardia and those along the cardia branch of the lower left diaphragmatic artery esophagus</w:t>
            </w:r>
          </w:p>
        </w:tc>
      </w:tr>
      <w:tr w14:paraId="008D5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trPr>
        <w:tc>
          <w:tcPr>
            <w:tcW w:w="744" w:type="dxa"/>
          </w:tcPr>
          <w:p w14:paraId="50312436">
            <w:pPr>
              <w:spacing w:line="360" w:lineRule="auto"/>
              <w:rPr>
                <w:rFonts w:eastAsia="微软雅黑"/>
                <w:sz w:val="22"/>
              </w:rPr>
            </w:pPr>
            <w:r>
              <w:rPr>
                <w:rFonts w:eastAsia="微软雅黑"/>
                <w:sz w:val="22"/>
                <w:szCs w:val="22"/>
              </w:rPr>
              <w:t xml:space="preserve">3a </w:t>
            </w:r>
          </w:p>
        </w:tc>
        <w:tc>
          <w:tcPr>
            <w:tcW w:w="1653" w:type="dxa"/>
          </w:tcPr>
          <w:p w14:paraId="15A39F36">
            <w:pPr>
              <w:rPr>
                <w:rFonts w:eastAsia="微软雅黑"/>
                <w:sz w:val="22"/>
              </w:rPr>
            </w:pPr>
            <w:r>
              <w:rPr>
                <w:rFonts w:eastAsia="微软雅黑"/>
                <w:sz w:val="22"/>
                <w:szCs w:val="22"/>
              </w:rPr>
              <w:t xml:space="preserve">Lesser gastric curvature (along the left gastric artery) </w:t>
            </w:r>
          </w:p>
        </w:tc>
        <w:tc>
          <w:tcPr>
            <w:tcW w:w="6284" w:type="dxa"/>
          </w:tcPr>
          <w:p w14:paraId="02F3618E">
            <w:pPr>
              <w:rPr>
                <w:rFonts w:eastAsia="微软雅黑"/>
                <w:sz w:val="22"/>
              </w:rPr>
            </w:pPr>
            <w:r>
              <w:rPr>
                <w:rFonts w:eastAsia="微软雅黑"/>
                <w:sz w:val="22"/>
                <w:szCs w:val="22"/>
              </w:rPr>
              <w:t xml:space="preserve">Lymph nodes at the lesser curvature side along the left gastric artery branch, below the cardia branch </w:t>
            </w:r>
          </w:p>
        </w:tc>
      </w:tr>
      <w:tr w14:paraId="3F835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744" w:type="dxa"/>
          </w:tcPr>
          <w:p w14:paraId="6DBE31D6">
            <w:pPr>
              <w:spacing w:line="360" w:lineRule="auto"/>
              <w:rPr>
                <w:rFonts w:eastAsia="微软雅黑"/>
                <w:sz w:val="22"/>
              </w:rPr>
            </w:pPr>
            <w:r>
              <w:rPr>
                <w:rFonts w:eastAsia="微软雅黑"/>
                <w:sz w:val="22"/>
                <w:szCs w:val="22"/>
              </w:rPr>
              <w:t xml:space="preserve">3b </w:t>
            </w:r>
          </w:p>
        </w:tc>
        <w:tc>
          <w:tcPr>
            <w:tcW w:w="1653" w:type="dxa"/>
          </w:tcPr>
          <w:p w14:paraId="4F9A7420">
            <w:pPr>
              <w:rPr>
                <w:rFonts w:eastAsia="微软雅黑"/>
                <w:sz w:val="22"/>
              </w:rPr>
            </w:pPr>
            <w:r>
              <w:rPr>
                <w:rFonts w:eastAsia="微软雅黑"/>
                <w:sz w:val="22"/>
                <w:szCs w:val="22"/>
              </w:rPr>
              <w:t>Lesser gastric curvature (along the</w:t>
            </w:r>
            <w:r>
              <w:rPr>
                <w:rFonts w:eastAsia="微软雅黑"/>
                <w:sz w:val="22"/>
              </w:rPr>
              <w:t xml:space="preserve"> </w:t>
            </w:r>
            <w:r>
              <w:rPr>
                <w:rFonts w:eastAsia="微软雅黑"/>
                <w:sz w:val="22"/>
                <w:szCs w:val="22"/>
              </w:rPr>
              <w:t xml:space="preserve">right gastric artery) </w:t>
            </w:r>
          </w:p>
        </w:tc>
        <w:tc>
          <w:tcPr>
            <w:tcW w:w="6284" w:type="dxa"/>
          </w:tcPr>
          <w:p w14:paraId="3337F43A">
            <w:pPr>
              <w:rPr>
                <w:rFonts w:eastAsia="微软雅黑"/>
                <w:sz w:val="22"/>
              </w:rPr>
            </w:pPr>
            <w:r>
              <w:rPr>
                <w:rFonts w:eastAsia="微软雅黑"/>
                <w:sz w:val="22"/>
                <w:szCs w:val="22"/>
              </w:rPr>
              <w:t>Lymph nodes at the lesser curvature side along the right gastric artery branch, partial left side of the 1st branch in the lesser curvature direction</w:t>
            </w:r>
          </w:p>
        </w:tc>
      </w:tr>
      <w:tr w14:paraId="2BBCD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744" w:type="dxa"/>
          </w:tcPr>
          <w:p w14:paraId="2D41A1DB">
            <w:pPr>
              <w:spacing w:line="360" w:lineRule="auto"/>
              <w:rPr>
                <w:rFonts w:eastAsia="微软雅黑"/>
                <w:sz w:val="22"/>
              </w:rPr>
            </w:pPr>
            <w:r>
              <w:rPr>
                <w:rFonts w:eastAsia="微软雅黑"/>
                <w:sz w:val="22"/>
                <w:szCs w:val="22"/>
              </w:rPr>
              <w:t xml:space="preserve">4sa </w:t>
            </w:r>
          </w:p>
        </w:tc>
        <w:tc>
          <w:tcPr>
            <w:tcW w:w="1653" w:type="dxa"/>
          </w:tcPr>
          <w:p w14:paraId="4CEDC833">
            <w:pPr>
              <w:rPr>
                <w:rFonts w:eastAsia="微软雅黑"/>
                <w:sz w:val="22"/>
              </w:rPr>
            </w:pPr>
            <w:r>
              <w:rPr>
                <w:rFonts w:eastAsia="微软雅黑"/>
                <w:sz w:val="22"/>
                <w:szCs w:val="22"/>
              </w:rPr>
              <w:t>Left side of the greater gastric curvature</w:t>
            </w:r>
            <w:r>
              <w:rPr>
                <w:rFonts w:eastAsia="微软雅黑"/>
                <w:sz w:val="22"/>
              </w:rPr>
              <w:t xml:space="preserve"> </w:t>
            </w:r>
            <w:r>
              <w:rPr>
                <w:rFonts w:eastAsia="微软雅黑"/>
                <w:sz w:val="22"/>
                <w:szCs w:val="22"/>
              </w:rPr>
              <w:t xml:space="preserve">(short gastric artery) </w:t>
            </w:r>
          </w:p>
        </w:tc>
        <w:tc>
          <w:tcPr>
            <w:tcW w:w="6284" w:type="dxa"/>
          </w:tcPr>
          <w:p w14:paraId="1C5EF796">
            <w:pPr>
              <w:rPr>
                <w:rFonts w:eastAsia="微软雅黑"/>
                <w:sz w:val="22"/>
              </w:rPr>
            </w:pPr>
            <w:r>
              <w:rPr>
                <w:rFonts w:eastAsia="微软雅黑"/>
                <w:sz w:val="22"/>
                <w:szCs w:val="22"/>
              </w:rPr>
              <w:t xml:space="preserve">Lymph nodes along the short gastric artery (excluding the root) </w:t>
            </w:r>
          </w:p>
        </w:tc>
      </w:tr>
      <w:tr w14:paraId="0CE2E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744" w:type="dxa"/>
          </w:tcPr>
          <w:p w14:paraId="7B296FEA">
            <w:pPr>
              <w:spacing w:line="360" w:lineRule="auto"/>
              <w:rPr>
                <w:rFonts w:eastAsia="微软雅黑"/>
                <w:sz w:val="22"/>
              </w:rPr>
            </w:pPr>
            <w:r>
              <w:rPr>
                <w:rFonts w:eastAsia="微软雅黑"/>
                <w:sz w:val="22"/>
                <w:szCs w:val="22"/>
              </w:rPr>
              <w:t xml:space="preserve">4sb </w:t>
            </w:r>
          </w:p>
        </w:tc>
        <w:tc>
          <w:tcPr>
            <w:tcW w:w="1653" w:type="dxa"/>
          </w:tcPr>
          <w:p w14:paraId="11294B2D">
            <w:pPr>
              <w:rPr>
                <w:rFonts w:eastAsia="微软雅黑"/>
                <w:sz w:val="22"/>
              </w:rPr>
            </w:pPr>
            <w:r>
              <w:rPr>
                <w:rFonts w:eastAsia="微软雅黑"/>
                <w:sz w:val="22"/>
                <w:szCs w:val="22"/>
              </w:rPr>
              <w:t>Left side of the greater gastric curvature</w:t>
            </w:r>
            <w:r>
              <w:rPr>
                <w:rFonts w:eastAsia="微软雅黑"/>
                <w:sz w:val="22"/>
              </w:rPr>
              <w:t xml:space="preserve"> </w:t>
            </w:r>
            <w:r>
              <w:rPr>
                <w:rFonts w:eastAsia="微软雅黑"/>
                <w:sz w:val="22"/>
                <w:szCs w:val="22"/>
              </w:rPr>
              <w:t xml:space="preserve">(along the left </w:t>
            </w:r>
          </w:p>
          <w:p w14:paraId="5BA7EBE3">
            <w:pPr>
              <w:rPr>
                <w:rFonts w:eastAsia="微软雅黑"/>
                <w:sz w:val="22"/>
              </w:rPr>
            </w:pPr>
            <w:r>
              <w:rPr>
                <w:rFonts w:eastAsia="微软雅黑"/>
                <w:sz w:val="22"/>
                <w:szCs w:val="22"/>
              </w:rPr>
              <w:t xml:space="preserve">gastroepiploic </w:t>
            </w:r>
          </w:p>
          <w:p w14:paraId="1834BE20">
            <w:pPr>
              <w:rPr>
                <w:rFonts w:eastAsia="微软雅黑"/>
                <w:sz w:val="22"/>
              </w:rPr>
            </w:pPr>
            <w:r>
              <w:rPr>
                <w:rFonts w:eastAsia="微软雅黑"/>
                <w:sz w:val="22"/>
                <w:szCs w:val="22"/>
              </w:rPr>
              <w:t xml:space="preserve">artery) </w:t>
            </w:r>
          </w:p>
        </w:tc>
        <w:tc>
          <w:tcPr>
            <w:tcW w:w="6284" w:type="dxa"/>
          </w:tcPr>
          <w:p w14:paraId="6E9FDA02">
            <w:pPr>
              <w:rPr>
                <w:rFonts w:eastAsia="微软雅黑"/>
                <w:sz w:val="22"/>
              </w:rPr>
            </w:pPr>
            <w:r>
              <w:rPr>
                <w:rFonts w:eastAsia="微软雅黑"/>
                <w:sz w:val="22"/>
                <w:szCs w:val="22"/>
              </w:rPr>
              <w:t xml:space="preserve">Lymph nodes along the left gastroepiploic artery and the first branch of the greater curvature (refer to the definition of No. 10) </w:t>
            </w:r>
          </w:p>
        </w:tc>
      </w:tr>
      <w:tr w14:paraId="2F367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744" w:type="dxa"/>
          </w:tcPr>
          <w:p w14:paraId="6E72DFA6">
            <w:pPr>
              <w:spacing w:line="360" w:lineRule="auto"/>
              <w:rPr>
                <w:rFonts w:eastAsia="微软雅黑"/>
                <w:sz w:val="22"/>
              </w:rPr>
            </w:pPr>
            <w:r>
              <w:rPr>
                <w:rFonts w:eastAsia="微软雅黑"/>
                <w:sz w:val="22"/>
                <w:szCs w:val="22"/>
              </w:rPr>
              <w:t xml:space="preserve">4d </w:t>
            </w:r>
          </w:p>
        </w:tc>
        <w:tc>
          <w:tcPr>
            <w:tcW w:w="1653" w:type="dxa"/>
          </w:tcPr>
          <w:p w14:paraId="52942865">
            <w:pPr>
              <w:rPr>
                <w:rFonts w:eastAsia="微软雅黑"/>
                <w:sz w:val="22"/>
              </w:rPr>
            </w:pPr>
            <w:r>
              <w:rPr>
                <w:rFonts w:eastAsia="微软雅黑"/>
                <w:sz w:val="22"/>
                <w:szCs w:val="22"/>
              </w:rPr>
              <w:t>Right side of the greater gastric curvature (along the</w:t>
            </w:r>
            <w:r>
              <w:rPr>
                <w:rFonts w:eastAsia="微软雅黑"/>
                <w:sz w:val="22"/>
              </w:rPr>
              <w:t xml:space="preserve"> </w:t>
            </w:r>
            <w:r>
              <w:rPr>
                <w:rFonts w:eastAsia="微软雅黑"/>
                <w:sz w:val="22"/>
                <w:szCs w:val="22"/>
              </w:rPr>
              <w:t xml:space="preserve">right gastroepiploic artery) </w:t>
            </w:r>
          </w:p>
        </w:tc>
        <w:tc>
          <w:tcPr>
            <w:tcW w:w="6284" w:type="dxa"/>
          </w:tcPr>
          <w:p w14:paraId="052FD084">
            <w:pPr>
              <w:rPr>
                <w:rFonts w:eastAsia="微软雅黑"/>
                <w:sz w:val="22"/>
              </w:rPr>
            </w:pPr>
            <w:r>
              <w:rPr>
                <w:rFonts w:eastAsia="微软雅黑"/>
                <w:sz w:val="22"/>
                <w:szCs w:val="22"/>
              </w:rPr>
              <w:t xml:space="preserve">Lymph nodes at the partial left side of the first branch in the greater gastric curvature direction along the right gastroepiploic artery </w:t>
            </w:r>
          </w:p>
        </w:tc>
      </w:tr>
      <w:tr w14:paraId="1F880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744" w:type="dxa"/>
          </w:tcPr>
          <w:p w14:paraId="154D95D2">
            <w:pPr>
              <w:spacing w:line="360" w:lineRule="auto"/>
              <w:rPr>
                <w:rFonts w:eastAsia="微软雅黑"/>
                <w:sz w:val="22"/>
              </w:rPr>
            </w:pPr>
            <w:r>
              <w:rPr>
                <w:rFonts w:eastAsia="微软雅黑"/>
                <w:sz w:val="22"/>
                <w:szCs w:val="22"/>
              </w:rPr>
              <w:t xml:space="preserve">5 </w:t>
            </w:r>
          </w:p>
        </w:tc>
        <w:tc>
          <w:tcPr>
            <w:tcW w:w="1653" w:type="dxa"/>
          </w:tcPr>
          <w:p w14:paraId="508F89D9">
            <w:pPr>
              <w:rPr>
                <w:rFonts w:eastAsia="微软雅黑"/>
                <w:sz w:val="22"/>
              </w:rPr>
            </w:pPr>
            <w:r>
              <w:rPr>
                <w:rFonts w:eastAsia="微软雅黑"/>
                <w:sz w:val="22"/>
                <w:szCs w:val="22"/>
              </w:rPr>
              <w:t xml:space="preserve">Superior pylorus </w:t>
            </w:r>
          </w:p>
        </w:tc>
        <w:tc>
          <w:tcPr>
            <w:tcW w:w="6284" w:type="dxa"/>
          </w:tcPr>
          <w:p w14:paraId="41E0F876">
            <w:pPr>
              <w:rPr>
                <w:rFonts w:eastAsia="微软雅黑"/>
                <w:sz w:val="22"/>
              </w:rPr>
            </w:pPr>
            <w:r>
              <w:rPr>
                <w:rFonts w:eastAsia="微软雅黑"/>
                <w:sz w:val="22"/>
                <w:szCs w:val="22"/>
              </w:rPr>
              <w:t xml:space="preserve">Lymph nodes along the right gastric artery and around the first branch in the lesser gastric curvature direction </w:t>
            </w:r>
          </w:p>
        </w:tc>
      </w:tr>
      <w:tr w14:paraId="7F4F7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744" w:type="dxa"/>
          </w:tcPr>
          <w:p w14:paraId="050C8803">
            <w:pPr>
              <w:spacing w:line="360" w:lineRule="auto"/>
              <w:rPr>
                <w:rFonts w:eastAsia="微软雅黑"/>
                <w:sz w:val="22"/>
              </w:rPr>
            </w:pPr>
            <w:r>
              <w:rPr>
                <w:rFonts w:eastAsia="微软雅黑"/>
                <w:sz w:val="22"/>
                <w:szCs w:val="22"/>
              </w:rPr>
              <w:t xml:space="preserve">6 </w:t>
            </w:r>
          </w:p>
        </w:tc>
        <w:tc>
          <w:tcPr>
            <w:tcW w:w="1653" w:type="dxa"/>
          </w:tcPr>
          <w:p w14:paraId="250B097C">
            <w:pPr>
              <w:rPr>
                <w:rFonts w:eastAsia="微软雅黑"/>
                <w:sz w:val="22"/>
              </w:rPr>
            </w:pPr>
            <w:r>
              <w:rPr>
                <w:rFonts w:eastAsia="微软雅黑"/>
                <w:sz w:val="22"/>
                <w:szCs w:val="22"/>
              </w:rPr>
              <w:t>Inferior pylorus</w:t>
            </w:r>
          </w:p>
        </w:tc>
        <w:tc>
          <w:tcPr>
            <w:tcW w:w="6284" w:type="dxa"/>
          </w:tcPr>
          <w:p w14:paraId="75E2E6D5">
            <w:pPr>
              <w:rPr>
                <w:rFonts w:eastAsia="微软雅黑"/>
                <w:sz w:val="22"/>
              </w:rPr>
            </w:pPr>
            <w:r>
              <w:rPr>
                <w:rFonts w:eastAsia="微软雅黑"/>
                <w:sz w:val="22"/>
                <w:szCs w:val="22"/>
              </w:rPr>
              <w:t xml:space="preserve">Lymph nodes from the root of the right gastroepiploic artery to the first branch in the greater gastric curvature direction and those at the junction of the right gastroepiploic veins and superior anterior pancreaticoduodenal veins (including the junction portion) </w:t>
            </w:r>
          </w:p>
        </w:tc>
      </w:tr>
      <w:tr w14:paraId="1E2FE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trPr>
        <w:tc>
          <w:tcPr>
            <w:tcW w:w="744" w:type="dxa"/>
          </w:tcPr>
          <w:p w14:paraId="6C51FCC3">
            <w:pPr>
              <w:spacing w:line="360" w:lineRule="auto"/>
              <w:rPr>
                <w:rFonts w:eastAsia="微软雅黑"/>
                <w:sz w:val="22"/>
              </w:rPr>
            </w:pPr>
            <w:r>
              <w:rPr>
                <w:rFonts w:eastAsia="微软雅黑"/>
                <w:sz w:val="22"/>
                <w:szCs w:val="22"/>
              </w:rPr>
              <w:t xml:space="preserve">7 </w:t>
            </w:r>
          </w:p>
        </w:tc>
        <w:tc>
          <w:tcPr>
            <w:tcW w:w="1653" w:type="dxa"/>
          </w:tcPr>
          <w:p w14:paraId="249D2EA0">
            <w:pPr>
              <w:rPr>
                <w:rFonts w:eastAsia="微软雅黑"/>
                <w:sz w:val="22"/>
              </w:rPr>
            </w:pPr>
            <w:r>
              <w:rPr>
                <w:rFonts w:eastAsia="微软雅黑"/>
                <w:sz w:val="22"/>
                <w:szCs w:val="22"/>
              </w:rPr>
              <w:t xml:space="preserve">Left gastric artery trunk </w:t>
            </w:r>
          </w:p>
        </w:tc>
        <w:tc>
          <w:tcPr>
            <w:tcW w:w="6284" w:type="dxa"/>
          </w:tcPr>
          <w:p w14:paraId="19B4DF90">
            <w:pPr>
              <w:rPr>
                <w:rFonts w:eastAsia="微软雅黑"/>
                <w:sz w:val="22"/>
              </w:rPr>
            </w:pPr>
            <w:r>
              <w:rPr>
                <w:rFonts w:eastAsia="微软雅黑"/>
                <w:sz w:val="22"/>
                <w:szCs w:val="22"/>
              </w:rPr>
              <w:t xml:space="preserve">Lymph nodes from the root of the left gastric artery to the branch portion of the ascending branches </w:t>
            </w:r>
          </w:p>
        </w:tc>
      </w:tr>
      <w:tr w14:paraId="7EC6E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744" w:type="dxa"/>
          </w:tcPr>
          <w:p w14:paraId="2C5BCF16">
            <w:pPr>
              <w:spacing w:line="360" w:lineRule="auto"/>
              <w:rPr>
                <w:rFonts w:eastAsia="微软雅黑"/>
                <w:sz w:val="22"/>
              </w:rPr>
            </w:pPr>
            <w:r>
              <w:rPr>
                <w:rFonts w:eastAsia="微软雅黑"/>
                <w:sz w:val="22"/>
                <w:szCs w:val="22"/>
              </w:rPr>
              <w:t xml:space="preserve">8a </w:t>
            </w:r>
          </w:p>
        </w:tc>
        <w:tc>
          <w:tcPr>
            <w:tcW w:w="1653" w:type="dxa"/>
          </w:tcPr>
          <w:p w14:paraId="2EA92F3C">
            <w:pPr>
              <w:rPr>
                <w:rFonts w:eastAsia="微软雅黑"/>
                <w:sz w:val="22"/>
              </w:rPr>
            </w:pPr>
            <w:r>
              <w:rPr>
                <w:rFonts w:eastAsia="微软雅黑"/>
                <w:sz w:val="22"/>
                <w:szCs w:val="22"/>
              </w:rPr>
              <w:t xml:space="preserve">Anterior upper part of the common hepatic artery </w:t>
            </w:r>
          </w:p>
        </w:tc>
        <w:tc>
          <w:tcPr>
            <w:tcW w:w="6284" w:type="dxa"/>
          </w:tcPr>
          <w:p w14:paraId="57F3D12D">
            <w:pPr>
              <w:rPr>
                <w:rFonts w:eastAsia="微软雅黑"/>
                <w:sz w:val="22"/>
              </w:rPr>
            </w:pPr>
            <w:r>
              <w:rPr>
                <w:rFonts w:eastAsia="微软雅黑"/>
                <w:sz w:val="22"/>
                <w:szCs w:val="22"/>
              </w:rPr>
              <w:t xml:space="preserve">Lymph nodes at the anterior upper part of the common hepatic artery (from the branch portion of the splenic artery to the branch portion of the gastroduodenal artery) </w:t>
            </w:r>
          </w:p>
        </w:tc>
      </w:tr>
      <w:tr w14:paraId="4181D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744" w:type="dxa"/>
          </w:tcPr>
          <w:p w14:paraId="6B6CD8A4">
            <w:pPr>
              <w:spacing w:line="360" w:lineRule="auto"/>
              <w:rPr>
                <w:rFonts w:eastAsia="微软雅黑"/>
                <w:sz w:val="22"/>
              </w:rPr>
            </w:pPr>
            <w:r>
              <w:rPr>
                <w:rFonts w:eastAsia="微软雅黑"/>
                <w:sz w:val="22"/>
                <w:szCs w:val="22"/>
              </w:rPr>
              <w:t xml:space="preserve">8p </w:t>
            </w:r>
          </w:p>
        </w:tc>
        <w:tc>
          <w:tcPr>
            <w:tcW w:w="1653" w:type="dxa"/>
          </w:tcPr>
          <w:p w14:paraId="14136FC3">
            <w:pPr>
              <w:rPr>
                <w:rFonts w:eastAsia="微软雅黑"/>
                <w:sz w:val="22"/>
              </w:rPr>
            </w:pPr>
            <w:r>
              <w:rPr>
                <w:rFonts w:eastAsia="微软雅黑"/>
                <w:sz w:val="22"/>
                <w:szCs w:val="22"/>
              </w:rPr>
              <w:t xml:space="preserve">Posterior part of the common hepatic artery </w:t>
            </w:r>
          </w:p>
        </w:tc>
        <w:tc>
          <w:tcPr>
            <w:tcW w:w="6284" w:type="dxa"/>
          </w:tcPr>
          <w:p w14:paraId="26D0D6C3">
            <w:pPr>
              <w:rPr>
                <w:rFonts w:eastAsia="微软雅黑"/>
                <w:sz w:val="22"/>
              </w:rPr>
            </w:pPr>
            <w:r>
              <w:rPr>
                <w:rFonts w:eastAsia="微软雅黑"/>
                <w:sz w:val="22"/>
                <w:szCs w:val="22"/>
              </w:rPr>
              <w:t xml:space="preserve">Lymph nodes at the posterior part of the common hepatic artery (from the branch portion of the splenic artery to the branch portion of the gastroduodenal artery) </w:t>
            </w:r>
          </w:p>
        </w:tc>
      </w:tr>
      <w:tr w14:paraId="076B6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744" w:type="dxa"/>
          </w:tcPr>
          <w:p w14:paraId="23760DF2">
            <w:pPr>
              <w:spacing w:line="360" w:lineRule="auto"/>
              <w:rPr>
                <w:rFonts w:eastAsia="微软雅黑"/>
                <w:sz w:val="22"/>
              </w:rPr>
            </w:pPr>
            <w:r>
              <w:rPr>
                <w:rFonts w:eastAsia="微软雅黑"/>
                <w:sz w:val="22"/>
                <w:szCs w:val="22"/>
              </w:rPr>
              <w:t xml:space="preserve">9 </w:t>
            </w:r>
          </w:p>
        </w:tc>
        <w:tc>
          <w:tcPr>
            <w:tcW w:w="1653" w:type="dxa"/>
          </w:tcPr>
          <w:p w14:paraId="395AC491">
            <w:pPr>
              <w:rPr>
                <w:rFonts w:eastAsia="微软雅黑"/>
                <w:sz w:val="22"/>
              </w:rPr>
            </w:pPr>
            <w:r>
              <w:rPr>
                <w:rFonts w:eastAsia="微软雅黑"/>
                <w:sz w:val="22"/>
                <w:szCs w:val="22"/>
              </w:rPr>
              <w:t xml:space="preserve">Surrounding of the celiac artery </w:t>
            </w:r>
          </w:p>
        </w:tc>
        <w:tc>
          <w:tcPr>
            <w:tcW w:w="6284" w:type="dxa"/>
          </w:tcPr>
          <w:p w14:paraId="50C72E13">
            <w:pPr>
              <w:rPr>
                <w:rFonts w:eastAsia="微软雅黑"/>
                <w:sz w:val="22"/>
              </w:rPr>
            </w:pPr>
            <w:r>
              <w:rPr>
                <w:rFonts w:eastAsia="微软雅黑"/>
                <w:sz w:val="22"/>
                <w:szCs w:val="22"/>
              </w:rPr>
              <w:t xml:space="preserve">Lymph gland that is in the surroundings of the celiac artery or that is a part of each root of the left artery of the stomach, common hepatic artery and splenic artery as well as that related to the celiac artery </w:t>
            </w:r>
          </w:p>
        </w:tc>
      </w:tr>
      <w:tr w14:paraId="6D6B5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744" w:type="dxa"/>
          </w:tcPr>
          <w:p w14:paraId="620F93FC">
            <w:pPr>
              <w:spacing w:line="360" w:lineRule="auto"/>
              <w:rPr>
                <w:rFonts w:eastAsia="微软雅黑"/>
                <w:sz w:val="22"/>
              </w:rPr>
            </w:pPr>
            <w:r>
              <w:rPr>
                <w:rFonts w:eastAsia="微软雅黑"/>
                <w:sz w:val="22"/>
                <w:szCs w:val="22"/>
              </w:rPr>
              <w:t xml:space="preserve">10 </w:t>
            </w:r>
          </w:p>
        </w:tc>
        <w:tc>
          <w:tcPr>
            <w:tcW w:w="1653" w:type="dxa"/>
          </w:tcPr>
          <w:p w14:paraId="47F129B5">
            <w:pPr>
              <w:rPr>
                <w:rFonts w:eastAsia="微软雅黑"/>
                <w:sz w:val="22"/>
              </w:rPr>
            </w:pPr>
            <w:r>
              <w:rPr>
                <w:rFonts w:eastAsia="微软雅黑"/>
                <w:sz w:val="22"/>
                <w:szCs w:val="22"/>
              </w:rPr>
              <w:t xml:space="preserve">Splenic hilum </w:t>
            </w:r>
          </w:p>
        </w:tc>
        <w:tc>
          <w:tcPr>
            <w:tcW w:w="6284" w:type="dxa"/>
          </w:tcPr>
          <w:p w14:paraId="1F0BE6DF">
            <w:pPr>
              <w:rPr>
                <w:rFonts w:eastAsia="微软雅黑"/>
                <w:sz w:val="22"/>
              </w:rPr>
            </w:pPr>
            <w:r>
              <w:rPr>
                <w:rFonts w:eastAsia="微软雅黑"/>
                <w:sz w:val="22"/>
                <w:szCs w:val="22"/>
              </w:rPr>
              <w:t>Lymph gland that is in the surroundings of the celiac artery and splenic hilum far away from the end of the pancreas, including the first greater gastric curvature in the root of the short gastric artery and the left gastroepiploic artery</w:t>
            </w:r>
          </w:p>
        </w:tc>
      </w:tr>
      <w:tr w14:paraId="2CFEF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744" w:type="dxa"/>
          </w:tcPr>
          <w:p w14:paraId="112A2E64">
            <w:pPr>
              <w:spacing w:line="360" w:lineRule="auto"/>
              <w:rPr>
                <w:rFonts w:eastAsia="微软雅黑"/>
                <w:sz w:val="22"/>
              </w:rPr>
            </w:pPr>
            <w:r>
              <w:rPr>
                <w:rFonts w:eastAsia="微软雅黑"/>
                <w:sz w:val="22"/>
                <w:szCs w:val="22"/>
              </w:rPr>
              <w:t xml:space="preserve">11p </w:t>
            </w:r>
          </w:p>
        </w:tc>
        <w:tc>
          <w:tcPr>
            <w:tcW w:w="1653" w:type="dxa"/>
          </w:tcPr>
          <w:p w14:paraId="61B7EB91">
            <w:pPr>
              <w:rPr>
                <w:rFonts w:eastAsia="微软雅黑"/>
                <w:sz w:val="22"/>
              </w:rPr>
            </w:pPr>
            <w:r>
              <w:rPr>
                <w:rFonts w:eastAsia="微软雅黑"/>
                <w:sz w:val="22"/>
                <w:szCs w:val="22"/>
              </w:rPr>
              <w:t xml:space="preserve">Splenic artery </w:t>
            </w:r>
          </w:p>
          <w:p w14:paraId="4BB768FD">
            <w:pPr>
              <w:rPr>
                <w:rFonts w:eastAsia="微软雅黑"/>
                <w:sz w:val="22"/>
              </w:rPr>
            </w:pPr>
            <w:r>
              <w:rPr>
                <w:rFonts w:eastAsia="微软雅黑"/>
                <w:sz w:val="22"/>
                <w:szCs w:val="22"/>
              </w:rPr>
              <w:t xml:space="preserve">proximal </w:t>
            </w:r>
          </w:p>
        </w:tc>
        <w:tc>
          <w:tcPr>
            <w:tcW w:w="6284" w:type="dxa"/>
          </w:tcPr>
          <w:p w14:paraId="7E21410A">
            <w:pPr>
              <w:rPr>
                <w:rFonts w:eastAsia="微软雅黑"/>
                <w:sz w:val="22"/>
              </w:rPr>
            </w:pPr>
            <w:r>
              <w:rPr>
                <w:rFonts w:eastAsia="微软雅黑"/>
                <w:sz w:val="22"/>
                <w:szCs w:val="22"/>
              </w:rPr>
              <w:t xml:space="preserve">Lymph gland at the splenic artery proximal (in a location that divides the distance between the root of the splenic artery and the end of the pancreas into two equal parts, including the proximal side) </w:t>
            </w:r>
          </w:p>
        </w:tc>
      </w:tr>
      <w:tr w14:paraId="14BAA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744" w:type="dxa"/>
          </w:tcPr>
          <w:p w14:paraId="09556243">
            <w:pPr>
              <w:spacing w:line="360" w:lineRule="auto"/>
              <w:rPr>
                <w:rFonts w:eastAsia="微软雅黑"/>
                <w:sz w:val="22"/>
              </w:rPr>
            </w:pPr>
            <w:r>
              <w:rPr>
                <w:rFonts w:eastAsia="微软雅黑"/>
                <w:sz w:val="22"/>
                <w:szCs w:val="22"/>
              </w:rPr>
              <w:t xml:space="preserve">11d </w:t>
            </w:r>
          </w:p>
        </w:tc>
        <w:tc>
          <w:tcPr>
            <w:tcW w:w="1653" w:type="dxa"/>
          </w:tcPr>
          <w:p w14:paraId="57D36EE4">
            <w:pPr>
              <w:rPr>
                <w:rFonts w:eastAsia="微软雅黑"/>
                <w:sz w:val="22"/>
              </w:rPr>
            </w:pPr>
            <w:r>
              <w:rPr>
                <w:rFonts w:eastAsia="微软雅黑"/>
                <w:sz w:val="22"/>
                <w:szCs w:val="22"/>
              </w:rPr>
              <w:t xml:space="preserve">Splenic artery </w:t>
            </w:r>
          </w:p>
          <w:p w14:paraId="02119C1F">
            <w:pPr>
              <w:rPr>
                <w:rFonts w:eastAsia="微软雅黑"/>
                <w:sz w:val="22"/>
              </w:rPr>
            </w:pPr>
            <w:r>
              <w:rPr>
                <w:rFonts w:eastAsia="微软雅黑"/>
                <w:sz w:val="22"/>
                <w:szCs w:val="22"/>
              </w:rPr>
              <w:t xml:space="preserve">distal </w:t>
            </w:r>
          </w:p>
        </w:tc>
        <w:tc>
          <w:tcPr>
            <w:tcW w:w="6284" w:type="dxa"/>
          </w:tcPr>
          <w:p w14:paraId="0F8C3075">
            <w:pPr>
              <w:rPr>
                <w:rFonts w:eastAsia="微软雅黑"/>
                <w:sz w:val="22"/>
              </w:rPr>
            </w:pPr>
            <w:r>
              <w:rPr>
                <w:rFonts w:eastAsia="微软雅黑"/>
                <w:sz w:val="22"/>
                <w:szCs w:val="22"/>
              </w:rPr>
              <w:t xml:space="preserve">Lymph gland at the splenic artery distal (in a location that divides the distance between the root of the splenic artery and the end of the pancreas into two equal parts, inclining to the end of the pancreas) </w:t>
            </w:r>
          </w:p>
        </w:tc>
      </w:tr>
      <w:tr w14:paraId="707B8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744" w:type="dxa"/>
          </w:tcPr>
          <w:p w14:paraId="5D99EEA1">
            <w:pPr>
              <w:spacing w:line="360" w:lineRule="auto"/>
              <w:rPr>
                <w:rFonts w:eastAsia="微软雅黑"/>
                <w:sz w:val="22"/>
              </w:rPr>
            </w:pPr>
            <w:r>
              <w:rPr>
                <w:rFonts w:eastAsia="微软雅黑"/>
                <w:sz w:val="22"/>
                <w:szCs w:val="22"/>
              </w:rPr>
              <w:t xml:space="preserve">12a </w:t>
            </w:r>
          </w:p>
        </w:tc>
        <w:tc>
          <w:tcPr>
            <w:tcW w:w="1653" w:type="dxa"/>
          </w:tcPr>
          <w:p w14:paraId="51B0F59F">
            <w:pPr>
              <w:rPr>
                <w:rFonts w:eastAsia="微软雅黑"/>
                <w:sz w:val="22"/>
              </w:rPr>
            </w:pPr>
            <w:r>
              <w:rPr>
                <w:rFonts w:eastAsia="微软雅黑"/>
                <w:sz w:val="22"/>
                <w:szCs w:val="22"/>
              </w:rPr>
              <w:t xml:space="preserve">Within the </w:t>
            </w:r>
          </w:p>
          <w:p w14:paraId="1303F593">
            <w:pPr>
              <w:rPr>
                <w:rFonts w:eastAsia="微软雅黑"/>
                <w:sz w:val="22"/>
              </w:rPr>
            </w:pPr>
            <w:r>
              <w:rPr>
                <w:rFonts w:eastAsia="微软雅黑"/>
                <w:sz w:val="22"/>
                <w:szCs w:val="22"/>
              </w:rPr>
              <w:t xml:space="preserve">hepatoduodenal </w:t>
            </w:r>
          </w:p>
          <w:p w14:paraId="5C878F6F">
            <w:pPr>
              <w:rPr>
                <w:rFonts w:eastAsia="微软雅黑"/>
                <w:sz w:val="22"/>
              </w:rPr>
            </w:pPr>
            <w:r>
              <w:rPr>
                <w:rFonts w:eastAsia="微软雅黑"/>
                <w:sz w:val="22"/>
                <w:szCs w:val="22"/>
              </w:rPr>
              <w:t>ligament (along the</w:t>
            </w:r>
          </w:p>
          <w:p w14:paraId="516503AB">
            <w:pPr>
              <w:rPr>
                <w:rFonts w:eastAsia="微软雅黑"/>
                <w:sz w:val="22"/>
              </w:rPr>
            </w:pPr>
            <w:r>
              <w:rPr>
                <w:rFonts w:eastAsia="微软雅黑"/>
                <w:sz w:val="22"/>
                <w:szCs w:val="22"/>
              </w:rPr>
              <w:t xml:space="preserve">proper hepatic </w:t>
            </w:r>
          </w:p>
          <w:p w14:paraId="00055B35">
            <w:pPr>
              <w:rPr>
                <w:rFonts w:eastAsia="微软雅黑"/>
                <w:sz w:val="22"/>
              </w:rPr>
            </w:pPr>
            <w:r>
              <w:rPr>
                <w:rFonts w:eastAsia="微软雅黑"/>
                <w:sz w:val="22"/>
                <w:szCs w:val="22"/>
              </w:rPr>
              <w:t xml:space="preserve">artery) </w:t>
            </w:r>
          </w:p>
        </w:tc>
        <w:tc>
          <w:tcPr>
            <w:tcW w:w="6284" w:type="dxa"/>
          </w:tcPr>
          <w:p w14:paraId="7E45872E">
            <w:pPr>
              <w:rPr>
                <w:rFonts w:eastAsia="微软雅黑"/>
                <w:sz w:val="22"/>
              </w:rPr>
            </w:pPr>
            <w:r>
              <w:rPr>
                <w:rFonts w:eastAsia="微软雅黑"/>
                <w:sz w:val="22"/>
                <w:szCs w:val="22"/>
              </w:rPr>
              <w:t xml:space="preserve">Lymph gland that is below a location that divides the height of the confluence portions of the left and right hepatic ducts and the bile duct in the upper margin of the pancreas into two equal parts and is along the proper hepatic artery (as stated in No. 12a2 of the regulations for bile duct carcinoma) </w:t>
            </w:r>
          </w:p>
        </w:tc>
      </w:tr>
      <w:tr w14:paraId="7D630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744" w:type="dxa"/>
          </w:tcPr>
          <w:p w14:paraId="42111BDD">
            <w:pPr>
              <w:spacing w:line="360" w:lineRule="auto"/>
              <w:rPr>
                <w:rFonts w:eastAsia="微软雅黑"/>
                <w:sz w:val="22"/>
              </w:rPr>
            </w:pPr>
            <w:r>
              <w:rPr>
                <w:rFonts w:eastAsia="微软雅黑"/>
                <w:sz w:val="22"/>
                <w:szCs w:val="22"/>
              </w:rPr>
              <w:t xml:space="preserve">12b </w:t>
            </w:r>
          </w:p>
        </w:tc>
        <w:tc>
          <w:tcPr>
            <w:tcW w:w="1653" w:type="dxa"/>
          </w:tcPr>
          <w:p w14:paraId="6BBADD5D">
            <w:pPr>
              <w:rPr>
                <w:rFonts w:eastAsia="微软雅黑"/>
                <w:sz w:val="22"/>
              </w:rPr>
            </w:pPr>
            <w:r>
              <w:rPr>
                <w:rFonts w:eastAsia="微软雅黑"/>
                <w:sz w:val="22"/>
                <w:szCs w:val="22"/>
              </w:rPr>
              <w:t xml:space="preserve">Within the </w:t>
            </w:r>
          </w:p>
          <w:p w14:paraId="19193003">
            <w:pPr>
              <w:rPr>
                <w:rFonts w:eastAsia="微软雅黑"/>
                <w:sz w:val="22"/>
              </w:rPr>
            </w:pPr>
            <w:r>
              <w:rPr>
                <w:rFonts w:eastAsia="微软雅黑"/>
                <w:sz w:val="22"/>
                <w:szCs w:val="22"/>
              </w:rPr>
              <w:t xml:space="preserve">hepatoduodenal ligament (along the bile duct) </w:t>
            </w:r>
          </w:p>
        </w:tc>
        <w:tc>
          <w:tcPr>
            <w:tcW w:w="6284" w:type="dxa"/>
          </w:tcPr>
          <w:p w14:paraId="474D6DE4">
            <w:pPr>
              <w:rPr>
                <w:rFonts w:eastAsia="微软雅黑"/>
                <w:sz w:val="22"/>
              </w:rPr>
            </w:pPr>
            <w:r>
              <w:rPr>
                <w:rFonts w:eastAsia="微软雅黑"/>
                <w:sz w:val="22"/>
                <w:szCs w:val="22"/>
              </w:rPr>
              <w:t xml:space="preserve">Lymph gland that is below a location that divides the height of the confluence portions of the left and right hepatic ducts and the bile duct in the upper margin of the pancreas into two equal parts and is along the proper hepatic artery (as stated in No. 12b2 of the regulations for bile duct carcinoma) </w:t>
            </w:r>
          </w:p>
        </w:tc>
      </w:tr>
      <w:tr w14:paraId="5F8D6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744" w:type="dxa"/>
          </w:tcPr>
          <w:p w14:paraId="6D01D032">
            <w:pPr>
              <w:spacing w:line="360" w:lineRule="auto"/>
              <w:rPr>
                <w:rFonts w:eastAsia="微软雅黑"/>
                <w:sz w:val="22"/>
              </w:rPr>
            </w:pPr>
            <w:r>
              <w:rPr>
                <w:rFonts w:eastAsia="微软雅黑"/>
                <w:sz w:val="22"/>
                <w:szCs w:val="22"/>
              </w:rPr>
              <w:t xml:space="preserve">12p </w:t>
            </w:r>
          </w:p>
        </w:tc>
        <w:tc>
          <w:tcPr>
            <w:tcW w:w="1653" w:type="dxa"/>
          </w:tcPr>
          <w:p w14:paraId="52CA10F8">
            <w:pPr>
              <w:rPr>
                <w:rFonts w:eastAsia="微软雅黑"/>
                <w:sz w:val="22"/>
              </w:rPr>
            </w:pPr>
            <w:r>
              <w:rPr>
                <w:rFonts w:eastAsia="微软雅黑"/>
                <w:sz w:val="22"/>
                <w:szCs w:val="22"/>
              </w:rPr>
              <w:t xml:space="preserve">Within the </w:t>
            </w:r>
          </w:p>
          <w:p w14:paraId="794F4306">
            <w:pPr>
              <w:rPr>
                <w:rFonts w:eastAsia="微软雅黑"/>
                <w:sz w:val="22"/>
              </w:rPr>
            </w:pPr>
            <w:r>
              <w:rPr>
                <w:rFonts w:eastAsia="微软雅黑"/>
                <w:sz w:val="22"/>
                <w:szCs w:val="22"/>
              </w:rPr>
              <w:t xml:space="preserve">hepatoduodenal ligament (along the portal vein) </w:t>
            </w:r>
          </w:p>
        </w:tc>
        <w:tc>
          <w:tcPr>
            <w:tcW w:w="6284" w:type="dxa"/>
          </w:tcPr>
          <w:p w14:paraId="656BBF19">
            <w:pPr>
              <w:rPr>
                <w:rFonts w:eastAsia="微软雅黑"/>
                <w:sz w:val="22"/>
              </w:rPr>
            </w:pPr>
            <w:r>
              <w:rPr>
                <w:rFonts w:eastAsia="微软雅黑"/>
                <w:sz w:val="22"/>
                <w:szCs w:val="22"/>
              </w:rPr>
              <w:t xml:space="preserve">Lymph gland that is below a location that divides the height of the confluence portions of the left and right hepatic ducts and the bile duct in the upper margin of the pancreas into two equal parts and is along the proper hepatic artery (as stated in No. 12p2 of the regulations for bile duct carcinoma) </w:t>
            </w:r>
          </w:p>
        </w:tc>
      </w:tr>
      <w:tr w14:paraId="3C4DE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744" w:type="dxa"/>
          </w:tcPr>
          <w:p w14:paraId="32C04B0D">
            <w:pPr>
              <w:spacing w:line="360" w:lineRule="auto"/>
              <w:rPr>
                <w:rFonts w:eastAsia="微软雅黑"/>
                <w:sz w:val="22"/>
              </w:rPr>
            </w:pPr>
            <w:r>
              <w:rPr>
                <w:rFonts w:eastAsia="微软雅黑"/>
                <w:sz w:val="22"/>
                <w:szCs w:val="22"/>
              </w:rPr>
              <w:t xml:space="preserve">13 </w:t>
            </w:r>
          </w:p>
        </w:tc>
        <w:tc>
          <w:tcPr>
            <w:tcW w:w="1653" w:type="dxa"/>
          </w:tcPr>
          <w:p w14:paraId="70A6522F">
            <w:pPr>
              <w:rPr>
                <w:rFonts w:eastAsia="微软雅黑"/>
                <w:sz w:val="22"/>
              </w:rPr>
            </w:pPr>
            <w:r>
              <w:rPr>
                <w:rFonts w:eastAsia="微软雅黑"/>
                <w:sz w:val="22"/>
                <w:szCs w:val="22"/>
              </w:rPr>
              <w:t xml:space="preserve">Back of the pancreatic </w:t>
            </w:r>
          </w:p>
          <w:p w14:paraId="7AD51E0D">
            <w:pPr>
              <w:rPr>
                <w:rFonts w:eastAsia="微软雅黑"/>
                <w:sz w:val="22"/>
              </w:rPr>
            </w:pPr>
            <w:r>
              <w:rPr>
                <w:rFonts w:eastAsia="微软雅黑"/>
                <w:sz w:val="22"/>
                <w:szCs w:val="22"/>
              </w:rPr>
              <w:t xml:space="preserve">head </w:t>
            </w:r>
          </w:p>
        </w:tc>
        <w:tc>
          <w:tcPr>
            <w:tcW w:w="6284" w:type="dxa"/>
          </w:tcPr>
          <w:p w14:paraId="2C775505">
            <w:pPr>
              <w:rPr>
                <w:rFonts w:eastAsia="微软雅黑"/>
                <w:sz w:val="22"/>
              </w:rPr>
            </w:pPr>
            <w:r>
              <w:rPr>
                <w:rFonts w:eastAsia="微软雅黑"/>
                <w:sz w:val="22"/>
                <w:szCs w:val="22"/>
              </w:rPr>
              <w:t xml:space="preserve">Lymph gland adjacent to the head of the duodenal papilla at the back of the pancreatic head (No. 12b in the surroundings of the hepatoduodenal ligament) </w:t>
            </w:r>
          </w:p>
        </w:tc>
      </w:tr>
      <w:tr w14:paraId="280A0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trPr>
        <w:tc>
          <w:tcPr>
            <w:tcW w:w="744" w:type="dxa"/>
          </w:tcPr>
          <w:p w14:paraId="2661F981">
            <w:pPr>
              <w:spacing w:line="360" w:lineRule="auto"/>
              <w:rPr>
                <w:rFonts w:eastAsia="微软雅黑"/>
                <w:sz w:val="22"/>
              </w:rPr>
            </w:pPr>
            <w:r>
              <w:rPr>
                <w:rFonts w:eastAsia="微软雅黑"/>
                <w:sz w:val="22"/>
                <w:szCs w:val="22"/>
              </w:rPr>
              <w:t xml:space="preserve">14v </w:t>
            </w:r>
          </w:p>
        </w:tc>
        <w:tc>
          <w:tcPr>
            <w:tcW w:w="1653" w:type="dxa"/>
          </w:tcPr>
          <w:p w14:paraId="5928EA80">
            <w:pPr>
              <w:rPr>
                <w:rFonts w:eastAsia="微软雅黑"/>
                <w:sz w:val="22"/>
              </w:rPr>
            </w:pPr>
            <w:r>
              <w:rPr>
                <w:rFonts w:eastAsia="微软雅黑"/>
                <w:sz w:val="22"/>
                <w:szCs w:val="22"/>
              </w:rPr>
              <w:t xml:space="preserve">Along the superior  mesenteric vein </w:t>
            </w:r>
          </w:p>
        </w:tc>
        <w:tc>
          <w:tcPr>
            <w:tcW w:w="6284" w:type="dxa"/>
          </w:tcPr>
          <w:p w14:paraId="2F8B47F9">
            <w:pPr>
              <w:rPr>
                <w:rFonts w:eastAsia="微软雅黑"/>
                <w:sz w:val="22"/>
              </w:rPr>
            </w:pPr>
            <w:r>
              <w:rPr>
                <w:rFonts w:eastAsia="微软雅黑"/>
                <w:sz w:val="22"/>
                <w:szCs w:val="22"/>
              </w:rPr>
              <w:t xml:space="preserve">Lymph gland that is in the front of the superior mesenteric vein, with the inferior margin of the pancreas on the upper side, the right gastroepiploic vein and confluence portion of the superior pancreaticoduodenal vein to the right, the left margin of the mesenteric vein to the left and the branch of the middle colic vein in the lower margin </w:t>
            </w:r>
          </w:p>
        </w:tc>
      </w:tr>
      <w:tr w14:paraId="1C458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trPr>
        <w:tc>
          <w:tcPr>
            <w:tcW w:w="744" w:type="dxa"/>
          </w:tcPr>
          <w:p w14:paraId="3D3207F4">
            <w:pPr>
              <w:spacing w:line="360" w:lineRule="auto"/>
              <w:rPr>
                <w:rFonts w:eastAsia="微软雅黑"/>
                <w:sz w:val="22"/>
              </w:rPr>
            </w:pPr>
            <w:r>
              <w:rPr>
                <w:rFonts w:eastAsia="微软雅黑"/>
                <w:sz w:val="22"/>
                <w:szCs w:val="22"/>
              </w:rPr>
              <w:t xml:space="preserve">14a </w:t>
            </w:r>
          </w:p>
        </w:tc>
        <w:tc>
          <w:tcPr>
            <w:tcW w:w="1653" w:type="dxa"/>
          </w:tcPr>
          <w:p w14:paraId="284DE2DF">
            <w:pPr>
              <w:rPr>
                <w:rFonts w:eastAsia="微软雅黑"/>
                <w:sz w:val="22"/>
              </w:rPr>
            </w:pPr>
            <w:r>
              <w:rPr>
                <w:rFonts w:eastAsia="微软雅黑"/>
                <w:sz w:val="22"/>
                <w:szCs w:val="22"/>
              </w:rPr>
              <w:t xml:space="preserve">Along the superior </w:t>
            </w:r>
          </w:p>
          <w:p w14:paraId="2298DDAD">
            <w:pPr>
              <w:rPr>
                <w:rFonts w:eastAsia="微软雅黑"/>
                <w:sz w:val="22"/>
              </w:rPr>
            </w:pPr>
            <w:r>
              <w:rPr>
                <w:rFonts w:eastAsia="微软雅黑"/>
                <w:sz w:val="22"/>
                <w:szCs w:val="22"/>
              </w:rPr>
              <w:t xml:space="preserve">mesenteric artery </w:t>
            </w:r>
          </w:p>
        </w:tc>
        <w:tc>
          <w:tcPr>
            <w:tcW w:w="6284" w:type="dxa"/>
          </w:tcPr>
          <w:p w14:paraId="39005CB6">
            <w:pPr>
              <w:rPr>
                <w:rFonts w:eastAsia="微软雅黑"/>
                <w:sz w:val="22"/>
              </w:rPr>
            </w:pPr>
            <w:r>
              <w:rPr>
                <w:rFonts w:eastAsia="微软雅黑"/>
                <w:sz w:val="22"/>
                <w:szCs w:val="22"/>
              </w:rPr>
              <w:t xml:space="preserve">Lymph gland along the superior mesenteric artery </w:t>
            </w:r>
          </w:p>
        </w:tc>
      </w:tr>
      <w:tr w14:paraId="6F57A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trPr>
        <w:tc>
          <w:tcPr>
            <w:tcW w:w="744" w:type="dxa"/>
          </w:tcPr>
          <w:p w14:paraId="04D76A6A">
            <w:pPr>
              <w:spacing w:line="360" w:lineRule="auto"/>
              <w:rPr>
                <w:rFonts w:eastAsia="微软雅黑"/>
                <w:sz w:val="22"/>
              </w:rPr>
            </w:pPr>
            <w:r>
              <w:rPr>
                <w:rFonts w:eastAsia="微软雅黑"/>
                <w:sz w:val="22"/>
                <w:szCs w:val="22"/>
              </w:rPr>
              <w:t xml:space="preserve">15 </w:t>
            </w:r>
          </w:p>
        </w:tc>
        <w:tc>
          <w:tcPr>
            <w:tcW w:w="1653" w:type="dxa"/>
          </w:tcPr>
          <w:p w14:paraId="444A1E01">
            <w:pPr>
              <w:rPr>
                <w:rFonts w:eastAsia="微软雅黑"/>
                <w:sz w:val="22"/>
              </w:rPr>
            </w:pPr>
            <w:r>
              <w:rPr>
                <w:rFonts w:eastAsia="微软雅黑"/>
                <w:sz w:val="22"/>
                <w:szCs w:val="22"/>
              </w:rPr>
              <w:t xml:space="preserve">Surroundings of the colon middle artery </w:t>
            </w:r>
          </w:p>
        </w:tc>
        <w:tc>
          <w:tcPr>
            <w:tcW w:w="6284" w:type="dxa"/>
          </w:tcPr>
          <w:p w14:paraId="066C766C">
            <w:pPr>
              <w:rPr>
                <w:rFonts w:eastAsia="微软雅黑"/>
                <w:sz w:val="22"/>
              </w:rPr>
            </w:pPr>
            <w:r>
              <w:rPr>
                <w:rFonts w:eastAsia="微软雅黑"/>
                <w:sz w:val="22"/>
                <w:szCs w:val="22"/>
              </w:rPr>
              <w:t xml:space="preserve">Lymph gland that is in the surroundings of the colon middle artery </w:t>
            </w:r>
          </w:p>
        </w:tc>
      </w:tr>
      <w:tr w14:paraId="541F2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744" w:type="dxa"/>
          </w:tcPr>
          <w:p w14:paraId="6B348573">
            <w:pPr>
              <w:spacing w:line="360" w:lineRule="auto"/>
              <w:rPr>
                <w:rFonts w:eastAsia="微软雅黑"/>
                <w:sz w:val="22"/>
              </w:rPr>
            </w:pPr>
            <w:r>
              <w:rPr>
                <w:rFonts w:eastAsia="微软雅黑"/>
                <w:sz w:val="22"/>
                <w:szCs w:val="22"/>
              </w:rPr>
              <w:t xml:space="preserve">16a1 </w:t>
            </w:r>
          </w:p>
        </w:tc>
        <w:tc>
          <w:tcPr>
            <w:tcW w:w="1653" w:type="dxa"/>
          </w:tcPr>
          <w:p w14:paraId="2C3247A6">
            <w:pPr>
              <w:rPr>
                <w:rFonts w:eastAsia="微软雅黑"/>
                <w:sz w:val="22"/>
              </w:rPr>
            </w:pPr>
            <w:r>
              <w:rPr>
                <w:rFonts w:eastAsia="微软雅黑"/>
                <w:sz w:val="22"/>
                <w:szCs w:val="22"/>
              </w:rPr>
              <w:t xml:space="preserve">Surroundings of the abdominal aorta a1 </w:t>
            </w:r>
          </w:p>
        </w:tc>
        <w:tc>
          <w:tcPr>
            <w:tcW w:w="6284" w:type="dxa"/>
          </w:tcPr>
          <w:p w14:paraId="00D6B2BB">
            <w:pPr>
              <w:rPr>
                <w:rFonts w:eastAsia="微软雅黑"/>
                <w:sz w:val="22"/>
              </w:rPr>
            </w:pPr>
            <w:r>
              <w:rPr>
                <w:rFonts w:eastAsia="微软雅黑"/>
                <w:sz w:val="22"/>
                <w:szCs w:val="22"/>
              </w:rPr>
              <w:t xml:space="preserve">Lymph gland that is in the surroundings of the aorta gap (4 to 5 cm wide in the surroundings of the medial crus of the diaphragm) </w:t>
            </w:r>
          </w:p>
        </w:tc>
      </w:tr>
      <w:tr w14:paraId="63CC2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744" w:type="dxa"/>
          </w:tcPr>
          <w:p w14:paraId="5C61E85B">
            <w:pPr>
              <w:spacing w:line="360" w:lineRule="auto"/>
              <w:rPr>
                <w:rFonts w:eastAsia="微软雅黑"/>
                <w:sz w:val="22"/>
              </w:rPr>
            </w:pPr>
            <w:r>
              <w:rPr>
                <w:rFonts w:eastAsia="微软雅黑"/>
                <w:sz w:val="22"/>
                <w:szCs w:val="22"/>
              </w:rPr>
              <w:t xml:space="preserve">16a2 </w:t>
            </w:r>
          </w:p>
        </w:tc>
        <w:tc>
          <w:tcPr>
            <w:tcW w:w="1653" w:type="dxa"/>
          </w:tcPr>
          <w:p w14:paraId="7F23F950">
            <w:pPr>
              <w:rPr>
                <w:rFonts w:eastAsia="微软雅黑"/>
                <w:sz w:val="22"/>
              </w:rPr>
            </w:pPr>
            <w:r>
              <w:rPr>
                <w:rFonts w:eastAsia="微软雅黑"/>
                <w:sz w:val="22"/>
                <w:szCs w:val="22"/>
              </w:rPr>
              <w:t xml:space="preserve">Surroundings of the abdominal aorta a2 </w:t>
            </w:r>
          </w:p>
        </w:tc>
        <w:tc>
          <w:tcPr>
            <w:tcW w:w="6284" w:type="dxa"/>
          </w:tcPr>
          <w:p w14:paraId="002B3E1A">
            <w:pPr>
              <w:rPr>
                <w:rFonts w:eastAsia="微软雅黑"/>
                <w:sz w:val="22"/>
              </w:rPr>
            </w:pPr>
            <w:r>
              <w:rPr>
                <w:rFonts w:eastAsia="微软雅黑"/>
                <w:sz w:val="22"/>
                <w:szCs w:val="22"/>
              </w:rPr>
              <w:t xml:space="preserve">Lymph gland that is in the surroundings of the aorta from the upper margin of the abdominal artery root to the lower margin of the left renal vein </w:t>
            </w:r>
          </w:p>
        </w:tc>
      </w:tr>
      <w:tr w14:paraId="52949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744" w:type="dxa"/>
          </w:tcPr>
          <w:p w14:paraId="33ECE183">
            <w:pPr>
              <w:spacing w:line="360" w:lineRule="auto"/>
              <w:rPr>
                <w:rFonts w:eastAsia="微软雅黑"/>
                <w:sz w:val="22"/>
              </w:rPr>
            </w:pPr>
            <w:r>
              <w:rPr>
                <w:rFonts w:eastAsia="微软雅黑"/>
                <w:sz w:val="22"/>
                <w:szCs w:val="22"/>
              </w:rPr>
              <w:t xml:space="preserve">16b1 </w:t>
            </w:r>
          </w:p>
        </w:tc>
        <w:tc>
          <w:tcPr>
            <w:tcW w:w="1653" w:type="dxa"/>
          </w:tcPr>
          <w:p w14:paraId="1D551FA4">
            <w:pPr>
              <w:rPr>
                <w:rFonts w:eastAsia="微软雅黑"/>
                <w:sz w:val="22"/>
              </w:rPr>
            </w:pPr>
            <w:r>
              <w:rPr>
                <w:rFonts w:eastAsia="微软雅黑"/>
                <w:sz w:val="22"/>
                <w:szCs w:val="22"/>
              </w:rPr>
              <w:t xml:space="preserve">Surroundings of the abdominal aorta b1 </w:t>
            </w:r>
          </w:p>
        </w:tc>
        <w:tc>
          <w:tcPr>
            <w:tcW w:w="6284" w:type="dxa"/>
          </w:tcPr>
          <w:p w14:paraId="4EAFBAD9">
            <w:pPr>
              <w:rPr>
                <w:rFonts w:eastAsia="微软雅黑"/>
                <w:sz w:val="22"/>
              </w:rPr>
            </w:pPr>
            <w:r>
              <w:rPr>
                <w:rFonts w:eastAsia="微软雅黑"/>
                <w:sz w:val="22"/>
                <w:szCs w:val="22"/>
              </w:rPr>
              <w:t>Lymph gland that is in the surroundings of the aorta from the lower margin of the left renal vein to the upper margin of the inferior mesenteric artery root</w:t>
            </w:r>
          </w:p>
        </w:tc>
      </w:tr>
      <w:tr w14:paraId="7B6E9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744" w:type="dxa"/>
          </w:tcPr>
          <w:p w14:paraId="41DA92CE">
            <w:pPr>
              <w:spacing w:line="360" w:lineRule="auto"/>
              <w:rPr>
                <w:rFonts w:eastAsia="微软雅黑"/>
                <w:sz w:val="22"/>
              </w:rPr>
            </w:pPr>
            <w:r>
              <w:rPr>
                <w:rFonts w:eastAsia="微软雅黑"/>
                <w:sz w:val="22"/>
                <w:szCs w:val="22"/>
              </w:rPr>
              <w:t xml:space="preserve">16b2 </w:t>
            </w:r>
          </w:p>
        </w:tc>
        <w:tc>
          <w:tcPr>
            <w:tcW w:w="1653" w:type="dxa"/>
          </w:tcPr>
          <w:p w14:paraId="3573ADAA">
            <w:pPr>
              <w:rPr>
                <w:rFonts w:eastAsia="微软雅黑"/>
                <w:sz w:val="22"/>
              </w:rPr>
            </w:pPr>
            <w:r>
              <w:rPr>
                <w:rFonts w:eastAsia="微软雅黑"/>
                <w:sz w:val="22"/>
                <w:szCs w:val="22"/>
              </w:rPr>
              <w:t>Surroundings of the abdominal aorta b2</w:t>
            </w:r>
          </w:p>
        </w:tc>
        <w:tc>
          <w:tcPr>
            <w:tcW w:w="6284" w:type="dxa"/>
          </w:tcPr>
          <w:p w14:paraId="20C8DE7D">
            <w:pPr>
              <w:rPr>
                <w:rFonts w:eastAsia="微软雅黑"/>
                <w:sz w:val="22"/>
              </w:rPr>
            </w:pPr>
            <w:r>
              <w:rPr>
                <w:rFonts w:eastAsia="微软雅黑"/>
                <w:sz w:val="22"/>
                <w:szCs w:val="22"/>
              </w:rPr>
              <w:t xml:space="preserve">Lymph gland that is in the surroundings of the aorta from the upper margin of the inferior mesenteric artery root to the branch of aorta </w:t>
            </w:r>
          </w:p>
        </w:tc>
      </w:tr>
      <w:tr w14:paraId="1F1D7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trPr>
        <w:tc>
          <w:tcPr>
            <w:tcW w:w="744" w:type="dxa"/>
          </w:tcPr>
          <w:p w14:paraId="3E4FC344">
            <w:pPr>
              <w:spacing w:line="360" w:lineRule="auto"/>
              <w:rPr>
                <w:rFonts w:eastAsia="微软雅黑"/>
                <w:sz w:val="22"/>
              </w:rPr>
            </w:pPr>
            <w:r>
              <w:rPr>
                <w:rFonts w:eastAsia="微软雅黑"/>
                <w:sz w:val="22"/>
                <w:szCs w:val="22"/>
              </w:rPr>
              <w:t xml:space="preserve">17 </w:t>
            </w:r>
          </w:p>
        </w:tc>
        <w:tc>
          <w:tcPr>
            <w:tcW w:w="1653" w:type="dxa"/>
          </w:tcPr>
          <w:p w14:paraId="3ACBD92D">
            <w:pPr>
              <w:rPr>
                <w:rFonts w:eastAsia="微软雅黑"/>
                <w:sz w:val="22"/>
              </w:rPr>
            </w:pPr>
            <w:r>
              <w:rPr>
                <w:rFonts w:eastAsia="微软雅黑"/>
                <w:sz w:val="22"/>
                <w:szCs w:val="22"/>
              </w:rPr>
              <w:t xml:space="preserve">Front of the pancreatic </w:t>
            </w:r>
          </w:p>
          <w:p w14:paraId="672C5C4D">
            <w:pPr>
              <w:rPr>
                <w:rFonts w:eastAsia="微软雅黑"/>
                <w:sz w:val="22"/>
              </w:rPr>
            </w:pPr>
            <w:r>
              <w:rPr>
                <w:rFonts w:eastAsia="微软雅黑"/>
                <w:sz w:val="22"/>
                <w:szCs w:val="22"/>
              </w:rPr>
              <w:t xml:space="preserve">head </w:t>
            </w:r>
          </w:p>
        </w:tc>
        <w:tc>
          <w:tcPr>
            <w:tcW w:w="6284" w:type="dxa"/>
          </w:tcPr>
          <w:p w14:paraId="141385CB">
            <w:pPr>
              <w:rPr>
                <w:rFonts w:eastAsia="微软雅黑"/>
                <w:sz w:val="22"/>
              </w:rPr>
            </w:pPr>
            <w:r>
              <w:rPr>
                <w:rFonts w:eastAsia="微软雅黑"/>
                <w:sz w:val="22"/>
                <w:szCs w:val="22"/>
              </w:rPr>
              <w:t xml:space="preserve">Lymph gland that is in the front of the pancreatic head, next to the pancreas and under the pancreatic capsule </w:t>
            </w:r>
          </w:p>
        </w:tc>
      </w:tr>
      <w:tr w14:paraId="7B5CF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trPr>
        <w:tc>
          <w:tcPr>
            <w:tcW w:w="744" w:type="dxa"/>
          </w:tcPr>
          <w:p w14:paraId="08F04FC5">
            <w:pPr>
              <w:spacing w:line="360" w:lineRule="auto"/>
              <w:rPr>
                <w:rFonts w:eastAsia="微软雅黑"/>
                <w:sz w:val="22"/>
              </w:rPr>
            </w:pPr>
            <w:r>
              <w:rPr>
                <w:rFonts w:eastAsia="微软雅黑"/>
                <w:sz w:val="22"/>
                <w:szCs w:val="22"/>
              </w:rPr>
              <w:t xml:space="preserve">18 </w:t>
            </w:r>
          </w:p>
        </w:tc>
        <w:tc>
          <w:tcPr>
            <w:tcW w:w="1653" w:type="dxa"/>
          </w:tcPr>
          <w:p w14:paraId="386EE788">
            <w:pPr>
              <w:rPr>
                <w:rFonts w:eastAsia="微软雅黑"/>
                <w:sz w:val="22"/>
              </w:rPr>
            </w:pPr>
            <w:r>
              <w:rPr>
                <w:rFonts w:eastAsia="微软雅黑"/>
                <w:sz w:val="22"/>
                <w:szCs w:val="22"/>
              </w:rPr>
              <w:t xml:space="preserve">Below the </w:t>
            </w:r>
          </w:p>
          <w:p w14:paraId="76AFE080">
            <w:pPr>
              <w:rPr>
                <w:rFonts w:eastAsia="微软雅黑"/>
                <w:sz w:val="22"/>
              </w:rPr>
            </w:pPr>
            <w:r>
              <w:rPr>
                <w:rFonts w:eastAsia="微软雅黑"/>
                <w:sz w:val="22"/>
                <w:szCs w:val="22"/>
              </w:rPr>
              <w:t xml:space="preserve">pancreas </w:t>
            </w:r>
          </w:p>
        </w:tc>
        <w:tc>
          <w:tcPr>
            <w:tcW w:w="6284" w:type="dxa"/>
          </w:tcPr>
          <w:p w14:paraId="2601E750">
            <w:pPr>
              <w:rPr>
                <w:rFonts w:eastAsia="微软雅黑"/>
                <w:sz w:val="22"/>
              </w:rPr>
            </w:pPr>
            <w:r>
              <w:rPr>
                <w:rFonts w:eastAsia="微软雅黑"/>
                <w:sz w:val="22"/>
                <w:szCs w:val="22"/>
              </w:rPr>
              <w:t xml:space="preserve">Lymph gland that is in the lower margin of the pancreas </w:t>
            </w:r>
          </w:p>
        </w:tc>
      </w:tr>
      <w:tr w14:paraId="219A4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trPr>
        <w:tc>
          <w:tcPr>
            <w:tcW w:w="744" w:type="dxa"/>
          </w:tcPr>
          <w:p w14:paraId="733263DD">
            <w:pPr>
              <w:spacing w:line="360" w:lineRule="auto"/>
              <w:rPr>
                <w:rFonts w:eastAsia="微软雅黑"/>
                <w:sz w:val="22"/>
              </w:rPr>
            </w:pPr>
            <w:r>
              <w:rPr>
                <w:rFonts w:eastAsia="微软雅黑"/>
                <w:sz w:val="22"/>
                <w:szCs w:val="22"/>
              </w:rPr>
              <w:t xml:space="preserve">19 </w:t>
            </w:r>
          </w:p>
        </w:tc>
        <w:tc>
          <w:tcPr>
            <w:tcW w:w="1653" w:type="dxa"/>
          </w:tcPr>
          <w:p w14:paraId="386D82BD">
            <w:pPr>
              <w:rPr>
                <w:rFonts w:eastAsia="微软雅黑"/>
                <w:sz w:val="22"/>
              </w:rPr>
            </w:pPr>
            <w:r>
              <w:rPr>
                <w:rFonts w:eastAsia="微软雅黑"/>
                <w:sz w:val="22"/>
                <w:szCs w:val="22"/>
              </w:rPr>
              <w:t xml:space="preserve">Below the diaphragm </w:t>
            </w:r>
          </w:p>
        </w:tc>
        <w:tc>
          <w:tcPr>
            <w:tcW w:w="6284" w:type="dxa"/>
          </w:tcPr>
          <w:p w14:paraId="79FE1E08">
            <w:pPr>
              <w:rPr>
                <w:rFonts w:eastAsia="微软雅黑"/>
                <w:sz w:val="22"/>
              </w:rPr>
            </w:pPr>
            <w:r>
              <w:rPr>
                <w:rFonts w:eastAsia="微软雅黑"/>
                <w:sz w:val="22"/>
                <w:szCs w:val="22"/>
              </w:rPr>
              <w:t xml:space="preserve">Lymph gland that is in the cavity of the diaphragm and along the lower side of the diaphragmatic artery </w:t>
            </w:r>
          </w:p>
        </w:tc>
      </w:tr>
      <w:tr w14:paraId="00A5B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trPr>
        <w:tc>
          <w:tcPr>
            <w:tcW w:w="744" w:type="dxa"/>
          </w:tcPr>
          <w:p w14:paraId="51A7F2E4">
            <w:pPr>
              <w:spacing w:line="360" w:lineRule="auto"/>
              <w:rPr>
                <w:rFonts w:eastAsia="微软雅黑"/>
                <w:sz w:val="22"/>
              </w:rPr>
            </w:pPr>
            <w:r>
              <w:rPr>
                <w:rFonts w:eastAsia="微软雅黑"/>
                <w:sz w:val="22"/>
                <w:szCs w:val="22"/>
              </w:rPr>
              <w:t xml:space="preserve">20 </w:t>
            </w:r>
          </w:p>
        </w:tc>
        <w:tc>
          <w:tcPr>
            <w:tcW w:w="1653" w:type="dxa"/>
          </w:tcPr>
          <w:p w14:paraId="5BD23B2B">
            <w:pPr>
              <w:rPr>
                <w:rFonts w:eastAsia="微软雅黑"/>
                <w:sz w:val="22"/>
              </w:rPr>
            </w:pPr>
            <w:r>
              <w:rPr>
                <w:rFonts w:eastAsia="微软雅黑"/>
                <w:sz w:val="22"/>
                <w:szCs w:val="22"/>
              </w:rPr>
              <w:t xml:space="preserve">Hiatal part of the gullet </w:t>
            </w:r>
          </w:p>
        </w:tc>
        <w:tc>
          <w:tcPr>
            <w:tcW w:w="6284" w:type="dxa"/>
          </w:tcPr>
          <w:p w14:paraId="352AA6C7">
            <w:pPr>
              <w:rPr>
                <w:rFonts w:eastAsia="微软雅黑"/>
                <w:sz w:val="22"/>
              </w:rPr>
            </w:pPr>
            <w:r>
              <w:rPr>
                <w:rFonts w:eastAsia="微软雅黑"/>
                <w:sz w:val="22"/>
                <w:szCs w:val="22"/>
              </w:rPr>
              <w:t xml:space="preserve">Lymph gland that connects the hiatal part of diaphragm to the gullet </w:t>
            </w:r>
          </w:p>
        </w:tc>
      </w:tr>
      <w:tr w14:paraId="71DB1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trPr>
        <w:tc>
          <w:tcPr>
            <w:tcW w:w="744" w:type="dxa"/>
          </w:tcPr>
          <w:p w14:paraId="345B549B">
            <w:pPr>
              <w:spacing w:line="360" w:lineRule="auto"/>
              <w:rPr>
                <w:rFonts w:eastAsia="微软雅黑"/>
                <w:sz w:val="22"/>
              </w:rPr>
            </w:pPr>
            <w:r>
              <w:rPr>
                <w:rFonts w:eastAsia="微软雅黑"/>
                <w:sz w:val="22"/>
                <w:szCs w:val="22"/>
              </w:rPr>
              <w:t xml:space="preserve">110 </w:t>
            </w:r>
          </w:p>
        </w:tc>
        <w:tc>
          <w:tcPr>
            <w:tcW w:w="1653" w:type="dxa"/>
          </w:tcPr>
          <w:p w14:paraId="2034842D">
            <w:pPr>
              <w:rPr>
                <w:rFonts w:eastAsia="微软雅黑"/>
                <w:sz w:val="22"/>
              </w:rPr>
            </w:pPr>
            <w:r>
              <w:rPr>
                <w:rFonts w:eastAsia="微软雅黑"/>
                <w:sz w:val="22"/>
                <w:szCs w:val="22"/>
              </w:rPr>
              <w:t xml:space="preserve">Beside the lower gullet </w:t>
            </w:r>
          </w:p>
        </w:tc>
        <w:tc>
          <w:tcPr>
            <w:tcW w:w="6284" w:type="dxa"/>
          </w:tcPr>
          <w:p w14:paraId="30036105">
            <w:pPr>
              <w:rPr>
                <w:rFonts w:eastAsia="微软雅黑"/>
                <w:sz w:val="22"/>
              </w:rPr>
            </w:pPr>
            <w:r>
              <w:rPr>
                <w:rFonts w:eastAsia="微软雅黑"/>
                <w:sz w:val="22"/>
                <w:szCs w:val="22"/>
              </w:rPr>
              <w:t xml:space="preserve">Lymph gland that departs from the diaphragm and is next to the lower gullet </w:t>
            </w:r>
          </w:p>
        </w:tc>
      </w:tr>
      <w:tr w14:paraId="0FB46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744" w:type="dxa"/>
          </w:tcPr>
          <w:p w14:paraId="483F6F12">
            <w:pPr>
              <w:spacing w:line="360" w:lineRule="auto"/>
              <w:rPr>
                <w:rFonts w:eastAsia="微软雅黑"/>
                <w:sz w:val="22"/>
              </w:rPr>
            </w:pPr>
            <w:r>
              <w:rPr>
                <w:rFonts w:eastAsia="微软雅黑"/>
                <w:sz w:val="22"/>
                <w:szCs w:val="22"/>
              </w:rPr>
              <w:t xml:space="preserve">111 </w:t>
            </w:r>
          </w:p>
        </w:tc>
        <w:tc>
          <w:tcPr>
            <w:tcW w:w="1653" w:type="dxa"/>
          </w:tcPr>
          <w:p w14:paraId="5ED1069C">
            <w:pPr>
              <w:rPr>
                <w:rFonts w:eastAsia="微软雅黑"/>
                <w:sz w:val="22"/>
              </w:rPr>
            </w:pPr>
            <w:r>
              <w:rPr>
                <w:rFonts w:eastAsia="微软雅黑"/>
                <w:sz w:val="22"/>
                <w:szCs w:val="22"/>
              </w:rPr>
              <w:t xml:space="preserve">Above the diaphragm </w:t>
            </w:r>
          </w:p>
        </w:tc>
        <w:tc>
          <w:tcPr>
            <w:tcW w:w="6284" w:type="dxa"/>
          </w:tcPr>
          <w:p w14:paraId="162187F0">
            <w:pPr>
              <w:rPr>
                <w:rFonts w:eastAsia="微软雅黑"/>
                <w:sz w:val="22"/>
              </w:rPr>
            </w:pPr>
            <w:r>
              <w:rPr>
                <w:rFonts w:eastAsia="微软雅黑"/>
                <w:sz w:val="22"/>
                <w:szCs w:val="22"/>
              </w:rPr>
              <w:t xml:space="preserve">Lymph gland that is in the cavity of the diaphragm and departs from the gullet (No. 20 that connects to the diaphragm and gullet) </w:t>
            </w:r>
          </w:p>
        </w:tc>
      </w:tr>
      <w:tr w14:paraId="2BC74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trPr>
        <w:tc>
          <w:tcPr>
            <w:tcW w:w="744" w:type="dxa"/>
          </w:tcPr>
          <w:p w14:paraId="0DEB957D">
            <w:pPr>
              <w:spacing w:line="360" w:lineRule="auto"/>
              <w:rPr>
                <w:rFonts w:eastAsia="微软雅黑"/>
                <w:sz w:val="22"/>
              </w:rPr>
            </w:pPr>
            <w:r>
              <w:rPr>
                <w:rFonts w:eastAsia="微软雅黑"/>
                <w:sz w:val="22"/>
                <w:szCs w:val="22"/>
              </w:rPr>
              <w:t xml:space="preserve">112 </w:t>
            </w:r>
          </w:p>
        </w:tc>
        <w:tc>
          <w:tcPr>
            <w:tcW w:w="1653" w:type="dxa"/>
          </w:tcPr>
          <w:p w14:paraId="1AEFE5A9">
            <w:pPr>
              <w:rPr>
                <w:rFonts w:eastAsia="微软雅黑"/>
                <w:sz w:val="22"/>
              </w:rPr>
            </w:pPr>
            <w:r>
              <w:rPr>
                <w:rFonts w:eastAsia="微软雅黑"/>
                <w:sz w:val="22"/>
                <w:szCs w:val="22"/>
              </w:rPr>
              <w:t xml:space="preserve">Posterior </w:t>
            </w:r>
          </w:p>
          <w:p w14:paraId="5DF21230">
            <w:pPr>
              <w:rPr>
                <w:rFonts w:eastAsia="微软雅黑"/>
                <w:sz w:val="22"/>
              </w:rPr>
            </w:pPr>
            <w:r>
              <w:rPr>
                <w:rFonts w:eastAsia="微软雅黑"/>
                <w:sz w:val="22"/>
                <w:szCs w:val="22"/>
              </w:rPr>
              <w:t xml:space="preserve">mediastinum </w:t>
            </w:r>
          </w:p>
        </w:tc>
        <w:tc>
          <w:tcPr>
            <w:tcW w:w="6284" w:type="dxa"/>
          </w:tcPr>
          <w:p w14:paraId="6888110A">
            <w:pPr>
              <w:rPr>
                <w:rFonts w:eastAsia="微软雅黑"/>
                <w:sz w:val="22"/>
              </w:rPr>
            </w:pPr>
            <w:r>
              <w:rPr>
                <w:rFonts w:eastAsia="微软雅黑"/>
                <w:sz w:val="22"/>
                <w:szCs w:val="22"/>
              </w:rPr>
              <w:t xml:space="preserve">Lymph gland of the posterior mediastinum departed from the gullet and its hiatal portion </w:t>
            </w:r>
          </w:p>
        </w:tc>
      </w:tr>
    </w:tbl>
    <w:p w14:paraId="778D95FE">
      <w:pPr>
        <w:spacing w:line="360" w:lineRule="auto"/>
        <w:rPr>
          <w:rFonts w:eastAsia="微软雅黑"/>
          <w:szCs w:val="21"/>
        </w:rPr>
      </w:pPr>
    </w:p>
    <w:p w14:paraId="701661CA">
      <w:pPr>
        <w:spacing w:line="360" w:lineRule="auto"/>
        <w:rPr>
          <w:rFonts w:eastAsia="微软雅黑"/>
          <w:szCs w:val="21"/>
        </w:rPr>
      </w:pPr>
      <w:r>
        <w:rPr>
          <w:rFonts w:eastAsia="微软雅黑"/>
          <w:szCs w:val="21"/>
        </w:rPr>
        <w:drawing>
          <wp:inline distT="0" distB="0" distL="0" distR="0">
            <wp:extent cx="5375275" cy="363728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32">
                      <a:lum bright="-20000" contrast="40000"/>
                      <a:extLst>
                        <a:ext uri="{28A0092B-C50C-407E-A947-70E740481C1C}">
                          <a14:useLocalDpi xmlns:a14="http://schemas.microsoft.com/office/drawing/2010/main" val="0"/>
                        </a:ext>
                      </a:extLst>
                    </a:blip>
                    <a:srcRect/>
                    <a:stretch>
                      <a:fillRect/>
                    </a:stretch>
                  </pic:blipFill>
                  <pic:spPr>
                    <a:xfrm>
                      <a:off x="0" y="0"/>
                      <a:ext cx="5375275" cy="3637468"/>
                    </a:xfrm>
                    <a:prstGeom prst="rect">
                      <a:avLst/>
                    </a:prstGeom>
                    <a:noFill/>
                    <a:ln>
                      <a:noFill/>
                    </a:ln>
                  </pic:spPr>
                </pic:pic>
              </a:graphicData>
            </a:graphic>
          </wp:inline>
        </w:drawing>
      </w:r>
    </w:p>
    <w:p w14:paraId="350D4991">
      <w:pPr>
        <w:spacing w:line="360" w:lineRule="auto"/>
        <w:rPr>
          <w:rFonts w:eastAsia="微软雅黑"/>
          <w:szCs w:val="21"/>
        </w:rPr>
      </w:pPr>
      <w:r>
        <w:rPr>
          <w:rFonts w:eastAsia="微软雅黑"/>
          <w:szCs w:val="21"/>
        </w:rPr>
        <w:drawing>
          <wp:inline distT="0" distB="0" distL="0" distR="0">
            <wp:extent cx="5375275" cy="238125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33">
                      <a:lum bright="-20000" contrast="40000"/>
                      <a:extLst>
                        <a:ext uri="{28A0092B-C50C-407E-A947-70E740481C1C}">
                          <a14:useLocalDpi xmlns:a14="http://schemas.microsoft.com/office/drawing/2010/main" val="0"/>
                        </a:ext>
                      </a:extLst>
                    </a:blip>
                    <a:srcRect/>
                    <a:stretch>
                      <a:fillRect/>
                    </a:stretch>
                  </pic:blipFill>
                  <pic:spPr>
                    <a:xfrm>
                      <a:off x="0" y="0"/>
                      <a:ext cx="5375275" cy="2381761"/>
                    </a:xfrm>
                    <a:prstGeom prst="rect">
                      <a:avLst/>
                    </a:prstGeom>
                    <a:noFill/>
                    <a:ln>
                      <a:noFill/>
                    </a:ln>
                  </pic:spPr>
                </pic:pic>
              </a:graphicData>
            </a:graphic>
          </wp:inline>
        </w:drawing>
      </w:r>
    </w:p>
    <w:p w14:paraId="7646D9E7">
      <w:pPr>
        <w:spacing w:line="360" w:lineRule="auto"/>
        <w:rPr>
          <w:rFonts w:eastAsia="微软雅黑"/>
          <w:szCs w:val="21"/>
        </w:rPr>
      </w:pPr>
      <w:r>
        <w:rPr>
          <w:rFonts w:eastAsia="微软雅黑"/>
          <w:szCs w:val="21"/>
        </w:rPr>
        <w:drawing>
          <wp:inline distT="0" distB="0" distL="0" distR="0">
            <wp:extent cx="5375275" cy="145034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5375275" cy="1450948"/>
                    </a:xfrm>
                    <a:prstGeom prst="rect">
                      <a:avLst/>
                    </a:prstGeom>
                    <a:noFill/>
                    <a:ln>
                      <a:noFill/>
                    </a:ln>
                  </pic:spPr>
                </pic:pic>
              </a:graphicData>
            </a:graphic>
          </wp:inline>
        </w:drawing>
      </w:r>
    </w:p>
    <w:p w14:paraId="1D4AAC6F">
      <w:pPr>
        <w:spacing w:line="360" w:lineRule="auto"/>
        <w:outlineLvl w:val="0"/>
        <w:rPr>
          <w:rFonts w:eastAsia="微软雅黑"/>
          <w:sz w:val="22"/>
          <w:szCs w:val="22"/>
        </w:rPr>
      </w:pPr>
      <w:bookmarkStart w:id="79" w:name="_Toc15033"/>
      <w:r>
        <w:rPr>
          <w:rFonts w:eastAsia="微软雅黑"/>
          <w:sz w:val="22"/>
          <w:szCs w:val="22"/>
        </w:rPr>
        <w:t>Fig. 4. Lymph node grouping</w:t>
      </w:r>
      <w:bookmarkEnd w:id="79"/>
      <w:r>
        <w:rPr>
          <w:rFonts w:eastAsia="微软雅黑"/>
          <w:sz w:val="22"/>
          <w:szCs w:val="22"/>
        </w:rPr>
        <w:t xml:space="preserve"> </w:t>
      </w:r>
    </w:p>
    <w:p w14:paraId="4D8CAE20">
      <w:pPr>
        <w:spacing w:line="360" w:lineRule="auto"/>
        <w:rPr>
          <w:rFonts w:eastAsia="微软雅黑"/>
          <w:sz w:val="22"/>
          <w:szCs w:val="22"/>
        </w:rPr>
      </w:pPr>
      <w:r>
        <w:rPr>
          <w:rFonts w:eastAsia="微软雅黑"/>
          <w:sz w:val="22"/>
          <w:szCs w:val="22"/>
        </w:rPr>
        <w:t xml:space="preserve">(2) Distant metastasis </w:t>
      </w:r>
    </w:p>
    <w:p w14:paraId="79DC737D">
      <w:pPr>
        <w:spacing w:line="360" w:lineRule="auto"/>
        <w:rPr>
          <w:rFonts w:eastAsia="微软雅黑"/>
          <w:sz w:val="22"/>
          <w:szCs w:val="22"/>
        </w:rPr>
      </w:pPr>
      <w:r>
        <w:rPr>
          <w:rFonts w:eastAsia="Wingdings 2"/>
          <w:sz w:val="24"/>
        </w:rPr>
        <w:t></w:t>
      </w:r>
      <w:r>
        <w:rPr>
          <w:rFonts w:eastAsia="微软雅黑"/>
          <w:sz w:val="22"/>
          <w:szCs w:val="22"/>
        </w:rPr>
        <w:t xml:space="preserve">M0: No distant metastasis outside of the regional LNs </w:t>
      </w:r>
    </w:p>
    <w:p w14:paraId="1107E06D">
      <w:pPr>
        <w:spacing w:line="360" w:lineRule="auto"/>
        <w:rPr>
          <w:rFonts w:eastAsia="微软雅黑"/>
          <w:sz w:val="22"/>
          <w:szCs w:val="22"/>
        </w:rPr>
      </w:pPr>
      <w:r>
        <w:rPr>
          <w:rFonts w:eastAsia="Wingdings 2"/>
          <w:sz w:val="24"/>
        </w:rPr>
        <w:t></w:t>
      </w:r>
      <w:r>
        <w:rPr>
          <w:rFonts w:eastAsia="微软雅黑"/>
          <w:sz w:val="22"/>
          <w:szCs w:val="22"/>
        </w:rPr>
        <w:t xml:space="preserve">M1: Distant metastasis outside of the regional LNs </w:t>
      </w:r>
    </w:p>
    <w:p w14:paraId="45B87E34">
      <w:pPr>
        <w:spacing w:line="360" w:lineRule="auto"/>
        <w:rPr>
          <w:rFonts w:eastAsia="微软雅黑"/>
          <w:sz w:val="22"/>
          <w:szCs w:val="22"/>
        </w:rPr>
      </w:pPr>
      <w:r>
        <w:rPr>
          <w:rFonts w:eastAsia="Wingdings 2"/>
          <w:sz w:val="24"/>
        </w:rPr>
        <w:t></w:t>
      </w:r>
      <w:r>
        <w:rPr>
          <w:rFonts w:eastAsia="微软雅黑"/>
          <w:sz w:val="22"/>
          <w:szCs w:val="22"/>
        </w:rPr>
        <w:t>MX: Presence of distant metastasis is unclear</w:t>
      </w:r>
    </w:p>
    <w:p w14:paraId="5E9DD58E">
      <w:pPr>
        <w:spacing w:line="360" w:lineRule="auto"/>
        <w:ind w:firstLine="440" w:firstLineChars="200"/>
        <w:rPr>
          <w:rFonts w:eastAsia="微软雅黑"/>
          <w:sz w:val="22"/>
          <w:szCs w:val="22"/>
        </w:rPr>
      </w:pPr>
      <w:r>
        <w:rPr>
          <w:rFonts w:eastAsia="微软雅黑"/>
          <w:sz w:val="22"/>
          <w:szCs w:val="22"/>
        </w:rPr>
        <w:t xml:space="preserve">Record the specific sites under the M1 condition: peritoneum (PER), liver (HEP), LN (LYM), skin (SKI), lung (PUL), bone marrow (MAR), bone (OSS), pleura (PLE), brain (BRA) and meninges (MEN), intraperitoneal exfoliated cells (CY), and others (OTH). Note: A positive examination result for intraperitoneal exfoliated cells is recorded as M1. </w:t>
      </w:r>
    </w:p>
    <w:p w14:paraId="2EAA097C">
      <w:pPr>
        <w:spacing w:line="360" w:lineRule="auto"/>
        <w:rPr>
          <w:rFonts w:eastAsia="微软雅黑"/>
          <w:b/>
          <w:sz w:val="22"/>
          <w:szCs w:val="22"/>
        </w:rPr>
      </w:pPr>
      <w:r>
        <w:rPr>
          <w:rFonts w:eastAsia="微软雅黑"/>
          <w:b/>
          <w:sz w:val="22"/>
          <w:szCs w:val="22"/>
        </w:rPr>
        <w:t>9.8.3.2.4 Tumor Staging</w:t>
      </w:r>
    </w:p>
    <w:p w14:paraId="675E3B3D">
      <w:pPr>
        <w:spacing w:line="360" w:lineRule="auto"/>
        <w:rPr>
          <w:rFonts w:eastAsia="微软雅黑"/>
          <w:b/>
          <w:szCs w:val="21"/>
        </w:rPr>
      </w:pPr>
      <w:r>
        <w:drawing>
          <wp:inline distT="0" distB="0" distL="0" distR="0">
            <wp:extent cx="5375275" cy="197739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35"/>
                    <a:stretch>
                      <a:fillRect/>
                    </a:stretch>
                  </pic:blipFill>
                  <pic:spPr>
                    <a:xfrm>
                      <a:off x="0" y="0"/>
                      <a:ext cx="5375275" cy="1977390"/>
                    </a:xfrm>
                    <a:prstGeom prst="rect">
                      <a:avLst/>
                    </a:prstGeom>
                  </pic:spPr>
                </pic:pic>
              </a:graphicData>
            </a:graphic>
          </wp:inline>
        </w:drawing>
      </w:r>
    </w:p>
    <w:p w14:paraId="12721058">
      <w:pPr>
        <w:spacing w:line="360" w:lineRule="auto"/>
        <w:rPr>
          <w:rFonts w:eastAsia="微软雅黑"/>
          <w:b/>
          <w:sz w:val="22"/>
          <w:szCs w:val="22"/>
        </w:rPr>
      </w:pPr>
      <w:r>
        <w:rPr>
          <w:rFonts w:eastAsia="微软雅黑"/>
          <w:b/>
          <w:sz w:val="22"/>
          <w:szCs w:val="22"/>
        </w:rPr>
        <w:t>9.8.3.3 Pathologic types and classifications</w:t>
      </w:r>
    </w:p>
    <w:p w14:paraId="3FF4BFF4">
      <w:pPr>
        <w:spacing w:line="360" w:lineRule="auto"/>
        <w:rPr>
          <w:rFonts w:eastAsia="微软雅黑"/>
          <w:b/>
          <w:sz w:val="22"/>
          <w:szCs w:val="22"/>
        </w:rPr>
      </w:pPr>
      <w:r>
        <w:rPr>
          <w:rFonts w:eastAsia="微软雅黑"/>
          <w:b/>
          <w:sz w:val="22"/>
          <w:szCs w:val="22"/>
        </w:rPr>
        <w:t>9.8.3.3.1 Type</w:t>
      </w:r>
    </w:p>
    <w:p w14:paraId="02A3347A">
      <w:pPr>
        <w:spacing w:line="360" w:lineRule="auto"/>
        <w:outlineLvl w:val="0"/>
        <w:rPr>
          <w:rFonts w:eastAsia="微软雅黑"/>
          <w:sz w:val="22"/>
          <w:szCs w:val="22"/>
        </w:rPr>
      </w:pPr>
      <w:bookmarkStart w:id="80" w:name="_Toc27602"/>
      <w:r>
        <w:rPr>
          <w:rFonts w:eastAsia="Wingdings 2"/>
          <w:sz w:val="24"/>
        </w:rPr>
        <w:t></w:t>
      </w:r>
      <w:r>
        <w:rPr>
          <w:rFonts w:eastAsia="微软雅黑"/>
          <w:sz w:val="22"/>
          <w:szCs w:val="22"/>
        </w:rPr>
        <w:t>Papillary adenocarcinoma</w:t>
      </w:r>
      <w:bookmarkEnd w:id="80"/>
    </w:p>
    <w:p w14:paraId="5BFA27FE">
      <w:pPr>
        <w:spacing w:line="360" w:lineRule="auto"/>
        <w:rPr>
          <w:rFonts w:eastAsia="微软雅黑"/>
          <w:sz w:val="22"/>
          <w:szCs w:val="22"/>
        </w:rPr>
      </w:pPr>
      <w:r>
        <w:rPr>
          <w:rFonts w:eastAsia="Wingdings 2"/>
          <w:sz w:val="24"/>
        </w:rPr>
        <w:t></w:t>
      </w:r>
      <w:r>
        <w:rPr>
          <w:rFonts w:eastAsia="微软雅黑"/>
          <w:sz w:val="22"/>
          <w:szCs w:val="22"/>
        </w:rPr>
        <w:t>Tubular adenocarcinoma</w:t>
      </w:r>
    </w:p>
    <w:p w14:paraId="0CB6A076">
      <w:pPr>
        <w:spacing w:line="360" w:lineRule="auto"/>
        <w:rPr>
          <w:rFonts w:eastAsia="微软雅黑"/>
          <w:sz w:val="22"/>
          <w:szCs w:val="22"/>
        </w:rPr>
      </w:pPr>
      <w:r>
        <w:rPr>
          <w:rFonts w:eastAsia="Wingdings 2"/>
          <w:sz w:val="24"/>
        </w:rPr>
        <w:t></w:t>
      </w:r>
      <w:r>
        <w:rPr>
          <w:rFonts w:eastAsia="微软雅黑"/>
          <w:sz w:val="22"/>
          <w:szCs w:val="22"/>
        </w:rPr>
        <w:t>Mucinous adenocarcinoma</w:t>
      </w:r>
    </w:p>
    <w:p w14:paraId="2F55BBCA">
      <w:pPr>
        <w:spacing w:line="360" w:lineRule="auto"/>
        <w:rPr>
          <w:rFonts w:eastAsia="微软雅黑"/>
          <w:sz w:val="22"/>
          <w:szCs w:val="22"/>
        </w:rPr>
      </w:pPr>
      <w:r>
        <w:rPr>
          <w:rFonts w:eastAsia="Wingdings 2"/>
          <w:sz w:val="24"/>
        </w:rPr>
        <w:t></w:t>
      </w:r>
      <w:r>
        <w:rPr>
          <w:rFonts w:eastAsia="微软雅黑"/>
          <w:sz w:val="22"/>
          <w:szCs w:val="22"/>
        </w:rPr>
        <w:t>Signet ring cell carcinoma</w:t>
      </w:r>
    </w:p>
    <w:p w14:paraId="64DC9EE2">
      <w:pPr>
        <w:spacing w:line="360" w:lineRule="auto"/>
        <w:rPr>
          <w:rFonts w:eastAsia="微软雅黑"/>
          <w:sz w:val="22"/>
          <w:szCs w:val="22"/>
        </w:rPr>
      </w:pPr>
      <w:r>
        <w:rPr>
          <w:rFonts w:eastAsia="Wingdings 2"/>
          <w:sz w:val="24"/>
        </w:rPr>
        <w:t></w:t>
      </w:r>
      <w:r>
        <w:rPr>
          <w:rFonts w:eastAsia="微软雅黑"/>
          <w:sz w:val="22"/>
          <w:szCs w:val="22"/>
        </w:rPr>
        <w:t>Poorly differentiated carcinoma</w:t>
      </w:r>
    </w:p>
    <w:p w14:paraId="259E22AF">
      <w:pPr>
        <w:spacing w:line="360" w:lineRule="auto"/>
        <w:outlineLvl w:val="0"/>
        <w:rPr>
          <w:rFonts w:eastAsia="微软雅黑"/>
          <w:b/>
          <w:sz w:val="22"/>
          <w:szCs w:val="22"/>
        </w:rPr>
      </w:pPr>
      <w:bookmarkStart w:id="81" w:name="_Toc30553"/>
      <w:r>
        <w:rPr>
          <w:rFonts w:eastAsia="微软雅黑"/>
          <w:b/>
          <w:sz w:val="22"/>
          <w:szCs w:val="22"/>
        </w:rPr>
        <w:t>9.8.3.3.2 Grading</w:t>
      </w:r>
      <w:bookmarkEnd w:id="81"/>
      <w:r>
        <w:rPr>
          <w:rFonts w:eastAsia="微软雅黑"/>
          <w:b/>
          <w:sz w:val="22"/>
          <w:szCs w:val="22"/>
        </w:rPr>
        <w:t xml:space="preserve"> </w:t>
      </w:r>
    </w:p>
    <w:p w14:paraId="3835FEC3">
      <w:pPr>
        <w:spacing w:line="360" w:lineRule="auto"/>
        <w:rPr>
          <w:rFonts w:eastAsia="微软雅黑"/>
          <w:sz w:val="22"/>
          <w:szCs w:val="22"/>
        </w:rPr>
      </w:pPr>
      <w:r>
        <w:rPr>
          <w:rFonts w:eastAsia="Wingdings 2"/>
          <w:sz w:val="24"/>
        </w:rPr>
        <w:t></w:t>
      </w:r>
      <w:r>
        <w:rPr>
          <w:rFonts w:eastAsia="微软雅黑"/>
          <w:sz w:val="22"/>
          <w:szCs w:val="22"/>
        </w:rPr>
        <w:t xml:space="preserve">GX classification is not possible to assess </w:t>
      </w:r>
    </w:p>
    <w:p w14:paraId="05799E50">
      <w:pPr>
        <w:spacing w:line="360" w:lineRule="auto"/>
        <w:rPr>
          <w:rFonts w:eastAsia="微软雅黑"/>
          <w:sz w:val="22"/>
          <w:szCs w:val="22"/>
        </w:rPr>
      </w:pPr>
      <w:r>
        <w:rPr>
          <w:rFonts w:eastAsia="Wingdings 2"/>
          <w:sz w:val="24"/>
        </w:rPr>
        <w:t></w:t>
      </w:r>
      <w:r>
        <w:rPr>
          <w:rFonts w:eastAsia="微软雅黑"/>
          <w:sz w:val="22"/>
          <w:szCs w:val="22"/>
        </w:rPr>
        <w:t xml:space="preserve">G1 well-differentiated </w:t>
      </w:r>
    </w:p>
    <w:p w14:paraId="0FD244BA">
      <w:pPr>
        <w:spacing w:line="360" w:lineRule="auto"/>
        <w:rPr>
          <w:rFonts w:eastAsia="微软雅黑"/>
          <w:sz w:val="22"/>
          <w:szCs w:val="22"/>
        </w:rPr>
      </w:pPr>
      <w:r>
        <w:rPr>
          <w:rFonts w:eastAsia="Wingdings 2"/>
          <w:sz w:val="24"/>
        </w:rPr>
        <w:t></w:t>
      </w:r>
      <w:r>
        <w:rPr>
          <w:rFonts w:eastAsia="微软雅黑"/>
          <w:sz w:val="22"/>
          <w:szCs w:val="22"/>
        </w:rPr>
        <w:t xml:space="preserve">G2 moderately differentiated </w:t>
      </w:r>
    </w:p>
    <w:p w14:paraId="2A37C0DC">
      <w:pPr>
        <w:spacing w:line="360" w:lineRule="auto"/>
        <w:rPr>
          <w:rFonts w:eastAsia="微软雅黑"/>
          <w:sz w:val="22"/>
          <w:szCs w:val="22"/>
        </w:rPr>
      </w:pPr>
      <w:r>
        <w:rPr>
          <w:rFonts w:eastAsia="Wingdings 2"/>
          <w:sz w:val="24"/>
        </w:rPr>
        <w:t></w:t>
      </w:r>
      <w:r>
        <w:rPr>
          <w:rFonts w:eastAsia="微软雅黑"/>
          <w:sz w:val="22"/>
          <w:szCs w:val="22"/>
        </w:rPr>
        <w:t xml:space="preserve">G3 poorly differentiated </w:t>
      </w:r>
    </w:p>
    <w:p w14:paraId="589998EC">
      <w:pPr>
        <w:spacing w:line="360" w:lineRule="auto"/>
        <w:rPr>
          <w:rFonts w:eastAsia="微软雅黑"/>
          <w:b/>
          <w:sz w:val="22"/>
          <w:szCs w:val="22"/>
        </w:rPr>
      </w:pPr>
      <w:r>
        <w:rPr>
          <w:rFonts w:eastAsia="Wingdings 2"/>
          <w:sz w:val="24"/>
        </w:rPr>
        <w:t></w:t>
      </w:r>
      <w:r>
        <w:rPr>
          <w:rFonts w:eastAsia="微软雅黑"/>
          <w:sz w:val="22"/>
          <w:szCs w:val="22"/>
        </w:rPr>
        <w:t xml:space="preserve">G4 undifferentiated </w:t>
      </w:r>
    </w:p>
    <w:p w14:paraId="7BA961C2">
      <w:pPr>
        <w:spacing w:line="360" w:lineRule="auto"/>
        <w:rPr>
          <w:rFonts w:eastAsia="微软雅黑"/>
          <w:b/>
          <w:sz w:val="22"/>
          <w:szCs w:val="22"/>
        </w:rPr>
      </w:pPr>
      <w:r>
        <w:rPr>
          <w:rFonts w:eastAsia="微软雅黑"/>
          <w:b/>
          <w:sz w:val="22"/>
          <w:szCs w:val="22"/>
        </w:rPr>
        <w:t xml:space="preserve">9.8.3.4 Evaluation of Radical Level (Degree) </w:t>
      </w:r>
    </w:p>
    <w:p w14:paraId="0B150920">
      <w:pPr>
        <w:spacing w:line="360" w:lineRule="auto"/>
        <w:rPr>
          <w:rFonts w:eastAsia="微软雅黑"/>
          <w:b/>
          <w:sz w:val="22"/>
          <w:szCs w:val="22"/>
        </w:rPr>
      </w:pPr>
      <w:r>
        <w:rPr>
          <w:rFonts w:eastAsia="微软雅黑"/>
          <w:b/>
          <w:sz w:val="22"/>
          <w:szCs w:val="22"/>
        </w:rPr>
        <w:t>9.8.3.4.1 Recording the Presence or Absence of Cancer Invasion on the Resection Stump</w:t>
      </w:r>
    </w:p>
    <w:p w14:paraId="0CE9CB93">
      <w:pPr>
        <w:spacing w:line="360" w:lineRule="auto"/>
        <w:rPr>
          <w:rFonts w:eastAsia="微软雅黑"/>
          <w:sz w:val="22"/>
          <w:szCs w:val="22"/>
        </w:rPr>
      </w:pPr>
      <w:r>
        <w:rPr>
          <w:rFonts w:eastAsia="微软雅黑"/>
          <w:sz w:val="22"/>
          <w:szCs w:val="22"/>
        </w:rPr>
        <w:t xml:space="preserve">(1) Proximal incisional margin (PM: proximal margin) </w:t>
      </w:r>
    </w:p>
    <w:p w14:paraId="2E4A6624">
      <w:pPr>
        <w:spacing w:line="360" w:lineRule="auto"/>
        <w:rPr>
          <w:rFonts w:eastAsia="微软雅黑"/>
          <w:sz w:val="22"/>
          <w:szCs w:val="22"/>
        </w:rPr>
      </w:pPr>
      <w:r>
        <w:rPr>
          <w:rFonts w:eastAsia="Wingdings 2"/>
          <w:sz w:val="24"/>
        </w:rPr>
        <w:t></w:t>
      </w:r>
      <w:r>
        <w:rPr>
          <w:rFonts w:eastAsia="微软雅黑"/>
          <w:sz w:val="22"/>
          <w:szCs w:val="22"/>
        </w:rPr>
        <w:t xml:space="preserve">PM (-): No cancer invasion found on the proximal incisional margin </w:t>
      </w:r>
    </w:p>
    <w:p w14:paraId="59EFD16B">
      <w:pPr>
        <w:spacing w:line="360" w:lineRule="auto"/>
        <w:rPr>
          <w:rFonts w:eastAsia="微软雅黑"/>
          <w:sz w:val="22"/>
          <w:szCs w:val="22"/>
        </w:rPr>
      </w:pPr>
      <w:r>
        <w:rPr>
          <w:rFonts w:eastAsia="Wingdings 2"/>
          <w:sz w:val="24"/>
        </w:rPr>
        <w:t></w:t>
      </w:r>
      <w:r>
        <w:rPr>
          <w:rFonts w:eastAsia="微软雅黑"/>
          <w:sz w:val="22"/>
          <w:szCs w:val="22"/>
        </w:rPr>
        <w:t xml:space="preserve">PM (+): Cancer invasion found on the proximal incisional margin </w:t>
      </w:r>
    </w:p>
    <w:p w14:paraId="7BCFE1E4">
      <w:pPr>
        <w:spacing w:line="360" w:lineRule="auto"/>
        <w:rPr>
          <w:rFonts w:eastAsia="微软雅黑"/>
          <w:sz w:val="22"/>
          <w:szCs w:val="22"/>
        </w:rPr>
      </w:pPr>
      <w:r>
        <w:rPr>
          <w:rFonts w:eastAsia="Wingdings 2"/>
          <w:sz w:val="24"/>
        </w:rPr>
        <w:t></w:t>
      </w:r>
      <w:r>
        <w:rPr>
          <w:rFonts w:eastAsia="微软雅黑"/>
          <w:sz w:val="22"/>
          <w:szCs w:val="22"/>
        </w:rPr>
        <w:t xml:space="preserve">PM X: Unknown cancer invasion on the proximal incisional margin </w:t>
      </w:r>
    </w:p>
    <w:p w14:paraId="3230A6A1">
      <w:pPr>
        <w:spacing w:line="360" w:lineRule="auto"/>
        <w:rPr>
          <w:rFonts w:eastAsia="微软雅黑"/>
          <w:sz w:val="22"/>
          <w:szCs w:val="22"/>
        </w:rPr>
      </w:pPr>
      <w:r>
        <w:rPr>
          <w:rFonts w:eastAsia="微软雅黑"/>
          <w:sz w:val="22"/>
          <w:szCs w:val="22"/>
        </w:rPr>
        <w:t xml:space="preserve">(2) Distal incisional margin (DM: distal margin) </w:t>
      </w:r>
    </w:p>
    <w:p w14:paraId="4478718E">
      <w:pPr>
        <w:spacing w:line="360" w:lineRule="auto"/>
        <w:rPr>
          <w:rFonts w:eastAsia="微软雅黑"/>
          <w:sz w:val="22"/>
          <w:szCs w:val="22"/>
        </w:rPr>
      </w:pPr>
      <w:r>
        <w:rPr>
          <w:rFonts w:eastAsia="Wingdings 2"/>
          <w:sz w:val="24"/>
        </w:rPr>
        <w:t></w:t>
      </w:r>
      <w:r>
        <w:rPr>
          <w:rFonts w:eastAsia="微软雅黑"/>
          <w:sz w:val="22"/>
          <w:szCs w:val="22"/>
        </w:rPr>
        <w:t xml:space="preserve">DM (-): No cancer invasion found on the distal incisional margin </w:t>
      </w:r>
    </w:p>
    <w:p w14:paraId="394EAB42">
      <w:pPr>
        <w:spacing w:line="360" w:lineRule="auto"/>
        <w:outlineLvl w:val="0"/>
        <w:rPr>
          <w:rFonts w:eastAsia="微软雅黑"/>
          <w:sz w:val="22"/>
          <w:szCs w:val="22"/>
        </w:rPr>
      </w:pPr>
      <w:bookmarkStart w:id="82" w:name="_Toc9088"/>
      <w:r>
        <w:rPr>
          <w:rFonts w:eastAsia="Wingdings 2"/>
          <w:sz w:val="24"/>
        </w:rPr>
        <w:t></w:t>
      </w:r>
      <w:r>
        <w:rPr>
          <w:rFonts w:eastAsia="微软雅黑"/>
          <w:sz w:val="22"/>
          <w:szCs w:val="22"/>
        </w:rPr>
        <w:t>DM (+): Cancer invasion found on the distal incisional margin</w:t>
      </w:r>
      <w:bookmarkEnd w:id="82"/>
      <w:r>
        <w:rPr>
          <w:rFonts w:eastAsia="微软雅黑"/>
          <w:sz w:val="22"/>
          <w:szCs w:val="22"/>
        </w:rPr>
        <w:t xml:space="preserve"> </w:t>
      </w:r>
    </w:p>
    <w:p w14:paraId="01AF032C">
      <w:pPr>
        <w:spacing w:line="360" w:lineRule="auto"/>
        <w:rPr>
          <w:rFonts w:eastAsia="微软雅黑"/>
          <w:b/>
          <w:sz w:val="22"/>
          <w:szCs w:val="22"/>
        </w:rPr>
      </w:pPr>
      <w:r>
        <w:rPr>
          <w:rFonts w:eastAsia="Wingdings 2"/>
          <w:sz w:val="24"/>
        </w:rPr>
        <w:t></w:t>
      </w:r>
      <w:r>
        <w:rPr>
          <w:rFonts w:eastAsia="微软雅黑"/>
          <w:sz w:val="22"/>
          <w:szCs w:val="22"/>
        </w:rPr>
        <w:t xml:space="preserve">DM X: Unknown cancer invasion on the distal incisional margin </w:t>
      </w:r>
    </w:p>
    <w:p w14:paraId="7DE8E636">
      <w:pPr>
        <w:spacing w:line="360" w:lineRule="auto"/>
        <w:outlineLvl w:val="0"/>
        <w:rPr>
          <w:rFonts w:eastAsia="微软雅黑"/>
          <w:b/>
          <w:sz w:val="22"/>
          <w:szCs w:val="22"/>
        </w:rPr>
      </w:pPr>
      <w:bookmarkStart w:id="83" w:name="_Toc28998"/>
      <w:r>
        <w:rPr>
          <w:rFonts w:eastAsia="微软雅黑"/>
          <w:b/>
          <w:sz w:val="22"/>
          <w:szCs w:val="22"/>
        </w:rPr>
        <w:t>9.8.3.4.2 Radical Records</w:t>
      </w:r>
      <w:bookmarkEnd w:id="83"/>
    </w:p>
    <w:p w14:paraId="43801123">
      <w:pPr>
        <w:spacing w:line="360" w:lineRule="auto"/>
        <w:rPr>
          <w:rFonts w:eastAsia="微软雅黑"/>
          <w:sz w:val="22"/>
          <w:szCs w:val="22"/>
        </w:rPr>
      </w:pPr>
      <w:r>
        <w:rPr>
          <w:rFonts w:eastAsia="微软雅黑"/>
          <w:sz w:val="22"/>
          <w:szCs w:val="22"/>
        </w:rPr>
        <w:t xml:space="preserve">Postoperative residual tumor, denoted with R (residual tumor): R0: curative resection; R1, R2: non-curative resection. </w:t>
      </w:r>
    </w:p>
    <w:p w14:paraId="4653111C">
      <w:pPr>
        <w:spacing w:line="360" w:lineRule="auto"/>
        <w:rPr>
          <w:rFonts w:eastAsia="微软雅黑"/>
          <w:sz w:val="22"/>
          <w:szCs w:val="22"/>
        </w:rPr>
      </w:pPr>
      <w:r>
        <w:rPr>
          <w:rFonts w:eastAsia="Wingdings 2"/>
          <w:sz w:val="24"/>
        </w:rPr>
        <w:t></w:t>
      </w:r>
      <w:r>
        <w:rPr>
          <w:rFonts w:eastAsia="微软雅黑"/>
          <w:sz w:val="22"/>
          <w:szCs w:val="22"/>
        </w:rPr>
        <w:t xml:space="preserve">RX: cannot be evaluated </w:t>
      </w:r>
    </w:p>
    <w:p w14:paraId="6CF22935">
      <w:pPr>
        <w:spacing w:line="360" w:lineRule="auto"/>
        <w:outlineLvl w:val="0"/>
        <w:rPr>
          <w:rFonts w:eastAsia="微软雅黑"/>
          <w:sz w:val="22"/>
          <w:szCs w:val="22"/>
        </w:rPr>
      </w:pPr>
      <w:bookmarkStart w:id="84" w:name="_Toc5624"/>
      <w:r>
        <w:rPr>
          <w:rFonts w:eastAsia="Wingdings 2"/>
          <w:sz w:val="24"/>
        </w:rPr>
        <w:t></w:t>
      </w:r>
      <w:r>
        <w:rPr>
          <w:rFonts w:eastAsia="微软雅黑"/>
          <w:sz w:val="22"/>
          <w:szCs w:val="22"/>
        </w:rPr>
        <w:t>R0: no residual cancer</w:t>
      </w:r>
      <w:bookmarkEnd w:id="84"/>
      <w:r>
        <w:rPr>
          <w:rFonts w:eastAsia="微软雅黑"/>
          <w:sz w:val="22"/>
          <w:szCs w:val="22"/>
        </w:rPr>
        <w:t xml:space="preserve"> </w:t>
      </w:r>
    </w:p>
    <w:p w14:paraId="5F3C3680">
      <w:pPr>
        <w:spacing w:line="360" w:lineRule="auto"/>
        <w:rPr>
          <w:rFonts w:eastAsia="微软雅黑"/>
          <w:sz w:val="22"/>
          <w:szCs w:val="22"/>
        </w:rPr>
      </w:pPr>
      <w:r>
        <w:rPr>
          <w:rFonts w:eastAsia="Wingdings 2"/>
          <w:sz w:val="24"/>
        </w:rPr>
        <w:t></w:t>
      </w:r>
      <w:r>
        <w:rPr>
          <w:rFonts w:eastAsia="微软雅黑"/>
          <w:sz w:val="22"/>
          <w:szCs w:val="22"/>
        </w:rPr>
        <w:t xml:space="preserve">R1: microscopic residual cancer (positive margins, peritoneal lavage cytology positive) </w:t>
      </w:r>
    </w:p>
    <w:p w14:paraId="5B374958">
      <w:pPr>
        <w:spacing w:line="360" w:lineRule="auto"/>
        <w:outlineLvl w:val="0"/>
        <w:rPr>
          <w:rFonts w:eastAsia="微软雅黑"/>
          <w:sz w:val="22"/>
          <w:szCs w:val="22"/>
        </w:rPr>
      </w:pPr>
      <w:bookmarkStart w:id="85" w:name="_Toc12230"/>
      <w:r>
        <w:rPr>
          <w:rFonts w:eastAsia="Wingdings 2"/>
          <w:sz w:val="24"/>
        </w:rPr>
        <w:t></w:t>
      </w:r>
      <w:r>
        <w:rPr>
          <w:rFonts w:eastAsia="微软雅黑"/>
          <w:sz w:val="22"/>
          <w:szCs w:val="22"/>
        </w:rPr>
        <w:t>R2: macroscopic residual cancer</w:t>
      </w:r>
      <w:bookmarkEnd w:id="85"/>
      <w:r>
        <w:rPr>
          <w:rFonts w:eastAsia="微软雅黑"/>
          <w:sz w:val="22"/>
          <w:szCs w:val="22"/>
        </w:rPr>
        <w:t xml:space="preserve"> </w:t>
      </w:r>
    </w:p>
    <w:p w14:paraId="6C29522B">
      <w:pPr>
        <w:adjustRightInd w:val="0"/>
        <w:snapToGrid w:val="0"/>
        <w:spacing w:line="360" w:lineRule="auto"/>
        <w:outlineLvl w:val="0"/>
        <w:rPr>
          <w:rFonts w:eastAsia="微软雅黑"/>
          <w:b/>
          <w:sz w:val="30"/>
          <w:szCs w:val="30"/>
        </w:rPr>
      </w:pPr>
      <w:bookmarkStart w:id="86" w:name="_Toc29917"/>
      <w:r>
        <w:rPr>
          <w:rFonts w:eastAsia="微软雅黑"/>
          <w:b/>
          <w:sz w:val="30"/>
          <w:szCs w:val="30"/>
        </w:rPr>
        <w:t xml:space="preserve">10. </w:t>
      </w:r>
      <w:r>
        <w:rPr>
          <w:b/>
          <w:sz w:val="30"/>
          <w:szCs w:val="30"/>
        </w:rPr>
        <w:t>Statistical analysis</w:t>
      </w:r>
      <w:bookmarkEnd w:id="86"/>
    </w:p>
    <w:p w14:paraId="36828D6B">
      <w:pPr>
        <w:adjustRightInd w:val="0"/>
        <w:snapToGrid w:val="0"/>
        <w:spacing w:line="360" w:lineRule="auto"/>
        <w:jc w:val="left"/>
        <w:rPr>
          <w:rFonts w:eastAsia="微软雅黑"/>
          <w:b/>
          <w:sz w:val="24"/>
        </w:rPr>
      </w:pPr>
      <w:r>
        <w:rPr>
          <w:rFonts w:eastAsia="微软雅黑"/>
          <w:b/>
          <w:sz w:val="24"/>
        </w:rPr>
        <w:t xml:space="preserve">10.1 </w:t>
      </w:r>
      <w:r>
        <w:rPr>
          <w:b/>
          <w:sz w:val="24"/>
        </w:rPr>
        <w:t>Definition of the population</w:t>
      </w:r>
    </w:p>
    <w:p w14:paraId="24EEBEAF">
      <w:pPr>
        <w:adjustRightInd w:val="0"/>
        <w:snapToGrid w:val="0"/>
        <w:spacing w:line="360" w:lineRule="auto"/>
        <w:ind w:left="480" w:hanging="480" w:hangingChars="200"/>
        <w:rPr>
          <w:rFonts w:eastAsia="微软雅黑"/>
          <w:sz w:val="24"/>
        </w:rPr>
      </w:pPr>
      <w:r>
        <w:rPr>
          <w:rFonts w:eastAsia="微软雅黑"/>
          <w:sz w:val="24"/>
        </w:rPr>
        <w:t xml:space="preserve">(1) </w:t>
      </w:r>
      <w:r>
        <w:rPr>
          <w:sz w:val="24"/>
        </w:rPr>
        <w:t>ITTP, intent-to-treat population</w:t>
      </w:r>
    </w:p>
    <w:p w14:paraId="36447BD6">
      <w:pPr>
        <w:adjustRightInd w:val="0"/>
        <w:snapToGrid w:val="0"/>
        <w:spacing w:line="360" w:lineRule="auto"/>
        <w:ind w:left="480" w:hanging="480" w:hangingChars="200"/>
        <w:rPr>
          <w:rFonts w:eastAsia="微软雅黑"/>
          <w:sz w:val="24"/>
        </w:rPr>
      </w:pPr>
      <w:r>
        <w:rPr>
          <w:rFonts w:eastAsia="微软雅黑"/>
          <w:sz w:val="24"/>
        </w:rPr>
        <w:t xml:space="preserve">(2) </w:t>
      </w:r>
      <w:r>
        <w:rPr>
          <w:sz w:val="24"/>
        </w:rPr>
        <w:t>MITTP, modified intent-to-treat population</w:t>
      </w:r>
    </w:p>
    <w:p w14:paraId="7B653387">
      <w:pPr>
        <w:adjustRightInd w:val="0"/>
        <w:snapToGrid w:val="0"/>
        <w:spacing w:line="360" w:lineRule="auto"/>
        <w:ind w:left="480" w:hanging="480" w:hangingChars="200"/>
        <w:rPr>
          <w:sz w:val="24"/>
        </w:rPr>
      </w:pPr>
      <w:r>
        <w:rPr>
          <w:rFonts w:eastAsia="微软雅黑"/>
          <w:sz w:val="24"/>
        </w:rPr>
        <w:t xml:space="preserve">(3) </w:t>
      </w:r>
      <w:r>
        <w:rPr>
          <w:sz w:val="24"/>
        </w:rPr>
        <w:t>PPP, per-protocol population</w:t>
      </w:r>
    </w:p>
    <w:p w14:paraId="0F86F908">
      <w:pPr>
        <w:adjustRightInd w:val="0"/>
        <w:snapToGrid w:val="0"/>
        <w:spacing w:line="360" w:lineRule="auto"/>
        <w:ind w:left="480" w:hanging="480" w:hangingChars="200"/>
        <w:rPr>
          <w:rFonts w:eastAsia="微软雅黑"/>
          <w:sz w:val="24"/>
        </w:rPr>
      </w:pPr>
      <w:r>
        <w:rPr>
          <w:rFonts w:eastAsia="微软雅黑"/>
          <w:sz w:val="24"/>
        </w:rPr>
        <w:t xml:space="preserve">(4) </w:t>
      </w:r>
      <w:r>
        <w:rPr>
          <w:sz w:val="24"/>
        </w:rPr>
        <w:t>SAP, safety analysis population</w:t>
      </w:r>
    </w:p>
    <w:p w14:paraId="5D1555F3">
      <w:pPr>
        <w:adjustRightInd w:val="0"/>
        <w:snapToGrid w:val="0"/>
        <w:spacing w:line="360" w:lineRule="auto"/>
        <w:rPr>
          <w:rFonts w:eastAsia="微软雅黑"/>
          <w:b/>
          <w:sz w:val="24"/>
        </w:rPr>
      </w:pPr>
      <w:r>
        <w:rPr>
          <w:rFonts w:eastAsia="微软雅黑"/>
          <w:b/>
          <w:sz w:val="24"/>
        </w:rPr>
        <w:t xml:space="preserve">10.2 </w:t>
      </w:r>
      <w:r>
        <w:rPr>
          <w:b/>
          <w:sz w:val="24"/>
        </w:rPr>
        <w:t>Statistical analysis plan</w:t>
      </w:r>
    </w:p>
    <w:p w14:paraId="16718A36">
      <w:pPr>
        <w:spacing w:line="360" w:lineRule="auto"/>
        <w:rPr>
          <w:sz w:val="24"/>
        </w:rPr>
      </w:pPr>
      <w:r>
        <w:rPr>
          <w:rFonts w:eastAsia="微软雅黑"/>
          <w:sz w:val="24"/>
        </w:rPr>
        <w:sym w:font="Symbol" w:char="F0B7"/>
      </w:r>
      <w:r>
        <w:rPr>
          <w:rFonts w:eastAsia="微软雅黑"/>
          <w:sz w:val="24"/>
        </w:rPr>
        <w:t></w:t>
      </w:r>
      <w:r>
        <w:rPr>
          <w:sz w:val="24"/>
        </w:rPr>
        <w:t>Statistical software: We will use Epidata 3.0 to establish a database and to input data，and we will use SPSS 18.0 software to perform statistical analyses.</w:t>
      </w:r>
    </w:p>
    <w:p w14:paraId="35885652">
      <w:pPr>
        <w:adjustRightInd w:val="0"/>
        <w:snapToGrid w:val="0"/>
        <w:spacing w:line="360" w:lineRule="auto"/>
        <w:ind w:left="240" w:hanging="240" w:hangingChars="100"/>
        <w:rPr>
          <w:rFonts w:eastAsia="微软雅黑"/>
          <w:sz w:val="24"/>
        </w:rPr>
      </w:pPr>
      <w:r>
        <w:rPr>
          <w:rFonts w:eastAsia="微软雅黑"/>
          <w:sz w:val="24"/>
        </w:rPr>
        <w:sym w:font="Symbol" w:char="F0B7"/>
      </w:r>
      <w:r>
        <w:rPr>
          <w:rFonts w:eastAsia="微软雅黑"/>
          <w:sz w:val="24"/>
        </w:rPr>
        <w:t xml:space="preserve"> </w:t>
      </w:r>
      <w:r>
        <w:rPr>
          <w:sz w:val="24"/>
        </w:rPr>
        <w:t>Basic principle</w:t>
      </w:r>
      <w:r>
        <w:rPr>
          <w:rFonts w:eastAsia="微软雅黑"/>
          <w:sz w:val="24"/>
        </w:rPr>
        <w:t xml:space="preserve">: </w:t>
      </w:r>
      <w:r>
        <w:rPr>
          <w:sz w:val="24"/>
        </w:rPr>
        <w:t>The method of differential testing was adopted.</w:t>
      </w:r>
      <w:r>
        <w:rPr>
          <w:rFonts w:eastAsia="微软雅黑"/>
          <w:sz w:val="24"/>
        </w:rPr>
        <w:t xml:space="preserve"> </w:t>
      </w:r>
      <w:r>
        <w:rPr>
          <w:sz w:val="24"/>
        </w:rPr>
        <w:t>The safety population of the study consists of the patients who receive safety evaluation data after the intervention</w:t>
      </w:r>
      <w:r>
        <w:rPr>
          <w:rFonts w:eastAsia="微软雅黑"/>
          <w:sz w:val="24"/>
        </w:rPr>
        <w:t xml:space="preserve">. </w:t>
      </w:r>
      <w:r>
        <w:rPr>
          <w:sz w:val="24"/>
        </w:rPr>
        <w:t xml:space="preserve">Descriptive statistics and two-sided tests were conducted for the safety indicators and the incidence of adverse reactions. A </w:t>
      </w:r>
      <w:r>
        <w:rPr>
          <w:i/>
          <w:iCs/>
          <w:sz w:val="24"/>
        </w:rPr>
        <w:t>P</w:t>
      </w:r>
      <w:r>
        <w:rPr>
          <w:sz w:val="24"/>
        </w:rPr>
        <w:t>-value &lt;0.05 is considered statistically significant. The confidence interval of the parameters is estimated with a 95% confidence interval.</w:t>
      </w:r>
    </w:p>
    <w:p w14:paraId="56E16319">
      <w:pPr>
        <w:adjustRightInd w:val="0"/>
        <w:snapToGrid w:val="0"/>
        <w:spacing w:line="360" w:lineRule="auto"/>
        <w:ind w:left="480" w:hanging="480" w:hangingChars="200"/>
        <w:rPr>
          <w:rFonts w:eastAsia="微软雅黑"/>
          <w:sz w:val="24"/>
        </w:rPr>
      </w:pPr>
      <w:r>
        <w:rPr>
          <w:rFonts w:eastAsia="微软雅黑"/>
          <w:sz w:val="24"/>
        </w:rPr>
        <w:sym w:font="Symbol" w:char="F0B7"/>
      </w:r>
      <w:r>
        <w:rPr>
          <w:rFonts w:eastAsia="微软雅黑"/>
          <w:sz w:val="24"/>
        </w:rPr>
        <w:t>Shedding analysis: Total shedding rate of two groups and loss rate due to adverse events will be compared using pearson χ</w:t>
      </w:r>
      <w:r>
        <w:rPr>
          <w:rFonts w:eastAsia="微软雅黑"/>
          <w:sz w:val="24"/>
          <w:vertAlign w:val="superscript"/>
        </w:rPr>
        <w:t>2</w:t>
      </w:r>
      <w:r>
        <w:rPr>
          <w:rFonts w:eastAsia="微软雅黑"/>
          <w:sz w:val="24"/>
        </w:rPr>
        <w:t xml:space="preserve"> test</w:t>
      </w:r>
    </w:p>
    <w:p w14:paraId="24CB3A8D">
      <w:pPr>
        <w:adjustRightInd w:val="0"/>
        <w:snapToGrid w:val="0"/>
        <w:spacing w:line="360" w:lineRule="auto"/>
        <w:ind w:left="360" w:hanging="360" w:hangingChars="150"/>
        <w:rPr>
          <w:rFonts w:eastAsia="微软雅黑"/>
          <w:sz w:val="24"/>
        </w:rPr>
      </w:pPr>
      <w:r>
        <w:rPr>
          <w:rFonts w:eastAsia="微软雅黑"/>
          <w:sz w:val="24"/>
        </w:rPr>
        <w:sym w:font="Symbol" w:char="F0B7"/>
      </w:r>
      <w:r>
        <w:rPr>
          <w:rFonts w:eastAsia="微软雅黑"/>
          <w:sz w:val="24"/>
        </w:rPr>
        <w:t xml:space="preserve">Statistical analysis of population division: baseline data and effective </w:t>
      </w:r>
      <w:bookmarkStart w:id="87" w:name="OLE_LINK65"/>
      <w:r>
        <w:rPr>
          <w:rFonts w:eastAsia="微软雅黑"/>
          <w:sz w:val="24"/>
        </w:rPr>
        <w:t>analysis using MITT analysis</w:t>
      </w:r>
      <w:bookmarkEnd w:id="87"/>
      <w:r>
        <w:rPr>
          <w:rFonts w:eastAsia="微软雅黑"/>
          <w:sz w:val="24"/>
        </w:rPr>
        <w:t>. The main therapeutic indicators are analyzed using both MITT and PP analysis. But based on the conclusion of PP analysis. If MITT analysis and PP analysis of the conclusions are consistent, it can increase the credibility of the conclusion. The data of laboratory examination, adverse events and adverse reactions were analyzed by SAP. The incidence rate of adverse reactions uses SAP as the denominator.</w:t>
      </w:r>
    </w:p>
    <w:p w14:paraId="2C3895B2">
      <w:pPr>
        <w:adjustRightInd w:val="0"/>
        <w:snapToGrid w:val="0"/>
        <w:spacing w:line="360" w:lineRule="auto"/>
        <w:ind w:left="480" w:hanging="480" w:hangingChars="200"/>
        <w:rPr>
          <w:rFonts w:eastAsia="微软雅黑"/>
          <w:sz w:val="24"/>
        </w:rPr>
      </w:pPr>
      <w:r>
        <w:rPr>
          <w:rFonts w:eastAsia="微软雅黑"/>
          <w:sz w:val="24"/>
        </w:rPr>
        <w:sym w:font="Symbol" w:char="F0B7"/>
      </w:r>
      <w:r>
        <w:rPr>
          <w:rFonts w:eastAsia="微软雅黑"/>
          <w:sz w:val="24"/>
        </w:rPr>
        <w:t>Method of outlier determination: the observation value is greater than P75 or less than P25, and the exceed value more than 3 times of the quartile spacing (=P75-P25), which will be sentenced to outlier data. During the analysis, the sensitivity analysis is used for outlier data, namely analyzing outcomes including or excluding, outliers’ data. and if the results are not contradictory, the data is retained; if the contradiction, it depends on the specific circumstances.</w:t>
      </w:r>
    </w:p>
    <w:p w14:paraId="6E2E9AEE">
      <w:pPr>
        <w:adjustRightInd w:val="0"/>
        <w:snapToGrid w:val="0"/>
        <w:spacing w:line="360" w:lineRule="auto"/>
        <w:ind w:left="480" w:hanging="480" w:hangingChars="200"/>
        <w:rPr>
          <w:rFonts w:eastAsia="微软雅黑"/>
          <w:sz w:val="24"/>
        </w:rPr>
      </w:pPr>
      <w:r>
        <w:rPr>
          <w:rFonts w:eastAsia="微软雅黑"/>
          <w:sz w:val="24"/>
        </w:rPr>
        <w:sym w:font="Symbol" w:char="F0B7"/>
      </w:r>
      <w:r>
        <w:rPr>
          <w:rFonts w:eastAsia="微软雅黑"/>
          <w:sz w:val="24"/>
        </w:rPr>
        <w:t>Descriptive statistics: The measurement data gives the mean, the standard deviation and the confidence interval, and the minimum value, the maximum value, the P25, the median and the P75 are given when necessary; matched data also gives the mean and standard deviation of the gap-value, and the median and average rank of the non-parametric method. The nominal-scale data gives the frequency distribution and the corresponding percentages. The level data gives the frequency distribution and the corresponding percentages, as well as the median and the average rank. Qualitative data give positive rate, positive number, and denominator numbers. The survival data gives the number of events, the number of deletions, the median survival time, and the survival rate.</w:t>
      </w:r>
    </w:p>
    <w:p w14:paraId="3D902C22">
      <w:pPr>
        <w:adjustRightInd w:val="0"/>
        <w:snapToGrid w:val="0"/>
        <w:spacing w:line="360" w:lineRule="auto"/>
        <w:ind w:left="480" w:hanging="480" w:hangingChars="200"/>
        <w:rPr>
          <w:rFonts w:eastAsia="微软雅黑"/>
          <w:sz w:val="24"/>
        </w:rPr>
      </w:pPr>
      <w:r>
        <w:rPr>
          <w:rFonts w:eastAsia="微软雅黑"/>
          <w:sz w:val="24"/>
        </w:rPr>
        <w:sym w:font="Symbol" w:char="F0B7"/>
      </w:r>
      <w:r>
        <w:rPr>
          <w:rFonts w:eastAsia="微软雅黑"/>
          <w:sz w:val="24"/>
        </w:rPr>
        <w:t>Subgroup analysis: Subgroup analysis is to find the factors that may affect prognostic according to the specific circumstances of the data。</w:t>
      </w:r>
    </w:p>
    <w:p w14:paraId="2F95A924">
      <w:pPr>
        <w:adjustRightInd w:val="0"/>
        <w:snapToGrid w:val="0"/>
        <w:spacing w:line="360" w:lineRule="auto"/>
        <w:rPr>
          <w:rFonts w:eastAsia="微软雅黑"/>
          <w:sz w:val="24"/>
        </w:rPr>
      </w:pPr>
      <w:r>
        <w:rPr>
          <w:rFonts w:eastAsia="微软雅黑"/>
          <w:sz w:val="24"/>
        </w:rPr>
        <w:sym w:font="Symbol" w:char="F0B7"/>
      </w:r>
      <w:r>
        <w:rPr>
          <w:rFonts w:eastAsia="微软雅黑"/>
          <w:sz w:val="24"/>
        </w:rPr>
        <w:t>Missing values handling:This study does not fill in missing values</w:t>
      </w:r>
    </w:p>
    <w:p w14:paraId="0FB53F51">
      <w:pPr>
        <w:adjustRightInd w:val="0"/>
        <w:snapToGrid w:val="0"/>
        <w:spacing w:line="360" w:lineRule="auto"/>
        <w:ind w:left="480" w:hanging="480" w:hangingChars="200"/>
        <w:rPr>
          <w:rFonts w:eastAsia="微软雅黑"/>
          <w:sz w:val="24"/>
        </w:rPr>
      </w:pPr>
      <w:r>
        <w:rPr>
          <w:rFonts w:eastAsia="微软雅黑"/>
          <w:sz w:val="24"/>
        </w:rPr>
        <w:sym w:font="Symbol" w:char="F0B7"/>
      </w:r>
      <w:r>
        <w:rPr>
          <w:rFonts w:eastAsia="微软雅黑"/>
          <w:sz w:val="24"/>
        </w:rPr>
        <w:t></w:t>
      </w:r>
      <w:bookmarkStart w:id="88" w:name="OLE_LINK69"/>
      <w:r>
        <w:rPr>
          <w:rFonts w:eastAsia="微软雅黑"/>
          <w:sz w:val="24"/>
        </w:rPr>
        <w:t xml:space="preserve">Effective analysis: Using Log-rank test for single factor analysis of survival time data, using Cox regression model analysis for multi-factor analysis. Quantitative data using t test or t' Test (variance is not homogeneous), qualitative data using Pearson </w:t>
      </w:r>
      <w:r>
        <w:rPr>
          <w:rFonts w:eastAsia="微软雅黑"/>
          <w:sz w:val="24"/>
        </w:rPr>
        <w:sym w:font="Symbol" w:char="F063"/>
      </w:r>
      <w:r>
        <w:rPr>
          <w:rFonts w:eastAsia="微软雅黑"/>
          <w:sz w:val="24"/>
          <w:vertAlign w:val="superscript"/>
        </w:rPr>
        <w:t>2</w:t>
      </w:r>
      <w:r>
        <w:rPr>
          <w:rFonts w:eastAsia="微软雅黑"/>
          <w:sz w:val="24"/>
        </w:rPr>
        <w:t xml:space="preserve"> test, grade data using Wilcoxon rank test.</w:t>
      </w:r>
    </w:p>
    <w:bookmarkEnd w:id="88"/>
    <w:p w14:paraId="21EE804C">
      <w:pPr>
        <w:adjustRightInd w:val="0"/>
        <w:snapToGrid w:val="0"/>
        <w:spacing w:line="360" w:lineRule="auto"/>
        <w:ind w:left="480" w:hanging="480" w:hangingChars="200"/>
        <w:rPr>
          <w:rFonts w:eastAsia="微软雅黑"/>
          <w:sz w:val="24"/>
        </w:rPr>
      </w:pPr>
      <w:r>
        <w:rPr>
          <w:rFonts w:eastAsia="微软雅黑"/>
          <w:sz w:val="24"/>
        </w:rPr>
        <w:sym w:font="Symbol" w:char="F0B7"/>
      </w:r>
      <w:r>
        <w:rPr>
          <w:rFonts w:eastAsia="微软雅黑"/>
          <w:sz w:val="24"/>
        </w:rPr>
        <w:t>Safety analysis: counting adverse responds incidence and incidence of adverse events and make a list to describe the adverse events occurring in the study. describe the results of the laboratory tests before and after the normal/abnormal changes and the relationship between the abnormal changes and drugs in the research, and make a list on the “normal/abnormal” changes occurred in the study. More detailed statistical analysis is shown in the statistical analysis plan.</w:t>
      </w:r>
    </w:p>
    <w:p w14:paraId="5590D2CE">
      <w:pPr>
        <w:adjustRightInd w:val="0"/>
        <w:snapToGrid w:val="0"/>
        <w:spacing w:line="360" w:lineRule="auto"/>
        <w:outlineLvl w:val="0"/>
        <w:rPr>
          <w:rFonts w:eastAsia="微软雅黑"/>
          <w:b/>
          <w:sz w:val="30"/>
          <w:szCs w:val="30"/>
        </w:rPr>
      </w:pPr>
      <w:bookmarkStart w:id="89" w:name="_Toc12163"/>
      <w:r>
        <w:rPr>
          <w:rFonts w:eastAsia="微软雅黑"/>
          <w:b/>
          <w:sz w:val="30"/>
          <w:szCs w:val="30"/>
        </w:rPr>
        <w:t>11. Data management</w:t>
      </w:r>
      <w:bookmarkEnd w:id="89"/>
    </w:p>
    <w:p w14:paraId="3F9E0E26">
      <w:pPr>
        <w:adjustRightInd w:val="0"/>
        <w:snapToGrid w:val="0"/>
        <w:spacing w:line="360" w:lineRule="auto"/>
        <w:jc w:val="left"/>
        <w:rPr>
          <w:rFonts w:eastAsia="微软雅黑"/>
          <w:b/>
          <w:sz w:val="24"/>
        </w:rPr>
      </w:pPr>
      <w:r>
        <w:rPr>
          <w:rFonts w:eastAsia="微软雅黑"/>
          <w:b/>
          <w:sz w:val="24"/>
        </w:rPr>
        <w:t>11.1 Case Report Form (CRF)</w:t>
      </w:r>
    </w:p>
    <w:p w14:paraId="73EE027F">
      <w:pPr>
        <w:adjustRightInd w:val="0"/>
        <w:snapToGrid w:val="0"/>
        <w:spacing w:line="360" w:lineRule="auto"/>
        <w:rPr>
          <w:rFonts w:eastAsia="微软雅黑"/>
          <w:b/>
          <w:sz w:val="24"/>
        </w:rPr>
      </w:pPr>
      <w:r>
        <w:rPr>
          <w:rFonts w:eastAsia="微软雅黑"/>
          <w:b/>
          <w:sz w:val="24"/>
        </w:rPr>
        <w:t>11.1.1 CRF Types and Submission Deadline</w:t>
      </w:r>
    </w:p>
    <w:p w14:paraId="69E929B8">
      <w:pPr>
        <w:adjustRightInd w:val="0"/>
        <w:snapToGrid w:val="0"/>
        <w:spacing w:line="360" w:lineRule="auto"/>
        <w:ind w:firstLine="480" w:firstLineChars="200"/>
        <w:rPr>
          <w:rFonts w:eastAsia="微软雅黑"/>
          <w:sz w:val="24"/>
        </w:rPr>
      </w:pPr>
      <w:r>
        <w:rPr>
          <w:rFonts w:eastAsia="微软雅黑"/>
          <w:sz w:val="24"/>
        </w:rPr>
        <w:t>CRFs used in this study and their submission deadlines are as follows:</w:t>
      </w:r>
    </w:p>
    <w:p w14:paraId="5ADB25A9">
      <w:pPr>
        <w:adjustRightInd w:val="0"/>
        <w:snapToGrid w:val="0"/>
        <w:spacing w:line="360" w:lineRule="auto"/>
        <w:rPr>
          <w:rFonts w:eastAsia="微软雅黑"/>
          <w:sz w:val="24"/>
        </w:rPr>
      </w:pPr>
      <w:r>
        <w:rPr>
          <w:rFonts w:eastAsia="微软雅黑"/>
          <w:sz w:val="24"/>
        </w:rPr>
        <w:t>(1) Case Screening: 7 days prior to surgery (time frame of three days)</w:t>
      </w:r>
    </w:p>
    <w:p w14:paraId="51F60296">
      <w:pPr>
        <w:adjustRightInd w:val="0"/>
        <w:snapToGrid w:val="0"/>
        <w:spacing w:line="360" w:lineRule="auto"/>
        <w:rPr>
          <w:rFonts w:eastAsia="微软雅黑"/>
          <w:sz w:val="24"/>
        </w:rPr>
      </w:pPr>
      <w:r>
        <w:rPr>
          <w:rFonts w:eastAsia="微软雅黑"/>
          <w:sz w:val="24"/>
        </w:rPr>
        <w:t xml:space="preserve">(2) Enrolling: submitted to the data center at one day prior to surgery </w:t>
      </w:r>
    </w:p>
    <w:p w14:paraId="3797A28D">
      <w:pPr>
        <w:adjustRightInd w:val="0"/>
        <w:snapToGrid w:val="0"/>
        <w:spacing w:line="360" w:lineRule="auto"/>
        <w:rPr>
          <w:rFonts w:eastAsia="微软雅黑"/>
          <w:sz w:val="24"/>
        </w:rPr>
      </w:pPr>
      <w:r>
        <w:rPr>
          <w:rFonts w:eastAsia="微软雅黑"/>
          <w:sz w:val="24"/>
        </w:rPr>
        <w:t xml:space="preserve">(3) Surgery: within 1 day after surgery </w:t>
      </w:r>
    </w:p>
    <w:p w14:paraId="62F90268">
      <w:pPr>
        <w:adjustRightInd w:val="0"/>
        <w:snapToGrid w:val="0"/>
        <w:spacing w:line="360" w:lineRule="auto"/>
        <w:rPr>
          <w:rFonts w:eastAsia="微软雅黑"/>
          <w:sz w:val="24"/>
        </w:rPr>
      </w:pPr>
      <w:r>
        <w:rPr>
          <w:rFonts w:eastAsia="微软雅黑"/>
          <w:sz w:val="24"/>
        </w:rPr>
        <w:t xml:space="preserve">(4) Postoperative discharge: within three days after the first discharge </w:t>
      </w:r>
    </w:p>
    <w:p w14:paraId="09B4C542">
      <w:pPr>
        <w:adjustRightInd w:val="0"/>
        <w:snapToGrid w:val="0"/>
        <w:spacing w:line="360" w:lineRule="auto"/>
        <w:rPr>
          <w:rFonts w:eastAsia="微软雅黑"/>
          <w:sz w:val="24"/>
        </w:rPr>
      </w:pPr>
      <w:r>
        <w:rPr>
          <w:rFonts w:eastAsia="微软雅黑"/>
          <w:sz w:val="24"/>
        </w:rPr>
        <w:t xml:space="preserve">(5) Follow-up records: 7 days after each specified follow-up time point </w:t>
      </w:r>
    </w:p>
    <w:p w14:paraId="127554CB">
      <w:pPr>
        <w:adjustRightInd w:val="0"/>
        <w:snapToGrid w:val="0"/>
        <w:spacing w:line="360" w:lineRule="auto"/>
        <w:rPr>
          <w:rFonts w:eastAsia="微软雅黑"/>
          <w:b/>
          <w:sz w:val="24"/>
        </w:rPr>
      </w:pPr>
      <w:r>
        <w:rPr>
          <w:rFonts w:eastAsia="微软雅黑"/>
          <w:b/>
          <w:sz w:val="24"/>
        </w:rPr>
        <w:t>11.1.2 Method of transmission of CRF</w:t>
      </w:r>
    </w:p>
    <w:p w14:paraId="154E7E32">
      <w:pPr>
        <w:adjustRightInd w:val="0"/>
        <w:snapToGrid w:val="0"/>
        <w:spacing w:line="360" w:lineRule="auto"/>
        <w:ind w:firstLine="480" w:firstLineChars="200"/>
        <w:rPr>
          <w:rFonts w:eastAsia="微软雅黑"/>
          <w:sz w:val="24"/>
        </w:rPr>
      </w:pPr>
      <w:r>
        <w:rPr>
          <w:rFonts w:eastAsia="微软雅黑"/>
          <w:sz w:val="24"/>
        </w:rPr>
        <w:t xml:space="preserve">In this study, the paper CRF form are used for information and data transmittal. </w:t>
      </w:r>
    </w:p>
    <w:p w14:paraId="727FDB0C">
      <w:pPr>
        <w:adjustRightInd w:val="0"/>
        <w:snapToGrid w:val="0"/>
        <w:spacing w:line="360" w:lineRule="auto"/>
        <w:rPr>
          <w:rFonts w:eastAsia="微软雅黑"/>
          <w:b/>
          <w:sz w:val="24"/>
        </w:rPr>
      </w:pPr>
      <w:r>
        <w:rPr>
          <w:rFonts w:eastAsia="微软雅黑"/>
          <w:b/>
          <w:sz w:val="24"/>
        </w:rPr>
        <w:t>11.1.3 Revision of CRF</w:t>
      </w:r>
    </w:p>
    <w:p w14:paraId="758746D5">
      <w:pPr>
        <w:adjustRightInd w:val="0"/>
        <w:snapToGrid w:val="0"/>
        <w:spacing w:line="360" w:lineRule="auto"/>
        <w:ind w:firstLine="480" w:firstLineChars="200"/>
        <w:rPr>
          <w:rFonts w:eastAsia="微软雅黑"/>
          <w:sz w:val="24"/>
        </w:rPr>
      </w:pPr>
      <w:r>
        <w:rPr>
          <w:rFonts w:eastAsia="微软雅黑"/>
          <w:sz w:val="24"/>
        </w:rPr>
        <w:t xml:space="preserve">After the start of the study, if the CRF is found to lack items that are then deemed pertinent, under the premises of ensuring the amendment of the CRF does not cause medical and economic burden and increased risks to the selected patients, the CRF can be modified after the Research Committee adopt it through discuss at the meeting. If the amendment of the CRF requires no changes to this study protocol, the latter will not be modified. </w:t>
      </w:r>
    </w:p>
    <w:p w14:paraId="2DC5C085">
      <w:pPr>
        <w:adjustRightInd w:val="0"/>
        <w:snapToGrid w:val="0"/>
        <w:spacing w:line="360" w:lineRule="auto"/>
        <w:rPr>
          <w:rFonts w:eastAsia="微软雅黑"/>
          <w:b/>
          <w:sz w:val="24"/>
        </w:rPr>
      </w:pPr>
      <w:r>
        <w:rPr>
          <w:rFonts w:eastAsia="微软雅黑"/>
          <w:b/>
          <w:sz w:val="24"/>
        </w:rPr>
        <w:t xml:space="preserve">11.2 Monitoring and </w:t>
      </w:r>
      <w:r>
        <w:rPr>
          <w:b/>
          <w:sz w:val="24"/>
        </w:rPr>
        <w:t>Supervising</w:t>
      </w:r>
    </w:p>
    <w:p w14:paraId="35589F9E">
      <w:pPr>
        <w:adjustRightInd w:val="0"/>
        <w:snapToGrid w:val="0"/>
        <w:spacing w:line="360" w:lineRule="auto"/>
        <w:ind w:firstLine="480" w:firstLineChars="200"/>
        <w:rPr>
          <w:rFonts w:eastAsia="微软雅黑"/>
          <w:sz w:val="24"/>
        </w:rPr>
      </w:pPr>
      <w:r>
        <w:rPr>
          <w:rFonts w:eastAsia="微软雅黑"/>
          <w:sz w:val="24"/>
        </w:rPr>
        <w:t>To assess whether study implementation follows protocol and data are being collected properly, monitoring should be conducted every February during the follow-up period. Monitoring is to complete through visiting a hospital and comparing the original data.</w:t>
      </w:r>
    </w:p>
    <w:p w14:paraId="237B20F6">
      <w:pPr>
        <w:adjustRightInd w:val="0"/>
        <w:snapToGrid w:val="0"/>
        <w:spacing w:line="360" w:lineRule="auto"/>
        <w:rPr>
          <w:rFonts w:eastAsia="微软雅黑"/>
          <w:b/>
          <w:sz w:val="24"/>
        </w:rPr>
      </w:pPr>
      <w:r>
        <w:rPr>
          <w:rFonts w:eastAsia="微软雅黑"/>
          <w:b/>
          <w:sz w:val="24"/>
        </w:rPr>
        <w:t>11.2.1 Monitoring item</w:t>
      </w:r>
    </w:p>
    <w:p w14:paraId="036EA163">
      <w:pPr>
        <w:pStyle w:val="25"/>
        <w:numPr>
          <w:ilvl w:val="0"/>
          <w:numId w:val="17"/>
        </w:numPr>
        <w:adjustRightInd w:val="0"/>
        <w:snapToGrid w:val="0"/>
        <w:spacing w:line="360" w:lineRule="auto"/>
        <w:ind w:firstLineChars="0"/>
        <w:rPr>
          <w:rFonts w:eastAsia="微软雅黑"/>
          <w:sz w:val="24"/>
        </w:rPr>
      </w:pPr>
      <w:r>
        <w:rPr>
          <w:rFonts w:eastAsia="微软雅黑"/>
          <w:sz w:val="24"/>
        </w:rPr>
        <w:t xml:space="preserve">Data Collection Completion Status: By selected registration numbers (cumulative and for each time period) </w:t>
      </w:r>
    </w:p>
    <w:p w14:paraId="2E539F33">
      <w:pPr>
        <w:pStyle w:val="25"/>
        <w:numPr>
          <w:ilvl w:val="0"/>
          <w:numId w:val="17"/>
        </w:numPr>
        <w:adjustRightInd w:val="0"/>
        <w:snapToGrid w:val="0"/>
        <w:spacing w:line="360" w:lineRule="auto"/>
        <w:ind w:firstLineChars="0"/>
        <w:rPr>
          <w:rFonts w:eastAsia="微软雅黑"/>
          <w:sz w:val="24"/>
        </w:rPr>
      </w:pPr>
      <w:r>
        <w:rPr>
          <w:rFonts w:eastAsia="微软雅黑"/>
          <w:sz w:val="24"/>
        </w:rPr>
        <w:t>Eligibility: Not eligible patients/potentially ineligible patients</w:t>
      </w:r>
    </w:p>
    <w:p w14:paraId="72D9393F">
      <w:pPr>
        <w:pStyle w:val="25"/>
        <w:numPr>
          <w:ilvl w:val="0"/>
          <w:numId w:val="17"/>
        </w:numPr>
        <w:adjustRightInd w:val="0"/>
        <w:snapToGrid w:val="0"/>
        <w:spacing w:line="360" w:lineRule="auto"/>
        <w:ind w:firstLineChars="0"/>
        <w:rPr>
          <w:rFonts w:eastAsia="微软雅黑"/>
          <w:sz w:val="24"/>
        </w:rPr>
      </w:pPr>
      <w:r>
        <w:rPr>
          <w:rFonts w:eastAsia="微软雅黑"/>
          <w:sz w:val="24"/>
        </w:rPr>
        <w:t xml:space="preserve">Different end of treatment, the reasons for suspension/end of the study protocol </w:t>
      </w:r>
    </w:p>
    <w:p w14:paraId="59BBEDBD">
      <w:pPr>
        <w:pStyle w:val="25"/>
        <w:numPr>
          <w:ilvl w:val="0"/>
          <w:numId w:val="17"/>
        </w:numPr>
        <w:adjustRightInd w:val="0"/>
        <w:snapToGrid w:val="0"/>
        <w:spacing w:line="360" w:lineRule="auto"/>
        <w:ind w:firstLineChars="0"/>
        <w:rPr>
          <w:rFonts w:eastAsia="微软雅黑"/>
          <w:sz w:val="24"/>
        </w:rPr>
      </w:pPr>
      <w:r>
        <w:rPr>
          <w:rFonts w:eastAsia="微软雅黑"/>
          <w:sz w:val="24"/>
        </w:rPr>
        <w:t>Background factors, pre-treatment report factors, post-treatment report factors when selected for registration</w:t>
      </w:r>
    </w:p>
    <w:p w14:paraId="2C5FFDE8">
      <w:pPr>
        <w:pStyle w:val="25"/>
        <w:numPr>
          <w:ilvl w:val="0"/>
          <w:numId w:val="17"/>
        </w:numPr>
        <w:adjustRightInd w:val="0"/>
        <w:snapToGrid w:val="0"/>
        <w:spacing w:line="360" w:lineRule="auto"/>
        <w:ind w:firstLineChars="0"/>
        <w:rPr>
          <w:rFonts w:eastAsia="微软雅黑"/>
          <w:sz w:val="24"/>
        </w:rPr>
      </w:pPr>
      <w:r>
        <w:rPr>
          <w:rFonts w:eastAsia="微软雅黑"/>
          <w:sz w:val="24"/>
        </w:rPr>
        <w:t>Severe adverse events</w:t>
      </w:r>
    </w:p>
    <w:p w14:paraId="6188348C">
      <w:pPr>
        <w:pStyle w:val="25"/>
        <w:numPr>
          <w:ilvl w:val="0"/>
          <w:numId w:val="17"/>
        </w:numPr>
        <w:adjustRightInd w:val="0"/>
        <w:snapToGrid w:val="0"/>
        <w:spacing w:line="360" w:lineRule="auto"/>
        <w:ind w:firstLineChars="0"/>
        <w:rPr>
          <w:rFonts w:eastAsia="微软雅黑"/>
          <w:sz w:val="24"/>
        </w:rPr>
      </w:pPr>
      <w:r>
        <w:rPr>
          <w:rFonts w:eastAsia="微软雅黑"/>
          <w:sz w:val="24"/>
        </w:rPr>
        <w:t xml:space="preserve">Adverse events/adverse reactions </w:t>
      </w:r>
    </w:p>
    <w:p w14:paraId="63850D42">
      <w:pPr>
        <w:pStyle w:val="25"/>
        <w:numPr>
          <w:ilvl w:val="0"/>
          <w:numId w:val="17"/>
        </w:numPr>
        <w:adjustRightInd w:val="0"/>
        <w:snapToGrid w:val="0"/>
        <w:spacing w:line="360" w:lineRule="auto"/>
        <w:ind w:firstLineChars="0"/>
        <w:rPr>
          <w:rFonts w:eastAsia="微软雅黑"/>
          <w:sz w:val="24"/>
        </w:rPr>
      </w:pPr>
      <w:r>
        <w:rPr>
          <w:rFonts w:eastAsia="微软雅黑"/>
          <w:sz w:val="24"/>
        </w:rPr>
        <w:t xml:space="preserve">Laparoscopic surgery completion percentage </w:t>
      </w:r>
    </w:p>
    <w:p w14:paraId="4E3A6DE8">
      <w:pPr>
        <w:pStyle w:val="25"/>
        <w:numPr>
          <w:ilvl w:val="0"/>
          <w:numId w:val="17"/>
        </w:numPr>
        <w:adjustRightInd w:val="0"/>
        <w:snapToGrid w:val="0"/>
        <w:spacing w:line="360" w:lineRule="auto"/>
        <w:ind w:firstLineChars="0"/>
        <w:rPr>
          <w:rFonts w:eastAsia="微软雅黑"/>
          <w:sz w:val="24"/>
        </w:rPr>
      </w:pPr>
      <w:bookmarkStart w:id="90" w:name="OLE_LINK73"/>
      <w:r>
        <w:rPr>
          <w:rFonts w:eastAsia="微软雅黑"/>
          <w:sz w:val="24"/>
        </w:rPr>
        <w:t>Proportion of conversion to laparotomy</w:t>
      </w:r>
      <w:bookmarkEnd w:id="90"/>
      <w:bookmarkStart w:id="91" w:name="OLE_LINK74"/>
    </w:p>
    <w:p w14:paraId="466B6D52">
      <w:pPr>
        <w:pStyle w:val="25"/>
        <w:numPr>
          <w:ilvl w:val="0"/>
          <w:numId w:val="17"/>
        </w:numPr>
        <w:adjustRightInd w:val="0"/>
        <w:snapToGrid w:val="0"/>
        <w:spacing w:line="360" w:lineRule="auto"/>
        <w:ind w:firstLineChars="0"/>
        <w:outlineLvl w:val="0"/>
        <w:rPr>
          <w:rFonts w:eastAsia="微软雅黑"/>
          <w:sz w:val="24"/>
        </w:rPr>
      </w:pPr>
      <w:bookmarkStart w:id="92" w:name="_Toc23937"/>
      <w:r>
        <w:rPr>
          <w:rFonts w:eastAsia="微软雅黑"/>
          <w:sz w:val="24"/>
        </w:rPr>
        <w:t>Protocol deviation</w:t>
      </w:r>
      <w:bookmarkEnd w:id="92"/>
      <w:r>
        <w:rPr>
          <w:rFonts w:eastAsia="微软雅黑"/>
          <w:sz w:val="24"/>
        </w:rPr>
        <w:t xml:space="preserve"> </w:t>
      </w:r>
      <w:bookmarkEnd w:id="91"/>
    </w:p>
    <w:p w14:paraId="541BBDE0">
      <w:pPr>
        <w:pStyle w:val="25"/>
        <w:numPr>
          <w:ilvl w:val="0"/>
          <w:numId w:val="17"/>
        </w:numPr>
        <w:adjustRightInd w:val="0"/>
        <w:snapToGrid w:val="0"/>
        <w:spacing w:line="360" w:lineRule="auto"/>
        <w:ind w:firstLineChars="0"/>
        <w:rPr>
          <w:rFonts w:eastAsia="微软雅黑"/>
          <w:sz w:val="24"/>
        </w:rPr>
      </w:pPr>
      <w:r>
        <w:rPr>
          <w:rFonts w:eastAsia="微软雅黑"/>
          <w:sz w:val="24"/>
        </w:rPr>
        <w:t>Disease-free survival /overall survival (all enrolled Patients)</w:t>
      </w:r>
    </w:p>
    <w:p w14:paraId="668D5F38">
      <w:pPr>
        <w:pStyle w:val="25"/>
        <w:numPr>
          <w:ilvl w:val="0"/>
          <w:numId w:val="17"/>
        </w:numPr>
        <w:adjustRightInd w:val="0"/>
        <w:snapToGrid w:val="0"/>
        <w:spacing w:line="360" w:lineRule="auto"/>
        <w:ind w:firstLineChars="0"/>
        <w:rPr>
          <w:rFonts w:eastAsia="微软雅黑"/>
          <w:sz w:val="24"/>
        </w:rPr>
      </w:pPr>
      <w:r>
        <w:rPr>
          <w:rFonts w:eastAsia="微软雅黑"/>
          <w:sz w:val="24"/>
        </w:rPr>
        <w:t>Progress and safety of the study, other issues</w:t>
      </w:r>
    </w:p>
    <w:p w14:paraId="537AB23B">
      <w:pPr>
        <w:adjustRightInd w:val="0"/>
        <w:snapToGrid w:val="0"/>
        <w:spacing w:line="360" w:lineRule="auto"/>
        <w:rPr>
          <w:rFonts w:eastAsia="微软雅黑"/>
          <w:b/>
          <w:sz w:val="24"/>
        </w:rPr>
      </w:pPr>
      <w:r>
        <w:rPr>
          <w:rFonts w:eastAsia="微软雅黑"/>
          <w:b/>
          <w:sz w:val="24"/>
        </w:rPr>
        <w:t>11.2.2 Acceptable range of adverse events</w:t>
      </w:r>
    </w:p>
    <w:p w14:paraId="2433C5EF">
      <w:pPr>
        <w:adjustRightInd w:val="0"/>
        <w:snapToGrid w:val="0"/>
        <w:spacing w:line="360" w:lineRule="auto"/>
        <w:ind w:firstLine="480" w:firstLineChars="200"/>
        <w:rPr>
          <w:rFonts w:eastAsia="微软雅黑"/>
          <w:sz w:val="24"/>
        </w:rPr>
      </w:pPr>
      <w:r>
        <w:rPr>
          <w:rFonts w:eastAsia="微软雅黑"/>
          <w:sz w:val="24"/>
        </w:rPr>
        <w:t>Treatment-related death and life-threatening complications caused by surgeries occur relatively rarely; a rate of over 3% is considered unacceptable. If treatment-related death is suspected or non-hematologic Grade 4 toxicity having a causal relationship with the surgery is determined, adverse events should be reported to the Efficacy and Safety Evaluation Committee. If the number of treatment-related deaths or the number of patients with determined non-hematologic Grade 4 toxicity having a causal relationship with the surgery reached 15, the final incidence proportion of adverse events would be expected to exceed 3%, and therefore the inclusion of patients must be immediately suspended. Whether the study can continue should be determined by the Efficacy and Safety Evaluation Committee.</w:t>
      </w:r>
    </w:p>
    <w:p w14:paraId="31F786DE">
      <w:pPr>
        <w:adjustRightInd w:val="0"/>
        <w:snapToGrid w:val="0"/>
        <w:spacing w:line="360" w:lineRule="auto"/>
        <w:outlineLvl w:val="0"/>
        <w:rPr>
          <w:rFonts w:eastAsia="微软雅黑"/>
          <w:b/>
          <w:sz w:val="30"/>
          <w:szCs w:val="30"/>
        </w:rPr>
      </w:pPr>
      <w:bookmarkStart w:id="93" w:name="_Toc1706"/>
      <w:r>
        <w:rPr>
          <w:rFonts w:eastAsia="微软雅黑"/>
          <w:b/>
          <w:sz w:val="30"/>
          <w:szCs w:val="30"/>
        </w:rPr>
        <w:t>12. Relevant Provisions on a</w:t>
      </w:r>
      <w:r>
        <w:rPr>
          <w:b/>
          <w:sz w:val="30"/>
          <w:szCs w:val="30"/>
        </w:rPr>
        <w:t>dverse events</w:t>
      </w:r>
      <w:bookmarkEnd w:id="93"/>
    </w:p>
    <w:p w14:paraId="1A497933">
      <w:pPr>
        <w:adjustRightInd w:val="0"/>
        <w:snapToGrid w:val="0"/>
        <w:spacing w:line="360" w:lineRule="auto"/>
        <w:jc w:val="left"/>
        <w:rPr>
          <w:rFonts w:eastAsia="微软雅黑"/>
          <w:b/>
          <w:sz w:val="24"/>
        </w:rPr>
      </w:pPr>
      <w:r>
        <w:rPr>
          <w:rFonts w:eastAsia="微软雅黑"/>
          <w:b/>
          <w:sz w:val="24"/>
        </w:rPr>
        <w:t xml:space="preserve">12.1 </w:t>
      </w:r>
      <w:r>
        <w:rPr>
          <w:b/>
          <w:sz w:val="24"/>
        </w:rPr>
        <w:t>Surgery-related adverse events</w:t>
      </w:r>
    </w:p>
    <w:p w14:paraId="3A8B30F2">
      <w:pPr>
        <w:spacing w:line="360" w:lineRule="auto"/>
        <w:ind w:firstLine="480" w:firstLineChars="200"/>
        <w:rPr>
          <w:sz w:val="24"/>
        </w:rPr>
      </w:pPr>
      <w:r>
        <w:rPr>
          <w:sz w:val="24"/>
        </w:rPr>
        <w:t xml:space="preserve">See the adverse events mentioned for surgical complications in 8.1 Definition of the study endpoint. </w:t>
      </w:r>
    </w:p>
    <w:p w14:paraId="7F270DCF">
      <w:pPr>
        <w:adjustRightInd w:val="0"/>
        <w:snapToGrid w:val="0"/>
        <w:spacing w:line="360" w:lineRule="auto"/>
        <w:jc w:val="left"/>
        <w:rPr>
          <w:rFonts w:eastAsia="微软雅黑"/>
          <w:b/>
          <w:sz w:val="24"/>
        </w:rPr>
      </w:pPr>
      <w:r>
        <w:rPr>
          <w:rFonts w:eastAsia="微软雅黑"/>
          <w:b/>
          <w:sz w:val="24"/>
        </w:rPr>
        <w:t xml:space="preserve">12.2 </w:t>
      </w:r>
      <w:r>
        <w:rPr>
          <w:b/>
          <w:bCs/>
          <w:sz w:val="24"/>
        </w:rPr>
        <w:t>Various forms of adverse events caused by original incidence</w:t>
      </w:r>
    </w:p>
    <w:p w14:paraId="17CE10FE">
      <w:pPr>
        <w:spacing w:line="360" w:lineRule="auto"/>
        <w:ind w:firstLine="480" w:firstLineChars="200"/>
        <w:rPr>
          <w:sz w:val="24"/>
        </w:rPr>
      </w:pPr>
      <w:r>
        <w:rPr>
          <w:sz w:val="24"/>
        </w:rPr>
        <w:t>Adverse events relating to various forms of deterioration in primary diseases should be recorded according to Short Name of CTCAEv3.0.</w:t>
      </w:r>
    </w:p>
    <w:p w14:paraId="5B2985A0">
      <w:pPr>
        <w:adjustRightInd w:val="0"/>
        <w:snapToGrid w:val="0"/>
        <w:spacing w:line="360" w:lineRule="auto"/>
        <w:jc w:val="left"/>
        <w:rPr>
          <w:rFonts w:eastAsia="微软雅黑"/>
          <w:b/>
          <w:sz w:val="24"/>
        </w:rPr>
      </w:pPr>
      <w:r>
        <w:rPr>
          <w:rFonts w:eastAsia="微软雅黑"/>
          <w:b/>
          <w:sz w:val="24"/>
        </w:rPr>
        <w:t xml:space="preserve">12.3 </w:t>
      </w:r>
      <w:r>
        <w:rPr>
          <w:b/>
          <w:sz w:val="24"/>
        </w:rPr>
        <w:t>Evaluation of adverse events</w:t>
      </w:r>
    </w:p>
    <w:p w14:paraId="1E9DE891">
      <w:pPr>
        <w:spacing w:line="360" w:lineRule="auto"/>
        <w:ind w:firstLine="480" w:firstLineChars="200"/>
        <w:rPr>
          <w:rFonts w:eastAsia="微软雅黑"/>
          <w:sz w:val="24"/>
        </w:rPr>
      </w:pPr>
      <w:r>
        <w:rPr>
          <w:rFonts w:eastAsia="微软雅黑"/>
          <w:sz w:val="24"/>
        </w:rPr>
        <w:sym w:font="Symbol" w:char="F0B7"/>
      </w:r>
      <w:r>
        <w:rPr>
          <w:rFonts w:eastAsia="微软雅黑"/>
          <w:sz w:val="24"/>
        </w:rPr>
        <w:t>Evaluation of adverse event/adverse reaction are based on</w:t>
      </w:r>
      <w:r>
        <w:rPr>
          <w:sz w:val="24"/>
        </w:rPr>
        <w:t xml:space="preserve"> [Accordion Severity Grading System] and [CTCAE v3.0].</w:t>
      </w:r>
    </w:p>
    <w:p w14:paraId="5E4C280A">
      <w:pPr>
        <w:spacing w:line="360" w:lineRule="auto"/>
        <w:ind w:firstLine="480" w:firstLineChars="200"/>
        <w:rPr>
          <w:rFonts w:eastAsia="微软雅黑"/>
          <w:sz w:val="24"/>
        </w:rPr>
      </w:pPr>
      <w:r>
        <w:rPr>
          <w:rFonts w:eastAsia="微软雅黑"/>
          <w:sz w:val="24"/>
        </w:rPr>
        <w:sym w:font="Symbol" w:char="F0B7"/>
      </w:r>
      <w:r>
        <w:rPr>
          <w:rFonts w:eastAsia="微软雅黑"/>
          <w:sz w:val="24"/>
        </w:rPr>
        <w:t></w:t>
      </w:r>
      <w:r>
        <w:rPr>
          <w:sz w:val="24"/>
        </w:rPr>
        <w:t>Adverse events will be graded 0 ~ 4 as per definition. For treatment-related death, fatal adverse events are classified as Grade 5 in the original CTCAE</w:t>
      </w:r>
    </w:p>
    <w:p w14:paraId="5F7C4F65">
      <w:pPr>
        <w:numPr>
          <w:ilvl w:val="255"/>
          <w:numId w:val="0"/>
        </w:numPr>
        <w:spacing w:line="360" w:lineRule="auto"/>
        <w:rPr>
          <w:sz w:val="24"/>
        </w:rPr>
      </w:pPr>
      <w:r>
        <w:rPr>
          <w:rFonts w:eastAsia="微软雅黑"/>
          <w:sz w:val="24"/>
        </w:rPr>
        <w:sym w:font="Symbol" w:char="F0B7"/>
      </w:r>
      <w:r>
        <w:rPr>
          <w:sz w:val="24"/>
        </w:rPr>
        <w:t>Toxicity items specified in the [surgery-related adverse events], Grade and the discovery date of Grade should be recorded in the treatment process report. For other toxicity items observed, observed Grade 3 toxicity items are only recorded in the freedom registration column of the treatment process report, as well as Grade and the discovery date of Grade. Grade recorded in the treatment process report must be recorded in the case report form.</w:t>
      </w:r>
    </w:p>
    <w:p w14:paraId="48D5F528">
      <w:pPr>
        <w:numPr>
          <w:ilvl w:val="255"/>
          <w:numId w:val="0"/>
        </w:numPr>
        <w:spacing w:line="360" w:lineRule="auto"/>
        <w:rPr>
          <w:sz w:val="24"/>
        </w:rPr>
      </w:pPr>
      <w:r>
        <w:rPr>
          <w:sz w:val="24"/>
        </w:rPr>
        <w:sym w:font="Symbol" w:char="F0B7"/>
      </w:r>
      <w:r>
        <w:rPr>
          <w:sz w:val="24"/>
        </w:rPr>
        <w:t>CTCAE v3.0, the so-called “Adverse Event”, “all observed, unexpected bad signs, symptoms and diseases (abnormal value of clinical examination are also included) in the treatment or disposal, regardless of a causal relationship with the treatment or handling, including determining whether there is a causal relationship or not”.</w:t>
      </w:r>
    </w:p>
    <w:p w14:paraId="24400435">
      <w:pPr>
        <w:numPr>
          <w:ilvl w:val="255"/>
          <w:numId w:val="0"/>
        </w:numPr>
        <w:spacing w:line="360" w:lineRule="auto"/>
        <w:rPr>
          <w:sz w:val="24"/>
        </w:rPr>
      </w:pPr>
      <w:r>
        <w:rPr>
          <w:sz w:val="24"/>
        </w:rPr>
        <w:sym w:font="Symbol" w:char="F0B7"/>
      </w:r>
      <w:r>
        <w:rPr>
          <w:sz w:val="24"/>
        </w:rPr>
        <w:t xml:space="preserve">Therefore, even if events were “obviously caused by primary disease (cancer)” or caused by supportive therapy or combination therapy rather than the study regimen treatment (protocol treatment), they are “adverse events”. </w:t>
      </w:r>
    </w:p>
    <w:p w14:paraId="57D219A2">
      <w:pPr>
        <w:numPr>
          <w:ilvl w:val="255"/>
          <w:numId w:val="0"/>
        </w:numPr>
        <w:spacing w:line="360" w:lineRule="auto"/>
        <w:rPr>
          <w:sz w:val="24"/>
        </w:rPr>
      </w:pPr>
      <w:bookmarkStart w:id="94" w:name="OLE_LINK6"/>
      <w:bookmarkStart w:id="95" w:name="OLE_LINK7"/>
      <w:r>
        <w:rPr>
          <w:rFonts w:eastAsia="微软雅黑"/>
          <w:sz w:val="24"/>
        </w:rPr>
        <w:sym w:font="Symbol" w:char="F0B7"/>
      </w:r>
      <w:r>
        <w:rPr>
          <w:rFonts w:eastAsia="微软雅黑"/>
          <w:sz w:val="24"/>
        </w:rPr>
        <w:t></w:t>
      </w:r>
      <w:bookmarkEnd w:id="94"/>
      <w:bookmarkEnd w:id="95"/>
      <w:r>
        <w:rPr>
          <w:sz w:val="24"/>
        </w:rPr>
        <w:t>For adverse event data collection strategy, the following principles should be complied with in this study:</w:t>
      </w:r>
      <w:r>
        <w:rPr>
          <w:rFonts w:eastAsia="微软雅黑"/>
          <w:sz w:val="24"/>
        </w:rPr>
        <w:t xml:space="preserve">1) </w:t>
      </w:r>
      <w:r>
        <w:rPr>
          <w:sz w:val="24"/>
        </w:rPr>
        <w:t xml:space="preserve">Adverse events within 30 days from the last treatment day of the study regimen treatment (protocol treatment), regardless of the presence or absence of a causal relationship should be completely collected. (when adverse events are reported, the causality and classification of adverse events are separately discussed) </w:t>
      </w:r>
      <w:r>
        <w:rPr>
          <w:rFonts w:eastAsia="微软雅黑"/>
          <w:sz w:val="24"/>
        </w:rPr>
        <w:t>2)</w:t>
      </w:r>
      <w:r>
        <w:rPr>
          <w:sz w:val="24"/>
        </w:rPr>
        <w:t xml:space="preserve"> Adverse events within 30 days from the last treatment day of the study regimen treatment (protocol treatment), regardless of the presence or absence of a causal relationship should be completely collected. (when adverse events are reported, the causality and classification of adverse events are separately discussed)</w:t>
      </w:r>
    </w:p>
    <w:p w14:paraId="0F0FE1A5">
      <w:pPr>
        <w:adjustRightInd w:val="0"/>
        <w:snapToGrid w:val="0"/>
        <w:spacing w:line="360" w:lineRule="auto"/>
        <w:jc w:val="left"/>
        <w:rPr>
          <w:rFonts w:eastAsia="微软雅黑"/>
          <w:b/>
          <w:sz w:val="24"/>
        </w:rPr>
      </w:pPr>
      <w:r>
        <w:rPr>
          <w:rFonts w:eastAsia="微软雅黑"/>
          <w:b/>
          <w:sz w:val="24"/>
        </w:rPr>
        <w:t>12.4 Reporting of Adverse Events</w:t>
      </w:r>
    </w:p>
    <w:p w14:paraId="39A13C6E">
      <w:pPr>
        <w:autoSpaceDE w:val="0"/>
        <w:autoSpaceDN w:val="0"/>
        <w:adjustRightInd w:val="0"/>
        <w:snapToGrid w:val="0"/>
        <w:spacing w:line="360" w:lineRule="auto"/>
        <w:ind w:left="463" w:hanging="463" w:hangingChars="193"/>
        <w:jc w:val="left"/>
        <w:rPr>
          <w:rFonts w:eastAsia="微软雅黑"/>
          <w:sz w:val="24"/>
        </w:rPr>
      </w:pPr>
      <w:r>
        <w:rPr>
          <w:rFonts w:eastAsia="微软雅黑"/>
          <w:sz w:val="24"/>
        </w:rPr>
        <w:sym w:font="Symbol" w:char="F0B7"/>
      </w:r>
      <w:r>
        <w:rPr>
          <w:rFonts w:eastAsia="微软雅黑"/>
          <w:sz w:val="24"/>
        </w:rPr>
        <w:t xml:space="preserve">  When “severe adverse events” or “unexpected adverse events” occur, the research responsible person should report them to the Research Committee.</w:t>
      </w:r>
    </w:p>
    <w:p w14:paraId="2A259A24">
      <w:pPr>
        <w:pStyle w:val="33"/>
        <w:snapToGrid w:val="0"/>
        <w:spacing w:line="360" w:lineRule="auto"/>
        <w:ind w:left="310" w:hanging="309" w:hangingChars="129"/>
        <w:rPr>
          <w:rFonts w:ascii="Times New Roman" w:hAnsi="Times New Roman" w:eastAsia="微软雅黑" w:cs="Times New Roman"/>
          <w:color w:val="auto"/>
          <w:kern w:val="2"/>
        </w:rPr>
      </w:pPr>
      <w:r>
        <w:rPr>
          <w:rFonts w:ascii="Times New Roman" w:hAnsi="Times New Roman" w:eastAsia="微软雅黑" w:cs="Times New Roman"/>
          <w:color w:val="auto"/>
        </w:rPr>
        <w:sym w:font="Symbol" w:char="F0B7"/>
      </w:r>
      <w:r>
        <w:rPr>
          <w:rFonts w:ascii="Times New Roman" w:hAnsi="Times New Roman" w:eastAsia="微软雅黑" w:cs="Times New Roman"/>
          <w:color w:val="auto"/>
        </w:rPr>
        <w:t></w:t>
      </w:r>
      <w:r>
        <w:rPr>
          <w:rFonts w:ascii="Times New Roman" w:hAnsi="Times New Roman" w:eastAsia="微软雅黑" w:cs="Times New Roman"/>
          <w:color w:val="auto"/>
          <w:kern w:val="2"/>
        </w:rPr>
        <w:t xml:space="preserve">Based on the relevant laws and regulations, adverse events should be reported to the Health Department. Severe adverse events based on clinical research-related ethical guideline should be reported to the person in overall charge of the medical institution. The appropriate reporting procedures should be completed in accordance with the relevant provisions of the medical institutions at the same time. The person in charge of research should hold accountability and responsibility for the emergency treatment of patients with any degree of adverse events to ensure patient safety. </w:t>
      </w:r>
    </w:p>
    <w:p w14:paraId="6F1AC7CF">
      <w:pPr>
        <w:adjustRightInd w:val="0"/>
        <w:snapToGrid w:val="0"/>
        <w:spacing w:line="360" w:lineRule="auto"/>
        <w:rPr>
          <w:rFonts w:eastAsia="微软雅黑"/>
          <w:b/>
          <w:sz w:val="24"/>
        </w:rPr>
      </w:pPr>
      <w:r>
        <w:rPr>
          <w:rFonts w:eastAsia="微软雅黑"/>
          <w:b/>
          <w:sz w:val="24"/>
        </w:rPr>
        <w:t xml:space="preserve">12.4.1 Adverse Events with Reporting Obligations </w:t>
      </w:r>
    </w:p>
    <w:p w14:paraId="59A445AE">
      <w:pPr>
        <w:adjustRightInd w:val="0"/>
        <w:snapToGrid w:val="0"/>
        <w:spacing w:line="360" w:lineRule="auto"/>
        <w:rPr>
          <w:rFonts w:eastAsia="微软雅黑"/>
          <w:b/>
          <w:sz w:val="24"/>
        </w:rPr>
      </w:pPr>
      <w:r>
        <w:rPr>
          <w:rFonts w:eastAsia="微软雅黑"/>
          <w:b/>
          <w:sz w:val="24"/>
        </w:rPr>
        <w:t>12.4.1.1 Adverse Events with Emergency Reporting Obligations</w:t>
      </w:r>
    </w:p>
    <w:p w14:paraId="3777D10E">
      <w:pPr>
        <w:autoSpaceDE w:val="0"/>
        <w:autoSpaceDN w:val="0"/>
        <w:adjustRightInd w:val="0"/>
        <w:snapToGrid w:val="0"/>
        <w:spacing w:line="360" w:lineRule="auto"/>
        <w:jc w:val="left"/>
        <w:rPr>
          <w:rFonts w:eastAsia="微软雅黑"/>
          <w:sz w:val="24"/>
        </w:rPr>
      </w:pPr>
      <w:r>
        <w:rPr>
          <w:rFonts w:eastAsia="微软雅黑"/>
          <w:sz w:val="24"/>
        </w:rPr>
        <w:t xml:space="preserve">Any of the following adverse events should be reported on an emergent basis: </w:t>
      </w:r>
    </w:p>
    <w:p w14:paraId="7CE67347">
      <w:pPr>
        <w:autoSpaceDE w:val="0"/>
        <w:autoSpaceDN w:val="0"/>
        <w:adjustRightInd w:val="0"/>
        <w:snapToGrid w:val="0"/>
        <w:spacing w:line="360" w:lineRule="auto"/>
        <w:ind w:left="617" w:hanging="616" w:hangingChars="257"/>
        <w:jc w:val="left"/>
        <w:rPr>
          <w:rFonts w:eastAsia="微软雅黑"/>
          <w:sz w:val="24"/>
        </w:rPr>
      </w:pPr>
      <w:r>
        <w:rPr>
          <w:rFonts w:eastAsia="微软雅黑"/>
          <w:sz w:val="24"/>
        </w:rPr>
        <w:t></w:t>
      </w:r>
      <w:r>
        <w:rPr>
          <w:rFonts w:eastAsia="微软雅黑"/>
          <w:sz w:val="24"/>
        </w:rPr>
        <w:sym w:font="Symbol" w:char="F0B7"/>
      </w:r>
      <w:r>
        <w:rPr>
          <w:rFonts w:eastAsia="微软雅黑"/>
          <w:sz w:val="24"/>
        </w:rPr>
        <w:t xml:space="preserve">All patients who die during the course of treatment or within 30 days from the last treatment day, regardless of the presence or absence of a causal relationship with the study regimen treatment. Also, cases of discontinuation of treatment, even if within 30 days from the last treatment day, those patients are also emergent reporting objects. (“30 days” refers to day 0, the final treatment day, 30 days starting from the next day)  </w:t>
      </w:r>
    </w:p>
    <w:p w14:paraId="2460E1E8">
      <w:pPr>
        <w:autoSpaceDE w:val="0"/>
        <w:autoSpaceDN w:val="0"/>
        <w:adjustRightInd w:val="0"/>
        <w:snapToGrid w:val="0"/>
        <w:spacing w:line="360" w:lineRule="auto"/>
        <w:ind w:left="617" w:hanging="616" w:hangingChars="257"/>
        <w:jc w:val="left"/>
        <w:rPr>
          <w:rFonts w:eastAsia="微软雅黑"/>
          <w:sz w:val="24"/>
        </w:rPr>
      </w:pPr>
      <w:r>
        <w:rPr>
          <w:rFonts w:eastAsia="微软雅黑"/>
          <w:sz w:val="24"/>
        </w:rPr>
        <w:t></w:t>
      </w:r>
      <w:r>
        <w:rPr>
          <w:rFonts w:eastAsia="微软雅黑"/>
          <w:sz w:val="24"/>
        </w:rPr>
        <w:sym w:font="Symbol" w:char="F0B7"/>
      </w:r>
      <w:r>
        <w:rPr>
          <w:rFonts w:eastAsia="微软雅黑"/>
          <w:sz w:val="24"/>
        </w:rPr>
        <w:t xml:space="preserve">Those patients with unexpected Grade 4 non-hematologic toxicity (CTCAE v3.0 adverse events other than the blood/bone marrow group), having a causality of treatment (any of definite, probable, possible) who emergent reporting objects are. </w:t>
      </w:r>
    </w:p>
    <w:p w14:paraId="5DAB38DF">
      <w:pPr>
        <w:adjustRightInd w:val="0"/>
        <w:snapToGrid w:val="0"/>
        <w:spacing w:line="360" w:lineRule="auto"/>
        <w:rPr>
          <w:rFonts w:eastAsia="微软雅黑"/>
          <w:b/>
          <w:sz w:val="24"/>
        </w:rPr>
      </w:pPr>
      <w:r>
        <w:rPr>
          <w:rFonts w:eastAsia="微软雅黑"/>
          <w:b/>
          <w:sz w:val="24"/>
        </w:rPr>
        <w:t xml:space="preserve">12.4.1.2 Adverse Events with Regular Reporting Obligations </w:t>
      </w:r>
    </w:p>
    <w:p w14:paraId="79CEA6E9">
      <w:pPr>
        <w:autoSpaceDE w:val="0"/>
        <w:autoSpaceDN w:val="0"/>
        <w:adjustRightInd w:val="0"/>
        <w:snapToGrid w:val="0"/>
        <w:spacing w:line="360" w:lineRule="auto"/>
        <w:jc w:val="left"/>
        <w:rPr>
          <w:rFonts w:eastAsia="微软雅黑"/>
          <w:sz w:val="24"/>
        </w:rPr>
      </w:pPr>
      <w:r>
        <w:rPr>
          <w:rFonts w:eastAsia="微软雅黑"/>
          <w:sz w:val="24"/>
        </w:rPr>
        <w:t xml:space="preserve">One of the following adverse events are regular reporting objects: </w:t>
      </w:r>
    </w:p>
    <w:p w14:paraId="5AB850EF">
      <w:pPr>
        <w:autoSpaceDE w:val="0"/>
        <w:autoSpaceDN w:val="0"/>
        <w:adjustRightInd w:val="0"/>
        <w:snapToGrid w:val="0"/>
        <w:spacing w:line="360" w:lineRule="auto"/>
        <w:jc w:val="left"/>
        <w:rPr>
          <w:rFonts w:eastAsia="微软雅黑"/>
          <w:sz w:val="24"/>
        </w:rPr>
      </w:pPr>
      <w:r>
        <w:rPr>
          <w:rFonts w:eastAsia="微软雅黑"/>
          <w:sz w:val="24"/>
        </w:rPr>
        <w:t xml:space="preserve">(1) After 31 days from the last treatment day, deaths for which a causal relationship with treatment cannot be denied, including suspected treatment-related death; death due </w:t>
      </w:r>
    </w:p>
    <w:p w14:paraId="1657DA91">
      <w:pPr>
        <w:autoSpaceDE w:val="0"/>
        <w:autoSpaceDN w:val="0"/>
        <w:adjustRightInd w:val="0"/>
        <w:snapToGrid w:val="0"/>
        <w:spacing w:line="360" w:lineRule="auto"/>
        <w:jc w:val="left"/>
        <w:rPr>
          <w:rFonts w:eastAsia="微软雅黑"/>
          <w:sz w:val="24"/>
        </w:rPr>
      </w:pPr>
      <w:r>
        <w:rPr>
          <w:rFonts w:eastAsia="微软雅黑"/>
          <w:sz w:val="24"/>
        </w:rPr>
        <w:t xml:space="preserve">to obvious primary disease is included. </w:t>
      </w:r>
    </w:p>
    <w:p w14:paraId="4BA51801">
      <w:pPr>
        <w:autoSpaceDE w:val="0"/>
        <w:autoSpaceDN w:val="0"/>
        <w:adjustRightInd w:val="0"/>
        <w:snapToGrid w:val="0"/>
        <w:spacing w:line="360" w:lineRule="auto"/>
        <w:jc w:val="left"/>
        <w:rPr>
          <w:rFonts w:eastAsia="微软雅黑"/>
          <w:sz w:val="24"/>
        </w:rPr>
      </w:pPr>
      <w:r>
        <w:rPr>
          <w:rFonts w:eastAsia="微软雅黑"/>
          <w:sz w:val="24"/>
        </w:rPr>
        <w:t xml:space="preserve">(2) Expected Grade 4 non-hematologic toxicity (CTCAE v3.0 adverse events other than </w:t>
      </w:r>
    </w:p>
    <w:p w14:paraId="38DFC3A5">
      <w:pPr>
        <w:autoSpaceDE w:val="0"/>
        <w:autoSpaceDN w:val="0"/>
        <w:adjustRightInd w:val="0"/>
        <w:snapToGrid w:val="0"/>
        <w:spacing w:line="360" w:lineRule="auto"/>
        <w:jc w:val="left"/>
        <w:rPr>
          <w:rFonts w:eastAsia="微软雅黑"/>
          <w:sz w:val="24"/>
        </w:rPr>
      </w:pPr>
      <w:r>
        <w:rPr>
          <w:rFonts w:eastAsia="微软雅黑"/>
          <w:sz w:val="24"/>
        </w:rPr>
        <w:t xml:space="preserve">the blood/bone marrow group).  </w:t>
      </w:r>
    </w:p>
    <w:p w14:paraId="7EA3FB2D">
      <w:pPr>
        <w:autoSpaceDE w:val="0"/>
        <w:autoSpaceDN w:val="0"/>
        <w:adjustRightInd w:val="0"/>
        <w:snapToGrid w:val="0"/>
        <w:spacing w:line="360" w:lineRule="auto"/>
        <w:jc w:val="left"/>
        <w:rPr>
          <w:rFonts w:eastAsia="微软雅黑"/>
          <w:sz w:val="24"/>
        </w:rPr>
      </w:pPr>
      <w:r>
        <w:rPr>
          <w:rFonts w:eastAsia="微软雅黑"/>
          <w:sz w:val="24"/>
        </w:rPr>
        <w:t xml:space="preserve">(3) Unexpected Grade 3adverse events: Grade 3 adverse events are not recorded in the </w:t>
      </w:r>
    </w:p>
    <w:p w14:paraId="1AC54FBF">
      <w:pPr>
        <w:autoSpaceDE w:val="0"/>
        <w:autoSpaceDN w:val="0"/>
        <w:adjustRightInd w:val="0"/>
        <w:snapToGrid w:val="0"/>
        <w:spacing w:line="360" w:lineRule="auto"/>
        <w:jc w:val="left"/>
        <w:rPr>
          <w:rFonts w:eastAsia="微软雅黑"/>
          <w:sz w:val="24"/>
        </w:rPr>
      </w:pPr>
      <w:r>
        <w:rPr>
          <w:rFonts w:eastAsia="微软雅黑"/>
          <w:sz w:val="24"/>
        </w:rPr>
        <w:t xml:space="preserve">12.1 expected adverse events.  </w:t>
      </w:r>
    </w:p>
    <w:p w14:paraId="4DC5CE83">
      <w:pPr>
        <w:autoSpaceDE w:val="0"/>
        <w:autoSpaceDN w:val="0"/>
        <w:adjustRightInd w:val="0"/>
        <w:snapToGrid w:val="0"/>
        <w:spacing w:line="360" w:lineRule="auto"/>
        <w:jc w:val="left"/>
        <w:rPr>
          <w:rFonts w:eastAsia="微软雅黑"/>
          <w:sz w:val="24"/>
        </w:rPr>
      </w:pPr>
      <w:r>
        <w:rPr>
          <w:rFonts w:eastAsia="微软雅黑"/>
          <w:sz w:val="24"/>
        </w:rPr>
        <w:t xml:space="preserve">(4) Other significant medical events: adverse events that the study group deems cause </w:t>
      </w:r>
    </w:p>
    <w:p w14:paraId="74B6C1AC">
      <w:pPr>
        <w:autoSpaceDE w:val="0"/>
        <w:autoSpaceDN w:val="0"/>
        <w:adjustRightInd w:val="0"/>
        <w:snapToGrid w:val="0"/>
        <w:spacing w:line="360" w:lineRule="auto"/>
        <w:jc w:val="left"/>
        <w:rPr>
          <w:rFonts w:eastAsia="微软雅黑"/>
          <w:sz w:val="24"/>
        </w:rPr>
      </w:pPr>
      <w:r>
        <w:rPr>
          <w:rFonts w:eastAsia="微软雅黑"/>
          <w:sz w:val="24"/>
        </w:rPr>
        <w:t>Important and potentially permanent, significant impact on their offspring (MDS myelodysplastic syndrome, except for secondary cancer) Adverse events among above (2)-(4), determined to have a causal relationship (any of definite, probable, possible) with the study regimen are regular reporting objects.</w:t>
      </w:r>
    </w:p>
    <w:p w14:paraId="031BE980">
      <w:pPr>
        <w:autoSpaceDE w:val="0"/>
        <w:autoSpaceDN w:val="0"/>
        <w:adjustRightInd w:val="0"/>
        <w:snapToGrid w:val="0"/>
        <w:spacing w:line="360" w:lineRule="auto"/>
        <w:jc w:val="left"/>
        <w:rPr>
          <w:rFonts w:eastAsia="微软雅黑"/>
          <w:b/>
          <w:sz w:val="24"/>
        </w:rPr>
      </w:pPr>
      <w:r>
        <w:rPr>
          <w:rFonts w:eastAsia="微软雅黑"/>
          <w:b/>
          <w:sz w:val="24"/>
        </w:rPr>
        <w:t>12.4.2 Reporting Procedure</w:t>
      </w:r>
    </w:p>
    <w:p w14:paraId="7415C1A1">
      <w:pPr>
        <w:adjustRightInd w:val="0"/>
        <w:snapToGrid w:val="0"/>
        <w:spacing w:line="360" w:lineRule="auto"/>
        <w:rPr>
          <w:rFonts w:eastAsia="微软雅黑"/>
          <w:b/>
          <w:sz w:val="24"/>
        </w:rPr>
      </w:pPr>
      <w:r>
        <w:rPr>
          <w:rFonts w:eastAsia="微软雅黑"/>
          <w:b/>
          <w:sz w:val="24"/>
        </w:rPr>
        <w:t xml:space="preserve">12.4.2.1 Emergency Reporting </w:t>
      </w:r>
    </w:p>
    <w:p w14:paraId="5D714306">
      <w:pPr>
        <w:pStyle w:val="33"/>
        <w:snapToGrid w:val="0"/>
        <w:spacing w:line="360" w:lineRule="auto"/>
        <w:ind w:left="463" w:hanging="463" w:hangingChars="193"/>
        <w:rPr>
          <w:rFonts w:ascii="Times New Roman" w:hAnsi="Times New Roman" w:eastAsia="微软雅黑" w:cs="Times New Roman"/>
          <w:color w:val="auto"/>
          <w:kern w:val="2"/>
        </w:rPr>
      </w:pPr>
      <w:r>
        <w:rPr>
          <w:rFonts w:ascii="Times New Roman" w:hAnsi="Times New Roman" w:eastAsia="微软雅黑" w:cs="Times New Roman"/>
          <w:color w:val="auto"/>
          <w:kern w:val="2"/>
        </w:rPr>
        <w:t></w:t>
      </w:r>
      <w:r>
        <w:rPr>
          <w:rFonts w:ascii="Times New Roman" w:hAnsi="Times New Roman" w:eastAsia="微软雅黑" w:cs="Times New Roman"/>
          <w:color w:val="auto"/>
        </w:rPr>
        <w:sym w:font="Symbol" w:char="F0B7"/>
      </w:r>
      <w:r>
        <w:rPr>
          <w:rFonts w:ascii="Times New Roman" w:hAnsi="Times New Roman" w:eastAsia="微软雅黑" w:cs="Times New Roman"/>
          <w:color w:val="auto"/>
          <w:kern w:val="2"/>
        </w:rPr>
        <w:t xml:space="preserve"> In case of any adverse event on emergency study reporting objects, the doctor in charge will quickly report it to the research responsible person. When the research responsible person cannot be contacted, the coordinator or the doctor in charge of the hospital must assume the responsibility on behalf of the research responsible person of the hospital. </w:t>
      </w:r>
    </w:p>
    <w:p w14:paraId="12D6C844">
      <w:pPr>
        <w:autoSpaceDE w:val="0"/>
        <w:autoSpaceDN w:val="0"/>
        <w:adjustRightInd w:val="0"/>
        <w:snapToGrid w:val="0"/>
        <w:spacing w:line="360" w:lineRule="auto"/>
        <w:ind w:left="463" w:hanging="463" w:hangingChars="193"/>
        <w:jc w:val="left"/>
        <w:rPr>
          <w:rFonts w:eastAsia="微软雅黑"/>
          <w:sz w:val="24"/>
        </w:rPr>
      </w:pPr>
      <w:r>
        <w:rPr>
          <w:rFonts w:eastAsia="微软雅黑"/>
          <w:sz w:val="24"/>
        </w:rPr>
        <w:t></w:t>
      </w:r>
      <w:r>
        <w:rPr>
          <w:rFonts w:eastAsia="微软雅黑"/>
          <w:sz w:val="24"/>
        </w:rPr>
        <w:sym w:font="Symbol" w:char="F0B7"/>
      </w:r>
      <w:r>
        <w:rPr>
          <w:rFonts w:eastAsia="微软雅黑"/>
          <w:sz w:val="24"/>
        </w:rPr>
        <w:t xml:space="preserve"> First Reporting: Within 72 hours after the occurrence of adverse events, the research responsible person should complete the “AE/AR/ADR first emergency report” and send it to the Research Committee by email and telephone.  </w:t>
      </w:r>
    </w:p>
    <w:p w14:paraId="3144A55B">
      <w:pPr>
        <w:autoSpaceDE w:val="0"/>
        <w:autoSpaceDN w:val="0"/>
        <w:adjustRightInd w:val="0"/>
        <w:snapToGrid w:val="0"/>
        <w:spacing w:line="360" w:lineRule="auto"/>
        <w:ind w:left="463" w:hanging="463" w:hangingChars="193"/>
        <w:jc w:val="left"/>
        <w:rPr>
          <w:rFonts w:eastAsia="微软雅黑"/>
          <w:sz w:val="24"/>
        </w:rPr>
      </w:pPr>
      <w:r>
        <w:rPr>
          <w:rFonts w:eastAsia="微软雅黑"/>
          <w:sz w:val="24"/>
        </w:rPr>
        <w:t></w:t>
      </w:r>
      <w:r>
        <w:rPr>
          <w:rFonts w:eastAsia="微软雅黑"/>
          <w:sz w:val="24"/>
        </w:rPr>
        <w:sym w:font="Symbol" w:char="F0B7"/>
      </w:r>
      <w:r>
        <w:rPr>
          <w:rFonts w:eastAsia="微软雅黑"/>
          <w:sz w:val="24"/>
        </w:rPr>
        <w:t xml:space="preserve"> Second Reporting: The research responsible person completes the “AE/AR/ADR Report” and a more detailed case information report (A4 format), and then faxes the two reports to the Research Committee within 15 days after the occurrence of adverse events. If any autopsy examination, the autopsy result report should be submitted to the Research Committee. </w:t>
      </w:r>
    </w:p>
    <w:p w14:paraId="4029BCFD">
      <w:pPr>
        <w:adjustRightInd w:val="0"/>
        <w:snapToGrid w:val="0"/>
        <w:spacing w:line="360" w:lineRule="auto"/>
        <w:rPr>
          <w:rFonts w:eastAsia="微软雅黑"/>
          <w:b/>
          <w:sz w:val="24"/>
        </w:rPr>
      </w:pPr>
      <w:r>
        <w:rPr>
          <w:rFonts w:eastAsia="微软雅黑"/>
          <w:b/>
          <w:sz w:val="24"/>
        </w:rPr>
        <w:t xml:space="preserve">12.4.2.2 General Reports </w:t>
      </w:r>
    </w:p>
    <w:p w14:paraId="52F28B65">
      <w:pPr>
        <w:autoSpaceDE w:val="0"/>
        <w:autoSpaceDN w:val="0"/>
        <w:adjustRightInd w:val="0"/>
        <w:snapToGrid w:val="0"/>
        <w:spacing w:line="360" w:lineRule="auto"/>
        <w:ind w:left="463" w:hanging="463" w:hangingChars="193"/>
        <w:jc w:val="left"/>
        <w:rPr>
          <w:rFonts w:eastAsia="微软雅黑"/>
          <w:sz w:val="24"/>
        </w:rPr>
      </w:pPr>
      <w:r>
        <w:rPr>
          <w:rFonts w:eastAsia="微软雅黑"/>
          <w:sz w:val="24"/>
        </w:rPr>
        <w:t></w:t>
      </w:r>
      <w:r>
        <w:rPr>
          <w:rFonts w:eastAsia="微软雅黑"/>
          <w:sz w:val="24"/>
        </w:rPr>
        <w:sym w:font="Symbol" w:char="F0B7"/>
      </w:r>
      <w:r>
        <w:rPr>
          <w:rFonts w:eastAsia="微软雅黑"/>
          <w:sz w:val="24"/>
        </w:rPr>
        <w:t xml:space="preserve">  The research responsible person of each research participating hospital completes the “AE/AR/ADR report”, and then faxes it to the Research Committee within 15 days after the occurrence of adverse events. </w:t>
      </w:r>
    </w:p>
    <w:p w14:paraId="5C2935DE">
      <w:pPr>
        <w:autoSpaceDE w:val="0"/>
        <w:autoSpaceDN w:val="0"/>
        <w:adjustRightInd w:val="0"/>
        <w:snapToGrid w:val="0"/>
        <w:spacing w:line="360" w:lineRule="auto"/>
        <w:jc w:val="left"/>
        <w:rPr>
          <w:rFonts w:eastAsia="微软雅黑"/>
          <w:b/>
          <w:sz w:val="24"/>
        </w:rPr>
      </w:pPr>
      <w:r>
        <w:rPr>
          <w:rFonts w:eastAsia="微软雅黑"/>
          <w:b/>
          <w:sz w:val="24"/>
        </w:rPr>
        <w:t xml:space="preserve">12.5 Review of Efficacy and Safety Evaluation Committee  </w:t>
      </w:r>
    </w:p>
    <w:p w14:paraId="7DE9A7E1">
      <w:pPr>
        <w:autoSpaceDE w:val="0"/>
        <w:autoSpaceDN w:val="0"/>
        <w:adjustRightInd w:val="0"/>
        <w:snapToGrid w:val="0"/>
        <w:spacing w:line="360" w:lineRule="auto"/>
        <w:ind w:firstLine="463" w:firstLineChars="193"/>
        <w:jc w:val="left"/>
        <w:rPr>
          <w:rFonts w:eastAsia="微软雅黑"/>
          <w:sz w:val="24"/>
        </w:rPr>
      </w:pPr>
      <w:r>
        <w:rPr>
          <w:rFonts w:eastAsia="微软雅黑"/>
          <w:sz w:val="24"/>
        </w:rPr>
        <w:t xml:space="preserve">The Efficacy and Safety Evaluation Committee reviews and discusses the report in accordance with the procedures recorded in the </w:t>
      </w:r>
      <w:r>
        <w:rPr>
          <w:rFonts w:eastAsia="微软雅黑"/>
          <w:i/>
          <w:iCs/>
          <w:sz w:val="24"/>
        </w:rPr>
        <w:t>Clinical Safety Information Management Guideline</w:t>
      </w:r>
      <w:r>
        <w:rPr>
          <w:rFonts w:eastAsia="微软雅黑"/>
          <w:sz w:val="24"/>
        </w:rPr>
        <w:t>, and makes recommendations in writing for the research responsible person, including whether to continue to include study objects or to modify the study protocol.</w:t>
      </w:r>
    </w:p>
    <w:p w14:paraId="66CBC693">
      <w:pPr>
        <w:adjustRightInd w:val="0"/>
        <w:snapToGrid w:val="0"/>
        <w:spacing w:line="360" w:lineRule="auto"/>
        <w:outlineLvl w:val="0"/>
        <w:rPr>
          <w:rFonts w:eastAsia="微软雅黑"/>
          <w:b/>
          <w:sz w:val="30"/>
          <w:szCs w:val="30"/>
        </w:rPr>
      </w:pPr>
      <w:bookmarkStart w:id="96" w:name="_Toc19186"/>
      <w:r>
        <w:rPr>
          <w:rFonts w:eastAsia="微软雅黑"/>
          <w:b/>
          <w:sz w:val="30"/>
          <w:szCs w:val="30"/>
        </w:rPr>
        <w:t xml:space="preserve">13. </w:t>
      </w:r>
      <w:r>
        <w:rPr>
          <w:b/>
          <w:sz w:val="30"/>
          <w:szCs w:val="30"/>
        </w:rPr>
        <w:t>Ethical Considerations</w:t>
      </w:r>
      <w:bookmarkEnd w:id="96"/>
    </w:p>
    <w:p w14:paraId="3CD5C731">
      <w:pPr>
        <w:adjustRightInd w:val="0"/>
        <w:snapToGrid w:val="0"/>
        <w:spacing w:line="360" w:lineRule="auto"/>
        <w:jc w:val="left"/>
        <w:rPr>
          <w:rFonts w:eastAsia="微软雅黑"/>
          <w:b/>
          <w:sz w:val="24"/>
        </w:rPr>
      </w:pPr>
      <w:r>
        <w:rPr>
          <w:rFonts w:eastAsia="微软雅黑"/>
          <w:b/>
          <w:sz w:val="24"/>
        </w:rPr>
        <w:t xml:space="preserve">13.1 </w:t>
      </w:r>
      <w:r>
        <w:rPr>
          <w:b/>
          <w:sz w:val="24"/>
        </w:rPr>
        <w:t>Responsibilities of researchers</w:t>
      </w:r>
      <w:r>
        <w:rPr>
          <w:rFonts w:eastAsia="微软雅黑"/>
          <w:b/>
          <w:sz w:val="24"/>
        </w:rPr>
        <w:t xml:space="preserve"> </w:t>
      </w:r>
    </w:p>
    <w:p w14:paraId="43FE6795">
      <w:pPr>
        <w:spacing w:line="360" w:lineRule="auto"/>
        <w:ind w:firstLine="480" w:firstLineChars="200"/>
        <w:rPr>
          <w:rFonts w:eastAsia="微软雅黑"/>
          <w:sz w:val="24"/>
        </w:rPr>
      </w:pPr>
      <w:r>
        <w:rPr>
          <w:rFonts w:eastAsia="微软雅黑"/>
          <w:sz w:val="24"/>
        </w:rPr>
        <w:t xml:space="preserve">The investigators are responsible for the conduction of this study. The investigators will ensure the implementation of this study in accordance with the study protocol and in compliance with the Declaration of Helsinki, as well as domestic and international ethical guiding principles and applicable regulatory requirements. It is specially noted that, the investigators must ensure that only subjects providing informed consent can be enrolled in this study. </w:t>
      </w:r>
    </w:p>
    <w:p w14:paraId="26ECD616">
      <w:pPr>
        <w:adjustRightInd w:val="0"/>
        <w:snapToGrid w:val="0"/>
        <w:spacing w:line="360" w:lineRule="auto"/>
        <w:jc w:val="left"/>
        <w:rPr>
          <w:rFonts w:eastAsia="微软雅黑"/>
          <w:b/>
          <w:sz w:val="24"/>
        </w:rPr>
      </w:pPr>
      <w:r>
        <w:rPr>
          <w:rFonts w:eastAsia="微软雅黑"/>
          <w:b/>
          <w:sz w:val="24"/>
        </w:rPr>
        <w:t>13.2</w:t>
      </w:r>
      <w:r>
        <w:rPr>
          <w:b/>
          <w:sz w:val="24"/>
        </w:rPr>
        <w:t xml:space="preserve"> Information and Informed Consent of Subjects </w:t>
      </w:r>
    </w:p>
    <w:p w14:paraId="3EFC541D">
      <w:pPr>
        <w:adjustRightInd w:val="0"/>
        <w:snapToGrid w:val="0"/>
        <w:spacing w:line="360" w:lineRule="auto"/>
        <w:ind w:firstLine="480" w:firstLineChars="200"/>
        <w:rPr>
          <w:rFonts w:eastAsia="微软雅黑"/>
          <w:sz w:val="24"/>
        </w:rPr>
      </w:pPr>
      <w:r>
        <w:rPr>
          <w:rFonts w:eastAsia="微软雅黑"/>
          <w:sz w:val="24"/>
        </w:rPr>
        <w:t xml:space="preserve">An unconditional prerequisite for subjects to participate in this study is his/her written informed consent. The written informed consent of subjects participating in this study must be given before study-related activities are conducted. </w:t>
      </w:r>
    </w:p>
    <w:p w14:paraId="4BCE1EC5">
      <w:pPr>
        <w:adjustRightInd w:val="0"/>
        <w:snapToGrid w:val="0"/>
        <w:spacing w:line="360" w:lineRule="auto"/>
        <w:ind w:firstLine="480" w:firstLineChars="200"/>
        <w:rPr>
          <w:rFonts w:eastAsia="微软雅黑"/>
          <w:sz w:val="24"/>
        </w:rPr>
      </w:pPr>
      <w:r>
        <w:rPr>
          <w:rFonts w:eastAsia="微软雅黑"/>
          <w:sz w:val="24"/>
        </w:rPr>
        <w:t xml:space="preserve">Therefore, before obtaining informed consent, the investigators must provide sufficient information to the subjects. In order to obtain the informed consent, the investigators will provide the information page to subjects, and the information required to comply with the applicable regulatory requirements. While providing written information, the investigators will orally inform the subjects of all the relevant circumstances of this study. In this process, the information must be fully and easily understood by non-professionals, so that they can sign the informed consent form according to their own will on the basis of their full understanding of this study. </w:t>
      </w:r>
    </w:p>
    <w:p w14:paraId="04159802">
      <w:pPr>
        <w:adjustRightInd w:val="0"/>
        <w:snapToGrid w:val="0"/>
        <w:spacing w:line="360" w:lineRule="auto"/>
        <w:ind w:firstLine="480" w:firstLineChars="200"/>
        <w:rPr>
          <w:rFonts w:eastAsia="微软雅黑"/>
          <w:sz w:val="24"/>
        </w:rPr>
      </w:pPr>
      <w:r>
        <w:rPr>
          <w:rFonts w:eastAsia="微软雅黑"/>
          <w:sz w:val="24"/>
        </w:rPr>
        <w:t xml:space="preserve">The informed consent form must be signed and dated personally by the subjects and investigators. All subjects will be asked to sign the informed consent form to prove that they agree to participate in the study. The signed informed consent form should be kept at the research center and must be properly safe kept for future review at any time during audit and inspection throughout the inspection period. Before participating in the study, the subjects should provide a copy of signed and dated informed consent form. </w:t>
      </w:r>
    </w:p>
    <w:p w14:paraId="7B881E5B">
      <w:pPr>
        <w:adjustRightInd w:val="0"/>
        <w:snapToGrid w:val="0"/>
        <w:spacing w:line="360" w:lineRule="auto"/>
        <w:ind w:firstLine="480" w:firstLineChars="200"/>
        <w:rPr>
          <w:rFonts w:eastAsia="微软雅黑"/>
          <w:sz w:val="24"/>
        </w:rPr>
      </w:pPr>
      <w:r>
        <w:rPr>
          <w:rFonts w:eastAsia="微软雅黑"/>
          <w:sz w:val="24"/>
        </w:rPr>
        <w:t xml:space="preserve">At any time, if important new information becomes available that may be related to the consent of the subjects, the investigators will revise the information pages and any other written information which must be submitted to the IEC/IRB for review and approval. The revised information approved will be provided to each subject participating the study. The researchers will explain the changes made to the previous version of ICF to the subjects </w:t>
      </w:r>
    </w:p>
    <w:p w14:paraId="42937E25">
      <w:pPr>
        <w:adjustRightInd w:val="0"/>
        <w:snapToGrid w:val="0"/>
        <w:spacing w:line="360" w:lineRule="auto"/>
        <w:jc w:val="left"/>
        <w:rPr>
          <w:rFonts w:eastAsia="微软雅黑"/>
          <w:b/>
          <w:sz w:val="24"/>
        </w:rPr>
      </w:pPr>
      <w:r>
        <w:rPr>
          <w:rFonts w:eastAsia="微软雅黑"/>
          <w:b/>
          <w:sz w:val="24"/>
        </w:rPr>
        <w:t xml:space="preserve">13.3 </w:t>
      </w:r>
      <w:r>
        <w:rPr>
          <w:b/>
          <w:sz w:val="24"/>
        </w:rPr>
        <w:t>Identity and Privacy of Subjects</w:t>
      </w:r>
    </w:p>
    <w:p w14:paraId="2E776B26">
      <w:pPr>
        <w:adjustRightInd w:val="0"/>
        <w:snapToGrid w:val="0"/>
        <w:spacing w:line="360" w:lineRule="auto"/>
        <w:ind w:firstLine="480" w:firstLineChars="200"/>
        <w:rPr>
          <w:rFonts w:eastAsia="微软雅黑"/>
          <w:sz w:val="24"/>
        </w:rPr>
      </w:pPr>
      <w:r>
        <w:rPr>
          <w:rFonts w:eastAsia="微软雅黑"/>
          <w:sz w:val="24"/>
        </w:rPr>
        <w:t xml:space="preserve">After obtaining an informed consent form, each selected subject is assigned a subject number (Allocation Number). This number will represent the identity of the subject during the entire study and for the clinical research database of the study. The collected data of subjects in the study will be stored in the ID. </w:t>
      </w:r>
    </w:p>
    <w:p w14:paraId="3275BCA3">
      <w:pPr>
        <w:adjustRightInd w:val="0"/>
        <w:snapToGrid w:val="0"/>
        <w:spacing w:line="360" w:lineRule="auto"/>
        <w:ind w:firstLine="480" w:firstLineChars="200"/>
        <w:rPr>
          <w:rFonts w:eastAsia="微软雅黑"/>
          <w:sz w:val="24"/>
        </w:rPr>
      </w:pPr>
      <w:r>
        <w:rPr>
          <w:rFonts w:eastAsia="微软雅黑"/>
          <w:sz w:val="24"/>
        </w:rPr>
        <w:t xml:space="preserve">Throughout the entire study, several measures will be taken to minimize any breaches of personal information, including: (1) only the investigators will be able to link to the research data of the subjects to themselves through the identify table kept at the research center after authorization; (2) during onsite auditing of raw data by the supervisors of this study, as well as relevant inspection and inspection visits by the  supervision departments, the personnel engaging in the above activities may view the original medical information of subjects that will be kept strictly confidential. </w:t>
      </w:r>
    </w:p>
    <w:p w14:paraId="04988F3F">
      <w:pPr>
        <w:adjustRightInd w:val="0"/>
        <w:snapToGrid w:val="0"/>
        <w:spacing w:line="360" w:lineRule="auto"/>
        <w:ind w:firstLine="480" w:firstLineChars="200"/>
        <w:rPr>
          <w:rFonts w:eastAsia="微软雅黑"/>
          <w:sz w:val="24"/>
        </w:rPr>
      </w:pPr>
      <w:r>
        <w:rPr>
          <w:rFonts w:eastAsia="微软雅黑"/>
          <w:sz w:val="24"/>
        </w:rPr>
        <w:t>Collection, transmission, handling and storage of data on study subjects will comply with the data protection and privacy regulations. This information will be provided to the study subjects when their informed consent is being obtained for treatment procedures in accordance with national regulations.</w:t>
      </w:r>
    </w:p>
    <w:p w14:paraId="6FEA81E5">
      <w:pPr>
        <w:adjustRightInd w:val="0"/>
        <w:snapToGrid w:val="0"/>
        <w:spacing w:line="360" w:lineRule="auto"/>
        <w:jc w:val="left"/>
        <w:rPr>
          <w:rFonts w:eastAsia="微软雅黑"/>
          <w:b/>
          <w:sz w:val="24"/>
        </w:rPr>
      </w:pPr>
      <w:r>
        <w:rPr>
          <w:rFonts w:eastAsia="微软雅黑"/>
          <w:b/>
          <w:sz w:val="24"/>
        </w:rPr>
        <w:t xml:space="preserve">13.4 Independent Ethics Committee or Institutional Review Committee </w:t>
      </w:r>
    </w:p>
    <w:p w14:paraId="34EE9732">
      <w:pPr>
        <w:adjustRightInd w:val="0"/>
        <w:snapToGrid w:val="0"/>
        <w:spacing w:line="360" w:lineRule="auto"/>
        <w:ind w:firstLine="480" w:firstLineChars="200"/>
        <w:rPr>
          <w:rFonts w:eastAsia="微软雅黑"/>
          <w:sz w:val="24"/>
        </w:rPr>
      </w:pPr>
      <w:r>
        <w:rPr>
          <w:rFonts w:eastAsia="微软雅黑"/>
          <w:sz w:val="24"/>
        </w:rPr>
        <w:t>Before beginning the study, the Research Center will be responsible for submitting the study protocol and relevant documents (informed consent form, subject information page, CRF, and other documents that may be required) to the Independent Ethics Committee (IEC)/Institutional Review Board (IRB) to obtain their favorable opinion/approval. The favorable opinions/approval documents of the IEC/IRB will be archived in the research center folders of the investigators.</w:t>
      </w:r>
    </w:p>
    <w:p w14:paraId="67B8BE36">
      <w:pPr>
        <w:adjustRightInd w:val="0"/>
        <w:snapToGrid w:val="0"/>
        <w:spacing w:line="360" w:lineRule="auto"/>
        <w:ind w:firstLine="480" w:firstLineChars="200"/>
        <w:rPr>
          <w:rFonts w:eastAsia="微软雅黑"/>
          <w:sz w:val="24"/>
        </w:rPr>
      </w:pPr>
      <w:r>
        <w:rPr>
          <w:rFonts w:eastAsia="微软雅黑"/>
          <w:sz w:val="24"/>
        </w:rPr>
        <w:t xml:space="preserve">Before beginning the study at the center, the investigators must obtain written proof of favorable opinions/approval by the IEC/IRB, and should provide written proof of the date of the favorable opinions/approval meeting, written proof of the members presenting at the meeting and voting members, written proof of recording the reviewed study, protocol version and Informed Consent Form version, and if possible, a copy of the minutes. </w:t>
      </w:r>
    </w:p>
    <w:p w14:paraId="058F3FFF">
      <w:pPr>
        <w:adjustRightInd w:val="0"/>
        <w:snapToGrid w:val="0"/>
        <w:spacing w:line="360" w:lineRule="auto"/>
        <w:ind w:firstLine="480" w:firstLineChars="200"/>
        <w:rPr>
          <w:rFonts w:eastAsia="微软雅黑"/>
          <w:sz w:val="24"/>
        </w:rPr>
      </w:pPr>
      <w:r>
        <w:rPr>
          <w:rFonts w:eastAsia="微软雅黑"/>
          <w:sz w:val="24"/>
        </w:rPr>
        <w:t xml:space="preserve">In case of major revisions to this study, the amendment of the study protocol will be submitted to the IEC/IRB prior to performing the study. In the course of the study, the relevant safety information will be submitted to the IEC/IRB in accordance with national regulations and requirements. </w:t>
      </w:r>
    </w:p>
    <w:p w14:paraId="571FD674">
      <w:pPr>
        <w:adjustRightInd w:val="0"/>
        <w:snapToGrid w:val="0"/>
        <w:spacing w:line="360" w:lineRule="auto"/>
        <w:jc w:val="left"/>
        <w:rPr>
          <w:rFonts w:eastAsia="微软雅黑"/>
          <w:b/>
          <w:sz w:val="24"/>
        </w:rPr>
      </w:pPr>
      <w:r>
        <w:rPr>
          <w:rFonts w:eastAsia="微软雅黑"/>
          <w:b/>
          <w:sz w:val="24"/>
        </w:rPr>
        <w:t xml:space="preserve">13.5 </w:t>
      </w:r>
      <w:r>
        <w:rPr>
          <w:b/>
          <w:sz w:val="24"/>
        </w:rPr>
        <w:t>Supervising</w:t>
      </w:r>
    </w:p>
    <w:p w14:paraId="14655193">
      <w:pPr>
        <w:spacing w:line="360" w:lineRule="auto"/>
        <w:ind w:firstLine="480" w:firstLineChars="200"/>
        <w:rPr>
          <w:sz w:val="24"/>
        </w:rPr>
      </w:pPr>
      <w:r>
        <w:rPr>
          <w:sz w:val="24"/>
        </w:rPr>
        <w:t>The research approach of the authorities and any associated files (such as the research protocol, subjects’ informed consent) will be in accordance with the requirements of the ethical review board of biomedical research involving humans (Trial) (2007) and the applicable Chinese laws and regulations. Studies should provide the main references or inform the ethics review guidance advisory organization of the provincial health administrative department.</w:t>
      </w:r>
    </w:p>
    <w:p w14:paraId="17FD685E">
      <w:pPr>
        <w:adjustRightInd w:val="0"/>
        <w:snapToGrid w:val="0"/>
        <w:spacing w:line="360" w:lineRule="auto"/>
        <w:rPr>
          <w:rFonts w:eastAsia="微软雅黑"/>
          <w:b/>
          <w:sz w:val="28"/>
          <w:szCs w:val="28"/>
        </w:rPr>
      </w:pPr>
      <w:r>
        <w:rPr>
          <w:rFonts w:eastAsia="微软雅黑"/>
          <w:b/>
          <w:sz w:val="28"/>
          <w:szCs w:val="28"/>
        </w:rPr>
        <w:t>14. Organizations and Responsibilities of Study</w:t>
      </w:r>
    </w:p>
    <w:p w14:paraId="19F3192E">
      <w:pPr>
        <w:adjustRightInd w:val="0"/>
        <w:snapToGrid w:val="0"/>
        <w:spacing w:line="360" w:lineRule="auto"/>
        <w:jc w:val="left"/>
        <w:rPr>
          <w:rFonts w:eastAsia="微软雅黑"/>
          <w:b/>
          <w:sz w:val="24"/>
        </w:rPr>
      </w:pPr>
      <w:r>
        <w:rPr>
          <w:rFonts w:eastAsia="微软雅黑"/>
          <w:b/>
          <w:sz w:val="24"/>
        </w:rPr>
        <w:t xml:space="preserve">14.1 Research Committee </w:t>
      </w:r>
    </w:p>
    <w:p w14:paraId="27837DE3">
      <w:pPr>
        <w:pStyle w:val="25"/>
        <w:numPr>
          <w:ilvl w:val="0"/>
          <w:numId w:val="18"/>
        </w:numPr>
        <w:adjustRightInd w:val="0"/>
        <w:snapToGrid w:val="0"/>
        <w:spacing w:line="360" w:lineRule="auto"/>
        <w:ind w:firstLineChars="0"/>
        <w:rPr>
          <w:rFonts w:eastAsia="微软雅黑"/>
          <w:sz w:val="24"/>
        </w:rPr>
      </w:pPr>
      <w:r>
        <w:rPr>
          <w:rFonts w:eastAsia="微软雅黑"/>
          <w:sz w:val="24"/>
        </w:rPr>
        <w:t xml:space="preserve">Responsible for developing study protocol, auditing eligibility for inclusion and guiding the interpretation of informed consent; also responsible for the collection of adverse event reports, guiding the clinical diagnosis and treatment of such events and the emergency intervention of serious adverse events. </w:t>
      </w:r>
    </w:p>
    <w:p w14:paraId="31D408C0">
      <w:pPr>
        <w:pStyle w:val="25"/>
        <w:numPr>
          <w:ilvl w:val="0"/>
          <w:numId w:val="18"/>
        </w:numPr>
        <w:adjustRightInd w:val="0"/>
        <w:snapToGrid w:val="0"/>
        <w:spacing w:line="360" w:lineRule="auto"/>
        <w:ind w:firstLineChars="0"/>
        <w:rPr>
          <w:rFonts w:eastAsia="微软雅黑"/>
          <w:sz w:val="24"/>
        </w:rPr>
      </w:pPr>
      <w:r>
        <w:rPr>
          <w:rFonts w:eastAsia="微软雅黑"/>
          <w:sz w:val="24"/>
        </w:rPr>
        <w:t xml:space="preserve">Person in Charge of Research Committee: </w:t>
      </w:r>
      <w:bookmarkStart w:id="97" w:name="OLE_LINK80"/>
      <w:r>
        <w:rPr>
          <w:rFonts w:eastAsia="微软雅黑"/>
          <w:sz w:val="24"/>
        </w:rPr>
        <w:t>Chang-Ming Huang</w:t>
      </w:r>
      <w:bookmarkStart w:id="98" w:name="OLE_LINK77"/>
      <w:r>
        <w:rPr>
          <w:rFonts w:eastAsia="微软雅黑"/>
          <w:sz w:val="24"/>
        </w:rPr>
        <w:t xml:space="preserve"> (</w:t>
      </w:r>
      <w:r>
        <w:rPr>
          <w:sz w:val="24"/>
          <w:lang w:bidi="ar"/>
        </w:rPr>
        <w:t>Department of Gastric Surgery, Fujian Medical University Union Hospital</w:t>
      </w:r>
      <w:bookmarkEnd w:id="98"/>
      <w:r>
        <w:rPr>
          <w:rFonts w:eastAsia="微软雅黑"/>
          <w:sz w:val="24"/>
        </w:rPr>
        <w:t xml:space="preserve">) </w:t>
      </w:r>
      <w:bookmarkEnd w:id="97"/>
      <w:r>
        <w:rPr>
          <w:rFonts w:eastAsia="微软雅黑"/>
          <w:sz w:val="24"/>
        </w:rPr>
        <w:t xml:space="preserve">Add: </w:t>
      </w:r>
      <w:r>
        <w:rPr>
          <w:sz w:val="24"/>
        </w:rPr>
        <w:t>Department of Gastric Surgery, Fujian Medical University Union Hospital, No.29 Xinquan Road, Fuzhou 350001, Fujian Province, China.</w:t>
      </w:r>
      <w:r>
        <w:rPr>
          <w:rFonts w:eastAsia="微软雅黑"/>
          <w:sz w:val="24"/>
        </w:rPr>
        <w:t xml:space="preserve">; Post code:350001; Tel:0591-83357896-8011; Fax:0591-83363366; Mobile:13805069676;E-mail: </w:t>
      </w:r>
      <w:r>
        <w:fldChar w:fldCharType="begin"/>
      </w:r>
      <w:r>
        <w:instrText xml:space="preserve"> HYPERLINK "mailto:hcmlr2002@163.com" </w:instrText>
      </w:r>
      <w:r>
        <w:fldChar w:fldCharType="separate"/>
      </w:r>
      <w:r>
        <w:rPr>
          <w:rStyle w:val="17"/>
          <w:rFonts w:eastAsia="微软雅黑"/>
          <w:color w:val="auto"/>
          <w:sz w:val="24"/>
        </w:rPr>
        <w:t>hcmlr2002@163.com</w:t>
      </w:r>
      <w:r>
        <w:rPr>
          <w:rStyle w:val="17"/>
          <w:rFonts w:eastAsia="微软雅黑"/>
          <w:color w:val="auto"/>
          <w:sz w:val="24"/>
        </w:rPr>
        <w:fldChar w:fldCharType="end"/>
      </w:r>
    </w:p>
    <w:p w14:paraId="3D9A20C8">
      <w:pPr>
        <w:pStyle w:val="25"/>
        <w:numPr>
          <w:ilvl w:val="0"/>
          <w:numId w:val="19"/>
        </w:numPr>
        <w:adjustRightInd w:val="0"/>
        <w:snapToGrid w:val="0"/>
        <w:spacing w:line="360" w:lineRule="auto"/>
        <w:ind w:firstLineChars="0"/>
        <w:rPr>
          <w:rFonts w:eastAsia="微软雅黑"/>
          <w:sz w:val="24"/>
        </w:rPr>
      </w:pPr>
      <w:r>
        <w:rPr>
          <w:rFonts w:eastAsia="微软雅黑"/>
          <w:sz w:val="24"/>
        </w:rPr>
        <w:t xml:space="preserve">Chief Statistical Expert of Research Committee: Zhi-Jian Hu </w:t>
      </w:r>
      <w:bookmarkStart w:id="99" w:name="OLE_LINK78"/>
      <w:r>
        <w:rPr>
          <w:rFonts w:eastAsia="微软雅黑"/>
          <w:sz w:val="24"/>
        </w:rPr>
        <w:t>(Department of Preventive Medicine statistics, School of Public health, Fujian Medical University</w:t>
      </w:r>
      <w:bookmarkEnd w:id="99"/>
      <w:r>
        <w:rPr>
          <w:rFonts w:eastAsia="微软雅黑"/>
          <w:sz w:val="24"/>
        </w:rPr>
        <w:t>)</w:t>
      </w:r>
    </w:p>
    <w:p w14:paraId="41F0B1EF">
      <w:pPr>
        <w:adjustRightInd w:val="0"/>
        <w:snapToGrid w:val="0"/>
        <w:spacing w:line="360" w:lineRule="auto"/>
        <w:jc w:val="left"/>
        <w:rPr>
          <w:rFonts w:eastAsia="微软雅黑"/>
          <w:b/>
          <w:sz w:val="24"/>
        </w:rPr>
      </w:pPr>
      <w:r>
        <w:rPr>
          <w:rFonts w:eastAsia="微软雅黑"/>
          <w:b/>
          <w:sz w:val="24"/>
        </w:rPr>
        <w:t>14.2 Efficacy and Safety Evaluation Committee</w:t>
      </w:r>
    </w:p>
    <w:p w14:paraId="75AB881A">
      <w:pPr>
        <w:numPr>
          <w:ilvl w:val="0"/>
          <w:numId w:val="20"/>
        </w:numPr>
        <w:adjustRightInd w:val="0"/>
        <w:snapToGrid w:val="0"/>
        <w:spacing w:line="360" w:lineRule="auto"/>
        <w:rPr>
          <w:rFonts w:eastAsia="微软雅黑"/>
          <w:sz w:val="24"/>
        </w:rPr>
      </w:pPr>
      <w:r>
        <w:rPr>
          <w:rFonts w:eastAsia="微软雅黑"/>
          <w:sz w:val="24"/>
        </w:rPr>
        <w:t>Responsible for the supervision/monitoring of</w:t>
      </w:r>
      <w:bookmarkStart w:id="100" w:name="OLE_LINK79"/>
      <w:r>
        <w:rPr>
          <w:rFonts w:eastAsia="微软雅黑"/>
          <w:sz w:val="24"/>
        </w:rPr>
        <w:t xml:space="preserve"> treatment safety and efficacy</w:t>
      </w:r>
      <w:bookmarkEnd w:id="100"/>
      <w:r>
        <w:rPr>
          <w:rFonts w:eastAsia="微软雅黑"/>
          <w:sz w:val="24"/>
        </w:rPr>
        <w:t xml:space="preserve"> of this study. </w:t>
      </w:r>
    </w:p>
    <w:p w14:paraId="292FF995">
      <w:pPr>
        <w:pStyle w:val="25"/>
        <w:numPr>
          <w:ilvl w:val="0"/>
          <w:numId w:val="20"/>
        </w:numPr>
        <w:spacing w:line="360" w:lineRule="auto"/>
        <w:ind w:firstLineChars="0"/>
        <w:rPr>
          <w:rFonts w:eastAsia="微软雅黑"/>
          <w:sz w:val="24"/>
        </w:rPr>
      </w:pPr>
      <w:r>
        <w:rPr>
          <w:rFonts w:eastAsia="微软雅黑"/>
          <w:sz w:val="24"/>
        </w:rPr>
        <w:t>Person in Charge of Efficacy and Safety Evaluation Committee: Changming Huang (</w:t>
      </w:r>
      <w:r>
        <w:rPr>
          <w:sz w:val="24"/>
          <w:lang w:bidi="ar"/>
        </w:rPr>
        <w:t>Department of Gastric Surgery, Fujian Medical University Union Hospital</w:t>
      </w:r>
      <w:r>
        <w:rPr>
          <w:rFonts w:eastAsia="微软雅黑"/>
          <w:sz w:val="24"/>
        </w:rPr>
        <w:t>)</w:t>
      </w:r>
    </w:p>
    <w:p w14:paraId="38611B9C">
      <w:pPr>
        <w:adjustRightInd w:val="0"/>
        <w:snapToGrid w:val="0"/>
        <w:spacing w:line="360" w:lineRule="auto"/>
        <w:jc w:val="left"/>
        <w:rPr>
          <w:rFonts w:eastAsia="微软雅黑"/>
          <w:b/>
          <w:sz w:val="24"/>
        </w:rPr>
      </w:pPr>
      <w:r>
        <w:rPr>
          <w:rFonts w:eastAsia="微软雅黑"/>
          <w:b/>
          <w:sz w:val="24"/>
        </w:rPr>
        <w:t xml:space="preserve">14.3 Independent Ethics Committee/Institutional Review Board (IEC/IRB) </w:t>
      </w:r>
    </w:p>
    <w:p w14:paraId="44F7F569">
      <w:pPr>
        <w:adjustRightInd w:val="0"/>
        <w:snapToGrid w:val="0"/>
        <w:spacing w:line="360" w:lineRule="auto"/>
        <w:ind w:firstLine="240" w:firstLineChars="100"/>
        <w:rPr>
          <w:rFonts w:eastAsia="微软雅黑"/>
          <w:sz w:val="24"/>
        </w:rPr>
      </w:pPr>
      <w:r>
        <w:rPr>
          <w:rFonts w:eastAsia="微软雅黑"/>
          <w:sz w:val="24"/>
        </w:rPr>
        <w:t> Responsible for evaluating this study to determine if risks to which subjects are exposed have been duly minimized and whether these risks are reasonable compared to expected benefits.</w:t>
      </w:r>
    </w:p>
    <w:p w14:paraId="36571716">
      <w:pPr>
        <w:adjustRightInd w:val="0"/>
        <w:snapToGrid w:val="0"/>
        <w:spacing w:line="360" w:lineRule="auto"/>
        <w:ind w:firstLine="480" w:firstLineChars="200"/>
        <w:rPr>
          <w:rFonts w:eastAsia="微软雅黑"/>
          <w:sz w:val="24"/>
        </w:rPr>
      </w:pPr>
      <w:r>
        <w:rPr>
          <w:rFonts w:eastAsia="微软雅黑"/>
          <w:sz w:val="24"/>
        </w:rPr>
        <w:t>The independent Ethics Committee/Institutional Review Board (IEC/IRB) is responsible for the ethics review.</w:t>
      </w:r>
    </w:p>
    <w:p w14:paraId="0C28ECB5">
      <w:pPr>
        <w:adjustRightInd w:val="0"/>
        <w:snapToGrid w:val="0"/>
        <w:spacing w:line="360" w:lineRule="auto"/>
        <w:ind w:firstLine="480" w:firstLineChars="200"/>
        <w:rPr>
          <w:rFonts w:eastAsia="微软雅黑"/>
          <w:sz w:val="24"/>
        </w:rPr>
      </w:pPr>
    </w:p>
    <w:p w14:paraId="2F40BE15">
      <w:pPr>
        <w:adjustRightInd w:val="0"/>
        <w:snapToGrid w:val="0"/>
        <w:spacing w:line="360" w:lineRule="auto"/>
        <w:jc w:val="left"/>
        <w:outlineLvl w:val="0"/>
        <w:rPr>
          <w:rFonts w:eastAsia="微软雅黑"/>
          <w:b/>
          <w:sz w:val="30"/>
          <w:szCs w:val="30"/>
        </w:rPr>
      </w:pPr>
      <w:bookmarkStart w:id="101" w:name="_Toc29508"/>
      <w:r>
        <w:rPr>
          <w:rFonts w:eastAsia="微软雅黑"/>
          <w:b/>
          <w:sz w:val="30"/>
          <w:szCs w:val="30"/>
        </w:rPr>
        <w:t>15. References</w:t>
      </w:r>
      <w:bookmarkEnd w:id="101"/>
    </w:p>
    <w:p w14:paraId="2D9E20E4">
      <w:pPr>
        <w:pStyle w:val="39"/>
        <w:ind w:left="720" w:hanging="720"/>
      </w:pPr>
      <w:r>
        <w:rPr>
          <w:rFonts w:eastAsia="微软雅黑"/>
          <w:b/>
          <w:szCs w:val="21"/>
        </w:rPr>
        <w:fldChar w:fldCharType="begin"/>
      </w:r>
      <w:r>
        <w:rPr>
          <w:rFonts w:eastAsia="微软雅黑"/>
          <w:b/>
          <w:szCs w:val="21"/>
        </w:rPr>
        <w:instrText xml:space="preserve"> ADDIN EN.REFLIST </w:instrText>
      </w:r>
      <w:r>
        <w:rPr>
          <w:rFonts w:eastAsia="微软雅黑"/>
          <w:b/>
          <w:szCs w:val="21"/>
        </w:rPr>
        <w:fldChar w:fldCharType="separate"/>
      </w:r>
      <w:r>
        <w:t>1.</w:t>
      </w:r>
      <w:r>
        <w:tab/>
      </w:r>
      <w:r>
        <w:t xml:space="preserve">Smith DD, Schwarz RR, Schwarz RE. Impact of total LN count on staging and survival after gastrectomy for gastric cancer: data from a large US-population database. </w:t>
      </w:r>
      <w:r>
        <w:rPr>
          <w:i/>
        </w:rPr>
        <w:t xml:space="preserve">Journal of Clinical Oncology Official Journal of the American Society of Clinical Oncology. </w:t>
      </w:r>
      <w:r>
        <w:t>2005;23(28):7114.</w:t>
      </w:r>
    </w:p>
    <w:p w14:paraId="020281C5">
      <w:pPr>
        <w:pStyle w:val="39"/>
        <w:ind w:left="720" w:hanging="720"/>
      </w:pPr>
      <w:r>
        <w:t>2.</w:t>
      </w:r>
      <w:r>
        <w:tab/>
      </w:r>
      <w:r>
        <w:t xml:space="preserve">Son T, Hyung WJ, Lee JH, et al. Clinical implication of an insufficient number of examined LNs after curative resection for gastric cancer. </w:t>
      </w:r>
      <w:r>
        <w:rPr>
          <w:i/>
        </w:rPr>
        <w:t xml:space="preserve">Cancer. </w:t>
      </w:r>
      <w:r>
        <w:t>2012;118(19):4687-4693.</w:t>
      </w:r>
    </w:p>
    <w:p w14:paraId="52641310">
      <w:pPr>
        <w:pStyle w:val="39"/>
        <w:ind w:left="720" w:hanging="720"/>
      </w:pPr>
      <w:r>
        <w:t>3.</w:t>
      </w:r>
      <w:r>
        <w:tab/>
      </w:r>
      <w:r>
        <w:t xml:space="preserve">Seevaratnam R, Bocicariu A, Cardoso R, et al. A meta-analysis of D1 versus D2 LN dissection. </w:t>
      </w:r>
      <w:r>
        <w:rPr>
          <w:i/>
        </w:rPr>
        <w:t xml:space="preserve">Gastric Cancer. </w:t>
      </w:r>
      <w:r>
        <w:t>2012;15(1):60-69.</w:t>
      </w:r>
    </w:p>
    <w:p w14:paraId="6AB2FCE2">
      <w:pPr>
        <w:pStyle w:val="39"/>
        <w:ind w:left="720" w:hanging="720"/>
      </w:pPr>
      <w:r>
        <w:t>4.</w:t>
      </w:r>
      <w:r>
        <w:tab/>
      </w:r>
      <w:r>
        <w:t xml:space="preserve">Songun I, Putter H, Kranenbarg EM, Sasako M, van de Velde CJ. Surgical treatment of gastric cancer: 15-year follow-up results of the randomised nationwide Dutch D1D2 trial. </w:t>
      </w:r>
      <w:r>
        <w:rPr>
          <w:i/>
        </w:rPr>
        <w:t xml:space="preserve">The Lancet Oncology. </w:t>
      </w:r>
      <w:r>
        <w:t>2010;11(5):439-449.</w:t>
      </w:r>
    </w:p>
    <w:p w14:paraId="21E67407">
      <w:pPr>
        <w:pStyle w:val="39"/>
        <w:ind w:left="720" w:hanging="720"/>
      </w:pPr>
      <w:r>
        <w:t>5.</w:t>
      </w:r>
      <w:r>
        <w:tab/>
      </w:r>
      <w:r>
        <w:t xml:space="preserve">Association JGC. Japanese gastric cancer treatment guidelines 2014 (ver. 4). </w:t>
      </w:r>
      <w:r>
        <w:rPr>
          <w:i/>
        </w:rPr>
        <w:t xml:space="preserve">Gastric Cancer Official Journal of the International Gastric Cancer Association &amp; the Japanese Gastric Cancer Association. </w:t>
      </w:r>
      <w:r>
        <w:t>2017;20(1):1-19.</w:t>
      </w:r>
    </w:p>
    <w:p w14:paraId="0D9494B7">
      <w:pPr>
        <w:pStyle w:val="39"/>
        <w:ind w:left="720" w:hanging="720"/>
      </w:pPr>
      <w:r>
        <w:t>6.</w:t>
      </w:r>
      <w:r>
        <w:tab/>
      </w:r>
      <w:r>
        <w:t xml:space="preserve">Mocellin S, Nitti D. Lymphadenectomy extent and survival of patients with gastric carcinoma: a systematic review and meta-analysis of time-to-event data from randomized trials. </w:t>
      </w:r>
      <w:r>
        <w:rPr>
          <w:i/>
        </w:rPr>
        <w:t xml:space="preserve">Cancer treatment reviews. </w:t>
      </w:r>
      <w:r>
        <w:t>2015;41(5):448-454.</w:t>
      </w:r>
    </w:p>
    <w:p w14:paraId="54D0089E">
      <w:pPr>
        <w:pStyle w:val="39"/>
        <w:ind w:left="720" w:hanging="720"/>
      </w:pPr>
      <w:r>
        <w:t>7.</w:t>
      </w:r>
      <w:r>
        <w:tab/>
      </w:r>
      <w:r>
        <w:t xml:space="preserve">Korean Practice Guideline for Gastric Cancer 2018: an Evidence-based, Multi-disciplinary Approach. </w:t>
      </w:r>
      <w:r>
        <w:rPr>
          <w:i/>
        </w:rPr>
        <w:t xml:space="preserve">Journal of gastric cancer. </w:t>
      </w:r>
      <w:r>
        <w:t>2019;19(1):1-48.</w:t>
      </w:r>
    </w:p>
    <w:p w14:paraId="3A8B9D74">
      <w:pPr>
        <w:pStyle w:val="39"/>
        <w:ind w:left="720" w:hanging="720"/>
      </w:pPr>
      <w:r>
        <w:t>8.</w:t>
      </w:r>
      <w:r>
        <w:tab/>
      </w:r>
      <w:r>
        <w:t xml:space="preserve">Ajani JA, D'Amico TA, Bentrem DJ, et al. Gastric Cancer, Version 1.2019, NCCN Clinical Practice Guidelines in Oncology. </w:t>
      </w:r>
      <w:r>
        <w:rPr>
          <w:i/>
        </w:rPr>
        <w:t xml:space="preserve">Journal of the National Comprehensive Cancer Network Jnccn. </w:t>
      </w:r>
      <w:r>
        <w:t>2019:MS-11-12.</w:t>
      </w:r>
    </w:p>
    <w:p w14:paraId="72D6A1CC">
      <w:pPr>
        <w:pStyle w:val="39"/>
        <w:ind w:left="720" w:hanging="720"/>
      </w:pPr>
      <w:r>
        <w:t>9.</w:t>
      </w:r>
      <w:r>
        <w:tab/>
      </w:r>
      <w:r>
        <w:t xml:space="preserve">Kitano S, Iso Y, Moriyama M, Sugimachi K. Laparoscopy-assisted Billroth I gastrectomy. </w:t>
      </w:r>
      <w:r>
        <w:rPr>
          <w:i/>
        </w:rPr>
        <w:t xml:space="preserve">Surgical laparoscopy &amp; endoscopy. </w:t>
      </w:r>
      <w:r>
        <w:t>1994;4(2):146-148.</w:t>
      </w:r>
    </w:p>
    <w:p w14:paraId="08B2393E">
      <w:pPr>
        <w:pStyle w:val="39"/>
        <w:ind w:left="720" w:hanging="720"/>
      </w:pPr>
      <w:r>
        <w:t>10.</w:t>
      </w:r>
      <w:r>
        <w:tab/>
      </w:r>
      <w:r>
        <w:t xml:space="preserve">Yu J, Huang C, Sun Y, et al. Effect of Laparoscopic vs Open Distal Gastrectomy on 3-Year Disease-Free Survival in Patients With Locally Advanced Gastric Cancer: The CLASS-01 Randomized Clinical Trial. </w:t>
      </w:r>
      <w:r>
        <w:rPr>
          <w:i/>
        </w:rPr>
        <w:t xml:space="preserve">Jama. </w:t>
      </w:r>
      <w:r>
        <w:t>2019;321(20):1983-1992.</w:t>
      </w:r>
    </w:p>
    <w:p w14:paraId="7F5DDC31">
      <w:pPr>
        <w:pStyle w:val="39"/>
        <w:ind w:left="720" w:hanging="720"/>
      </w:pPr>
      <w:r>
        <w:t>11.</w:t>
      </w:r>
      <w:r>
        <w:tab/>
      </w:r>
      <w:r>
        <w:t xml:space="preserve">Kim HH, Han SU, Kim MC, et al. Effect of Laparoscopic Distal Gastrectomy vs Open Distal Gastrectomy on Long-term Survival Among Patients With Stage I Gastric Cancer: The KLASS-01 Randomized Clinical Trial. </w:t>
      </w:r>
      <w:r>
        <w:rPr>
          <w:i/>
        </w:rPr>
        <w:t xml:space="preserve">JAMA oncology. </w:t>
      </w:r>
      <w:r>
        <w:t>2019.</w:t>
      </w:r>
    </w:p>
    <w:p w14:paraId="47CEED52">
      <w:pPr>
        <w:pStyle w:val="39"/>
        <w:ind w:left="720" w:hanging="720"/>
      </w:pPr>
      <w:r>
        <w:t>12.</w:t>
      </w:r>
      <w:r>
        <w:tab/>
      </w:r>
      <w:r>
        <w:t xml:space="preserve">Bandoh T, Shiraishi N, Yamashita Y, et al. Endoscopic surgery in Japan: The 12th national survey(2012–2013) by the Japan Society for Endoscopic Surgery. </w:t>
      </w:r>
      <w:r>
        <w:rPr>
          <w:i/>
        </w:rPr>
        <w:t xml:space="preserve">Asian Journal of Endoscopic Surgery. </w:t>
      </w:r>
      <w:r>
        <w:t>2017;10(4).</w:t>
      </w:r>
    </w:p>
    <w:p w14:paraId="2DB4CEEF">
      <w:pPr>
        <w:pStyle w:val="39"/>
        <w:ind w:left="720" w:hanging="720"/>
      </w:pPr>
      <w:r>
        <w:t>13.</w:t>
      </w:r>
      <w:r>
        <w:tab/>
      </w:r>
      <w:r>
        <w:t xml:space="preserve">Vahrmeijer AL, Hutteman M, van der Vorst JR, van de Velde CJ, Frangioni JV. Image-guided cancer surgery using near-infrared fluorescence. </w:t>
      </w:r>
      <w:r>
        <w:rPr>
          <w:i/>
        </w:rPr>
        <w:t xml:space="preserve">Nature reviews Clinical oncology. </w:t>
      </w:r>
      <w:r>
        <w:t>2013;10(9):507-518.</w:t>
      </w:r>
    </w:p>
    <w:p w14:paraId="3AAF3282">
      <w:pPr>
        <w:pStyle w:val="39"/>
        <w:ind w:left="720" w:hanging="720"/>
      </w:pPr>
      <w:r>
        <w:t>14.</w:t>
      </w:r>
      <w:r>
        <w:tab/>
      </w:r>
      <w:r>
        <w:t xml:space="preserve">Valente SA, Al-Hilli Z, Radford DM, Yanda C, Tu C, Grobmyer SR. Near Infrared Fluorescent Lymph Node Mapping with Indocyanine Green in Breast Cancer Patients: A Prospective Trial. </w:t>
      </w:r>
      <w:r>
        <w:rPr>
          <w:i/>
        </w:rPr>
        <w:t xml:space="preserve">Journal of the American College of Surgeons. </w:t>
      </w:r>
      <w:r>
        <w:t>2019;228(4):672-678.</w:t>
      </w:r>
    </w:p>
    <w:p w14:paraId="0FDBFFDA">
      <w:pPr>
        <w:pStyle w:val="39"/>
        <w:ind w:left="720" w:hanging="720"/>
      </w:pPr>
      <w:r>
        <w:t>15.</w:t>
      </w:r>
      <w:r>
        <w:tab/>
      </w:r>
      <w:r>
        <w:t xml:space="preserve">Yamashita S, Tokuishi K, Anami K, et al. Video-assisted thoracoscopic indocyanine green fluorescence imaging system shows sentinel LNs in non-small-cell lung cancer. </w:t>
      </w:r>
      <w:r>
        <w:rPr>
          <w:i/>
        </w:rPr>
        <w:t xml:space="preserve">The Journal of thoracic and cardiovascular surgery. </w:t>
      </w:r>
      <w:r>
        <w:t>2011;141(1):141-144.</w:t>
      </w:r>
    </w:p>
    <w:p w14:paraId="1BEF252C">
      <w:pPr>
        <w:pStyle w:val="39"/>
        <w:ind w:left="720" w:hanging="720"/>
      </w:pPr>
      <w:r>
        <w:t>16.</w:t>
      </w:r>
      <w:r>
        <w:tab/>
      </w:r>
      <w:r>
        <w:t xml:space="preserve">Brouwer OR, Klop WM, Buckle T, et al. Feasibility of sentinel node biopsy in head and neck melanoma using a hybrid radioactive and fluorescent tracer. </w:t>
      </w:r>
      <w:r>
        <w:rPr>
          <w:i/>
        </w:rPr>
        <w:t xml:space="preserve">Ann Surg Oncol. </w:t>
      </w:r>
      <w:r>
        <w:t>2012;19(6):1988-1994.</w:t>
      </w:r>
    </w:p>
    <w:p w14:paraId="0A876389">
      <w:pPr>
        <w:pStyle w:val="39"/>
        <w:ind w:left="720" w:hanging="720"/>
      </w:pPr>
      <w:r>
        <w:t>17.</w:t>
      </w:r>
      <w:r>
        <w:tab/>
      </w:r>
      <w:r>
        <w:t xml:space="preserve">Gioux S, Choi HS, Frangioni JV. Image-guided surgery using invisible near-infrared light: fundamentals of clinical translation. </w:t>
      </w:r>
      <w:r>
        <w:rPr>
          <w:i/>
        </w:rPr>
        <w:t xml:space="preserve">Molecular imaging. </w:t>
      </w:r>
      <w:r>
        <w:t>2010;9(5):237-255.</w:t>
      </w:r>
    </w:p>
    <w:p w14:paraId="62D17203">
      <w:pPr>
        <w:pStyle w:val="39"/>
        <w:ind w:left="720" w:hanging="720"/>
      </w:pPr>
      <w:r>
        <w:t>18.</w:t>
      </w:r>
      <w:r>
        <w:tab/>
      </w:r>
      <w:r>
        <w:t xml:space="preserve">Schaafsma BE, Mieog JS, Hutteman M, et al. The clinical use of indocyanine green as a near-infrared fluorescent contrast agent for image-guided oncologic surgery. </w:t>
      </w:r>
      <w:r>
        <w:rPr>
          <w:i/>
        </w:rPr>
        <w:t xml:space="preserve">J Surg Oncol. </w:t>
      </w:r>
      <w:r>
        <w:t>2011;104(3):323-332.</w:t>
      </w:r>
    </w:p>
    <w:p w14:paraId="1706A381">
      <w:pPr>
        <w:pStyle w:val="39"/>
        <w:ind w:left="720" w:hanging="720"/>
      </w:pPr>
      <w:r>
        <w:t>19.</w:t>
      </w:r>
      <w:r>
        <w:tab/>
      </w:r>
      <w:r>
        <w:t xml:space="preserve">Desiderio J, Trastulli S, Gemini A, et al. Fluorescence image-guided lymphadenectomy using indocyanine green and near infrared technology in robotic gastrectomy. </w:t>
      </w:r>
      <w:r>
        <w:rPr>
          <w:i/>
        </w:rPr>
        <w:t xml:space="preserve">Chinese journal of cancer research = Chung-kuo yen cheng yen chiu. </w:t>
      </w:r>
      <w:r>
        <w:t>2018;30(5):568-570.</w:t>
      </w:r>
    </w:p>
    <w:p w14:paraId="1AC0542E">
      <w:pPr>
        <w:pStyle w:val="39"/>
        <w:ind w:left="720" w:hanging="720"/>
      </w:pPr>
      <w:r>
        <w:t>20.</w:t>
      </w:r>
      <w:r>
        <w:tab/>
      </w:r>
      <w:r>
        <w:t xml:space="preserve">Yano K, Nimura H, Mitsumori N, Takahashi N, Kashiwagi H, Yanaga K. The efficiency of micrometastasis by sentinel node navigation surgery using indocyanine green and infrared ray laparoscopy system for gastric cancer. </w:t>
      </w:r>
      <w:r>
        <w:rPr>
          <w:i/>
        </w:rPr>
        <w:t xml:space="preserve">Gastric Cancer. </w:t>
      </w:r>
      <w:r>
        <w:t>2012;15(3):287-291.</w:t>
      </w:r>
    </w:p>
    <w:p w14:paraId="4425B48D">
      <w:pPr>
        <w:pStyle w:val="39"/>
        <w:ind w:left="720" w:hanging="720"/>
      </w:pPr>
      <w:r>
        <w:t>21.</w:t>
      </w:r>
      <w:r>
        <w:tab/>
      </w:r>
      <w:r>
        <w:t xml:space="preserve">Tajima Y, Yamazaki K, Masuda Y, et al. Sentinel node mapping guided by indocyanine green fluorescence imaging in gastric cancer. </w:t>
      </w:r>
      <w:r>
        <w:rPr>
          <w:i/>
        </w:rPr>
        <w:t xml:space="preserve">Ann Surg. </w:t>
      </w:r>
      <w:r>
        <w:t>2009;249(1):58-62.</w:t>
      </w:r>
    </w:p>
    <w:p w14:paraId="5BD195FA">
      <w:pPr>
        <w:pStyle w:val="39"/>
        <w:ind w:left="720" w:hanging="720"/>
      </w:pPr>
      <w:r>
        <w:t>22.</w:t>
      </w:r>
      <w:r>
        <w:tab/>
      </w:r>
      <w:r>
        <w:t xml:space="preserve">Huh YJ, Lee HJ, Kim TH, et al. Efficacy of Assessing Intraoperative Bowel Perfusion with Near-Infrared Camera in Laparoscopic Gastric Cancer Surgery. </w:t>
      </w:r>
      <w:r>
        <w:rPr>
          <w:i/>
        </w:rPr>
        <w:t xml:space="preserve">Journal of laparoendoscopic &amp; advanced surgical techniques Part A. </w:t>
      </w:r>
      <w:r>
        <w:t>2019;29(4):476-483.</w:t>
      </w:r>
    </w:p>
    <w:p w14:paraId="331F89E7">
      <w:pPr>
        <w:pStyle w:val="39"/>
        <w:ind w:left="720" w:hanging="720"/>
      </w:pPr>
      <w:r>
        <w:t>23.</w:t>
      </w:r>
      <w:r>
        <w:tab/>
      </w:r>
      <w:r>
        <w:t>Lan YT, Huang KH, Chen PH, et al. A pilot study of LN mapping with indocyanine green in robotic gastrectomy for gastric cancer. 2017;5(114):2050312117727444.</w:t>
      </w:r>
    </w:p>
    <w:p w14:paraId="397D6C0C">
      <w:pPr>
        <w:pStyle w:val="39"/>
        <w:ind w:left="720" w:hanging="720"/>
      </w:pPr>
      <w:r>
        <w:t>24.</w:t>
      </w:r>
      <w:r>
        <w:tab/>
      </w:r>
      <w:r>
        <w:t xml:space="preserve">Kim TH, Kong SH, Park JH, et al. Assessment of the Completeness of Lymph Node Dissection Using Near-infrared Imaging with Indocyanine Green in Laparoscopic Gastrectomy for Gastric Cancer. </w:t>
      </w:r>
      <w:r>
        <w:rPr>
          <w:i/>
        </w:rPr>
        <w:t xml:space="preserve">Journal of gastric cancer. </w:t>
      </w:r>
      <w:r>
        <w:t>2018;18(2):161-171.</w:t>
      </w:r>
    </w:p>
    <w:p w14:paraId="7D0EE63E">
      <w:pPr>
        <w:pStyle w:val="39"/>
        <w:ind w:left="720" w:hanging="720"/>
      </w:pPr>
      <w:r>
        <w:t>25.</w:t>
      </w:r>
      <w:r>
        <w:tab/>
      </w:r>
      <w:r>
        <w:t xml:space="preserve">Kwon IG, Son T, Kim HI, Hyung WJ. Fluorescent Lymphography-Guided Lymphadenectomy During Robotic Radical Gastrectomy for Gastric Cancer. </w:t>
      </w:r>
      <w:r>
        <w:rPr>
          <w:i/>
        </w:rPr>
        <w:t xml:space="preserve">JAMA surgery. </w:t>
      </w:r>
      <w:r>
        <w:t>2019;154(2):150-158.</w:t>
      </w:r>
    </w:p>
    <w:p w14:paraId="2F306870">
      <w:pPr>
        <w:pStyle w:val="39"/>
        <w:ind w:left="720" w:hanging="720"/>
      </w:pPr>
      <w:r>
        <w:t>26.</w:t>
      </w:r>
      <w:r>
        <w:tab/>
      </w:r>
      <w:r>
        <w:t xml:space="preserve">Huang CM, Zheng CH. </w:t>
      </w:r>
      <w:r>
        <w:rPr>
          <w:i/>
        </w:rPr>
        <w:t>Laparoscopic Gastrectomy for Gastric Cancer.</w:t>
      </w:r>
      <w:r>
        <w:t xml:space="preserve"> 2015.</w:t>
      </w:r>
    </w:p>
    <w:p w14:paraId="18DF89A8">
      <w:pPr>
        <w:pStyle w:val="39"/>
        <w:ind w:left="720" w:hanging="720"/>
      </w:pPr>
      <w:r>
        <w:t>27.</w:t>
      </w:r>
      <w:r>
        <w:tab/>
      </w:r>
      <w:r>
        <w:t xml:space="preserve">Huang CM, Chen QY, Lin JX, et al. Laparoscopic Suprapancreatic Lymph Node Dissection for Advanced Gastric Cancer Using a Left-Sided Approach. </w:t>
      </w:r>
      <w:r>
        <w:rPr>
          <w:i/>
        </w:rPr>
        <w:t xml:space="preserve">Ann Surg Oncol. </w:t>
      </w:r>
      <w:r>
        <w:t>2015;22(7):2351.</w:t>
      </w:r>
    </w:p>
    <w:p w14:paraId="27D2B0C3">
      <w:pPr>
        <w:pStyle w:val="39"/>
        <w:ind w:left="720" w:hanging="720"/>
      </w:pPr>
      <w:r>
        <w:t>28.</w:t>
      </w:r>
      <w:r>
        <w:tab/>
      </w:r>
      <w:r>
        <w:t xml:space="preserve">Huang CM, Zhang JR, Zheng CH, et al. A 346 Case Analysis for Laparoscopic Spleen-Preserving No.10 Lymph Node Dissection for Proximal Gastric Cancer: A Single Center Study. </w:t>
      </w:r>
      <w:r>
        <w:rPr>
          <w:i/>
        </w:rPr>
        <w:t xml:space="preserve">Plos One. </w:t>
      </w:r>
      <w:r>
        <w:t>2014;9(9):e108480.</w:t>
      </w:r>
    </w:p>
    <w:p w14:paraId="51979BC3">
      <w:pPr>
        <w:pStyle w:val="39"/>
        <w:ind w:left="720" w:hanging="720"/>
      </w:pPr>
      <w:r>
        <w:t>29.</w:t>
      </w:r>
      <w:r>
        <w:tab/>
      </w:r>
      <w:r>
        <w:t xml:space="preserve">Chen QY, Huang CM, Zheng CH, et al. Strategies of laparoscopic spleen-preserving splenic hilar LN dissection for advanced proximal gastric cancer. </w:t>
      </w:r>
      <w:r>
        <w:rPr>
          <w:i/>
        </w:rPr>
        <w:t xml:space="preserve">World journal of gastrointestinal surgery. </w:t>
      </w:r>
      <w:r>
        <w:t>2016;8(6):402-406.</w:t>
      </w:r>
    </w:p>
    <w:p w14:paraId="0614D5B5">
      <w:pPr>
        <w:pStyle w:val="39"/>
        <w:ind w:left="720" w:hanging="720"/>
      </w:pPr>
      <w:r>
        <w:t>30.</w:t>
      </w:r>
      <w:r>
        <w:tab/>
      </w:r>
      <w:r>
        <w:t xml:space="preserve">Maezawa Y, Aoyama T, Yamada T, et al. Priority of LN dissection for proximal gastric cancer invading the greater curvature. </w:t>
      </w:r>
      <w:r>
        <w:rPr>
          <w:i/>
        </w:rPr>
        <w:t xml:space="preserve">Gastric Cancer. </w:t>
      </w:r>
      <w:r>
        <w:t>2018;21(3):569-572.</w:t>
      </w:r>
    </w:p>
    <w:p w14:paraId="30093C69">
      <w:pPr>
        <w:pStyle w:val="39"/>
        <w:ind w:left="720" w:hanging="720"/>
      </w:pPr>
      <w:r>
        <w:t>31.</w:t>
      </w:r>
      <w:r>
        <w:tab/>
      </w:r>
      <w:r>
        <w:t xml:space="preserve">Dindo D, Demartines N, Clavien PA. Classification of surgical complications: a new proposal with evaluation in a cohort of 6336 patients and results of a survey. </w:t>
      </w:r>
      <w:r>
        <w:rPr>
          <w:i/>
        </w:rPr>
        <w:t xml:space="preserve">Annals of Surgery. </w:t>
      </w:r>
      <w:r>
        <w:t>2004;240(2):205.</w:t>
      </w:r>
    </w:p>
    <w:p w14:paraId="78220802">
      <w:pPr>
        <w:widowControl/>
        <w:adjustRightInd w:val="0"/>
        <w:snapToGrid w:val="0"/>
        <w:spacing w:line="360" w:lineRule="auto"/>
        <w:jc w:val="left"/>
        <w:outlineLvl w:val="0"/>
        <w:rPr>
          <w:rFonts w:eastAsia="微软雅黑"/>
          <w:sz w:val="24"/>
        </w:rPr>
      </w:pPr>
      <w:bookmarkStart w:id="102" w:name="_Toc15746"/>
      <w:r>
        <w:rPr>
          <w:rFonts w:eastAsia="微软雅黑"/>
          <w:b/>
          <w:szCs w:val="21"/>
        </w:rPr>
        <w:fldChar w:fldCharType="end"/>
      </w:r>
      <w:r>
        <w:rPr>
          <w:rFonts w:eastAsia="微软雅黑"/>
          <w:b/>
          <w:sz w:val="28"/>
        </w:rPr>
        <w:t>16 Annex</w:t>
      </w:r>
      <w:bookmarkEnd w:id="102"/>
      <w:r>
        <w:rPr>
          <w:rFonts w:eastAsia="微软雅黑"/>
          <w:b/>
          <w:sz w:val="28"/>
        </w:rPr>
        <w:t xml:space="preserve"> </w:t>
      </w:r>
    </w:p>
    <w:p w14:paraId="75028029">
      <w:pPr>
        <w:adjustRightInd w:val="0"/>
        <w:snapToGrid w:val="0"/>
        <w:spacing w:line="360" w:lineRule="auto"/>
        <w:rPr>
          <w:rFonts w:eastAsia="微软雅黑"/>
          <w:b/>
          <w:sz w:val="24"/>
        </w:rPr>
      </w:pPr>
      <w:r>
        <w:rPr>
          <w:rFonts w:eastAsia="微软雅黑"/>
          <w:b/>
          <w:sz w:val="24"/>
        </w:rPr>
        <w:t>16.1 Informed Consent Form</w:t>
      </w:r>
      <w:bookmarkEnd w:id="13"/>
    </w:p>
    <w:p w14:paraId="43B72A90">
      <w:pPr>
        <w:adjustRightInd w:val="0"/>
        <w:snapToGrid w:val="0"/>
        <w:spacing w:line="360" w:lineRule="auto"/>
        <w:rPr>
          <w:rFonts w:eastAsia="微软雅黑"/>
          <w:b/>
          <w:sz w:val="24"/>
        </w:rPr>
      </w:pPr>
    </w:p>
    <w:p w14:paraId="77134163">
      <w:pPr>
        <w:adjustRightInd w:val="0"/>
        <w:snapToGrid w:val="0"/>
        <w:spacing w:line="360" w:lineRule="auto"/>
        <w:rPr>
          <w:rFonts w:eastAsia="微软雅黑"/>
          <w:b/>
          <w:sz w:val="24"/>
        </w:rPr>
      </w:pPr>
    </w:p>
    <w:p w14:paraId="7066F8F6">
      <w:pPr>
        <w:adjustRightInd w:val="0"/>
        <w:snapToGrid w:val="0"/>
        <w:spacing w:line="360" w:lineRule="auto"/>
        <w:rPr>
          <w:rFonts w:eastAsia="微软雅黑"/>
          <w:b/>
          <w:sz w:val="24"/>
        </w:rPr>
      </w:pPr>
    </w:p>
    <w:p w14:paraId="1AD502EB">
      <w:pPr>
        <w:adjustRightInd w:val="0"/>
        <w:snapToGrid w:val="0"/>
        <w:spacing w:line="360" w:lineRule="auto"/>
        <w:rPr>
          <w:rFonts w:eastAsia="微软雅黑"/>
          <w:b/>
          <w:sz w:val="24"/>
        </w:rPr>
      </w:pPr>
    </w:p>
    <w:p w14:paraId="0FAF300A">
      <w:pPr>
        <w:adjustRightInd w:val="0"/>
        <w:snapToGrid w:val="0"/>
        <w:spacing w:line="360" w:lineRule="auto"/>
        <w:rPr>
          <w:rFonts w:eastAsia="微软雅黑"/>
          <w:b/>
          <w:sz w:val="24"/>
        </w:rPr>
      </w:pPr>
    </w:p>
    <w:p w14:paraId="48EF5CF6">
      <w:pPr>
        <w:adjustRightInd w:val="0"/>
        <w:snapToGrid w:val="0"/>
        <w:spacing w:line="360" w:lineRule="auto"/>
        <w:rPr>
          <w:rFonts w:eastAsia="微软雅黑"/>
          <w:b/>
          <w:sz w:val="24"/>
        </w:rPr>
      </w:pPr>
    </w:p>
    <w:p w14:paraId="5A083E61">
      <w:pPr>
        <w:adjustRightInd w:val="0"/>
        <w:snapToGrid w:val="0"/>
        <w:spacing w:line="360" w:lineRule="auto"/>
        <w:rPr>
          <w:rFonts w:eastAsia="微软雅黑"/>
          <w:b/>
          <w:sz w:val="24"/>
        </w:rPr>
      </w:pPr>
    </w:p>
    <w:p w14:paraId="2FFECBCF">
      <w:pPr>
        <w:adjustRightInd w:val="0"/>
        <w:snapToGrid w:val="0"/>
        <w:spacing w:line="360" w:lineRule="auto"/>
        <w:rPr>
          <w:rFonts w:eastAsia="微软雅黑"/>
          <w:b/>
          <w:sz w:val="24"/>
        </w:rPr>
      </w:pPr>
    </w:p>
    <w:p w14:paraId="50D539CA">
      <w:pPr>
        <w:adjustRightInd w:val="0"/>
        <w:snapToGrid w:val="0"/>
        <w:spacing w:line="360" w:lineRule="auto"/>
        <w:jc w:val="center"/>
        <w:outlineLvl w:val="0"/>
        <w:rPr>
          <w:rFonts w:eastAsia="微软雅黑"/>
          <w:b/>
          <w:sz w:val="44"/>
          <w:szCs w:val="44"/>
        </w:rPr>
      </w:pPr>
      <w:bookmarkStart w:id="103" w:name="_Toc27929"/>
    </w:p>
    <w:p w14:paraId="63E6A074">
      <w:pPr>
        <w:adjustRightInd w:val="0"/>
        <w:snapToGrid w:val="0"/>
        <w:spacing w:line="360" w:lineRule="auto"/>
        <w:jc w:val="center"/>
        <w:outlineLvl w:val="0"/>
        <w:rPr>
          <w:rFonts w:eastAsia="微软雅黑"/>
          <w:b/>
          <w:sz w:val="44"/>
          <w:szCs w:val="44"/>
        </w:rPr>
      </w:pPr>
    </w:p>
    <w:p w14:paraId="47EF9B21">
      <w:pPr>
        <w:adjustRightInd w:val="0"/>
        <w:snapToGrid w:val="0"/>
        <w:spacing w:line="360" w:lineRule="auto"/>
        <w:jc w:val="center"/>
        <w:outlineLvl w:val="0"/>
        <w:rPr>
          <w:rFonts w:eastAsia="微软雅黑"/>
          <w:b/>
          <w:sz w:val="44"/>
          <w:szCs w:val="44"/>
        </w:rPr>
      </w:pPr>
    </w:p>
    <w:p w14:paraId="163300E8">
      <w:pPr>
        <w:adjustRightInd w:val="0"/>
        <w:snapToGrid w:val="0"/>
        <w:spacing w:line="360" w:lineRule="auto"/>
        <w:jc w:val="center"/>
        <w:outlineLvl w:val="0"/>
        <w:rPr>
          <w:rFonts w:eastAsia="微软雅黑"/>
          <w:b/>
          <w:sz w:val="44"/>
          <w:szCs w:val="44"/>
        </w:rPr>
      </w:pPr>
    </w:p>
    <w:p w14:paraId="300386C2">
      <w:pPr>
        <w:adjustRightInd w:val="0"/>
        <w:snapToGrid w:val="0"/>
        <w:spacing w:line="360" w:lineRule="auto"/>
        <w:jc w:val="center"/>
        <w:outlineLvl w:val="0"/>
        <w:rPr>
          <w:rFonts w:eastAsia="微软雅黑"/>
          <w:b/>
          <w:sz w:val="44"/>
          <w:szCs w:val="44"/>
        </w:rPr>
      </w:pPr>
    </w:p>
    <w:p w14:paraId="15656015">
      <w:pPr>
        <w:adjustRightInd w:val="0"/>
        <w:snapToGrid w:val="0"/>
        <w:spacing w:line="360" w:lineRule="auto"/>
        <w:jc w:val="center"/>
        <w:outlineLvl w:val="0"/>
        <w:rPr>
          <w:rFonts w:eastAsia="微软雅黑"/>
          <w:b/>
          <w:sz w:val="44"/>
          <w:szCs w:val="44"/>
        </w:rPr>
      </w:pPr>
      <w:r>
        <w:rPr>
          <w:rFonts w:eastAsia="微软雅黑"/>
          <w:b/>
          <w:sz w:val="44"/>
          <w:szCs w:val="44"/>
        </w:rPr>
        <w:t>Final protocol</w:t>
      </w:r>
      <w:bookmarkEnd w:id="103"/>
    </w:p>
    <w:p w14:paraId="1582DB96">
      <w:pPr>
        <w:adjustRightInd w:val="0"/>
        <w:snapToGrid w:val="0"/>
        <w:spacing w:line="360" w:lineRule="auto"/>
        <w:rPr>
          <w:rFonts w:eastAsia="微软雅黑"/>
          <w:b/>
          <w:sz w:val="24"/>
        </w:rPr>
      </w:pPr>
    </w:p>
    <w:p w14:paraId="58EA6D2C">
      <w:pPr>
        <w:adjustRightInd w:val="0"/>
        <w:snapToGrid w:val="0"/>
        <w:spacing w:line="360" w:lineRule="auto"/>
        <w:rPr>
          <w:rFonts w:eastAsia="微软雅黑"/>
          <w:b/>
          <w:sz w:val="24"/>
        </w:rPr>
      </w:pPr>
    </w:p>
    <w:p w14:paraId="7898FCB1">
      <w:pPr>
        <w:adjustRightInd w:val="0"/>
        <w:snapToGrid w:val="0"/>
        <w:spacing w:line="360" w:lineRule="auto"/>
        <w:rPr>
          <w:rFonts w:eastAsia="微软雅黑"/>
          <w:b/>
          <w:sz w:val="24"/>
        </w:rPr>
      </w:pPr>
    </w:p>
    <w:p w14:paraId="775663D7">
      <w:pPr>
        <w:adjustRightInd w:val="0"/>
        <w:snapToGrid w:val="0"/>
        <w:spacing w:line="360" w:lineRule="auto"/>
        <w:rPr>
          <w:rFonts w:eastAsia="微软雅黑"/>
          <w:b/>
          <w:sz w:val="24"/>
        </w:rPr>
      </w:pPr>
    </w:p>
    <w:p w14:paraId="51490653">
      <w:pPr>
        <w:adjustRightInd w:val="0"/>
        <w:snapToGrid w:val="0"/>
        <w:spacing w:line="360" w:lineRule="auto"/>
        <w:rPr>
          <w:rFonts w:eastAsia="微软雅黑"/>
          <w:b/>
          <w:sz w:val="24"/>
        </w:rPr>
      </w:pPr>
    </w:p>
    <w:p w14:paraId="39A390C8">
      <w:pPr>
        <w:adjustRightInd w:val="0"/>
        <w:snapToGrid w:val="0"/>
        <w:spacing w:line="360" w:lineRule="auto"/>
        <w:rPr>
          <w:rFonts w:eastAsia="微软雅黑"/>
          <w:b/>
          <w:sz w:val="24"/>
        </w:rPr>
      </w:pPr>
    </w:p>
    <w:p w14:paraId="468A9595">
      <w:pPr>
        <w:adjustRightInd w:val="0"/>
        <w:snapToGrid w:val="0"/>
        <w:spacing w:line="360" w:lineRule="auto"/>
        <w:rPr>
          <w:rFonts w:eastAsia="微软雅黑"/>
          <w:b/>
          <w:sz w:val="24"/>
        </w:rPr>
      </w:pPr>
    </w:p>
    <w:p w14:paraId="3D00AE06">
      <w:pPr>
        <w:adjustRightInd w:val="0"/>
        <w:snapToGrid w:val="0"/>
        <w:spacing w:line="360" w:lineRule="auto"/>
        <w:rPr>
          <w:rFonts w:eastAsia="微软雅黑"/>
          <w:b/>
          <w:sz w:val="24"/>
        </w:rPr>
      </w:pPr>
    </w:p>
    <w:p w14:paraId="213EE2BD">
      <w:pPr>
        <w:adjustRightInd w:val="0"/>
        <w:snapToGrid w:val="0"/>
        <w:spacing w:line="360" w:lineRule="auto"/>
        <w:rPr>
          <w:rFonts w:eastAsia="微软雅黑"/>
          <w:b/>
          <w:sz w:val="24"/>
        </w:rPr>
      </w:pPr>
    </w:p>
    <w:p w14:paraId="1B06A5AB">
      <w:pPr>
        <w:adjustRightInd w:val="0"/>
        <w:snapToGrid w:val="0"/>
        <w:spacing w:line="360" w:lineRule="auto"/>
        <w:rPr>
          <w:rFonts w:eastAsia="微软雅黑"/>
          <w:b/>
          <w:sz w:val="24"/>
        </w:rPr>
      </w:pPr>
    </w:p>
    <w:p w14:paraId="475C966E">
      <w:pPr>
        <w:adjustRightInd w:val="0"/>
        <w:snapToGrid w:val="0"/>
        <w:spacing w:line="360" w:lineRule="auto"/>
        <w:rPr>
          <w:rFonts w:eastAsia="微软雅黑"/>
          <w:b/>
          <w:sz w:val="24"/>
        </w:rPr>
      </w:pPr>
    </w:p>
    <w:p w14:paraId="5D76D546">
      <w:pPr>
        <w:adjustRightInd w:val="0"/>
        <w:snapToGrid w:val="0"/>
        <w:spacing w:line="360" w:lineRule="auto"/>
        <w:rPr>
          <w:rFonts w:eastAsia="微软雅黑"/>
          <w:b/>
          <w:sz w:val="24"/>
        </w:rPr>
      </w:pPr>
    </w:p>
    <w:p w14:paraId="169D6D68">
      <w:pPr>
        <w:adjustRightInd w:val="0"/>
        <w:snapToGrid w:val="0"/>
        <w:spacing w:line="360" w:lineRule="auto"/>
        <w:rPr>
          <w:rFonts w:eastAsia="微软雅黑"/>
          <w:b/>
          <w:sz w:val="24"/>
        </w:rPr>
      </w:pPr>
    </w:p>
    <w:p w14:paraId="381CA7AC">
      <w:pPr>
        <w:adjustRightInd w:val="0"/>
        <w:snapToGrid w:val="0"/>
        <w:spacing w:line="360" w:lineRule="auto"/>
        <w:rPr>
          <w:rFonts w:eastAsia="微软雅黑"/>
          <w:b/>
          <w:sz w:val="24"/>
        </w:rPr>
      </w:pPr>
    </w:p>
    <w:p w14:paraId="21270690">
      <w:pPr>
        <w:adjustRightInd w:val="0"/>
        <w:snapToGrid w:val="0"/>
        <w:spacing w:line="360" w:lineRule="auto"/>
        <w:rPr>
          <w:rFonts w:eastAsia="微软雅黑"/>
          <w:b/>
          <w:sz w:val="24"/>
        </w:rPr>
      </w:pPr>
    </w:p>
    <w:p w14:paraId="3719C539">
      <w:pPr>
        <w:adjustRightInd w:val="0"/>
        <w:snapToGrid w:val="0"/>
        <w:spacing w:line="360" w:lineRule="auto"/>
        <w:rPr>
          <w:rFonts w:eastAsia="微软雅黑"/>
          <w:b/>
          <w:sz w:val="24"/>
        </w:rPr>
      </w:pPr>
    </w:p>
    <w:p w14:paraId="52D1D7A8">
      <w:pPr>
        <w:adjustRightInd w:val="0"/>
        <w:snapToGrid w:val="0"/>
        <w:spacing w:line="360" w:lineRule="auto"/>
        <w:rPr>
          <w:rFonts w:eastAsia="微软雅黑"/>
          <w:b/>
          <w:sz w:val="24"/>
        </w:rPr>
      </w:pPr>
    </w:p>
    <w:p w14:paraId="3C565EAE">
      <w:pPr>
        <w:adjustRightInd w:val="0"/>
        <w:snapToGrid w:val="0"/>
        <w:spacing w:line="360" w:lineRule="auto"/>
        <w:rPr>
          <w:rFonts w:eastAsia="微软雅黑"/>
          <w:b/>
          <w:sz w:val="24"/>
        </w:rPr>
      </w:pPr>
    </w:p>
    <w:p w14:paraId="289BD365">
      <w:pPr>
        <w:adjustRightInd w:val="0"/>
        <w:snapToGrid w:val="0"/>
        <w:spacing w:line="360" w:lineRule="auto"/>
        <w:rPr>
          <w:rFonts w:eastAsia="微软雅黑"/>
          <w:b/>
          <w:sz w:val="24"/>
        </w:rPr>
      </w:pPr>
    </w:p>
    <w:p w14:paraId="67C9C59B">
      <w:pPr>
        <w:adjustRightInd w:val="0"/>
        <w:snapToGrid w:val="0"/>
        <w:spacing w:line="360" w:lineRule="auto"/>
        <w:rPr>
          <w:rFonts w:eastAsia="微软雅黑"/>
          <w:b/>
          <w:sz w:val="24"/>
        </w:rPr>
      </w:pPr>
    </w:p>
    <w:p w14:paraId="7016FB46">
      <w:pPr>
        <w:adjustRightInd w:val="0"/>
        <w:snapToGrid w:val="0"/>
        <w:spacing w:line="360" w:lineRule="auto"/>
        <w:rPr>
          <w:rFonts w:eastAsia="微软雅黑"/>
          <w:b/>
          <w:sz w:val="24"/>
        </w:rPr>
      </w:pPr>
    </w:p>
    <w:p w14:paraId="1F38D900">
      <w:pPr>
        <w:adjustRightInd w:val="0"/>
        <w:snapToGrid w:val="0"/>
        <w:spacing w:line="360" w:lineRule="auto"/>
        <w:rPr>
          <w:rFonts w:eastAsia="微软雅黑"/>
          <w:b/>
          <w:sz w:val="24"/>
        </w:rPr>
      </w:pPr>
    </w:p>
    <w:p w14:paraId="451714D5">
      <w:pPr>
        <w:adjustRightInd w:val="0"/>
        <w:snapToGrid w:val="0"/>
        <w:spacing w:line="360" w:lineRule="auto"/>
        <w:rPr>
          <w:rFonts w:eastAsia="微软雅黑"/>
          <w:b/>
          <w:sz w:val="24"/>
        </w:rPr>
      </w:pPr>
    </w:p>
    <w:p w14:paraId="03C16795">
      <w:pPr>
        <w:spacing w:line="360" w:lineRule="auto"/>
        <w:jc w:val="center"/>
        <w:rPr>
          <w:rFonts w:eastAsia="微软雅黑"/>
          <w:b/>
          <w:sz w:val="24"/>
        </w:rPr>
      </w:pPr>
      <w:r>
        <w:rPr>
          <w:rFonts w:eastAsia="微软雅黑"/>
          <w:b/>
          <w:sz w:val="24"/>
        </w:rPr>
        <w:t>Randomized Controlled Trials on Clinical Outcomes of Indocyanine Green Fluorescence Imaging-Guided Lymphadenectomy versus Conventional Laparoscopic Lymphadenectomy for Gastric Cancer</w:t>
      </w:r>
      <w:r>
        <w:rPr>
          <w:sz w:val="24"/>
        </w:rPr>
        <w:t xml:space="preserve"> </w:t>
      </w:r>
      <w:r>
        <w:rPr>
          <w:b/>
          <w:bCs/>
          <w:sz w:val="24"/>
        </w:rPr>
        <w:t>(</w:t>
      </w:r>
      <w:r>
        <w:rPr>
          <w:rFonts w:eastAsia="微软雅黑"/>
          <w:b/>
          <w:bCs/>
          <w:sz w:val="24"/>
        </w:rPr>
        <w:t>F</w:t>
      </w:r>
      <w:r>
        <w:rPr>
          <w:rFonts w:eastAsia="微软雅黑"/>
          <w:b/>
          <w:sz w:val="24"/>
        </w:rPr>
        <w:t>UGES-012 Study)</w:t>
      </w:r>
    </w:p>
    <w:p w14:paraId="0B2A681C">
      <w:pPr>
        <w:widowControl/>
        <w:adjustRightInd w:val="0"/>
        <w:snapToGrid w:val="0"/>
        <w:spacing w:after="200" w:line="360" w:lineRule="auto"/>
        <w:jc w:val="center"/>
        <w:outlineLvl w:val="0"/>
        <w:rPr>
          <w:rFonts w:eastAsia="微软雅黑"/>
          <w:b/>
          <w:bCs/>
          <w:kern w:val="0"/>
          <w:sz w:val="24"/>
        </w:rPr>
      </w:pPr>
      <w:bookmarkStart w:id="104" w:name="_Toc27540"/>
      <w:r>
        <w:rPr>
          <w:rFonts w:eastAsia="微软雅黑"/>
          <w:b/>
          <w:bCs/>
          <w:kern w:val="0"/>
          <w:sz w:val="24"/>
        </w:rPr>
        <w:t>Study protocol</w:t>
      </w:r>
      <w:bookmarkEnd w:id="104"/>
    </w:p>
    <w:p w14:paraId="22261D36">
      <w:pPr>
        <w:widowControl/>
        <w:adjustRightInd w:val="0"/>
        <w:snapToGrid w:val="0"/>
        <w:spacing w:after="200" w:line="360" w:lineRule="auto"/>
        <w:rPr>
          <w:rFonts w:eastAsia="微软雅黑"/>
          <w:b/>
          <w:kern w:val="0"/>
          <w:szCs w:val="21"/>
        </w:rPr>
      </w:pPr>
    </w:p>
    <w:p w14:paraId="17AFFE88">
      <w:pPr>
        <w:widowControl/>
        <w:adjustRightInd w:val="0"/>
        <w:snapToGrid w:val="0"/>
        <w:spacing w:after="200" w:line="360" w:lineRule="auto"/>
        <w:rPr>
          <w:sz w:val="28"/>
          <w:szCs w:val="28"/>
          <w:lang w:bidi="ar"/>
        </w:rPr>
      </w:pPr>
      <w:r>
        <w:rPr>
          <w:rFonts w:eastAsia="微软雅黑"/>
          <w:b/>
          <w:kern w:val="0"/>
          <w:sz w:val="28"/>
          <w:szCs w:val="28"/>
        </w:rPr>
        <w:t>Bidding party:</w:t>
      </w:r>
      <w:r>
        <w:rPr>
          <w:sz w:val="28"/>
          <w:szCs w:val="28"/>
          <w:lang w:bidi="ar"/>
        </w:rPr>
        <w:t xml:space="preserve"> Fujian Medical University Union Hospital</w:t>
      </w:r>
    </w:p>
    <w:p w14:paraId="027D7BC6">
      <w:pPr>
        <w:widowControl/>
        <w:adjustRightInd w:val="0"/>
        <w:snapToGrid w:val="0"/>
        <w:spacing w:after="200" w:line="360" w:lineRule="auto"/>
        <w:rPr>
          <w:sz w:val="28"/>
          <w:szCs w:val="28"/>
          <w:lang w:bidi="ar"/>
        </w:rPr>
      </w:pPr>
    </w:p>
    <w:p w14:paraId="5DFB9536">
      <w:pPr>
        <w:widowControl/>
        <w:adjustRightInd w:val="0"/>
        <w:snapToGrid w:val="0"/>
        <w:spacing w:line="360" w:lineRule="auto"/>
        <w:rPr>
          <w:b/>
          <w:sz w:val="28"/>
          <w:szCs w:val="28"/>
        </w:rPr>
      </w:pPr>
      <w:r>
        <w:rPr>
          <w:b/>
          <w:sz w:val="28"/>
          <w:szCs w:val="28"/>
        </w:rPr>
        <w:t>Principle Investigator:</w:t>
      </w:r>
    </w:p>
    <w:p w14:paraId="64455604">
      <w:pPr>
        <w:widowControl/>
        <w:adjustRightInd w:val="0"/>
        <w:snapToGrid w:val="0"/>
        <w:spacing w:after="200" w:line="360" w:lineRule="auto"/>
        <w:rPr>
          <w:rFonts w:eastAsia="微软雅黑"/>
          <w:szCs w:val="21"/>
          <w:lang w:bidi="ar"/>
        </w:rPr>
      </w:pPr>
      <w:r>
        <w:rPr>
          <w:rFonts w:eastAsia="微软雅黑"/>
          <w:szCs w:val="21"/>
        </w:rPr>
        <w:t xml:space="preserve">Prof. </w:t>
      </w:r>
      <w:r>
        <w:rPr>
          <w:rFonts w:eastAsia="微软雅黑"/>
          <w:szCs w:val="21"/>
          <w:lang w:bidi="ar"/>
        </w:rPr>
        <w:t>Chang-Ming Huang, M.D.</w:t>
      </w:r>
    </w:p>
    <w:p w14:paraId="293E6857">
      <w:pPr>
        <w:widowControl/>
        <w:adjustRightInd w:val="0"/>
        <w:snapToGrid w:val="0"/>
        <w:spacing w:after="200" w:line="360" w:lineRule="auto"/>
        <w:rPr>
          <w:rFonts w:eastAsia="微软雅黑"/>
          <w:kern w:val="0"/>
          <w:szCs w:val="21"/>
        </w:rPr>
      </w:pPr>
      <w:r>
        <w:rPr>
          <w:rFonts w:eastAsia="微软雅黑"/>
          <w:kern w:val="0"/>
          <w:szCs w:val="21"/>
        </w:rPr>
        <w:t xml:space="preserve">Department of Gastric Surgery, Fujian Medical University Union Hospital, </w:t>
      </w:r>
    </w:p>
    <w:p w14:paraId="2E66D252">
      <w:pPr>
        <w:widowControl/>
        <w:adjustRightInd w:val="0"/>
        <w:snapToGrid w:val="0"/>
        <w:spacing w:after="200" w:line="360" w:lineRule="auto"/>
        <w:rPr>
          <w:rFonts w:eastAsia="微软雅黑"/>
          <w:kern w:val="0"/>
          <w:szCs w:val="21"/>
        </w:rPr>
      </w:pPr>
      <w:r>
        <w:rPr>
          <w:rFonts w:eastAsia="微软雅黑"/>
          <w:kern w:val="0"/>
          <w:szCs w:val="21"/>
        </w:rPr>
        <w:t xml:space="preserve">Address: No. 29 Xinquan Road, Fuzhou 350001 Fujian Province, China. </w:t>
      </w:r>
    </w:p>
    <w:p w14:paraId="35CED6E6">
      <w:pPr>
        <w:widowControl/>
        <w:adjustRightInd w:val="0"/>
        <w:snapToGrid w:val="0"/>
        <w:spacing w:after="200" w:line="360" w:lineRule="auto"/>
        <w:outlineLvl w:val="0"/>
        <w:rPr>
          <w:rFonts w:eastAsia="微软雅黑"/>
          <w:kern w:val="0"/>
          <w:szCs w:val="21"/>
        </w:rPr>
      </w:pPr>
      <w:bookmarkStart w:id="105" w:name="_Toc24533"/>
      <w:r>
        <w:rPr>
          <w:rFonts w:eastAsia="微软雅黑"/>
          <w:kern w:val="0"/>
          <w:szCs w:val="21"/>
        </w:rPr>
        <w:t>Telephone: +86-591-83363366, Fax: +86-591-83363366</w:t>
      </w:r>
      <w:bookmarkEnd w:id="105"/>
    </w:p>
    <w:p w14:paraId="7E86D05A">
      <w:pPr>
        <w:widowControl/>
        <w:adjustRightInd w:val="0"/>
        <w:snapToGrid w:val="0"/>
        <w:spacing w:line="360" w:lineRule="auto"/>
        <w:rPr>
          <w:rFonts w:eastAsia="微软雅黑"/>
          <w:kern w:val="0"/>
          <w:sz w:val="30"/>
          <w:szCs w:val="30"/>
        </w:rPr>
      </w:pPr>
    </w:p>
    <w:p w14:paraId="062EEE2D">
      <w:pPr>
        <w:widowControl/>
        <w:adjustRightInd w:val="0"/>
        <w:snapToGrid w:val="0"/>
        <w:spacing w:after="200" w:line="360" w:lineRule="auto"/>
        <w:rPr>
          <w:rFonts w:hint="eastAsia" w:eastAsia="微软雅黑"/>
          <w:kern w:val="0"/>
          <w:sz w:val="28"/>
          <w:szCs w:val="28"/>
          <w:lang w:eastAsia="zh-CN"/>
        </w:rPr>
      </w:pPr>
      <w:r>
        <w:rPr>
          <w:rFonts w:eastAsia="微软雅黑"/>
          <w:b/>
          <w:kern w:val="0"/>
          <w:sz w:val="28"/>
          <w:szCs w:val="28"/>
        </w:rPr>
        <w:t xml:space="preserve">No. of edition: </w:t>
      </w:r>
      <w:r>
        <w:rPr>
          <w:rFonts w:eastAsia="微软雅黑"/>
          <w:kern w:val="0"/>
          <w:sz w:val="28"/>
          <w:szCs w:val="28"/>
        </w:rPr>
        <w:t>V2.</w:t>
      </w:r>
      <w:r>
        <w:rPr>
          <w:rFonts w:hint="eastAsia" w:eastAsia="微软雅黑"/>
          <w:kern w:val="0"/>
          <w:sz w:val="28"/>
          <w:szCs w:val="28"/>
          <w:lang w:val="en-US" w:eastAsia="zh-CN"/>
        </w:rPr>
        <w:t>2</w:t>
      </w:r>
    </w:p>
    <w:p w14:paraId="1787F7FC">
      <w:pPr>
        <w:widowControl/>
        <w:adjustRightInd w:val="0"/>
        <w:snapToGrid w:val="0"/>
        <w:spacing w:line="360" w:lineRule="auto"/>
        <w:rPr>
          <w:rFonts w:eastAsia="微软雅黑"/>
          <w:kern w:val="0"/>
          <w:sz w:val="30"/>
          <w:szCs w:val="30"/>
        </w:rPr>
      </w:pPr>
    </w:p>
    <w:p w14:paraId="116AE0AA">
      <w:pPr>
        <w:widowControl/>
        <w:adjustRightInd w:val="0"/>
        <w:snapToGrid w:val="0"/>
        <w:spacing w:line="360" w:lineRule="auto"/>
        <w:rPr>
          <w:rFonts w:hint="default" w:eastAsia="微软雅黑"/>
          <w:kern w:val="0"/>
          <w:sz w:val="24"/>
          <w:szCs w:val="22"/>
          <w:lang w:val="en-US" w:eastAsia="zh-CN"/>
        </w:rPr>
      </w:pPr>
      <w:r>
        <w:rPr>
          <w:rFonts w:eastAsia="微软雅黑"/>
          <w:b/>
          <w:kern w:val="0"/>
          <w:sz w:val="28"/>
          <w:szCs w:val="28"/>
        </w:rPr>
        <w:t xml:space="preserve">The date of the edition: </w:t>
      </w:r>
      <w:r>
        <w:rPr>
          <w:rFonts w:eastAsia="微软雅黑"/>
          <w:kern w:val="0"/>
          <w:sz w:val="30"/>
          <w:szCs w:val="30"/>
        </w:rPr>
        <w:t>202</w:t>
      </w:r>
      <w:r>
        <w:rPr>
          <w:rFonts w:hint="eastAsia" w:eastAsia="微软雅黑"/>
          <w:kern w:val="0"/>
          <w:sz w:val="30"/>
          <w:szCs w:val="30"/>
          <w:lang w:val="en-US" w:eastAsia="zh-CN"/>
        </w:rPr>
        <w:t>5</w:t>
      </w:r>
      <w:r>
        <w:rPr>
          <w:rFonts w:eastAsia="微软雅黑"/>
          <w:kern w:val="0"/>
          <w:sz w:val="30"/>
          <w:szCs w:val="30"/>
        </w:rPr>
        <w:t>.0</w:t>
      </w:r>
      <w:r>
        <w:rPr>
          <w:rFonts w:hint="eastAsia" w:eastAsia="微软雅黑"/>
          <w:kern w:val="0"/>
          <w:sz w:val="30"/>
          <w:szCs w:val="30"/>
          <w:lang w:val="en-US" w:eastAsia="zh-CN"/>
        </w:rPr>
        <w:t>4</w:t>
      </w:r>
      <w:r>
        <w:rPr>
          <w:rFonts w:eastAsia="微软雅黑"/>
          <w:kern w:val="0"/>
          <w:sz w:val="30"/>
          <w:szCs w:val="30"/>
        </w:rPr>
        <w:t>.</w:t>
      </w:r>
      <w:r>
        <w:rPr>
          <w:rFonts w:hint="eastAsia" w:eastAsia="微软雅黑"/>
          <w:kern w:val="0"/>
          <w:sz w:val="30"/>
          <w:szCs w:val="30"/>
          <w:lang w:val="en-US" w:eastAsia="zh-CN"/>
        </w:rPr>
        <w:t>10</w:t>
      </w:r>
    </w:p>
    <w:p w14:paraId="2B0D12E9">
      <w:pPr>
        <w:widowControl/>
        <w:adjustRightInd w:val="0"/>
        <w:snapToGrid w:val="0"/>
        <w:spacing w:after="200" w:line="360" w:lineRule="auto"/>
        <w:rPr>
          <w:rFonts w:eastAsia="微软雅黑"/>
          <w:b/>
          <w:kern w:val="0"/>
          <w:szCs w:val="21"/>
        </w:rPr>
      </w:pPr>
    </w:p>
    <w:p w14:paraId="3CD375B1">
      <w:pPr>
        <w:widowControl/>
        <w:adjustRightInd w:val="0"/>
        <w:snapToGrid w:val="0"/>
        <w:spacing w:after="200" w:line="360" w:lineRule="auto"/>
        <w:rPr>
          <w:rFonts w:eastAsia="微软雅黑"/>
          <w:b/>
          <w:kern w:val="0"/>
          <w:szCs w:val="21"/>
        </w:rPr>
      </w:pPr>
    </w:p>
    <w:p w14:paraId="04D9AF04">
      <w:pPr>
        <w:widowControl/>
        <w:adjustRightInd w:val="0"/>
        <w:snapToGrid w:val="0"/>
        <w:spacing w:after="200" w:line="360" w:lineRule="auto"/>
        <w:rPr>
          <w:rFonts w:eastAsia="微软雅黑"/>
          <w:b/>
          <w:kern w:val="0"/>
          <w:szCs w:val="21"/>
        </w:rPr>
        <w:sectPr>
          <w:headerReference r:id="rId7" w:type="first"/>
          <w:footerReference r:id="rId9" w:type="first"/>
          <w:headerReference r:id="rId6" w:type="default"/>
          <w:footerReference r:id="rId8" w:type="default"/>
          <w:pgSz w:w="11906" w:h="16838"/>
          <w:pgMar w:top="1440" w:right="1644" w:bottom="1440" w:left="1797" w:header="851" w:footer="992" w:gutter="0"/>
          <w:cols w:space="425" w:num="1"/>
          <w:titlePg/>
          <w:docGrid w:type="lines" w:linePitch="312" w:charSpace="0"/>
        </w:sectPr>
      </w:pPr>
    </w:p>
    <w:p w14:paraId="10A8BE25">
      <w:pPr>
        <w:widowControl/>
        <w:adjustRightInd w:val="0"/>
        <w:snapToGrid w:val="0"/>
        <w:spacing w:after="200" w:line="360" w:lineRule="auto"/>
        <w:jc w:val="left"/>
        <w:outlineLvl w:val="0"/>
        <w:rPr>
          <w:rFonts w:eastAsia="微软雅黑"/>
          <w:b/>
          <w:kern w:val="0"/>
          <w:szCs w:val="21"/>
        </w:rPr>
      </w:pPr>
      <w:bookmarkStart w:id="106" w:name="_Toc11689"/>
      <w:r>
        <w:rPr>
          <w:rFonts w:eastAsia="微软雅黑"/>
          <w:b/>
          <w:kern w:val="0"/>
          <w:szCs w:val="21"/>
        </w:rPr>
        <w:t>Summary</w:t>
      </w:r>
      <w:bookmarkEnd w:id="106"/>
    </w:p>
    <w:tbl>
      <w:tblPr>
        <w:tblStyle w:val="13"/>
        <w:tblW w:w="8789"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7371"/>
      </w:tblGrid>
      <w:tr w14:paraId="0EE5D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18" w:type="dxa"/>
            <w:vAlign w:val="center"/>
          </w:tcPr>
          <w:p w14:paraId="5AF148FF">
            <w:pPr>
              <w:pStyle w:val="33"/>
              <w:snapToGrid w:val="0"/>
              <w:spacing w:line="360" w:lineRule="auto"/>
              <w:jc w:val="center"/>
              <w:rPr>
                <w:rFonts w:ascii="Times New Roman" w:hAnsi="Times New Roman" w:eastAsia="微软雅黑" w:cs="Times New Roman"/>
                <w:color w:val="auto"/>
              </w:rPr>
            </w:pPr>
            <w:r>
              <w:rPr>
                <w:rFonts w:ascii="Times New Roman" w:hAnsi="Times New Roman" w:eastAsia="微软雅黑" w:cs="Times New Roman"/>
                <w:color w:val="auto"/>
                <w:kern w:val="2"/>
              </w:rPr>
              <w:t>Scenario Title</w:t>
            </w:r>
          </w:p>
        </w:tc>
        <w:tc>
          <w:tcPr>
            <w:tcW w:w="7371" w:type="dxa"/>
          </w:tcPr>
          <w:p w14:paraId="23199E0E">
            <w:pPr>
              <w:adjustRightInd w:val="0"/>
              <w:snapToGrid w:val="0"/>
              <w:spacing w:line="360" w:lineRule="auto"/>
              <w:rPr>
                <w:rFonts w:eastAsia="微软雅黑"/>
                <w:sz w:val="24"/>
              </w:rPr>
            </w:pPr>
            <w:r>
              <w:rPr>
                <w:rFonts w:eastAsia="微软雅黑"/>
                <w:sz w:val="24"/>
              </w:rPr>
              <w:t>Randomized Controlled Trials on Clinical Outcomes of Indocyanine Green Fluorescence Imaging-Guided Lymphadenectomy versus Conventional Laparoscopic Lymphadenectomy for Gastric Cancer (FUGES-012 Study)</w:t>
            </w:r>
          </w:p>
        </w:tc>
      </w:tr>
      <w:tr w14:paraId="78D7F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541B6BB3">
            <w:pPr>
              <w:pStyle w:val="33"/>
              <w:snapToGrid w:val="0"/>
              <w:spacing w:line="360" w:lineRule="auto"/>
              <w:jc w:val="center"/>
              <w:rPr>
                <w:rFonts w:ascii="Times New Roman" w:hAnsi="Times New Roman" w:eastAsia="微软雅黑" w:cs="Times New Roman"/>
                <w:color w:val="auto"/>
              </w:rPr>
            </w:pPr>
            <w:r>
              <w:rPr>
                <w:rFonts w:ascii="Times New Roman" w:hAnsi="Times New Roman" w:eastAsia="微软雅黑" w:cs="Times New Roman"/>
                <w:color w:val="auto"/>
                <w:kern w:val="2"/>
              </w:rPr>
              <w:t>Scenario Version</w:t>
            </w:r>
          </w:p>
        </w:tc>
        <w:tc>
          <w:tcPr>
            <w:tcW w:w="7371" w:type="dxa"/>
          </w:tcPr>
          <w:p w14:paraId="77BC04A8">
            <w:pPr>
              <w:adjustRightInd w:val="0"/>
              <w:snapToGrid w:val="0"/>
              <w:spacing w:line="360" w:lineRule="auto"/>
              <w:rPr>
                <w:rFonts w:hint="eastAsia" w:eastAsia="微软雅黑"/>
                <w:sz w:val="24"/>
                <w:lang w:val="en-US" w:eastAsia="zh-CN"/>
              </w:rPr>
            </w:pPr>
            <w:r>
              <w:rPr>
                <w:rFonts w:eastAsia="微软雅黑"/>
                <w:kern w:val="0"/>
                <w:sz w:val="24"/>
              </w:rPr>
              <w:t>V2.</w:t>
            </w:r>
            <w:r>
              <w:rPr>
                <w:rFonts w:hint="eastAsia" w:eastAsia="微软雅黑"/>
                <w:kern w:val="0"/>
                <w:sz w:val="24"/>
                <w:lang w:val="en-US" w:eastAsia="zh-CN"/>
              </w:rPr>
              <w:t>2</w:t>
            </w:r>
          </w:p>
        </w:tc>
      </w:tr>
      <w:tr w14:paraId="2BFB2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52C7DF19">
            <w:pPr>
              <w:pStyle w:val="33"/>
              <w:snapToGrid w:val="0"/>
              <w:spacing w:line="360" w:lineRule="auto"/>
              <w:jc w:val="center"/>
              <w:rPr>
                <w:rFonts w:ascii="Times New Roman" w:hAnsi="Times New Roman" w:eastAsia="微软雅黑" w:cs="Times New Roman"/>
                <w:color w:val="auto"/>
              </w:rPr>
            </w:pPr>
            <w:r>
              <w:rPr>
                <w:rFonts w:ascii="Times New Roman" w:hAnsi="Times New Roman" w:eastAsia="微软雅黑" w:cs="Times New Roman"/>
                <w:color w:val="auto"/>
                <w:kern w:val="2"/>
              </w:rPr>
              <w:t>Sponsor</w:t>
            </w:r>
          </w:p>
        </w:tc>
        <w:tc>
          <w:tcPr>
            <w:tcW w:w="7371" w:type="dxa"/>
            <w:vAlign w:val="center"/>
          </w:tcPr>
          <w:p w14:paraId="4375F416">
            <w:pPr>
              <w:adjustRightInd w:val="0"/>
              <w:snapToGrid w:val="0"/>
              <w:spacing w:line="360" w:lineRule="auto"/>
              <w:jc w:val="left"/>
              <w:rPr>
                <w:rFonts w:eastAsia="微软雅黑"/>
                <w:sz w:val="24"/>
              </w:rPr>
            </w:pPr>
            <w:r>
              <w:rPr>
                <w:sz w:val="24"/>
                <w:lang w:bidi="ar"/>
              </w:rPr>
              <w:t>Chang-Ming Huang</w:t>
            </w:r>
          </w:p>
        </w:tc>
      </w:tr>
      <w:tr w14:paraId="09DC7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11695084">
            <w:pPr>
              <w:pStyle w:val="33"/>
              <w:snapToGrid w:val="0"/>
              <w:spacing w:line="360" w:lineRule="auto"/>
              <w:jc w:val="center"/>
              <w:rPr>
                <w:rFonts w:ascii="Times New Roman" w:hAnsi="Times New Roman" w:eastAsia="微软雅黑" w:cs="Times New Roman"/>
                <w:color w:val="auto"/>
              </w:rPr>
            </w:pPr>
            <w:r>
              <w:rPr>
                <w:rFonts w:ascii="Times New Roman" w:hAnsi="Times New Roman" w:eastAsia="微软雅黑" w:cs="Times New Roman"/>
                <w:color w:val="auto"/>
                <w:kern w:val="2"/>
              </w:rPr>
              <w:t>Research Center</w:t>
            </w:r>
          </w:p>
        </w:tc>
        <w:tc>
          <w:tcPr>
            <w:tcW w:w="7371" w:type="dxa"/>
            <w:vAlign w:val="center"/>
          </w:tcPr>
          <w:p w14:paraId="2C71CA87">
            <w:pPr>
              <w:widowControl/>
              <w:adjustRightInd w:val="0"/>
              <w:snapToGrid w:val="0"/>
              <w:spacing w:line="360" w:lineRule="auto"/>
              <w:jc w:val="left"/>
              <w:rPr>
                <w:rFonts w:eastAsia="微软雅黑"/>
                <w:kern w:val="0"/>
                <w:sz w:val="24"/>
              </w:rPr>
            </w:pPr>
            <w:r>
              <w:rPr>
                <w:sz w:val="24"/>
                <w:lang w:bidi="ar"/>
              </w:rPr>
              <w:t>Fujian Medical University Union Hospital</w:t>
            </w:r>
          </w:p>
        </w:tc>
      </w:tr>
      <w:tr w14:paraId="339D0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7C666995">
            <w:pPr>
              <w:pStyle w:val="33"/>
              <w:snapToGrid w:val="0"/>
              <w:spacing w:line="360" w:lineRule="auto"/>
              <w:jc w:val="center"/>
              <w:rPr>
                <w:rFonts w:ascii="Times New Roman" w:hAnsi="Times New Roman" w:eastAsia="微软雅黑" w:cs="Times New Roman"/>
                <w:color w:val="auto"/>
              </w:rPr>
            </w:pPr>
            <w:r>
              <w:rPr>
                <w:rFonts w:ascii="Times New Roman" w:hAnsi="Times New Roman" w:eastAsia="微软雅黑" w:cs="Times New Roman"/>
                <w:color w:val="auto"/>
                <w:kern w:val="2"/>
              </w:rPr>
              <w:t>Indications</w:t>
            </w:r>
          </w:p>
        </w:tc>
        <w:tc>
          <w:tcPr>
            <w:tcW w:w="7371" w:type="dxa"/>
          </w:tcPr>
          <w:p w14:paraId="4D309E5F">
            <w:pPr>
              <w:pStyle w:val="33"/>
              <w:snapToGrid w:val="0"/>
              <w:spacing w:line="360" w:lineRule="auto"/>
              <w:jc w:val="both"/>
              <w:rPr>
                <w:rFonts w:ascii="Times New Roman" w:hAnsi="Times New Roman" w:eastAsia="微软雅黑" w:cs="Times New Roman"/>
                <w:color w:val="auto"/>
              </w:rPr>
            </w:pPr>
            <w:r>
              <w:rPr>
                <w:rFonts w:ascii="Times New Roman" w:hAnsi="Times New Roman" w:eastAsia="微软雅黑" w:cs="Times New Roman"/>
                <w:color w:val="auto"/>
              </w:rPr>
              <w:t>Patients with potentially resectable gastric adenocarcinoma (cT1-4a, N0/+, M0)</w:t>
            </w:r>
          </w:p>
        </w:tc>
      </w:tr>
      <w:tr w14:paraId="3C2E7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778AC080">
            <w:pPr>
              <w:pStyle w:val="33"/>
              <w:snapToGrid w:val="0"/>
              <w:spacing w:line="360" w:lineRule="auto"/>
              <w:jc w:val="center"/>
              <w:rPr>
                <w:rFonts w:ascii="Times New Roman" w:hAnsi="Times New Roman" w:eastAsia="微软雅黑" w:cs="Times New Roman"/>
                <w:color w:val="auto"/>
              </w:rPr>
            </w:pPr>
            <w:r>
              <w:rPr>
                <w:rFonts w:ascii="Times New Roman" w:hAnsi="Times New Roman" w:eastAsia="微软雅黑" w:cs="Times New Roman"/>
                <w:color w:val="auto"/>
              </w:rPr>
              <w:t>Purpose of research</w:t>
            </w:r>
          </w:p>
        </w:tc>
        <w:tc>
          <w:tcPr>
            <w:tcW w:w="7371" w:type="dxa"/>
          </w:tcPr>
          <w:p w14:paraId="32501B3B">
            <w:pPr>
              <w:adjustRightInd w:val="0"/>
              <w:snapToGrid w:val="0"/>
              <w:spacing w:line="360" w:lineRule="auto"/>
              <w:rPr>
                <w:rFonts w:eastAsia="微软雅黑"/>
                <w:sz w:val="24"/>
              </w:rPr>
            </w:pPr>
            <w:r>
              <w:rPr>
                <w:sz w:val="24"/>
                <w:lang w:bidi="ar"/>
              </w:rPr>
              <w:t>To investigate the safety, efficacy, and feasibility of ICG near-infrared imaging tracing in guiding laparoscopic D2 lymph node (LN) dissection for gastric cancer</w:t>
            </w:r>
          </w:p>
        </w:tc>
      </w:tr>
      <w:tr w14:paraId="113C3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554CDE98">
            <w:pPr>
              <w:pStyle w:val="33"/>
              <w:snapToGrid w:val="0"/>
              <w:spacing w:line="360" w:lineRule="auto"/>
              <w:jc w:val="center"/>
              <w:rPr>
                <w:rFonts w:ascii="Times New Roman" w:hAnsi="Times New Roman" w:eastAsia="微软雅黑" w:cs="Times New Roman"/>
                <w:color w:val="auto"/>
              </w:rPr>
            </w:pPr>
            <w:r>
              <w:rPr>
                <w:rFonts w:ascii="Times New Roman" w:hAnsi="Times New Roman" w:eastAsia="微软雅黑" w:cs="Times New Roman"/>
                <w:color w:val="auto"/>
              </w:rPr>
              <w:t>Research design</w:t>
            </w:r>
          </w:p>
        </w:tc>
        <w:tc>
          <w:tcPr>
            <w:tcW w:w="7371" w:type="dxa"/>
          </w:tcPr>
          <w:p w14:paraId="60F8247A">
            <w:pPr>
              <w:adjustRightInd w:val="0"/>
              <w:snapToGrid w:val="0"/>
              <w:spacing w:line="360" w:lineRule="auto"/>
              <w:rPr>
                <w:sz w:val="24"/>
              </w:rPr>
            </w:pPr>
            <w:r>
              <w:rPr>
                <w:sz w:val="24"/>
                <w:lang w:bidi="ar"/>
              </w:rPr>
              <w:t>Single center, prospective, open-label, randomized controlled.</w:t>
            </w:r>
          </w:p>
        </w:tc>
      </w:tr>
      <w:tr w14:paraId="3BE8D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342F18CC">
            <w:pPr>
              <w:pStyle w:val="33"/>
              <w:snapToGrid w:val="0"/>
              <w:spacing w:line="360" w:lineRule="auto"/>
              <w:jc w:val="center"/>
              <w:rPr>
                <w:rFonts w:ascii="Times New Roman" w:hAnsi="Times New Roman" w:eastAsia="微软雅黑" w:cs="Times New Roman"/>
                <w:color w:val="auto"/>
              </w:rPr>
            </w:pPr>
            <w:r>
              <w:rPr>
                <w:rFonts w:ascii="Times New Roman" w:hAnsi="Times New Roman" w:eastAsia="微软雅黑" w:cs="Times New Roman"/>
                <w:color w:val="auto"/>
                <w:sz w:val="21"/>
                <w:szCs w:val="21"/>
              </w:rPr>
              <w:t>ClinicalTrials.gov Identifier</w:t>
            </w:r>
          </w:p>
        </w:tc>
        <w:tc>
          <w:tcPr>
            <w:tcW w:w="7371" w:type="dxa"/>
          </w:tcPr>
          <w:p w14:paraId="6E9C4568">
            <w:pPr>
              <w:adjustRightInd w:val="0"/>
              <w:snapToGrid w:val="0"/>
              <w:spacing w:line="360" w:lineRule="auto"/>
              <w:rPr>
                <w:sz w:val="24"/>
                <w:lang w:bidi="ar"/>
              </w:rPr>
            </w:pPr>
            <w:r>
              <w:rPr>
                <w:sz w:val="24"/>
                <w:lang w:bidi="ar"/>
              </w:rPr>
              <w:t>NCT03050879</w:t>
            </w:r>
          </w:p>
        </w:tc>
      </w:tr>
      <w:tr w14:paraId="772AE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0E6BE0FC">
            <w:pPr>
              <w:pStyle w:val="33"/>
              <w:snapToGrid w:val="0"/>
              <w:spacing w:line="360" w:lineRule="auto"/>
              <w:jc w:val="center"/>
              <w:rPr>
                <w:rFonts w:ascii="Times New Roman" w:hAnsi="Times New Roman" w:eastAsia="微软雅黑" w:cs="Times New Roman"/>
                <w:color w:val="auto"/>
              </w:rPr>
            </w:pPr>
            <w:r>
              <w:rPr>
                <w:rFonts w:ascii="Times New Roman" w:hAnsi="Times New Roman" w:eastAsia="微软雅黑" w:cs="Times New Roman"/>
                <w:color w:val="auto"/>
              </w:rPr>
              <w:t>IRB number</w:t>
            </w:r>
          </w:p>
        </w:tc>
        <w:tc>
          <w:tcPr>
            <w:tcW w:w="7371" w:type="dxa"/>
          </w:tcPr>
          <w:p w14:paraId="3166DDB0">
            <w:pPr>
              <w:adjustRightInd w:val="0"/>
              <w:snapToGrid w:val="0"/>
              <w:spacing w:line="360" w:lineRule="auto"/>
              <w:rPr>
                <w:sz w:val="24"/>
                <w:lang w:bidi="ar"/>
              </w:rPr>
            </w:pPr>
            <w:r>
              <w:rPr>
                <w:sz w:val="24"/>
                <w:lang w:bidi="ar"/>
              </w:rPr>
              <w:t>2016YF015-02</w:t>
            </w:r>
          </w:p>
        </w:tc>
      </w:tr>
      <w:tr w14:paraId="54C7E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58851265">
            <w:pPr>
              <w:pStyle w:val="33"/>
              <w:snapToGrid w:val="0"/>
              <w:spacing w:line="360" w:lineRule="auto"/>
              <w:jc w:val="center"/>
              <w:rPr>
                <w:rFonts w:ascii="Times New Roman" w:hAnsi="Times New Roman" w:eastAsia="微软雅黑" w:cs="Times New Roman"/>
                <w:color w:val="auto"/>
              </w:rPr>
            </w:pPr>
            <w:r>
              <w:rPr>
                <w:rFonts w:ascii="Times New Roman" w:hAnsi="Times New Roman" w:eastAsia="微软雅黑" w:cs="Times New Roman"/>
                <w:color w:val="auto"/>
              </w:rPr>
              <w:t>Case grouping</w:t>
            </w:r>
          </w:p>
        </w:tc>
        <w:tc>
          <w:tcPr>
            <w:tcW w:w="7371" w:type="dxa"/>
          </w:tcPr>
          <w:p w14:paraId="718003F1">
            <w:pPr>
              <w:pStyle w:val="33"/>
              <w:snapToGrid w:val="0"/>
              <w:spacing w:line="360" w:lineRule="auto"/>
              <w:rPr>
                <w:rFonts w:ascii="Times New Roman" w:hAnsi="Times New Roman" w:eastAsia="微软雅黑" w:cs="Times New Roman"/>
                <w:color w:val="auto"/>
              </w:rPr>
            </w:pPr>
            <w:r>
              <w:rPr>
                <w:rFonts w:ascii="Times New Roman" w:hAnsi="Times New Roman" w:eastAsia="微软雅黑" w:cs="Times New Roman"/>
                <w:color w:val="auto"/>
              </w:rPr>
              <w:t>Group A (Study Group): Laparoscopic gastrectomy Group with</w:t>
            </w:r>
            <w:r>
              <w:rPr>
                <w:rFonts w:ascii="Times New Roman" w:hAnsi="Times New Roman" w:cs="Times New Roman"/>
                <w:color w:val="auto"/>
              </w:rPr>
              <w:t xml:space="preserve"> the use of near-infrared imaging</w:t>
            </w:r>
            <w:r>
              <w:rPr>
                <w:rFonts w:ascii="Times New Roman" w:hAnsi="Times New Roman" w:eastAsia="微软雅黑" w:cs="Times New Roman"/>
                <w:color w:val="auto"/>
              </w:rPr>
              <w:t xml:space="preserve"> (ICG group) </w:t>
            </w:r>
          </w:p>
          <w:p w14:paraId="2903B0B4">
            <w:pPr>
              <w:pStyle w:val="33"/>
              <w:snapToGrid w:val="0"/>
              <w:spacing w:line="360" w:lineRule="auto"/>
              <w:jc w:val="both"/>
              <w:rPr>
                <w:rFonts w:ascii="Times New Roman" w:hAnsi="Times New Roman" w:eastAsia="微软雅黑" w:cs="Times New Roman"/>
                <w:color w:val="auto"/>
              </w:rPr>
            </w:pPr>
            <w:r>
              <w:rPr>
                <w:rFonts w:ascii="Times New Roman" w:hAnsi="Times New Roman" w:eastAsia="微软雅黑" w:cs="Times New Roman"/>
                <w:color w:val="auto"/>
              </w:rPr>
              <w:t xml:space="preserve">Group B (Control Group): Laparoscopic gastrectomy Group without the use of near-infrared imaging (Non-ICG group) </w:t>
            </w:r>
          </w:p>
        </w:tc>
      </w:tr>
      <w:tr w14:paraId="5B53D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1A2D9AC1">
            <w:pPr>
              <w:pStyle w:val="33"/>
              <w:snapToGrid w:val="0"/>
              <w:spacing w:line="360" w:lineRule="auto"/>
              <w:jc w:val="center"/>
              <w:rPr>
                <w:rFonts w:ascii="Times New Roman" w:hAnsi="Times New Roman" w:eastAsia="微软雅黑" w:cs="Times New Roman"/>
                <w:color w:val="auto"/>
              </w:rPr>
            </w:pPr>
            <w:r>
              <w:rPr>
                <w:rFonts w:ascii="Times New Roman" w:hAnsi="Times New Roman" w:eastAsia="微软雅黑" w:cs="Times New Roman"/>
                <w:color w:val="auto"/>
              </w:rPr>
              <w:t>The basis for determining the sample size</w:t>
            </w:r>
          </w:p>
        </w:tc>
        <w:tc>
          <w:tcPr>
            <w:tcW w:w="7371" w:type="dxa"/>
          </w:tcPr>
          <w:p w14:paraId="59EF89F6">
            <w:pPr>
              <w:adjustRightInd w:val="0"/>
              <w:snapToGrid w:val="0"/>
              <w:spacing w:line="360" w:lineRule="auto"/>
              <w:rPr>
                <w:rFonts w:eastAsia="微软雅黑"/>
                <w:sz w:val="24"/>
              </w:rPr>
            </w:pPr>
            <w:r>
              <w:rPr>
                <w:rFonts w:eastAsia="微软雅黑"/>
                <w:sz w:val="24"/>
              </w:rPr>
              <w:t>This study is a superiority test (unilateral), whose primary outcome measure is the total number of retrieving LNs. According to the previous study results and related literature reports, the total number of LN dissections in the control group was about 32.9, This analysis was based on an α of 0.05, a power of 80%, and a margin delta of 15%, revealing that at least 107 patients would be necessary per group. Considering an expected dropout rate of 20%, it was determined that each group needed at least 133 patients, for a total of 266 cases.</w:t>
            </w:r>
          </w:p>
        </w:tc>
      </w:tr>
      <w:tr w14:paraId="76609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2C76F9E9">
            <w:pPr>
              <w:pStyle w:val="33"/>
              <w:snapToGrid w:val="0"/>
              <w:spacing w:line="360" w:lineRule="auto"/>
              <w:jc w:val="center"/>
              <w:rPr>
                <w:rFonts w:ascii="Times New Roman" w:hAnsi="Times New Roman" w:eastAsia="微软雅黑" w:cs="Times New Roman"/>
                <w:color w:val="auto"/>
              </w:rPr>
            </w:pPr>
            <w:r>
              <w:rPr>
                <w:rFonts w:ascii="Times New Roman" w:hAnsi="Times New Roman" w:eastAsia="微软雅黑" w:cs="Times New Roman"/>
                <w:color w:val="auto"/>
                <w:kern w:val="2"/>
              </w:rPr>
              <w:t>Inclusion criteria</w:t>
            </w:r>
          </w:p>
        </w:tc>
        <w:tc>
          <w:tcPr>
            <w:tcW w:w="7371" w:type="dxa"/>
          </w:tcPr>
          <w:p w14:paraId="64C0E6C8">
            <w:pPr>
              <w:pStyle w:val="25"/>
              <w:numPr>
                <w:ilvl w:val="0"/>
                <w:numId w:val="1"/>
              </w:numPr>
              <w:adjustRightInd w:val="0"/>
              <w:snapToGrid w:val="0"/>
              <w:spacing w:line="360" w:lineRule="auto"/>
              <w:ind w:firstLineChars="0"/>
              <w:rPr>
                <w:rFonts w:eastAsia="微软雅黑"/>
                <w:sz w:val="24"/>
              </w:rPr>
            </w:pPr>
            <w:r>
              <w:rPr>
                <w:rFonts w:eastAsia="微软雅黑"/>
                <w:sz w:val="24"/>
              </w:rPr>
              <w:t>Age from 18 to 75 years</w:t>
            </w:r>
          </w:p>
          <w:p w14:paraId="52DABB55">
            <w:pPr>
              <w:pStyle w:val="25"/>
              <w:numPr>
                <w:ilvl w:val="0"/>
                <w:numId w:val="1"/>
              </w:numPr>
              <w:adjustRightInd w:val="0"/>
              <w:snapToGrid w:val="0"/>
              <w:spacing w:line="360" w:lineRule="auto"/>
              <w:ind w:firstLineChars="0"/>
              <w:rPr>
                <w:rFonts w:eastAsia="微软雅黑"/>
                <w:sz w:val="24"/>
              </w:rPr>
            </w:pPr>
            <w:r>
              <w:rPr>
                <w:rFonts w:eastAsia="微软雅黑"/>
                <w:sz w:val="24"/>
              </w:rPr>
              <w:t>Primary gastric adenocarcinoma (papillary, tubular, mucinous, signet ring cell, or poorly differentiated) confirmed pathologically by endoscopic biopsy</w:t>
            </w:r>
          </w:p>
          <w:p w14:paraId="1D3472DF">
            <w:pPr>
              <w:pStyle w:val="25"/>
              <w:numPr>
                <w:ilvl w:val="0"/>
                <w:numId w:val="1"/>
              </w:numPr>
              <w:adjustRightInd w:val="0"/>
              <w:snapToGrid w:val="0"/>
              <w:spacing w:line="360" w:lineRule="auto"/>
              <w:ind w:firstLineChars="0"/>
              <w:rPr>
                <w:rFonts w:eastAsia="微软雅黑"/>
                <w:sz w:val="24"/>
              </w:rPr>
            </w:pPr>
            <w:r>
              <w:rPr>
                <w:rFonts w:eastAsia="微软雅黑"/>
                <w:sz w:val="24"/>
              </w:rPr>
              <w:t>Clinical stage tumor T1-4a (cT1-4a), N-/+, M0 at preoperative evaluation according to the American Joint Committee on Cancer (AJCC) Cancer Staging Manual Seventh Edition</w:t>
            </w:r>
          </w:p>
          <w:p w14:paraId="107BAFFD">
            <w:pPr>
              <w:pStyle w:val="25"/>
              <w:numPr>
                <w:ilvl w:val="0"/>
                <w:numId w:val="1"/>
              </w:numPr>
              <w:adjustRightInd w:val="0"/>
              <w:snapToGrid w:val="0"/>
              <w:spacing w:line="360" w:lineRule="auto"/>
              <w:ind w:firstLineChars="0"/>
              <w:rPr>
                <w:rFonts w:eastAsia="微软雅黑"/>
                <w:sz w:val="24"/>
              </w:rPr>
            </w:pPr>
            <w:r>
              <w:rPr>
                <w:rFonts w:eastAsia="微软雅黑"/>
                <w:sz w:val="24"/>
              </w:rPr>
              <w:t>No distant metastasis, no direct invasion of pancreas, spleen or other organs nearby in the preoperative examinations</w:t>
            </w:r>
          </w:p>
          <w:p w14:paraId="073D6950">
            <w:pPr>
              <w:pStyle w:val="25"/>
              <w:numPr>
                <w:ilvl w:val="0"/>
                <w:numId w:val="1"/>
              </w:numPr>
              <w:adjustRightInd w:val="0"/>
              <w:snapToGrid w:val="0"/>
              <w:spacing w:line="360" w:lineRule="auto"/>
              <w:ind w:firstLineChars="0"/>
              <w:rPr>
                <w:rFonts w:eastAsia="微软雅黑"/>
                <w:sz w:val="24"/>
              </w:rPr>
            </w:pPr>
            <w:r>
              <w:rPr>
                <w:rFonts w:eastAsia="微软雅黑"/>
                <w:sz w:val="24"/>
              </w:rPr>
              <w:t>Performance status of 0 or 1 on Eastern Cooperative Oncology Group scale (ECOG)</w:t>
            </w:r>
          </w:p>
          <w:p w14:paraId="65581522">
            <w:pPr>
              <w:pStyle w:val="25"/>
              <w:numPr>
                <w:ilvl w:val="0"/>
                <w:numId w:val="1"/>
              </w:numPr>
              <w:adjustRightInd w:val="0"/>
              <w:snapToGrid w:val="0"/>
              <w:spacing w:line="360" w:lineRule="auto"/>
              <w:ind w:firstLineChars="0"/>
              <w:rPr>
                <w:rFonts w:eastAsia="微软雅黑"/>
                <w:sz w:val="24"/>
              </w:rPr>
            </w:pPr>
            <w:r>
              <w:rPr>
                <w:rFonts w:eastAsia="微软雅黑"/>
                <w:sz w:val="24"/>
              </w:rPr>
              <w:t>American Society of Anesthesiology score (ASA) class I, II, or III</w:t>
            </w:r>
          </w:p>
          <w:p w14:paraId="567CF8D2">
            <w:pPr>
              <w:pStyle w:val="25"/>
              <w:numPr>
                <w:ilvl w:val="0"/>
                <w:numId w:val="1"/>
              </w:numPr>
              <w:adjustRightInd w:val="0"/>
              <w:snapToGrid w:val="0"/>
              <w:spacing w:line="360" w:lineRule="auto"/>
              <w:ind w:firstLineChars="0"/>
              <w:rPr>
                <w:rFonts w:eastAsia="微软雅黑"/>
                <w:sz w:val="24"/>
              </w:rPr>
            </w:pPr>
            <w:r>
              <w:rPr>
                <w:rFonts w:eastAsia="微软雅黑"/>
                <w:sz w:val="24"/>
              </w:rPr>
              <w:t>The written informed consent of subjects must be given before study-related activities are conducted</w:t>
            </w:r>
          </w:p>
        </w:tc>
      </w:tr>
      <w:tr w14:paraId="72345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08801507">
            <w:pPr>
              <w:pStyle w:val="33"/>
              <w:snapToGrid w:val="0"/>
              <w:spacing w:line="360" w:lineRule="auto"/>
              <w:jc w:val="center"/>
              <w:rPr>
                <w:rFonts w:ascii="Times New Roman" w:hAnsi="Times New Roman" w:eastAsia="微软雅黑" w:cs="Times New Roman"/>
                <w:color w:val="auto"/>
              </w:rPr>
            </w:pPr>
            <w:r>
              <w:rPr>
                <w:rFonts w:ascii="Times New Roman" w:hAnsi="Times New Roman" w:eastAsia="微软雅黑" w:cs="Times New Roman"/>
                <w:color w:val="auto"/>
                <w:kern w:val="2"/>
              </w:rPr>
              <w:t>Exclusion criteria</w:t>
            </w:r>
          </w:p>
        </w:tc>
        <w:tc>
          <w:tcPr>
            <w:tcW w:w="7371" w:type="dxa"/>
          </w:tcPr>
          <w:p w14:paraId="2ED2D7F6">
            <w:pPr>
              <w:pStyle w:val="25"/>
              <w:numPr>
                <w:ilvl w:val="0"/>
                <w:numId w:val="2"/>
              </w:numPr>
              <w:adjustRightInd w:val="0"/>
              <w:snapToGrid w:val="0"/>
              <w:spacing w:line="360" w:lineRule="auto"/>
              <w:ind w:firstLineChars="0"/>
              <w:rPr>
                <w:rFonts w:eastAsia="微软雅黑"/>
                <w:sz w:val="24"/>
              </w:rPr>
            </w:pPr>
            <w:r>
              <w:rPr>
                <w:rFonts w:eastAsia="微软雅黑"/>
                <w:sz w:val="24"/>
              </w:rPr>
              <w:t>Women during pregnancy or breast-feeding</w:t>
            </w:r>
          </w:p>
          <w:p w14:paraId="66EC511A">
            <w:pPr>
              <w:pStyle w:val="25"/>
              <w:numPr>
                <w:ilvl w:val="0"/>
                <w:numId w:val="2"/>
              </w:numPr>
              <w:adjustRightInd w:val="0"/>
              <w:snapToGrid w:val="0"/>
              <w:spacing w:line="360" w:lineRule="auto"/>
              <w:ind w:firstLineChars="0"/>
              <w:rPr>
                <w:rFonts w:eastAsia="微软雅黑"/>
                <w:sz w:val="24"/>
              </w:rPr>
            </w:pPr>
            <w:r>
              <w:rPr>
                <w:rFonts w:eastAsia="微软雅黑"/>
                <w:sz w:val="24"/>
              </w:rPr>
              <w:t>Severe mental disorder</w:t>
            </w:r>
          </w:p>
          <w:p w14:paraId="68F21C35">
            <w:pPr>
              <w:pStyle w:val="25"/>
              <w:numPr>
                <w:ilvl w:val="0"/>
                <w:numId w:val="2"/>
              </w:numPr>
              <w:adjustRightInd w:val="0"/>
              <w:snapToGrid w:val="0"/>
              <w:spacing w:line="360" w:lineRule="auto"/>
              <w:ind w:firstLineChars="0"/>
              <w:rPr>
                <w:rFonts w:eastAsia="微软雅黑"/>
                <w:sz w:val="24"/>
              </w:rPr>
            </w:pPr>
            <w:r>
              <w:rPr>
                <w:rFonts w:eastAsia="微软雅黑"/>
                <w:sz w:val="24"/>
              </w:rPr>
              <w:t>History of previous upper abdominal surgery (except laparoscopic cholecystectomy)</w:t>
            </w:r>
          </w:p>
          <w:p w14:paraId="2B382567">
            <w:pPr>
              <w:pStyle w:val="25"/>
              <w:numPr>
                <w:ilvl w:val="0"/>
                <w:numId w:val="2"/>
              </w:numPr>
              <w:adjustRightInd w:val="0"/>
              <w:snapToGrid w:val="0"/>
              <w:spacing w:line="360" w:lineRule="auto"/>
              <w:ind w:firstLineChars="0"/>
              <w:rPr>
                <w:rFonts w:eastAsia="微软雅黑"/>
                <w:sz w:val="24"/>
              </w:rPr>
            </w:pPr>
            <w:r>
              <w:rPr>
                <w:rFonts w:eastAsia="微软雅黑"/>
                <w:sz w:val="24"/>
              </w:rPr>
              <w:t>History of previous gastrectomy, endoscopic mucosal resection or endoscopic submucosal dissection</w:t>
            </w:r>
          </w:p>
          <w:p w14:paraId="0EC03049">
            <w:pPr>
              <w:pStyle w:val="25"/>
              <w:numPr>
                <w:ilvl w:val="0"/>
                <w:numId w:val="2"/>
              </w:numPr>
              <w:adjustRightInd w:val="0"/>
              <w:snapToGrid w:val="0"/>
              <w:spacing w:line="360" w:lineRule="auto"/>
              <w:ind w:firstLineChars="0"/>
              <w:rPr>
                <w:rFonts w:eastAsia="微软雅黑"/>
                <w:sz w:val="24"/>
              </w:rPr>
            </w:pPr>
            <w:r>
              <w:rPr>
                <w:rFonts w:eastAsia="微软雅黑"/>
                <w:sz w:val="24"/>
              </w:rPr>
              <w:t>History of allergy to iodine agents</w:t>
            </w:r>
          </w:p>
          <w:p w14:paraId="0AAD2DCC">
            <w:pPr>
              <w:pStyle w:val="25"/>
              <w:numPr>
                <w:ilvl w:val="0"/>
                <w:numId w:val="2"/>
              </w:numPr>
              <w:adjustRightInd w:val="0"/>
              <w:snapToGrid w:val="0"/>
              <w:spacing w:line="360" w:lineRule="auto"/>
              <w:ind w:firstLineChars="0"/>
              <w:rPr>
                <w:rFonts w:eastAsia="微软雅黑"/>
                <w:sz w:val="24"/>
              </w:rPr>
            </w:pPr>
            <w:r>
              <w:rPr>
                <w:rFonts w:eastAsia="微软雅黑"/>
                <w:sz w:val="24"/>
              </w:rPr>
              <w:t>Enlarged or bulky regional LN diameter over 3cm by preoperative imaging</w:t>
            </w:r>
          </w:p>
          <w:p w14:paraId="2AF185FF">
            <w:pPr>
              <w:pStyle w:val="25"/>
              <w:numPr>
                <w:ilvl w:val="0"/>
                <w:numId w:val="2"/>
              </w:numPr>
              <w:adjustRightInd w:val="0"/>
              <w:snapToGrid w:val="0"/>
              <w:spacing w:line="360" w:lineRule="auto"/>
              <w:ind w:firstLineChars="0"/>
              <w:rPr>
                <w:rFonts w:eastAsia="微软雅黑"/>
                <w:sz w:val="24"/>
              </w:rPr>
            </w:pPr>
            <w:r>
              <w:rPr>
                <w:rFonts w:eastAsia="微软雅黑"/>
                <w:sz w:val="24"/>
              </w:rPr>
              <w:t>History of other malignant disease within past five years</w:t>
            </w:r>
          </w:p>
          <w:p w14:paraId="668F6A21">
            <w:pPr>
              <w:pStyle w:val="25"/>
              <w:numPr>
                <w:ilvl w:val="0"/>
                <w:numId w:val="2"/>
              </w:numPr>
              <w:adjustRightInd w:val="0"/>
              <w:snapToGrid w:val="0"/>
              <w:spacing w:line="360" w:lineRule="auto"/>
              <w:ind w:firstLineChars="0"/>
              <w:rPr>
                <w:rFonts w:eastAsia="微软雅黑"/>
                <w:sz w:val="24"/>
              </w:rPr>
            </w:pPr>
            <w:r>
              <w:rPr>
                <w:rFonts w:eastAsia="微软雅黑"/>
                <w:sz w:val="24"/>
              </w:rPr>
              <w:t>History of previous neoadjuvant chemotherapy or radiotherapy</w:t>
            </w:r>
          </w:p>
          <w:p w14:paraId="6495D24C">
            <w:pPr>
              <w:pStyle w:val="25"/>
              <w:numPr>
                <w:ilvl w:val="0"/>
                <w:numId w:val="2"/>
              </w:numPr>
              <w:adjustRightInd w:val="0"/>
              <w:snapToGrid w:val="0"/>
              <w:spacing w:line="360" w:lineRule="auto"/>
              <w:ind w:firstLineChars="0"/>
              <w:rPr>
                <w:rFonts w:eastAsia="微软雅黑"/>
                <w:sz w:val="24"/>
              </w:rPr>
            </w:pPr>
            <w:r>
              <w:rPr>
                <w:rFonts w:eastAsia="微软雅黑"/>
                <w:sz w:val="24"/>
              </w:rPr>
              <w:t>History of unstable angina or myocardial infarction within past six months</w:t>
            </w:r>
          </w:p>
          <w:p w14:paraId="43C2A2A5">
            <w:pPr>
              <w:pStyle w:val="25"/>
              <w:numPr>
                <w:ilvl w:val="0"/>
                <w:numId w:val="2"/>
              </w:numPr>
              <w:adjustRightInd w:val="0"/>
              <w:snapToGrid w:val="0"/>
              <w:spacing w:line="360" w:lineRule="auto"/>
              <w:ind w:firstLineChars="0"/>
              <w:rPr>
                <w:rFonts w:eastAsia="微软雅黑"/>
                <w:sz w:val="24"/>
              </w:rPr>
            </w:pPr>
            <w:r>
              <w:rPr>
                <w:rFonts w:eastAsia="微软雅黑"/>
                <w:sz w:val="24"/>
              </w:rPr>
              <w:t>History of cerebrovascular accident within past six months</w:t>
            </w:r>
          </w:p>
          <w:p w14:paraId="1FF95E6C">
            <w:pPr>
              <w:pStyle w:val="25"/>
              <w:numPr>
                <w:ilvl w:val="0"/>
                <w:numId w:val="2"/>
              </w:numPr>
              <w:adjustRightInd w:val="0"/>
              <w:snapToGrid w:val="0"/>
              <w:spacing w:line="360" w:lineRule="auto"/>
              <w:ind w:firstLineChars="0"/>
              <w:rPr>
                <w:rFonts w:eastAsia="微软雅黑"/>
                <w:sz w:val="24"/>
              </w:rPr>
            </w:pPr>
            <w:r>
              <w:rPr>
                <w:rFonts w:eastAsia="微软雅黑"/>
                <w:sz w:val="24"/>
              </w:rPr>
              <w:t>History of continuous systematic administration of corticosteroids within one month</w:t>
            </w:r>
          </w:p>
          <w:p w14:paraId="2AE39DC8">
            <w:pPr>
              <w:pStyle w:val="25"/>
              <w:numPr>
                <w:ilvl w:val="0"/>
                <w:numId w:val="2"/>
              </w:numPr>
              <w:adjustRightInd w:val="0"/>
              <w:snapToGrid w:val="0"/>
              <w:spacing w:line="360" w:lineRule="auto"/>
              <w:ind w:firstLineChars="0"/>
              <w:rPr>
                <w:rFonts w:eastAsia="微软雅黑"/>
                <w:sz w:val="24"/>
              </w:rPr>
            </w:pPr>
            <w:r>
              <w:rPr>
                <w:rFonts w:eastAsia="微软雅黑"/>
                <w:sz w:val="24"/>
              </w:rPr>
              <w:t>Requirement of simultaneous surgery for other disease</w:t>
            </w:r>
          </w:p>
          <w:p w14:paraId="498E78F2">
            <w:pPr>
              <w:pStyle w:val="25"/>
              <w:numPr>
                <w:ilvl w:val="0"/>
                <w:numId w:val="2"/>
              </w:numPr>
              <w:adjustRightInd w:val="0"/>
              <w:snapToGrid w:val="0"/>
              <w:spacing w:line="360" w:lineRule="auto"/>
              <w:ind w:firstLineChars="0"/>
              <w:rPr>
                <w:rFonts w:eastAsia="微软雅黑"/>
                <w:sz w:val="24"/>
              </w:rPr>
            </w:pPr>
            <w:r>
              <w:rPr>
                <w:rFonts w:eastAsia="微软雅黑"/>
                <w:sz w:val="24"/>
              </w:rPr>
              <w:t>Emergency surgery due to complication (bleeding, obstruction or perforation) caused by gastric cancer</w:t>
            </w:r>
          </w:p>
          <w:p w14:paraId="0E13F85B">
            <w:pPr>
              <w:pStyle w:val="25"/>
              <w:numPr>
                <w:ilvl w:val="0"/>
                <w:numId w:val="2"/>
              </w:numPr>
              <w:adjustRightInd w:val="0"/>
              <w:snapToGrid w:val="0"/>
              <w:spacing w:line="360" w:lineRule="auto"/>
              <w:ind w:firstLineChars="0"/>
              <w:rPr>
                <w:rFonts w:eastAsia="微软雅黑"/>
                <w:sz w:val="24"/>
              </w:rPr>
            </w:pPr>
            <w:r>
              <w:rPr>
                <w:rFonts w:eastAsia="微软雅黑"/>
                <w:sz w:val="24"/>
              </w:rPr>
              <w:t>FEV1＜50% of predicted values</w:t>
            </w:r>
          </w:p>
          <w:p w14:paraId="5C31A7E9">
            <w:pPr>
              <w:pStyle w:val="25"/>
              <w:numPr>
                <w:ilvl w:val="0"/>
                <w:numId w:val="2"/>
              </w:numPr>
              <w:adjustRightInd w:val="0"/>
              <w:snapToGrid w:val="0"/>
              <w:spacing w:line="360" w:lineRule="auto"/>
              <w:ind w:firstLineChars="0"/>
              <w:rPr>
                <w:rFonts w:eastAsia="微软雅黑"/>
                <w:sz w:val="24"/>
              </w:rPr>
            </w:pPr>
            <w:r>
              <w:rPr>
                <w:rFonts w:eastAsia="微软雅黑"/>
                <w:sz w:val="24"/>
              </w:rPr>
              <w:t>Linitis plastica, Widespread</w:t>
            </w:r>
          </w:p>
        </w:tc>
      </w:tr>
      <w:tr w14:paraId="78786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146BBC3B">
            <w:pPr>
              <w:pStyle w:val="33"/>
              <w:snapToGrid w:val="0"/>
              <w:spacing w:line="360" w:lineRule="auto"/>
              <w:jc w:val="center"/>
              <w:rPr>
                <w:rFonts w:ascii="Times New Roman" w:hAnsi="Times New Roman" w:eastAsia="微软雅黑" w:cs="Times New Roman"/>
                <w:color w:val="auto"/>
              </w:rPr>
            </w:pPr>
            <w:r>
              <w:rPr>
                <w:rFonts w:hint="eastAsia" w:ascii="Times New Roman" w:hAnsi="Times New Roman" w:eastAsia="微软雅黑" w:cs="Times New Roman"/>
                <w:color w:val="auto"/>
                <w:kern w:val="2"/>
              </w:rPr>
              <w:t>Withdrawal</w:t>
            </w:r>
            <w:r>
              <w:rPr>
                <w:rFonts w:ascii="Times New Roman" w:hAnsi="Times New Roman" w:eastAsia="微软雅黑" w:cs="Times New Roman"/>
                <w:color w:val="auto"/>
                <w:kern w:val="2"/>
              </w:rPr>
              <w:t xml:space="preserve"> criteria</w:t>
            </w:r>
          </w:p>
        </w:tc>
        <w:tc>
          <w:tcPr>
            <w:tcW w:w="7371" w:type="dxa"/>
          </w:tcPr>
          <w:p w14:paraId="700CA88D">
            <w:pPr>
              <w:pStyle w:val="25"/>
              <w:numPr>
                <w:ilvl w:val="0"/>
                <w:numId w:val="3"/>
              </w:numPr>
              <w:adjustRightInd w:val="0"/>
              <w:snapToGrid w:val="0"/>
              <w:spacing w:line="360" w:lineRule="auto"/>
              <w:ind w:firstLineChars="0"/>
              <w:rPr>
                <w:rFonts w:eastAsia="微软雅黑"/>
                <w:sz w:val="24"/>
              </w:rPr>
            </w:pPr>
            <w:r>
              <w:rPr>
                <w:rFonts w:eastAsia="微软雅黑"/>
                <w:sz w:val="24"/>
              </w:rPr>
              <w:t xml:space="preserve">M1 tumor confirmed intraoperatively or postoperatively: distant metastasis only found by intraoperative exploration or postoperative pathological biopsy or a positive postoperative peritoneal lavage cytology examination </w:t>
            </w:r>
          </w:p>
          <w:p w14:paraId="32D6C2CE">
            <w:pPr>
              <w:pStyle w:val="25"/>
              <w:numPr>
                <w:ilvl w:val="0"/>
                <w:numId w:val="3"/>
              </w:numPr>
              <w:adjustRightInd w:val="0"/>
              <w:snapToGrid w:val="0"/>
              <w:spacing w:line="360" w:lineRule="auto"/>
              <w:ind w:firstLineChars="0"/>
              <w:rPr>
                <w:rFonts w:eastAsia="微软雅黑"/>
                <w:sz w:val="24"/>
              </w:rPr>
            </w:pPr>
            <w:r>
              <w:rPr>
                <w:rFonts w:eastAsia="微软雅黑"/>
                <w:sz w:val="24"/>
              </w:rPr>
              <w:t>Patients intraoperatively/postoperatively confirmed as T4b, or tumor invading the duodenum;</w:t>
            </w:r>
          </w:p>
          <w:p w14:paraId="0482E52F">
            <w:pPr>
              <w:pStyle w:val="25"/>
              <w:numPr>
                <w:ilvl w:val="0"/>
                <w:numId w:val="3"/>
              </w:numPr>
              <w:adjustRightInd w:val="0"/>
              <w:snapToGrid w:val="0"/>
              <w:spacing w:line="360" w:lineRule="auto"/>
              <w:ind w:firstLineChars="0"/>
              <w:rPr>
                <w:rFonts w:eastAsia="微软雅黑"/>
                <w:sz w:val="24"/>
              </w:rPr>
            </w:pPr>
            <w:r>
              <w:rPr>
                <w:rFonts w:eastAsia="微软雅黑"/>
                <w:sz w:val="24"/>
              </w:rPr>
              <w:t xml:space="preserve">Patients intraoperatively confirmed as unable to complete D2 LN dissection/R0 resection due to tumor: unable to complete R0 resection due to regional LN integration into a mass or surrounded with important blood vessels, which cannot be resected; </w:t>
            </w:r>
          </w:p>
          <w:p w14:paraId="2DC2337D">
            <w:pPr>
              <w:pStyle w:val="25"/>
              <w:numPr>
                <w:ilvl w:val="0"/>
                <w:numId w:val="3"/>
              </w:numPr>
              <w:adjustRightInd w:val="0"/>
              <w:snapToGrid w:val="0"/>
              <w:spacing w:line="360" w:lineRule="auto"/>
              <w:ind w:firstLineChars="0"/>
              <w:rPr>
                <w:rFonts w:eastAsia="微软雅黑"/>
                <w:sz w:val="24"/>
              </w:rPr>
            </w:pPr>
            <w:r>
              <w:rPr>
                <w:rFonts w:eastAsia="微软雅黑"/>
                <w:sz w:val="24"/>
              </w:rPr>
              <w:t xml:space="preserve">Patients requiring simultaneous surgical treatment of other diseases;   </w:t>
            </w:r>
          </w:p>
          <w:p w14:paraId="5A69E316">
            <w:pPr>
              <w:pStyle w:val="25"/>
              <w:numPr>
                <w:ilvl w:val="0"/>
                <w:numId w:val="3"/>
              </w:numPr>
              <w:adjustRightInd w:val="0"/>
              <w:snapToGrid w:val="0"/>
              <w:spacing w:line="360" w:lineRule="auto"/>
              <w:ind w:firstLineChars="0"/>
              <w:rPr>
                <w:rFonts w:eastAsia="微软雅黑"/>
                <w:sz w:val="24"/>
              </w:rPr>
            </w:pPr>
            <w:r>
              <w:rPr>
                <w:rFonts w:eastAsia="微软雅黑"/>
                <w:sz w:val="24"/>
              </w:rPr>
              <w:t xml:space="preserve">Sudden severe complications during the perioperative period (intolerable surgery or anesthesia), which renders it unsuitable or unfeasible to implement the study treatment protocol as scheduled;   </w:t>
            </w:r>
          </w:p>
          <w:p w14:paraId="7ABA7FC9">
            <w:pPr>
              <w:pStyle w:val="25"/>
              <w:numPr>
                <w:ilvl w:val="0"/>
                <w:numId w:val="3"/>
              </w:numPr>
              <w:adjustRightInd w:val="0"/>
              <w:snapToGrid w:val="0"/>
              <w:spacing w:line="360" w:lineRule="auto"/>
              <w:ind w:firstLineChars="0"/>
              <w:rPr>
                <w:rFonts w:eastAsia="微软雅黑"/>
                <w:sz w:val="24"/>
              </w:rPr>
            </w:pPr>
            <w:r>
              <w:rPr>
                <w:rFonts w:eastAsia="微软雅黑"/>
                <w:sz w:val="24"/>
              </w:rPr>
              <w:t xml:space="preserve">Patients confirmed to require emergency surgery by attending physicians due to changes in the patient’s condition after inclusion in this study; </w:t>
            </w:r>
          </w:p>
          <w:p w14:paraId="14A427B7">
            <w:pPr>
              <w:pStyle w:val="25"/>
              <w:numPr>
                <w:ilvl w:val="0"/>
                <w:numId w:val="3"/>
              </w:numPr>
              <w:adjustRightInd w:val="0"/>
              <w:snapToGrid w:val="0"/>
              <w:spacing w:line="360" w:lineRule="auto"/>
              <w:ind w:firstLineChars="0"/>
              <w:rPr>
                <w:rFonts w:eastAsia="微软雅黑"/>
                <w:sz w:val="24"/>
              </w:rPr>
            </w:pPr>
            <w:r>
              <w:rPr>
                <w:rFonts w:eastAsia="微软雅黑"/>
                <w:sz w:val="24"/>
              </w:rPr>
              <w:t xml:space="preserve">Patients who voluntarily quit or discontinue treatment for personal reasons at any stage after inclusion in this study; </w:t>
            </w:r>
          </w:p>
          <w:p w14:paraId="59DF636B">
            <w:pPr>
              <w:pStyle w:val="25"/>
              <w:numPr>
                <w:ilvl w:val="0"/>
                <w:numId w:val="3"/>
              </w:numPr>
              <w:adjustRightInd w:val="0"/>
              <w:snapToGrid w:val="0"/>
              <w:spacing w:line="360" w:lineRule="auto"/>
              <w:ind w:firstLineChars="0"/>
              <w:rPr>
                <w:rFonts w:eastAsia="微软雅黑"/>
                <w:sz w:val="24"/>
              </w:rPr>
            </w:pPr>
            <w:r>
              <w:rPr>
                <w:rFonts w:eastAsia="微软雅黑"/>
                <w:sz w:val="24"/>
              </w:rPr>
              <w:t>Treatment implemented is proven to violate study protocol.</w:t>
            </w:r>
          </w:p>
        </w:tc>
      </w:tr>
      <w:tr w14:paraId="544DE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185923E9">
            <w:pPr>
              <w:pStyle w:val="33"/>
              <w:snapToGrid w:val="0"/>
              <w:spacing w:line="360" w:lineRule="auto"/>
              <w:jc w:val="center"/>
              <w:rPr>
                <w:rFonts w:ascii="Times New Roman" w:hAnsi="Times New Roman" w:eastAsia="微软雅黑" w:cs="Times New Roman"/>
                <w:color w:val="auto"/>
              </w:rPr>
            </w:pPr>
            <w:r>
              <w:rPr>
                <w:rFonts w:ascii="Times New Roman" w:hAnsi="Times New Roman" w:eastAsia="微软雅黑" w:cs="Times New Roman"/>
                <w:color w:val="auto"/>
              </w:rPr>
              <w:t>Intervention</w:t>
            </w:r>
          </w:p>
        </w:tc>
        <w:tc>
          <w:tcPr>
            <w:tcW w:w="7371" w:type="dxa"/>
          </w:tcPr>
          <w:p w14:paraId="00CF915D">
            <w:pPr>
              <w:pStyle w:val="25"/>
              <w:adjustRightInd w:val="0"/>
              <w:snapToGrid w:val="0"/>
              <w:spacing w:line="360" w:lineRule="auto"/>
              <w:ind w:firstLine="0" w:firstLineChars="0"/>
              <w:rPr>
                <w:rFonts w:eastAsia="微软雅黑"/>
                <w:sz w:val="24"/>
              </w:rPr>
            </w:pPr>
            <w:r>
              <w:rPr>
                <w:rFonts w:eastAsia="微软雅黑"/>
                <w:sz w:val="24"/>
              </w:rPr>
              <w:t>For patients who were assigned to ICG group, endoscopic injection of ICG one day before surgery (Video 1). As a fluorescent developer, ICG (Dandong Yichuang Pharmaceutical Co., Ltd) was dissolved into 1.25 mg/ml solutions in sterile water. 0.5 mL of the prepared solution, containing 0.625mg of ICG was injected along the submucosa of the stomach at four points around the primary tumor, respectively, for a total volume of 2ml (a total 2.5mg ICG) .</w:t>
            </w:r>
          </w:p>
        </w:tc>
      </w:tr>
      <w:tr w14:paraId="3C942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41F4F29B">
            <w:pPr>
              <w:pStyle w:val="33"/>
              <w:snapToGrid w:val="0"/>
              <w:spacing w:line="360" w:lineRule="auto"/>
              <w:jc w:val="center"/>
              <w:rPr>
                <w:rFonts w:ascii="Times New Roman" w:hAnsi="Times New Roman" w:eastAsia="微软雅黑" w:cs="Times New Roman"/>
                <w:color w:val="auto"/>
              </w:rPr>
            </w:pPr>
            <w:r>
              <w:rPr>
                <w:rFonts w:ascii="Times New Roman" w:hAnsi="Times New Roman" w:eastAsia="微软雅黑" w:cs="Times New Roman"/>
                <w:color w:val="auto"/>
                <w:kern w:val="2"/>
              </w:rPr>
              <w:t>Outcome Measures</w:t>
            </w:r>
          </w:p>
        </w:tc>
        <w:tc>
          <w:tcPr>
            <w:tcW w:w="7371" w:type="dxa"/>
          </w:tcPr>
          <w:p w14:paraId="23D00F13">
            <w:pPr>
              <w:pStyle w:val="25"/>
              <w:numPr>
                <w:ilvl w:val="255"/>
                <w:numId w:val="0"/>
              </w:numPr>
              <w:adjustRightInd w:val="0"/>
              <w:snapToGrid w:val="0"/>
              <w:spacing w:line="360" w:lineRule="auto"/>
              <w:rPr>
                <w:rFonts w:eastAsia="微软雅黑"/>
                <w:sz w:val="24"/>
              </w:rPr>
            </w:pPr>
            <w:r>
              <w:rPr>
                <w:rFonts w:eastAsia="微软雅黑"/>
                <w:b/>
                <w:sz w:val="24"/>
              </w:rPr>
              <w:t>Primary Outcome Measures</w:t>
            </w:r>
            <w:r>
              <w:rPr>
                <w:rFonts w:eastAsia="微软雅黑"/>
                <w:sz w:val="24"/>
              </w:rPr>
              <w:t>:</w:t>
            </w:r>
          </w:p>
          <w:p w14:paraId="17E10A50">
            <w:pPr>
              <w:pStyle w:val="25"/>
              <w:numPr>
                <w:ilvl w:val="0"/>
                <w:numId w:val="4"/>
              </w:numPr>
              <w:adjustRightInd w:val="0"/>
              <w:snapToGrid w:val="0"/>
              <w:spacing w:line="360" w:lineRule="auto"/>
              <w:ind w:firstLineChars="0"/>
              <w:rPr>
                <w:rFonts w:eastAsia="微软雅黑"/>
                <w:sz w:val="24"/>
              </w:rPr>
            </w:pPr>
            <w:r>
              <w:rPr>
                <w:rFonts w:eastAsia="微软雅黑"/>
                <w:sz w:val="24"/>
              </w:rPr>
              <w:t xml:space="preserve">Total number of retrieved LNs </w:t>
            </w:r>
          </w:p>
          <w:p w14:paraId="46439A1C">
            <w:pPr>
              <w:adjustRightInd w:val="0"/>
              <w:snapToGrid w:val="0"/>
              <w:spacing w:line="360" w:lineRule="auto"/>
              <w:rPr>
                <w:rFonts w:eastAsia="微软雅黑"/>
                <w:sz w:val="24"/>
              </w:rPr>
            </w:pPr>
            <w:r>
              <w:rPr>
                <w:rFonts w:eastAsia="微软雅黑"/>
                <w:b/>
                <w:sz w:val="24"/>
              </w:rPr>
              <w:t>Secondary Outcome Measures</w:t>
            </w:r>
            <w:r>
              <w:rPr>
                <w:rFonts w:eastAsia="微软雅黑"/>
                <w:sz w:val="24"/>
              </w:rPr>
              <w:t>:</w:t>
            </w:r>
          </w:p>
          <w:p w14:paraId="19199C89">
            <w:pPr>
              <w:pStyle w:val="25"/>
              <w:numPr>
                <w:ilvl w:val="0"/>
                <w:numId w:val="4"/>
              </w:numPr>
              <w:adjustRightInd w:val="0"/>
              <w:snapToGrid w:val="0"/>
              <w:spacing w:line="360" w:lineRule="auto"/>
              <w:ind w:firstLineChars="0"/>
              <w:rPr>
                <w:rFonts w:eastAsia="微软雅黑"/>
                <w:sz w:val="24"/>
              </w:rPr>
            </w:pPr>
            <w:r>
              <w:rPr>
                <w:rFonts w:eastAsia="微软雅黑"/>
                <w:sz w:val="24"/>
              </w:rPr>
              <w:t xml:space="preserve">The rate of fluorescence </w:t>
            </w:r>
          </w:p>
          <w:p w14:paraId="6EFB01EB">
            <w:pPr>
              <w:pStyle w:val="25"/>
              <w:numPr>
                <w:ilvl w:val="0"/>
                <w:numId w:val="4"/>
              </w:numPr>
              <w:adjustRightInd w:val="0"/>
              <w:snapToGrid w:val="0"/>
              <w:spacing w:line="360" w:lineRule="auto"/>
              <w:ind w:firstLineChars="0"/>
              <w:rPr>
                <w:rFonts w:eastAsia="微软雅黑"/>
                <w:sz w:val="24"/>
              </w:rPr>
            </w:pPr>
            <w:r>
              <w:rPr>
                <w:rFonts w:eastAsia="微软雅黑"/>
                <w:sz w:val="24"/>
              </w:rPr>
              <w:t>Positive rate</w:t>
            </w:r>
          </w:p>
          <w:p w14:paraId="222CC8B9">
            <w:pPr>
              <w:pStyle w:val="25"/>
              <w:numPr>
                <w:ilvl w:val="0"/>
                <w:numId w:val="4"/>
              </w:numPr>
              <w:adjustRightInd w:val="0"/>
              <w:snapToGrid w:val="0"/>
              <w:spacing w:line="360" w:lineRule="auto"/>
              <w:ind w:firstLineChars="0"/>
              <w:rPr>
                <w:rFonts w:eastAsia="微软雅黑"/>
                <w:sz w:val="24"/>
              </w:rPr>
            </w:pPr>
            <w:r>
              <w:rPr>
                <w:rFonts w:eastAsia="微软雅黑"/>
                <w:sz w:val="24"/>
              </w:rPr>
              <w:t>False positive rate</w:t>
            </w:r>
          </w:p>
          <w:p w14:paraId="1BCA9BC4">
            <w:pPr>
              <w:pStyle w:val="25"/>
              <w:numPr>
                <w:ilvl w:val="0"/>
                <w:numId w:val="4"/>
              </w:numPr>
              <w:adjustRightInd w:val="0"/>
              <w:snapToGrid w:val="0"/>
              <w:spacing w:line="360" w:lineRule="auto"/>
              <w:ind w:firstLineChars="0"/>
              <w:rPr>
                <w:rFonts w:eastAsia="微软雅黑"/>
                <w:sz w:val="24"/>
              </w:rPr>
            </w:pPr>
            <w:r>
              <w:rPr>
                <w:rFonts w:eastAsia="微软雅黑"/>
                <w:sz w:val="24"/>
              </w:rPr>
              <w:t>Negative rate</w:t>
            </w:r>
          </w:p>
          <w:p w14:paraId="11F72AC8">
            <w:pPr>
              <w:pStyle w:val="25"/>
              <w:numPr>
                <w:ilvl w:val="0"/>
                <w:numId w:val="4"/>
              </w:numPr>
              <w:adjustRightInd w:val="0"/>
              <w:snapToGrid w:val="0"/>
              <w:spacing w:line="360" w:lineRule="auto"/>
              <w:ind w:firstLineChars="0"/>
              <w:rPr>
                <w:rFonts w:eastAsia="微软雅黑"/>
                <w:sz w:val="24"/>
              </w:rPr>
            </w:pPr>
            <w:r>
              <w:rPr>
                <w:rFonts w:eastAsia="微软雅黑"/>
                <w:sz w:val="24"/>
              </w:rPr>
              <w:t>False negative rate</w:t>
            </w:r>
          </w:p>
          <w:p w14:paraId="764892F3">
            <w:pPr>
              <w:pStyle w:val="25"/>
              <w:numPr>
                <w:ilvl w:val="0"/>
                <w:numId w:val="4"/>
              </w:numPr>
              <w:adjustRightInd w:val="0"/>
              <w:snapToGrid w:val="0"/>
              <w:spacing w:line="360" w:lineRule="auto"/>
              <w:ind w:firstLineChars="0"/>
              <w:rPr>
                <w:rFonts w:eastAsia="微软雅黑"/>
                <w:sz w:val="24"/>
              </w:rPr>
            </w:pPr>
            <w:r>
              <w:rPr>
                <w:rFonts w:eastAsia="微软雅黑"/>
                <w:sz w:val="24"/>
              </w:rPr>
              <w:t>Number of Metastatic Lymph Nodes</w:t>
            </w:r>
          </w:p>
          <w:p w14:paraId="48CD7334">
            <w:pPr>
              <w:pStyle w:val="25"/>
              <w:numPr>
                <w:ilvl w:val="0"/>
                <w:numId w:val="4"/>
              </w:numPr>
              <w:adjustRightInd w:val="0"/>
              <w:snapToGrid w:val="0"/>
              <w:spacing w:line="360" w:lineRule="auto"/>
              <w:ind w:firstLineChars="0"/>
              <w:rPr>
                <w:rFonts w:eastAsia="微软雅黑"/>
                <w:sz w:val="24"/>
              </w:rPr>
            </w:pPr>
            <w:r>
              <w:rPr>
                <w:rFonts w:eastAsia="微软雅黑"/>
                <w:sz w:val="24"/>
              </w:rPr>
              <w:t>Metastatic rate of LN</w:t>
            </w:r>
          </w:p>
          <w:p w14:paraId="6AA77999">
            <w:pPr>
              <w:pStyle w:val="25"/>
              <w:numPr>
                <w:ilvl w:val="0"/>
                <w:numId w:val="4"/>
              </w:numPr>
              <w:adjustRightInd w:val="0"/>
              <w:snapToGrid w:val="0"/>
              <w:spacing w:line="360" w:lineRule="auto"/>
              <w:ind w:firstLineChars="0"/>
              <w:rPr>
                <w:rFonts w:eastAsia="微软雅黑"/>
                <w:sz w:val="24"/>
              </w:rPr>
            </w:pPr>
            <w:r>
              <w:rPr>
                <w:rFonts w:eastAsia="微软雅黑"/>
                <w:sz w:val="24"/>
              </w:rPr>
              <w:t>Morbidity and mortality rates</w:t>
            </w:r>
          </w:p>
          <w:p w14:paraId="7F8A2AE3">
            <w:pPr>
              <w:pStyle w:val="25"/>
              <w:numPr>
                <w:ilvl w:val="0"/>
                <w:numId w:val="4"/>
              </w:numPr>
              <w:adjustRightInd w:val="0"/>
              <w:snapToGrid w:val="0"/>
              <w:spacing w:line="360" w:lineRule="auto"/>
              <w:ind w:firstLineChars="0"/>
              <w:rPr>
                <w:rFonts w:eastAsia="微软雅黑"/>
                <w:sz w:val="24"/>
              </w:rPr>
            </w:pPr>
            <w:r>
              <w:rPr>
                <w:rFonts w:eastAsia="微软雅黑"/>
                <w:sz w:val="24"/>
              </w:rPr>
              <w:t>3-year disease-free survival rate</w:t>
            </w:r>
          </w:p>
          <w:p w14:paraId="77ADF543">
            <w:pPr>
              <w:pStyle w:val="25"/>
              <w:numPr>
                <w:ilvl w:val="0"/>
                <w:numId w:val="4"/>
              </w:numPr>
              <w:ind w:firstLineChars="0"/>
              <w:rPr>
                <w:rFonts w:eastAsia="微软雅黑"/>
                <w:sz w:val="24"/>
              </w:rPr>
            </w:pPr>
            <w:r>
              <w:rPr>
                <w:rFonts w:eastAsia="微软雅黑"/>
                <w:sz w:val="24"/>
              </w:rPr>
              <w:t>3-year overall survival rate</w:t>
            </w:r>
          </w:p>
          <w:p w14:paraId="6935155B">
            <w:pPr>
              <w:pStyle w:val="25"/>
              <w:numPr>
                <w:ilvl w:val="0"/>
                <w:numId w:val="4"/>
              </w:numPr>
              <w:adjustRightInd w:val="0"/>
              <w:snapToGrid w:val="0"/>
              <w:spacing w:line="360" w:lineRule="auto"/>
              <w:ind w:firstLineChars="0"/>
              <w:rPr>
                <w:rFonts w:eastAsia="微软雅黑"/>
                <w:sz w:val="24"/>
              </w:rPr>
            </w:pPr>
            <w:r>
              <w:rPr>
                <w:rFonts w:eastAsia="微软雅黑"/>
                <w:sz w:val="24"/>
              </w:rPr>
              <w:t>3-year recurrence pattern</w:t>
            </w:r>
          </w:p>
          <w:p w14:paraId="4729B3D5">
            <w:pPr>
              <w:pStyle w:val="25"/>
              <w:numPr>
                <w:ilvl w:val="0"/>
                <w:numId w:val="4"/>
              </w:numPr>
              <w:adjustRightInd w:val="0"/>
              <w:snapToGrid w:val="0"/>
              <w:spacing w:line="360" w:lineRule="auto"/>
              <w:ind w:firstLineChars="0"/>
              <w:rPr>
                <w:rFonts w:eastAsia="微软雅黑"/>
                <w:sz w:val="24"/>
              </w:rPr>
            </w:pPr>
            <w:r>
              <w:rPr>
                <w:rFonts w:hint="eastAsia" w:eastAsia="微软雅黑"/>
                <w:sz w:val="24"/>
                <w:lang w:val="en-US" w:eastAsia="zh-CN"/>
              </w:rPr>
              <w:t>5</w:t>
            </w:r>
            <w:r>
              <w:rPr>
                <w:rFonts w:eastAsia="微软雅黑"/>
                <w:sz w:val="24"/>
              </w:rPr>
              <w:t>-year disease-free survival rate</w:t>
            </w:r>
          </w:p>
          <w:p w14:paraId="4C462728">
            <w:pPr>
              <w:pStyle w:val="25"/>
              <w:numPr>
                <w:ilvl w:val="0"/>
                <w:numId w:val="4"/>
              </w:numPr>
              <w:ind w:firstLineChars="0"/>
              <w:rPr>
                <w:rFonts w:eastAsia="微软雅黑"/>
                <w:sz w:val="24"/>
              </w:rPr>
            </w:pPr>
            <w:r>
              <w:rPr>
                <w:rFonts w:hint="eastAsia" w:eastAsia="微软雅黑"/>
                <w:sz w:val="24"/>
                <w:lang w:val="en-US" w:eastAsia="zh-CN"/>
              </w:rPr>
              <w:t>5</w:t>
            </w:r>
            <w:r>
              <w:rPr>
                <w:rFonts w:eastAsia="微软雅黑"/>
                <w:sz w:val="24"/>
              </w:rPr>
              <w:t>-year overall survival rate</w:t>
            </w:r>
          </w:p>
          <w:p w14:paraId="1740CA1B">
            <w:pPr>
              <w:pStyle w:val="25"/>
              <w:numPr>
                <w:ilvl w:val="0"/>
                <w:numId w:val="4"/>
              </w:numPr>
              <w:adjustRightInd w:val="0"/>
              <w:snapToGrid w:val="0"/>
              <w:spacing w:line="360" w:lineRule="auto"/>
              <w:ind w:firstLineChars="0"/>
              <w:rPr>
                <w:rFonts w:eastAsia="微软雅黑"/>
                <w:sz w:val="24"/>
              </w:rPr>
            </w:pPr>
            <w:r>
              <w:rPr>
                <w:rFonts w:hint="eastAsia" w:eastAsia="微软雅黑"/>
                <w:sz w:val="24"/>
                <w:lang w:val="en-US" w:eastAsia="zh-CN"/>
              </w:rPr>
              <w:t>5</w:t>
            </w:r>
            <w:r>
              <w:rPr>
                <w:rFonts w:eastAsia="微软雅黑"/>
                <w:sz w:val="24"/>
              </w:rPr>
              <w:t>-year recurrence pattern</w:t>
            </w:r>
            <w:r>
              <w:rPr>
                <w:rFonts w:hint="eastAsia" w:eastAsia="微软雅黑"/>
                <w:sz w:val="24"/>
                <w:lang w:val="en-US" w:eastAsia="zh-CN"/>
              </w:rPr>
              <w:t>s</w:t>
            </w:r>
          </w:p>
          <w:p w14:paraId="23699411">
            <w:pPr>
              <w:pStyle w:val="25"/>
              <w:numPr>
                <w:ilvl w:val="0"/>
                <w:numId w:val="4"/>
              </w:numPr>
              <w:adjustRightInd w:val="0"/>
              <w:snapToGrid w:val="0"/>
              <w:spacing w:line="360" w:lineRule="auto"/>
              <w:ind w:firstLineChars="0"/>
              <w:rPr>
                <w:rFonts w:eastAsia="微软雅黑"/>
                <w:sz w:val="24"/>
              </w:rPr>
            </w:pPr>
            <w:r>
              <w:rPr>
                <w:rFonts w:eastAsia="微软雅黑"/>
                <w:sz w:val="24"/>
              </w:rPr>
              <w:t>Postoperative recovery course</w:t>
            </w:r>
          </w:p>
          <w:p w14:paraId="24C2C120">
            <w:pPr>
              <w:pStyle w:val="25"/>
              <w:numPr>
                <w:ilvl w:val="0"/>
                <w:numId w:val="4"/>
              </w:numPr>
              <w:adjustRightInd w:val="0"/>
              <w:snapToGrid w:val="0"/>
              <w:spacing w:line="360" w:lineRule="auto"/>
              <w:ind w:firstLineChars="0"/>
              <w:rPr>
                <w:rFonts w:eastAsia="微软雅黑"/>
                <w:sz w:val="24"/>
              </w:rPr>
            </w:pPr>
            <w:r>
              <w:rPr>
                <w:rFonts w:eastAsia="微软雅黑"/>
                <w:sz w:val="24"/>
              </w:rPr>
              <w:t>Operation time</w:t>
            </w:r>
          </w:p>
          <w:p w14:paraId="4BA400A2">
            <w:pPr>
              <w:pStyle w:val="25"/>
              <w:numPr>
                <w:ilvl w:val="0"/>
                <w:numId w:val="4"/>
              </w:numPr>
              <w:adjustRightInd w:val="0"/>
              <w:snapToGrid w:val="0"/>
              <w:spacing w:line="360" w:lineRule="auto"/>
              <w:ind w:firstLineChars="0"/>
              <w:rPr>
                <w:rFonts w:eastAsia="微软雅黑"/>
                <w:sz w:val="24"/>
              </w:rPr>
            </w:pPr>
            <w:r>
              <w:rPr>
                <w:rFonts w:eastAsia="微软雅黑"/>
                <w:sz w:val="24"/>
              </w:rPr>
              <w:t>The variation of weight</w:t>
            </w:r>
          </w:p>
          <w:p w14:paraId="61DD5D45">
            <w:pPr>
              <w:pStyle w:val="25"/>
              <w:numPr>
                <w:ilvl w:val="0"/>
                <w:numId w:val="4"/>
              </w:numPr>
              <w:adjustRightInd w:val="0"/>
              <w:snapToGrid w:val="0"/>
              <w:spacing w:line="360" w:lineRule="auto"/>
              <w:ind w:firstLineChars="0"/>
              <w:rPr>
                <w:rFonts w:eastAsia="微软雅黑"/>
                <w:sz w:val="24"/>
              </w:rPr>
            </w:pPr>
            <w:r>
              <w:rPr>
                <w:rFonts w:eastAsia="微软雅黑"/>
                <w:sz w:val="24"/>
              </w:rPr>
              <w:t>Intraoperative blood loss</w:t>
            </w:r>
          </w:p>
          <w:p w14:paraId="22D597CD">
            <w:pPr>
              <w:pStyle w:val="25"/>
              <w:numPr>
                <w:ilvl w:val="0"/>
                <w:numId w:val="4"/>
              </w:numPr>
              <w:adjustRightInd w:val="0"/>
              <w:snapToGrid w:val="0"/>
              <w:spacing w:line="360" w:lineRule="auto"/>
              <w:ind w:firstLineChars="0"/>
              <w:rPr>
                <w:rFonts w:eastAsia="微软雅黑"/>
                <w:sz w:val="24"/>
              </w:rPr>
            </w:pPr>
            <w:r>
              <w:rPr>
                <w:rFonts w:eastAsia="微软雅黑"/>
                <w:sz w:val="24"/>
              </w:rPr>
              <w:t>Conversive rate</w:t>
            </w:r>
          </w:p>
          <w:p w14:paraId="0AD42065">
            <w:pPr>
              <w:pStyle w:val="25"/>
              <w:numPr>
                <w:ilvl w:val="0"/>
                <w:numId w:val="4"/>
              </w:numPr>
              <w:adjustRightInd w:val="0"/>
              <w:snapToGrid w:val="0"/>
              <w:spacing w:line="360" w:lineRule="auto"/>
              <w:ind w:firstLineChars="0"/>
              <w:rPr>
                <w:rFonts w:eastAsia="微软雅黑"/>
                <w:sz w:val="24"/>
              </w:rPr>
            </w:pPr>
            <w:r>
              <w:rPr>
                <w:rFonts w:eastAsia="微软雅黑"/>
                <w:sz w:val="24"/>
              </w:rPr>
              <w:t>Intraoperative morbidity rates</w:t>
            </w:r>
          </w:p>
          <w:p w14:paraId="2C905725">
            <w:pPr>
              <w:pStyle w:val="25"/>
              <w:numPr>
                <w:ilvl w:val="0"/>
                <w:numId w:val="4"/>
              </w:numPr>
              <w:adjustRightInd w:val="0"/>
              <w:snapToGrid w:val="0"/>
              <w:spacing w:line="360" w:lineRule="auto"/>
              <w:ind w:firstLineChars="0"/>
              <w:rPr>
                <w:rFonts w:eastAsia="微软雅黑"/>
                <w:sz w:val="24"/>
              </w:rPr>
            </w:pPr>
            <w:r>
              <w:rPr>
                <w:rFonts w:eastAsia="微软雅黑"/>
                <w:sz w:val="24"/>
              </w:rPr>
              <w:t>Incision length</w:t>
            </w:r>
          </w:p>
          <w:p w14:paraId="5CC179B4">
            <w:pPr>
              <w:pStyle w:val="25"/>
              <w:numPr>
                <w:ilvl w:val="0"/>
                <w:numId w:val="4"/>
              </w:numPr>
              <w:adjustRightInd w:val="0"/>
              <w:snapToGrid w:val="0"/>
              <w:spacing w:line="360" w:lineRule="auto"/>
              <w:ind w:firstLineChars="0"/>
              <w:rPr>
                <w:rFonts w:eastAsia="微软雅黑"/>
                <w:sz w:val="24"/>
              </w:rPr>
            </w:pPr>
            <w:r>
              <w:rPr>
                <w:rFonts w:eastAsia="微软雅黑"/>
                <w:sz w:val="24"/>
              </w:rPr>
              <w:t>The variation of cholesterol</w:t>
            </w:r>
          </w:p>
          <w:p w14:paraId="27D75670">
            <w:pPr>
              <w:pStyle w:val="25"/>
              <w:numPr>
                <w:ilvl w:val="0"/>
                <w:numId w:val="4"/>
              </w:numPr>
              <w:adjustRightInd w:val="0"/>
              <w:snapToGrid w:val="0"/>
              <w:spacing w:line="360" w:lineRule="auto"/>
              <w:ind w:firstLineChars="0"/>
              <w:rPr>
                <w:rFonts w:eastAsia="微软雅黑"/>
                <w:sz w:val="24"/>
              </w:rPr>
            </w:pPr>
            <w:r>
              <w:rPr>
                <w:rFonts w:eastAsia="微软雅黑"/>
                <w:sz w:val="24"/>
              </w:rPr>
              <w:t>The variation of album</w:t>
            </w:r>
          </w:p>
          <w:p w14:paraId="29490A49">
            <w:pPr>
              <w:pStyle w:val="25"/>
              <w:numPr>
                <w:ilvl w:val="0"/>
                <w:numId w:val="4"/>
              </w:numPr>
              <w:adjustRightInd w:val="0"/>
              <w:snapToGrid w:val="0"/>
              <w:spacing w:line="360" w:lineRule="auto"/>
              <w:ind w:firstLineChars="0"/>
              <w:rPr>
                <w:rFonts w:eastAsia="微软雅黑"/>
                <w:sz w:val="24"/>
              </w:rPr>
            </w:pPr>
            <w:r>
              <w:rPr>
                <w:rFonts w:eastAsia="微软雅黑"/>
                <w:sz w:val="24"/>
              </w:rPr>
              <w:t>The results of endoscopy</w:t>
            </w:r>
          </w:p>
          <w:p w14:paraId="0DFCC393">
            <w:pPr>
              <w:pStyle w:val="25"/>
              <w:numPr>
                <w:ilvl w:val="0"/>
                <w:numId w:val="4"/>
              </w:numPr>
              <w:adjustRightInd w:val="0"/>
              <w:snapToGrid w:val="0"/>
              <w:spacing w:line="360" w:lineRule="auto"/>
              <w:ind w:firstLineChars="0"/>
              <w:rPr>
                <w:rFonts w:eastAsia="微软雅黑"/>
                <w:sz w:val="24"/>
              </w:rPr>
            </w:pPr>
            <w:r>
              <w:rPr>
                <w:rFonts w:eastAsia="微软雅黑"/>
                <w:sz w:val="24"/>
              </w:rPr>
              <w:t>The variation of body temperature</w:t>
            </w:r>
          </w:p>
          <w:p w14:paraId="71A4B146">
            <w:pPr>
              <w:pStyle w:val="25"/>
              <w:numPr>
                <w:ilvl w:val="0"/>
                <w:numId w:val="4"/>
              </w:numPr>
              <w:adjustRightInd w:val="0"/>
              <w:snapToGrid w:val="0"/>
              <w:spacing w:line="360" w:lineRule="auto"/>
              <w:ind w:firstLineChars="0"/>
              <w:rPr>
                <w:rFonts w:eastAsia="微软雅黑"/>
                <w:sz w:val="24"/>
              </w:rPr>
            </w:pPr>
            <w:r>
              <w:rPr>
                <w:rFonts w:eastAsia="微软雅黑"/>
                <w:sz w:val="24"/>
              </w:rPr>
              <w:t>The variation of white blood cell count</w:t>
            </w:r>
          </w:p>
          <w:p w14:paraId="318C2D7F">
            <w:pPr>
              <w:pStyle w:val="25"/>
              <w:numPr>
                <w:ilvl w:val="0"/>
                <w:numId w:val="4"/>
              </w:numPr>
              <w:adjustRightInd w:val="0"/>
              <w:snapToGrid w:val="0"/>
              <w:spacing w:line="360" w:lineRule="auto"/>
              <w:ind w:firstLineChars="0"/>
              <w:rPr>
                <w:rFonts w:eastAsia="微软雅黑"/>
                <w:sz w:val="24"/>
              </w:rPr>
            </w:pPr>
            <w:r>
              <w:rPr>
                <w:rFonts w:eastAsia="微软雅黑"/>
                <w:sz w:val="24"/>
              </w:rPr>
              <w:t>The variation of hemoglobin</w:t>
            </w:r>
          </w:p>
          <w:p w14:paraId="04160669">
            <w:pPr>
              <w:pStyle w:val="25"/>
              <w:numPr>
                <w:ilvl w:val="0"/>
                <w:numId w:val="4"/>
              </w:numPr>
              <w:adjustRightInd w:val="0"/>
              <w:snapToGrid w:val="0"/>
              <w:spacing w:line="360" w:lineRule="auto"/>
              <w:ind w:firstLineChars="0"/>
              <w:rPr>
                <w:rFonts w:eastAsia="微软雅黑"/>
                <w:sz w:val="24"/>
              </w:rPr>
            </w:pPr>
            <w:r>
              <w:rPr>
                <w:rFonts w:eastAsia="微软雅黑"/>
                <w:sz w:val="24"/>
              </w:rPr>
              <w:t>The variation of C-reactive protein</w:t>
            </w:r>
          </w:p>
          <w:p w14:paraId="734163A5">
            <w:pPr>
              <w:pStyle w:val="25"/>
              <w:numPr>
                <w:ilvl w:val="0"/>
                <w:numId w:val="4"/>
              </w:numPr>
              <w:adjustRightInd w:val="0"/>
              <w:snapToGrid w:val="0"/>
              <w:spacing w:line="360" w:lineRule="auto"/>
              <w:ind w:firstLineChars="0"/>
              <w:rPr>
                <w:rFonts w:eastAsia="微软雅黑"/>
                <w:sz w:val="24"/>
              </w:rPr>
            </w:pPr>
            <w:r>
              <w:rPr>
                <w:rFonts w:eastAsia="微软雅黑"/>
                <w:sz w:val="24"/>
              </w:rPr>
              <w:t>The variation of prealbumin</w:t>
            </w:r>
          </w:p>
        </w:tc>
      </w:tr>
      <w:tr w14:paraId="20133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8" w:type="dxa"/>
            <w:vAlign w:val="center"/>
          </w:tcPr>
          <w:p w14:paraId="2341081C">
            <w:pPr>
              <w:pStyle w:val="33"/>
              <w:snapToGrid w:val="0"/>
              <w:spacing w:line="360" w:lineRule="auto"/>
              <w:jc w:val="center"/>
              <w:rPr>
                <w:rFonts w:ascii="Times New Roman" w:hAnsi="Times New Roman" w:eastAsia="微软雅黑" w:cs="Times New Roman"/>
                <w:color w:val="auto"/>
              </w:rPr>
            </w:pPr>
            <w:r>
              <w:rPr>
                <w:rFonts w:ascii="Times New Roman" w:hAnsi="Times New Roman" w:eastAsia="微软雅黑" w:cs="Times New Roman"/>
                <w:color w:val="auto"/>
              </w:rPr>
              <w:t xml:space="preserve">Statistical </w:t>
            </w:r>
          </w:p>
          <w:p w14:paraId="6EA82B32">
            <w:pPr>
              <w:pStyle w:val="33"/>
              <w:snapToGrid w:val="0"/>
              <w:spacing w:line="360" w:lineRule="auto"/>
              <w:jc w:val="center"/>
              <w:rPr>
                <w:rFonts w:ascii="Times New Roman" w:hAnsi="Times New Roman" w:eastAsia="微软雅黑" w:cs="Times New Roman"/>
                <w:color w:val="auto"/>
              </w:rPr>
            </w:pPr>
            <w:r>
              <w:rPr>
                <w:rFonts w:ascii="Times New Roman" w:hAnsi="Times New Roman" w:eastAsia="微软雅黑" w:cs="Times New Roman"/>
                <w:color w:val="auto"/>
              </w:rPr>
              <w:t xml:space="preserve">considerations </w:t>
            </w:r>
          </w:p>
        </w:tc>
        <w:tc>
          <w:tcPr>
            <w:tcW w:w="7371" w:type="dxa"/>
          </w:tcPr>
          <w:p w14:paraId="2A9D098F">
            <w:pPr>
              <w:pStyle w:val="33"/>
              <w:snapToGrid w:val="0"/>
              <w:spacing w:line="360" w:lineRule="auto"/>
              <w:jc w:val="both"/>
              <w:rPr>
                <w:rFonts w:ascii="Times New Roman" w:hAnsi="Times New Roman" w:eastAsia="微软雅黑" w:cs="Times New Roman"/>
                <w:color w:val="auto"/>
                <w:kern w:val="2"/>
              </w:rPr>
            </w:pPr>
            <w:r>
              <w:rPr>
                <w:rFonts w:ascii="Times New Roman" w:hAnsi="Times New Roman" w:eastAsia="微软雅黑" w:cs="Times New Roman"/>
                <w:color w:val="auto"/>
                <w:kern w:val="2"/>
              </w:rPr>
              <w:t>All data analyses will be performed using the SPSS statistical software, version 22.0 (SPSS Inc), and the R software environment, version 4.2.0 (R Foundation for Statistical Computing).</w:t>
            </w:r>
          </w:p>
          <w:p w14:paraId="049288BA">
            <w:pPr>
              <w:pStyle w:val="33"/>
              <w:snapToGrid w:val="0"/>
              <w:spacing w:line="360" w:lineRule="auto"/>
              <w:jc w:val="both"/>
              <w:rPr>
                <w:rFonts w:ascii="Times New Roman" w:hAnsi="Times New Roman" w:eastAsia="微软雅黑" w:cs="Times New Roman"/>
                <w:color w:val="auto"/>
                <w:kern w:val="2"/>
              </w:rPr>
            </w:pPr>
            <w:r>
              <w:rPr>
                <w:rFonts w:ascii="Times New Roman" w:hAnsi="Times New Roman" w:eastAsia="微软雅黑" w:cs="Times New Roman"/>
                <w:color w:val="auto"/>
                <w:kern w:val="2"/>
              </w:rPr>
              <w:t>The analysis for the primary endpoint of total number of retrieved LNs will be conducted, while the test method of difference for secondary endpoints. All the statistical tests were tested by two sides. A p-value &lt;0.05 is considered statistically significant. The confidence interval of the parameters is estimated with a 95% confidence interval. The endpoint of long-term oncological outcome will also be analyzed on a per-protocol (PP) basis, with the MITT analysis results prevailing. SAP analysis is used for safety assessment, and this study does not fill in missing values. Normally distributed continuous variables will be presented as mean and standard deviation and compared using the t-test if normally distributed, or as median and interquartile range and compared using the Wilcoxon rank-sum test if non-normally distributed; while categorical data will be presented as number and percentages and compared using the χ</w:t>
            </w:r>
            <w:r>
              <w:rPr>
                <w:rFonts w:ascii="Times New Roman" w:hAnsi="Times New Roman" w:eastAsia="微软雅黑" w:cs="Times New Roman"/>
                <w:color w:val="auto"/>
                <w:kern w:val="2"/>
                <w:vertAlign w:val="superscript"/>
              </w:rPr>
              <w:t>2</w:t>
            </w:r>
            <w:r>
              <w:rPr>
                <w:rFonts w:ascii="Times New Roman" w:hAnsi="Times New Roman" w:eastAsia="微软雅黑" w:cs="Times New Roman"/>
                <w:color w:val="auto"/>
                <w:kern w:val="2"/>
              </w:rPr>
              <w:t xml:space="preserve"> test or the Fisher exact test, as appropriate. Survival data will be analyzed using the Kaplan-Meier method and Cox's proportional hazards model. Sensitivity analysis is used for extreme outlier data. The central effect analysis and subgroup analysis are conducted according to the specific situation. Interim analysis will not be conducted in this study.</w:t>
            </w:r>
          </w:p>
        </w:tc>
      </w:tr>
    </w:tbl>
    <w:p w14:paraId="0EC7AB3C">
      <w:pPr>
        <w:tabs>
          <w:tab w:val="center" w:pos="4232"/>
        </w:tabs>
        <w:spacing w:line="360" w:lineRule="auto"/>
        <w:rPr>
          <w:rFonts w:eastAsia="微软雅黑"/>
          <w:szCs w:val="21"/>
        </w:rPr>
      </w:pPr>
    </w:p>
    <w:p w14:paraId="080B4579">
      <w:pPr>
        <w:tabs>
          <w:tab w:val="center" w:pos="4232"/>
        </w:tabs>
        <w:spacing w:line="360" w:lineRule="auto"/>
        <w:rPr>
          <w:rFonts w:eastAsia="微软雅黑"/>
          <w:szCs w:val="21"/>
        </w:rPr>
      </w:pPr>
    </w:p>
    <w:p w14:paraId="36EE4BC0">
      <w:pPr>
        <w:tabs>
          <w:tab w:val="center" w:pos="4232"/>
        </w:tabs>
        <w:spacing w:line="360" w:lineRule="auto"/>
        <w:rPr>
          <w:rFonts w:eastAsia="微软雅黑"/>
          <w:szCs w:val="21"/>
        </w:rPr>
      </w:pPr>
    </w:p>
    <w:p w14:paraId="5E3935D0">
      <w:pPr>
        <w:tabs>
          <w:tab w:val="center" w:pos="4232"/>
        </w:tabs>
        <w:spacing w:line="360" w:lineRule="auto"/>
        <w:rPr>
          <w:rFonts w:eastAsia="微软雅黑"/>
          <w:szCs w:val="21"/>
        </w:rPr>
      </w:pPr>
    </w:p>
    <w:p w14:paraId="5D8815BA">
      <w:pPr>
        <w:tabs>
          <w:tab w:val="center" w:pos="4232"/>
        </w:tabs>
        <w:spacing w:line="360" w:lineRule="auto"/>
        <w:rPr>
          <w:rFonts w:eastAsia="微软雅黑"/>
          <w:szCs w:val="21"/>
        </w:rPr>
      </w:pPr>
    </w:p>
    <w:p w14:paraId="6C88E7D4">
      <w:pPr>
        <w:tabs>
          <w:tab w:val="center" w:pos="4232"/>
        </w:tabs>
        <w:spacing w:line="360" w:lineRule="auto"/>
        <w:rPr>
          <w:rFonts w:eastAsia="微软雅黑"/>
          <w:szCs w:val="21"/>
        </w:rPr>
      </w:pPr>
    </w:p>
    <w:p w14:paraId="667616C7">
      <w:pPr>
        <w:tabs>
          <w:tab w:val="center" w:pos="4232"/>
        </w:tabs>
        <w:spacing w:line="360" w:lineRule="auto"/>
        <w:rPr>
          <w:rFonts w:eastAsia="微软雅黑"/>
          <w:szCs w:val="21"/>
        </w:rPr>
      </w:pPr>
    </w:p>
    <w:p w14:paraId="7D79CD4C">
      <w:pPr>
        <w:tabs>
          <w:tab w:val="center" w:pos="4232"/>
        </w:tabs>
        <w:spacing w:line="360" w:lineRule="auto"/>
        <w:rPr>
          <w:rFonts w:eastAsia="微软雅黑"/>
          <w:szCs w:val="21"/>
        </w:rPr>
      </w:pPr>
    </w:p>
    <w:p w14:paraId="489525C3">
      <w:pPr>
        <w:tabs>
          <w:tab w:val="center" w:pos="4232"/>
        </w:tabs>
        <w:spacing w:line="360" w:lineRule="auto"/>
        <w:rPr>
          <w:rFonts w:eastAsia="微软雅黑"/>
          <w:szCs w:val="21"/>
        </w:rPr>
      </w:pPr>
    </w:p>
    <w:p w14:paraId="204A1B08">
      <w:pPr>
        <w:tabs>
          <w:tab w:val="center" w:pos="4232"/>
        </w:tabs>
        <w:spacing w:line="360" w:lineRule="auto"/>
        <w:rPr>
          <w:rFonts w:eastAsia="微软雅黑"/>
          <w:szCs w:val="21"/>
        </w:rPr>
      </w:pPr>
    </w:p>
    <w:p w14:paraId="76F8241F">
      <w:pPr>
        <w:tabs>
          <w:tab w:val="center" w:pos="4232"/>
        </w:tabs>
        <w:spacing w:line="360" w:lineRule="auto"/>
        <w:rPr>
          <w:rFonts w:eastAsia="微软雅黑"/>
          <w:szCs w:val="21"/>
        </w:rPr>
      </w:pPr>
    </w:p>
    <w:p w14:paraId="6E66C3CD">
      <w:pPr>
        <w:tabs>
          <w:tab w:val="center" w:pos="4232"/>
        </w:tabs>
        <w:spacing w:line="360" w:lineRule="auto"/>
        <w:rPr>
          <w:rFonts w:eastAsia="微软雅黑"/>
          <w:szCs w:val="21"/>
        </w:rPr>
      </w:pPr>
    </w:p>
    <w:p w14:paraId="12D2114B">
      <w:pPr>
        <w:tabs>
          <w:tab w:val="center" w:pos="4232"/>
        </w:tabs>
        <w:spacing w:line="360" w:lineRule="auto"/>
        <w:rPr>
          <w:rFonts w:eastAsia="微软雅黑"/>
          <w:szCs w:val="21"/>
        </w:rPr>
      </w:pPr>
    </w:p>
    <w:p w14:paraId="5BF6ED45">
      <w:pPr>
        <w:tabs>
          <w:tab w:val="center" w:pos="4232"/>
        </w:tabs>
        <w:spacing w:line="360" w:lineRule="auto"/>
        <w:rPr>
          <w:rFonts w:eastAsia="微软雅黑"/>
          <w:szCs w:val="21"/>
        </w:rPr>
      </w:pPr>
    </w:p>
    <w:p w14:paraId="2820078C">
      <w:pPr>
        <w:tabs>
          <w:tab w:val="center" w:pos="4232"/>
        </w:tabs>
        <w:spacing w:line="360" w:lineRule="auto"/>
        <w:rPr>
          <w:rFonts w:eastAsia="微软雅黑"/>
          <w:szCs w:val="21"/>
        </w:rPr>
      </w:pPr>
    </w:p>
    <w:p w14:paraId="20C5FA80">
      <w:pPr>
        <w:tabs>
          <w:tab w:val="center" w:pos="4232"/>
        </w:tabs>
        <w:spacing w:line="360" w:lineRule="auto"/>
        <w:rPr>
          <w:rFonts w:eastAsia="微软雅黑"/>
          <w:szCs w:val="21"/>
        </w:rPr>
      </w:pPr>
    </w:p>
    <w:p w14:paraId="2C456E4C">
      <w:pPr>
        <w:tabs>
          <w:tab w:val="center" w:pos="4232"/>
        </w:tabs>
        <w:spacing w:line="360" w:lineRule="auto"/>
        <w:rPr>
          <w:rFonts w:eastAsia="微软雅黑"/>
          <w:szCs w:val="21"/>
        </w:rPr>
      </w:pPr>
    </w:p>
    <w:p w14:paraId="685F8F6D">
      <w:pPr>
        <w:tabs>
          <w:tab w:val="center" w:pos="4232"/>
        </w:tabs>
        <w:spacing w:line="360" w:lineRule="auto"/>
        <w:rPr>
          <w:rFonts w:eastAsia="微软雅黑"/>
          <w:szCs w:val="21"/>
        </w:rPr>
      </w:pPr>
    </w:p>
    <w:p w14:paraId="0EA9D28E">
      <w:pPr>
        <w:pStyle w:val="2"/>
        <w:numPr>
          <w:ilvl w:val="0"/>
          <w:numId w:val="21"/>
        </w:numPr>
        <w:adjustRightInd w:val="0"/>
        <w:snapToGrid w:val="0"/>
        <w:spacing w:before="0" w:after="0" w:line="360" w:lineRule="auto"/>
        <w:rPr>
          <w:rFonts w:eastAsia="微软雅黑"/>
          <w:bCs w:val="0"/>
          <w:kern w:val="2"/>
          <w:sz w:val="24"/>
          <w:szCs w:val="24"/>
        </w:rPr>
      </w:pPr>
      <w:bookmarkStart w:id="107" w:name="_Toc5974"/>
      <w:r>
        <w:rPr>
          <w:rFonts w:eastAsia="微软雅黑"/>
          <w:sz w:val="24"/>
          <w:szCs w:val="24"/>
        </w:rPr>
        <w:t>Research background</w:t>
      </w:r>
      <w:bookmarkEnd w:id="107"/>
    </w:p>
    <w:p w14:paraId="322F43F8">
      <w:pPr>
        <w:spacing w:line="360" w:lineRule="auto"/>
        <w:ind w:firstLine="480" w:firstLineChars="200"/>
        <w:rPr>
          <w:bCs/>
          <w:sz w:val="24"/>
        </w:rPr>
      </w:pPr>
      <w:r>
        <w:rPr>
          <w:bCs/>
          <w:sz w:val="24"/>
        </w:rPr>
        <w:t>Gastric cancer (GC) is the fifth most common malignancy worldwide and ranks fourth in cancer-related mortality.</w:t>
      </w:r>
      <w:r>
        <w:rPr>
          <w:bCs/>
          <w:sz w:val="24"/>
          <w:vertAlign w:val="superscript"/>
        </w:rPr>
        <w:t>1</w:t>
      </w:r>
      <w:r>
        <w:rPr>
          <w:bCs/>
          <w:sz w:val="24"/>
        </w:rPr>
        <w:t xml:space="preserve"> The </w:t>
      </w:r>
      <w:r>
        <w:rPr>
          <w:bCs/>
          <w:sz w:val="24"/>
          <w:u w:color="19A0DC"/>
        </w:rPr>
        <w:t>effective</w:t>
      </w:r>
      <w:r>
        <w:rPr>
          <w:bCs/>
          <w:sz w:val="24"/>
        </w:rPr>
        <w:t xml:space="preserve"> treatment of GC relies on surgery-centre comprehensive treatment, and complete resection of the tumor and radical lymph node (LN) dissection are the focus of surgery. Radical LN dissection can significantly improve the long-term survival and the accuracy of tumor staging of GC patients.</w:t>
      </w:r>
      <w:r>
        <w:rPr>
          <w:bCs/>
          <w:sz w:val="24"/>
        </w:rPr>
        <w:fldChar w:fldCharType="begin">
          <w:fldData xml:space="preserve">PEVuZE5vdGU+PENpdGU+PEF1dGhvcj5TbWl0aDwvQXV0aG9yPjxZZWFyPjIwMDU8L1llYXI+PFJl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</w:fldData>
        </w:fldChar>
      </w:r>
      <w:r>
        <w:rPr>
          <w:bCs/>
          <w:sz w:val="24"/>
        </w:rPr>
        <w:instrText xml:space="preserve"> ADDIN EN.CITE </w:instrText>
      </w:r>
      <w:r>
        <w:rPr>
          <w:bCs/>
          <w:sz w:val="24"/>
        </w:rPr>
        <w:fldChar w:fldCharType="begin">
          <w:fldData xml:space="preserve">PEVuZE5vdGU+PENpdGU+PEF1dGhvcj5TbWl0aDwvQXV0aG9yPjxZZWFyPjIwMDU8L1llYXI+PFJl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</w:fldData>
        </w:fldChar>
      </w:r>
      <w:r>
        <w:rPr>
          <w:bCs/>
          <w:sz w:val="24"/>
        </w:rPr>
        <w:instrText xml:space="preserve"> ADDIN EN.CITE.DATA </w:instrText>
      </w:r>
      <w:r>
        <w:rPr>
          <w:bCs/>
          <w:sz w:val="24"/>
        </w:rPr>
        <w:fldChar w:fldCharType="end"/>
      </w:r>
      <w:r>
        <w:rPr>
          <w:bCs/>
          <w:sz w:val="24"/>
        </w:rPr>
        <w:fldChar w:fldCharType="separate"/>
      </w:r>
      <w:r>
        <w:rPr>
          <w:bCs/>
          <w:sz w:val="24"/>
          <w:vertAlign w:val="superscript"/>
        </w:rPr>
        <w:t>2-4</w:t>
      </w:r>
      <w:r>
        <w:rPr>
          <w:bCs/>
          <w:sz w:val="24"/>
        </w:rPr>
        <w:fldChar w:fldCharType="end"/>
      </w:r>
      <w:r>
        <w:rPr>
          <w:bCs/>
          <w:sz w:val="24"/>
        </w:rPr>
        <w:t xml:space="preserve"> Therefore, D2 LN dissection has become the standard for radical surgery of GC.</w:t>
      </w:r>
      <w:r>
        <w:rPr>
          <w:bCs/>
          <w:sz w:val="24"/>
        </w:rPr>
        <w:fldChar w:fldCharType="begin">
          <w:fldData xml:space="preserve">PEVuZE5vdGU+PENpdGU+PEF1dGhvcj5Bc3NvY2lhdGlvbjwvQXV0aG9yPjxZZWFyPjIwMTc8L1ll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</w:fldData>
        </w:fldChar>
      </w:r>
      <w:r>
        <w:rPr>
          <w:bCs/>
          <w:sz w:val="24"/>
        </w:rPr>
        <w:instrText xml:space="preserve"> ADDIN EN.CITE </w:instrText>
      </w:r>
      <w:r>
        <w:rPr>
          <w:bCs/>
          <w:sz w:val="24"/>
        </w:rPr>
        <w:fldChar w:fldCharType="begin">
          <w:fldData xml:space="preserve">PEVuZE5vdGU+PENpdGU+PEF1dGhvcj5Bc3NvY2lhdGlvbjwvQXV0aG9yPjxZZWFyPjIwMTc8L1ll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</w:fldData>
        </w:fldChar>
      </w:r>
      <w:r>
        <w:rPr>
          <w:bCs/>
          <w:sz w:val="24"/>
        </w:rPr>
        <w:instrText xml:space="preserve"> ADDIN EN.CITE.DATA </w:instrText>
      </w:r>
      <w:r>
        <w:rPr>
          <w:bCs/>
          <w:sz w:val="24"/>
        </w:rPr>
        <w:fldChar w:fldCharType="end"/>
      </w:r>
      <w:r>
        <w:rPr>
          <w:bCs/>
          <w:sz w:val="24"/>
        </w:rPr>
        <w:fldChar w:fldCharType="separate"/>
      </w:r>
      <w:r>
        <w:rPr>
          <w:bCs/>
          <w:sz w:val="24"/>
          <w:vertAlign w:val="superscript"/>
        </w:rPr>
        <w:t>5,6</w:t>
      </w:r>
      <w:r>
        <w:rPr>
          <w:bCs/>
          <w:sz w:val="24"/>
        </w:rPr>
        <w:fldChar w:fldCharType="end"/>
      </w:r>
      <w:r>
        <w:rPr>
          <w:bCs/>
          <w:sz w:val="24"/>
        </w:rPr>
        <w:t xml:space="preserve"> And retrieving as many LN as possible has gradually become the current surgeon requirements.</w:t>
      </w:r>
      <w:r>
        <w:rPr>
          <w:bCs/>
          <w:sz w:val="24"/>
        </w:rPr>
        <w:fldChar w:fldCharType="begin">
          <w:fldData xml:space="preserve">PEVuZE5vdGU+PENpdGU+PEF1dGhvcj5Bc3NvY2lhdGlvbjwvQXV0aG9yPjxZZWFyPjIwMTc8L1ll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</w:fldData>
        </w:fldChar>
      </w:r>
      <w:r>
        <w:rPr>
          <w:bCs/>
          <w:sz w:val="24"/>
        </w:rPr>
        <w:instrText xml:space="preserve"> ADDIN EN.CITE </w:instrText>
      </w:r>
      <w:r>
        <w:rPr>
          <w:bCs/>
          <w:sz w:val="24"/>
        </w:rPr>
        <w:fldChar w:fldCharType="begin">
          <w:fldData xml:space="preserve">PEVuZE5vdGU+PENpdGU+PEF1dGhvcj5Bc3NvY2lhdGlvbjwvQXV0aG9yPjxZZWFyPjIwMTc8L1ll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</w:fldData>
        </w:fldChar>
      </w:r>
      <w:r>
        <w:rPr>
          <w:bCs/>
          <w:sz w:val="24"/>
        </w:rPr>
        <w:instrText xml:space="preserve"> ADDIN EN.CITE.DATA </w:instrText>
      </w:r>
      <w:r>
        <w:rPr>
          <w:bCs/>
          <w:sz w:val="24"/>
        </w:rPr>
        <w:fldChar w:fldCharType="end"/>
      </w:r>
      <w:r>
        <w:rPr>
          <w:bCs/>
          <w:sz w:val="24"/>
        </w:rPr>
        <w:fldChar w:fldCharType="separate"/>
      </w:r>
      <w:r>
        <w:rPr>
          <w:bCs/>
          <w:sz w:val="24"/>
          <w:vertAlign w:val="superscript"/>
        </w:rPr>
        <w:t>5,7,8</w:t>
      </w:r>
      <w:r>
        <w:rPr>
          <w:bCs/>
          <w:sz w:val="24"/>
        </w:rPr>
        <w:fldChar w:fldCharType="end"/>
      </w:r>
    </w:p>
    <w:p w14:paraId="31DCD901">
      <w:pPr>
        <w:spacing w:line="360" w:lineRule="auto"/>
        <w:ind w:firstLine="480" w:firstLineChars="200"/>
        <w:rPr>
          <w:kern w:val="0"/>
          <w:sz w:val="24"/>
        </w:rPr>
      </w:pPr>
      <w:r>
        <w:rPr>
          <w:bCs/>
          <w:sz w:val="24"/>
        </w:rPr>
        <w:t>Since Kitano</w:t>
      </w:r>
      <w:r>
        <w:rPr>
          <w:bCs/>
          <w:sz w:val="24"/>
        </w:rPr>
        <w:fldChar w:fldCharType="begin"/>
      </w:r>
      <w:r>
        <w:rPr>
          <w:bCs/>
          <w:sz w:val="24"/>
        </w:rPr>
        <w:instrText xml:space="preserve"> ADDIN EN.CITE &lt;EndNote&gt;&lt;</w:instrText>
      </w:r>
      <w:r>
        <w:rPr>
          <w:bCs/>
          <w:sz w:val="24"/>
          <w:u w:color="FA5050"/>
        </w:rPr>
        <w:instrText xml:space="preserve">Cite&gt;&lt;Author</w:instrText>
      </w:r>
      <w:r>
        <w:rPr>
          <w:bCs/>
          <w:sz w:val="24"/>
        </w:rPr>
        <w:instrText xml:space="preserve">&gt;Kitano&lt;/Author&gt;&lt;Year&gt;1994&lt;/Year&gt;&lt;RecNum&gt;499&lt;/RecNum&gt;&lt;DisplayText&gt;&lt;style face</w:instrText>
      </w:r>
      <w:r>
        <w:rPr>
          <w:bCs/>
          <w:sz w:val="24"/>
          <w:u w:color="FA5050"/>
        </w:rPr>
        <w:instrText xml:space="preserve">="superscrip</w:instrText>
      </w:r>
      <w:r>
        <w:rPr>
          <w:bCs/>
          <w:sz w:val="24"/>
        </w:rPr>
        <w:instrText xml:space="preserve">t"&gt;9&lt;/style&gt;&lt;/DisplayText&gt;&lt;record&gt;&lt;rec-number&gt;499&lt;/rec-number&gt;&lt;foreign-keys&gt;&lt;key app="EN" db-id="xpzr0erzmxsa9se0rf4p20fqfa5wtvd0fxfr" timestamp="1541067470"&gt;499&lt;/key&gt;&lt;/foreign-keys&gt;&lt;ref-type name="Journal Article"&gt;17&lt;/ref-type&gt;&lt;contributors&gt;&lt;authors&gt;&lt;author&gt;Kitano, S.&lt;/author&gt;&lt;author&gt;Iso, Y.&lt;/author&gt;&lt;author&gt;Moriyama, M.&lt;/author&gt;&lt;author&gt;Sugimachi, K.&lt;/author&gt;&lt;/authors&gt;&lt;/contributors&gt;&lt;auth-address&gt;Department of Surgery II, Kyushu University, FUkuoka, Japan.&lt;/auth-address&gt;&lt;titles&gt;&lt;title&gt;Laparoscopy-assisted Billroth I gastrectomy&lt;/title&gt;&lt;secondary-title&gt;Surg Laparosc Endosc&lt;/secondary-title&gt;&lt;alt-title&gt;Surgical laparoscopy &amp;amp; endoscopy&lt;/alt-title&gt;&lt;/titles&gt;&lt;periodical&gt;&lt;full-title&gt;Surg Laparosc Endosc&lt;/full-title&gt;&lt;abbr-1&gt;Surgical laparoscopy &amp;amp; endoscopy&lt;/abbr-1&gt;&lt;/periodical&gt;&lt;alt-periodical&gt;&lt;full-title&gt;Surg Laparosc Endosc&lt;/full-title&gt;&lt;abbr-1&gt;Surgical laparoscopy &amp;amp; endoscopy&lt;/abbr-1&gt;&lt;/alt-periodical&gt;&lt;pages&gt;146-8&lt;/pages&gt;&lt;volume&gt;4&lt;/volume&gt;&lt;number&gt;2&lt;/number&gt;&lt;edition&gt;1994/04/01&lt;/edition&gt;&lt;keywords&gt;&lt;keyword&gt;Aged&lt;/keyword&gt;&lt;keyword&gt;Gastrectomy/*methods&lt;/keyword&gt;&lt;keyword&gt;Humans&lt;/keyword&gt;&lt;keyword&gt;Laparoscopy/*methods&lt;/keyword&gt;&lt;keyword&gt;Male&lt;/keyword&gt;&lt;keyword&gt;Stomach Neoplasms/surgery&lt;/keyword&gt;&lt;/keywords&gt;&lt;dates&gt;&lt;year&gt;1994&lt;/year&gt;&lt;pub-dates&gt;&lt;date&gt;Apr&lt;/date&gt;&lt;/pub-dates&gt;&lt;/dates&gt;&lt;isbn&gt;1051-7200 (Print)&amp;#xD;1051-7200&lt;/isbn&gt;&lt;accession-num&gt;8180768&lt;/accession-num&gt;&lt;urls&gt;&lt;/urls&gt;&lt;remote-database-provider&gt;Nlm&lt;/remote-database-provider&gt;&lt;language&gt;eng&lt;/language&gt;&lt;/record&gt;&lt;/Cite&gt;&lt;/EndNote&gt;</w:instrText>
      </w:r>
      <w:r>
        <w:rPr>
          <w:bCs/>
          <w:sz w:val="24"/>
        </w:rPr>
        <w:fldChar w:fldCharType="separate"/>
      </w:r>
      <w:r>
        <w:rPr>
          <w:bCs/>
          <w:sz w:val="24"/>
          <w:vertAlign w:val="superscript"/>
        </w:rPr>
        <w:t>9</w:t>
      </w:r>
      <w:r>
        <w:rPr>
          <w:bCs/>
          <w:sz w:val="24"/>
        </w:rPr>
        <w:fldChar w:fldCharType="end"/>
      </w:r>
      <w:r>
        <w:rPr>
          <w:sz w:val="24"/>
        </w:rPr>
        <w:t xml:space="preserve"> </w:t>
      </w:r>
      <w:r>
        <w:rPr>
          <w:bCs/>
          <w:sz w:val="24"/>
        </w:rPr>
        <w:t>in Japan first reported laparoscopic distal gastrectomy for GC in 1994, after more than 20 years of development, laparoscopic radical gastrectomy has been widely used in clinical practice.</w:t>
      </w:r>
      <w:r>
        <w:rPr>
          <w:bCs/>
          <w:sz w:val="24"/>
        </w:rPr>
        <w:fldChar w:fldCharType="begin">
          <w:fldData xml:space="preserve">PEVuZE5vdGU+PENpdGU+PEF1dGhvcj5ZdTwvQXV0aG9yPjxZZWFyPjIwMTk8L1llYXI+PFJlY051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</w:fldData>
        </w:fldChar>
      </w:r>
      <w:r>
        <w:rPr>
          <w:bCs/>
          <w:sz w:val="24"/>
        </w:rPr>
        <w:instrText xml:space="preserve"> ADDIN EN.CITE </w:instrText>
      </w:r>
      <w:r>
        <w:rPr>
          <w:bCs/>
          <w:sz w:val="24"/>
        </w:rPr>
        <w:fldChar w:fldCharType="begin">
          <w:fldData xml:space="preserve">PEVuZE5vdGU+PENpdGU+PEF1dGhvcj5ZdTwvQXV0aG9yPjxZZWFyPjIwMTk8L1llYXI+PFJlY051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</w:fldData>
        </w:fldChar>
      </w:r>
      <w:r>
        <w:rPr>
          <w:bCs/>
          <w:sz w:val="24"/>
        </w:rPr>
        <w:instrText xml:space="preserve"> ADDIN EN.CITE.DATA </w:instrText>
      </w:r>
      <w:r>
        <w:rPr>
          <w:bCs/>
          <w:sz w:val="24"/>
        </w:rPr>
        <w:fldChar w:fldCharType="end"/>
      </w:r>
      <w:r>
        <w:rPr>
          <w:bCs/>
          <w:sz w:val="24"/>
        </w:rPr>
        <w:fldChar w:fldCharType="separate"/>
      </w:r>
      <w:r>
        <w:rPr>
          <w:bCs/>
          <w:sz w:val="24"/>
          <w:vertAlign w:val="superscript"/>
        </w:rPr>
        <w:t>10-12</w:t>
      </w:r>
      <w:r>
        <w:rPr>
          <w:bCs/>
          <w:sz w:val="24"/>
        </w:rPr>
        <w:fldChar w:fldCharType="end"/>
      </w:r>
      <w:r>
        <w:rPr>
          <w:sz w:val="24"/>
        </w:rPr>
        <w:t xml:space="preserve"> </w:t>
      </w:r>
      <w:r>
        <w:rPr>
          <w:bCs/>
          <w:sz w:val="24"/>
        </w:rPr>
        <w:t xml:space="preserve">Nowadays, the lymphadenectomy is often performed under the naked eye according to the surgeon's experience. However, due to the complex vascular anatomy and lymphatic drainage around the stomach, it </w:t>
      </w:r>
      <w:r>
        <w:rPr>
          <w:bCs/>
          <w:sz w:val="24"/>
          <w:u w:color="19A0DC"/>
        </w:rPr>
        <w:t>remains</w:t>
      </w:r>
      <w:r>
        <w:rPr>
          <w:bCs/>
          <w:sz w:val="24"/>
        </w:rPr>
        <w:t xml:space="preserve"> a </w:t>
      </w:r>
      <w:r>
        <w:rPr>
          <w:bCs/>
          <w:sz w:val="24"/>
          <w:u w:color="19A0DC"/>
        </w:rPr>
        <w:t>huge</w:t>
      </w:r>
      <w:r>
        <w:rPr>
          <w:bCs/>
          <w:sz w:val="24"/>
        </w:rPr>
        <w:t xml:space="preserve"> challenge for surgeons, especially young surgeons, to dissect enough LNs efficiently and accurately without increasing operate-related complications. Therefore, with the advent of the era of precision minimally invasive surgery, </w:t>
      </w:r>
      <w:r>
        <w:rPr>
          <w:bCs/>
          <w:sz w:val="24"/>
          <w:u w:color="FA5050"/>
        </w:rPr>
        <w:t>laparoscopic</w:t>
      </w:r>
      <w:r>
        <w:rPr>
          <w:bCs/>
          <w:sz w:val="24"/>
        </w:rPr>
        <w:t xml:space="preserve"> surgeons are still exploring how </w:t>
      </w:r>
      <w:r>
        <w:rPr>
          <w:bCs/>
          <w:sz w:val="24"/>
          <w:u w:color="19A0DC"/>
        </w:rPr>
        <w:t>to perform</w:t>
      </w:r>
      <w:r>
        <w:rPr>
          <w:bCs/>
          <w:sz w:val="24"/>
        </w:rPr>
        <w:t xml:space="preserve"> convenient and accurate real-time LN navigation under laparoscope, so as </w:t>
      </w:r>
      <w:r>
        <w:rPr>
          <w:bCs/>
          <w:sz w:val="24"/>
          <w:u w:color="19A0DC"/>
        </w:rPr>
        <w:t>to perform</w:t>
      </w:r>
      <w:r>
        <w:rPr>
          <w:bCs/>
          <w:sz w:val="24"/>
        </w:rPr>
        <w:t xml:space="preserve"> systematic, accurate and sufficient LN dissection. As a new surgical navigation technique, </w:t>
      </w:r>
      <w:r>
        <w:rPr>
          <w:bCs/>
          <w:sz w:val="24"/>
          <w:u w:color="FA5050"/>
        </w:rPr>
        <w:t>indocyanine</w:t>
      </w:r>
      <w:r>
        <w:rPr>
          <w:bCs/>
          <w:sz w:val="24"/>
        </w:rPr>
        <w:t xml:space="preserve"> green (ICG) </w:t>
      </w:r>
      <w:r>
        <w:rPr>
          <w:bCs/>
          <w:sz w:val="24"/>
          <w:u w:color="FA5050"/>
        </w:rPr>
        <w:t>near-infrared</w:t>
      </w:r>
      <w:r>
        <w:rPr>
          <w:bCs/>
          <w:sz w:val="24"/>
        </w:rPr>
        <w:t xml:space="preserve"> (NIR) fluorescent imaging has achieved relatively positive results in the localization of sentinel LN in breast cancer, </w:t>
      </w:r>
      <w:r>
        <w:rPr>
          <w:bCs/>
          <w:sz w:val="24"/>
          <w:u w:color="FA5050"/>
        </w:rPr>
        <w:t>non-small-cell</w:t>
      </w:r>
      <w:r>
        <w:rPr>
          <w:bCs/>
          <w:sz w:val="24"/>
        </w:rPr>
        <w:t xml:space="preserve"> lung cancer and other cancers.</w:t>
      </w:r>
      <w:r>
        <w:rPr>
          <w:kern w:val="0"/>
          <w:sz w:val="24"/>
        </w:rPr>
        <w:fldChar w:fldCharType="begin">
          <w:fldData xml:space="preserve">PEVuZE5vdGU+PENpdGU+PEF1dGhvcj5WYWhybWVpamVyPC9BdXRob3I+PFllYXI+MjAxMzwvWWVh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</w:fldData>
        </w:fldChar>
      </w:r>
      <w:r>
        <w:rPr>
          <w:kern w:val="0"/>
          <w:sz w:val="24"/>
        </w:rPr>
        <w:instrText xml:space="preserve"> ADDIN EN.CITE </w:instrText>
      </w:r>
      <w:r>
        <w:rPr>
          <w:kern w:val="0"/>
          <w:sz w:val="24"/>
        </w:rPr>
        <w:fldChar w:fldCharType="begin">
          <w:fldData xml:space="preserve">PEVuZE5vdGU+PENpdGU+PEF1dGhvcj5WYWhybWVpamVyPC9BdXRob3I+PFllYXI+MjAxMzwvWWVh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</w:fldData>
        </w:fldChar>
      </w:r>
      <w:r>
        <w:rPr>
          <w:kern w:val="0"/>
          <w:sz w:val="24"/>
        </w:rPr>
        <w:instrText xml:space="preserve"> ADDIN EN.CITE.DATA </w:instrText>
      </w:r>
      <w:r>
        <w:rPr>
          <w:kern w:val="0"/>
          <w:sz w:val="24"/>
        </w:rPr>
        <w:fldChar w:fldCharType="end"/>
      </w:r>
      <w:r>
        <w:rPr>
          <w:kern w:val="0"/>
          <w:sz w:val="24"/>
        </w:rPr>
        <w:fldChar w:fldCharType="separate"/>
      </w:r>
      <w:r>
        <w:rPr>
          <w:kern w:val="0"/>
          <w:sz w:val="24"/>
          <w:vertAlign w:val="superscript"/>
        </w:rPr>
        <w:t>13-16</w:t>
      </w:r>
      <w:r>
        <w:rPr>
          <w:kern w:val="0"/>
          <w:sz w:val="24"/>
        </w:rPr>
        <w:fldChar w:fldCharType="end"/>
      </w:r>
      <w:r>
        <w:fldChar w:fldCharType="begin"/>
      </w:r>
      <w:r>
        <w:instrText xml:space="preserve"> HYPERLINK \l "_ENREF_8" \o "Guo, 2017 #589" </w:instrText>
      </w:r>
      <w:r>
        <w:fldChar w:fldCharType="separate"/>
      </w:r>
      <w:r>
        <w:fldChar w:fldCharType="end"/>
      </w:r>
      <w:r>
        <w:rPr>
          <w:sz w:val="24"/>
        </w:rPr>
        <w:t xml:space="preserve"> </w:t>
      </w:r>
      <w:r>
        <w:rPr>
          <w:kern w:val="0"/>
          <w:sz w:val="24"/>
        </w:rPr>
        <w:t xml:space="preserve">With the successful application </w:t>
      </w:r>
      <w:r>
        <w:rPr>
          <w:kern w:val="0"/>
          <w:sz w:val="24"/>
          <w:u w:color="FA5050"/>
        </w:rPr>
        <w:t>of ICG fluore</w:t>
      </w:r>
      <w:r>
        <w:rPr>
          <w:kern w:val="0"/>
          <w:sz w:val="24"/>
        </w:rPr>
        <w:t>scence imaging technology in laparoscopic devices, scholars have found that NIR imaging has better tissue penetration and can better identify LNs in hypertrophic adipose tissue than other dyes in visible light.</w:t>
      </w:r>
      <w:r>
        <w:rPr>
          <w:kern w:val="0"/>
          <w:sz w:val="24"/>
        </w:rPr>
        <w:fldChar w:fldCharType="begin">
          <w:fldData xml:space="preserve">PEVuZE5vdGU+PENpdGU+PEF1dGhvcj5HaW91eDwvQXV0aG9yPjxZZWFyPjIwMTA8L1llYXI+PFJl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==
</w:fldData>
        </w:fldChar>
      </w:r>
      <w:r>
        <w:rPr>
          <w:kern w:val="0"/>
          <w:sz w:val="24"/>
        </w:rPr>
        <w:instrText xml:space="preserve"> ADDIN EN.CITE </w:instrText>
      </w:r>
      <w:r>
        <w:rPr>
          <w:kern w:val="0"/>
          <w:sz w:val="24"/>
        </w:rPr>
        <w:fldChar w:fldCharType="begin">
          <w:fldData xml:space="preserve">PEVuZE5vdGU+PENpdGU+PEF1dGhvcj5HaW91eDwvQXV0aG9yPjxZZWFyPjIwMTA8L1llYXI+PFJl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==
</w:fldData>
        </w:fldChar>
      </w:r>
      <w:r>
        <w:rPr>
          <w:kern w:val="0"/>
          <w:sz w:val="24"/>
        </w:rPr>
        <w:instrText xml:space="preserve"> ADDIN EN.CITE.DATA </w:instrText>
      </w:r>
      <w:r>
        <w:rPr>
          <w:kern w:val="0"/>
          <w:sz w:val="24"/>
        </w:rPr>
        <w:fldChar w:fldCharType="end"/>
      </w:r>
      <w:r>
        <w:rPr>
          <w:kern w:val="0"/>
          <w:sz w:val="24"/>
        </w:rPr>
        <w:fldChar w:fldCharType="separate"/>
      </w:r>
      <w:r>
        <w:rPr>
          <w:kern w:val="0"/>
          <w:sz w:val="24"/>
          <w:vertAlign w:val="superscript"/>
        </w:rPr>
        <w:t>17,18</w:t>
      </w:r>
      <w:r>
        <w:rPr>
          <w:kern w:val="0"/>
          <w:sz w:val="24"/>
        </w:rPr>
        <w:fldChar w:fldCharType="end"/>
      </w:r>
      <w:r>
        <w:rPr>
          <w:kern w:val="0"/>
          <w:sz w:val="24"/>
        </w:rPr>
        <w:t xml:space="preserve"> It has important research value, good application prospect and broad development space, which has attracted wide atte</w:t>
      </w:r>
      <w:r>
        <w:rPr>
          <w:kern w:val="0"/>
          <w:sz w:val="24"/>
          <w:u w:color="FA5050"/>
        </w:rPr>
        <w:t>ntion, so that</w:t>
      </w:r>
      <w:r>
        <w:rPr>
          <w:kern w:val="0"/>
          <w:sz w:val="24"/>
        </w:rPr>
        <w:t xml:space="preserve"> ICG fluorescence imaging guided minimally invasive treatment such as laparoscopic or robotic radical resection of GC has b</w:t>
      </w:r>
      <w:r>
        <w:rPr>
          <w:kern w:val="0"/>
          <w:sz w:val="24"/>
          <w:u w:color="FA5050"/>
        </w:rPr>
        <w:t>ecome a new ex</w:t>
      </w:r>
      <w:r>
        <w:rPr>
          <w:kern w:val="0"/>
          <w:sz w:val="24"/>
        </w:rPr>
        <w:t>ploration direction.</w:t>
      </w:r>
      <w:r>
        <w:rPr>
          <w:kern w:val="0"/>
          <w:sz w:val="24"/>
        </w:rPr>
        <w:fldChar w:fldCharType="begin"/>
      </w:r>
      <w:r>
        <w:rPr>
          <w:kern w:val="0"/>
          <w:sz w:val="24"/>
        </w:rPr>
        <w:instrText xml:space="preserve"> ADDIN EN.CITE &lt;EndNote&gt;&lt;Cite&gt;&lt;Author&gt;Desiderio&lt;/Author&gt;&lt;Year&gt;2018&lt;/Year&gt;&lt;RecNum&gt;749&lt;/RecNum&gt;&lt;DisplayText&gt;&lt;style face="superscript"&gt;19&lt;/style&gt;&lt;/DisplayText&gt;&lt;record&gt;&lt;rec-number&gt;749&lt;/rec-number&gt;&lt;foreign-keys&gt;&lt;key app="EN" db-id="xpzr0erzmxsa9se0rf4p20fqfa5wtvd0fxfr" timestamp="1567933915"&gt;749&lt;/key&gt;&lt;/foreign-keys&gt;&lt;ref-type name="Journal Article"&gt;17&lt;/ref-type&gt;&lt;contributors&gt;&lt;authors&gt;&lt;author&gt;Desiderio, J.&lt;/author&gt;&lt;author&gt;Trastulli, S.&lt;/author&gt;&lt;author&gt;Gemini, A.&lt;/author&gt;&lt;author&gt;Di Nardo, D.&lt;/author&gt;&lt;author&gt;Palazzini, G.&lt;/author&gt;&lt;author&gt;Parisi, A.&lt;/author&gt;&lt;author&gt;D&amp;apos;Andrea, V.&lt;/author&gt;&lt;/authors&gt;&lt;/contributors&gt;&lt;auth-address&gt;Department of Digestive Surgery, St. Mary&amp;apos;s Hospital, Terni 05100, Italy.&amp;#xD;Department of Surgical Sciences, &amp;quot;La Sapienza&amp;quot; University of Rome, Rome 00161, Italy.&lt;/auth-address&gt;&lt;titles&gt;&lt;title&gt;Fluorescence image-guided lymphadenectomy using indocyanine green and near infrared technology in robotic gastrectomy&lt;/title&gt;&lt;secondary-title&gt;Chin J Cancer Res&lt;/secondary-title&gt;&lt;alt-title&gt;Chinese journal of cancer research = Chung-kuo yen cheng yen chiu&lt;/alt-title&gt;&lt;/titles&gt;&lt;periodical&gt;&lt;full-title&gt;Chin J Cancer Res&lt;/full-title&gt;&lt;abbr-1&gt;Chinese journal of cancer research = Chung-kuo yen cheng yen chiu&lt;/abbr-1&gt;&lt;/periodical&gt;&lt;alt-periodical&gt;&lt;full-title&gt;Chin J Cancer Res&lt;/full-title&gt;&lt;abbr-1&gt;Chinese journal of cancer research = Chung-kuo yen cheng yen chiu&lt;/abbr-1&gt;&lt;/alt-periodical&gt;&lt;pages&gt;568-570&lt;/pages&gt;&lt;volume&gt;30&lt;/volume&gt;&lt;number&gt;5&lt;/number&gt;&lt;edition&gt;2018/12/05&lt;/edition&gt;&lt;keywords&gt;&lt;keyword&gt;Gastric cancer&lt;/keyword&gt;&lt;keyword&gt;fluorescence guided surgery&lt;/keyword&gt;&lt;keyword&gt;robotic surgery&lt;/keyword&gt;&lt;/keywords&gt;&lt;dates&gt;&lt;year&gt;2018&lt;/year&gt;&lt;pub-dates&gt;&lt;date&gt;Oct&lt;/date&gt;&lt;/pub-dates&gt;&lt;/dates&gt;&lt;isbn&gt;1000-9604 (Print)&amp;#xD;1000-9604&lt;/isbn&gt;&lt;accession-num&gt;30510369&lt;/accession-num&gt;&lt;urls&gt;&lt;/urls&gt;&lt;custom2&gt;PMC6232360&lt;/custom2&gt;&lt;electronic-resource-num&gt;10.21147/j.issn.1000-9604.2018.05.11&lt;/electronic-resource-num&gt;&lt;remote-database-provider&gt;NLM&lt;/remote-database-provider&gt;&lt;language&gt;eng&lt;/language&gt;&lt;/record&gt;&lt;/Cite&gt;&lt;/EndNote&gt;</w:instrText>
      </w:r>
      <w:r>
        <w:rPr>
          <w:kern w:val="0"/>
          <w:sz w:val="24"/>
        </w:rPr>
        <w:fldChar w:fldCharType="separate"/>
      </w:r>
      <w:r>
        <w:rPr>
          <w:kern w:val="0"/>
          <w:sz w:val="24"/>
          <w:vertAlign w:val="superscript"/>
        </w:rPr>
        <w:t>19</w:t>
      </w:r>
      <w:r>
        <w:rPr>
          <w:kern w:val="0"/>
          <w:sz w:val="24"/>
        </w:rPr>
        <w:fldChar w:fldCharType="end"/>
      </w:r>
      <w:r>
        <w:rPr>
          <w:kern w:val="0"/>
          <w:sz w:val="24"/>
        </w:rPr>
        <w:t xml:space="preserve"> However, at present, the application of ICG in laparoscopic lymphadenectomy of GC is still in the preliminary stage in clinical practice. Most of the studies are low-sample retrospective studies to evaluate sentinel LN,</w:t>
      </w:r>
      <w:r>
        <w:rPr>
          <w:kern w:val="0"/>
          <w:sz w:val="24"/>
        </w:rPr>
        <w:fldChar w:fldCharType="begin">
          <w:fldData xml:space="preserve">PEVuZE5vdGU+PENpdGU+PEF1dGhvcj5ZYW5vPC9BdXRob3I+PFllYXI+MjAxMjwvWWVhcj48UmVj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</w:fldData>
        </w:fldChar>
      </w:r>
      <w:r>
        <w:rPr>
          <w:kern w:val="0"/>
          <w:sz w:val="24"/>
        </w:rPr>
        <w:instrText xml:space="preserve"> ADDIN EN.CITE </w:instrText>
      </w:r>
      <w:r>
        <w:rPr>
          <w:kern w:val="0"/>
          <w:sz w:val="24"/>
        </w:rPr>
        <w:fldChar w:fldCharType="begin">
          <w:fldData xml:space="preserve">PEVuZE5vdGU+PENpdGU+PEF1dGhvcj5ZYW5vPC9BdXRob3I+PFllYXI+MjAxMjwvWWVhcj48UmVj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</w:fldData>
        </w:fldChar>
      </w:r>
      <w:r>
        <w:rPr>
          <w:kern w:val="0"/>
          <w:sz w:val="24"/>
        </w:rPr>
        <w:instrText xml:space="preserve"> ADDIN EN.CITE.DATA </w:instrText>
      </w:r>
      <w:r>
        <w:rPr>
          <w:kern w:val="0"/>
          <w:sz w:val="24"/>
        </w:rPr>
        <w:fldChar w:fldCharType="end"/>
      </w:r>
      <w:r>
        <w:rPr>
          <w:kern w:val="0"/>
          <w:sz w:val="24"/>
        </w:rPr>
        <w:fldChar w:fldCharType="separate"/>
      </w:r>
      <w:r>
        <w:rPr>
          <w:kern w:val="0"/>
          <w:sz w:val="24"/>
          <w:vertAlign w:val="superscript"/>
        </w:rPr>
        <w:t>20,21</w:t>
      </w:r>
      <w:r>
        <w:rPr>
          <w:kern w:val="0"/>
          <w:sz w:val="24"/>
        </w:rPr>
        <w:fldChar w:fldCharType="end"/>
      </w:r>
      <w:r>
        <w:rPr>
          <w:sz w:val="24"/>
        </w:rPr>
        <w:t xml:space="preserve"> </w:t>
      </w:r>
      <w:r>
        <w:rPr>
          <w:kern w:val="0"/>
          <w:sz w:val="24"/>
        </w:rPr>
        <w:t>postoperative a</w:t>
      </w:r>
      <w:r>
        <w:rPr>
          <w:kern w:val="0"/>
          <w:sz w:val="24"/>
          <w:u w:color="FA5050"/>
        </w:rPr>
        <w:t>nastomotic bl</w:t>
      </w:r>
      <w:r>
        <w:rPr>
          <w:kern w:val="0"/>
          <w:sz w:val="24"/>
        </w:rPr>
        <w:t>ood flow judgment.</w:t>
      </w:r>
      <w:r>
        <w:rPr>
          <w:kern w:val="0"/>
          <w:sz w:val="24"/>
        </w:rPr>
        <w:fldChar w:fldCharType="begin">
          <w:fldData xml:space="preserve">PEVuZE5vdGU+PENpdGU+PEF1dGhvcj5IdWg8L0F1dGhvcj48WWVhcj4yMDE5PC9ZZWFyPjxSZWNO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</w:fldData>
        </w:fldChar>
      </w:r>
      <w:r>
        <w:rPr>
          <w:kern w:val="0"/>
          <w:sz w:val="24"/>
        </w:rPr>
        <w:instrText xml:space="preserve"> ADDIN EN.CITE </w:instrText>
      </w:r>
      <w:r>
        <w:rPr>
          <w:kern w:val="0"/>
          <w:sz w:val="24"/>
        </w:rPr>
        <w:fldChar w:fldCharType="begin">
          <w:fldData xml:space="preserve">PEVuZE5vdGU+PENpdGU+PEF1dGhvcj5IdWg8L0F1dGhvcj48WWVhcj4yMDE5PC9ZZWFyPjxSZWNO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</w:fldData>
        </w:fldChar>
      </w:r>
      <w:r>
        <w:rPr>
          <w:kern w:val="0"/>
          <w:sz w:val="24"/>
        </w:rPr>
        <w:instrText xml:space="preserve"> ADDIN EN.CITE.DATA </w:instrText>
      </w:r>
      <w:r>
        <w:rPr>
          <w:kern w:val="0"/>
          <w:sz w:val="24"/>
        </w:rPr>
        <w:fldChar w:fldCharType="end"/>
      </w:r>
      <w:r>
        <w:rPr>
          <w:kern w:val="0"/>
          <w:sz w:val="24"/>
        </w:rPr>
        <w:fldChar w:fldCharType="separate"/>
      </w:r>
      <w:r>
        <w:rPr>
          <w:kern w:val="0"/>
          <w:sz w:val="24"/>
          <w:vertAlign w:val="superscript"/>
        </w:rPr>
        <w:t>22</w:t>
      </w:r>
      <w:r>
        <w:rPr>
          <w:kern w:val="0"/>
          <w:sz w:val="24"/>
        </w:rPr>
        <w:fldChar w:fldCharType="end"/>
      </w:r>
      <w:r>
        <w:rPr>
          <w:kern w:val="0"/>
          <w:sz w:val="24"/>
        </w:rPr>
        <w:t xml:space="preserve"> What's more, current studies have shown different results as to whether ICG can help surgeons with safe and effective LN dissection.</w:t>
      </w:r>
      <w:r>
        <w:rPr>
          <w:kern w:val="0"/>
          <w:sz w:val="24"/>
        </w:rPr>
        <w:fldChar w:fldCharType="begin">
          <w:fldData xml:space="preserve">PEVuZE5vdGU+PENpdGU+PEF1dGhvcj5MYW48L0F1dGhvcj48WWVhcj4yMDE3PC9ZZWFyPjxSZWNO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</w:fldData>
        </w:fldChar>
      </w:r>
      <w:r>
        <w:rPr>
          <w:kern w:val="0"/>
          <w:sz w:val="24"/>
        </w:rPr>
        <w:instrText xml:space="preserve"> ADDIN EN.CITE </w:instrText>
      </w:r>
      <w:r>
        <w:rPr>
          <w:kern w:val="0"/>
          <w:sz w:val="24"/>
        </w:rPr>
        <w:fldChar w:fldCharType="begin">
          <w:fldData xml:space="preserve">PEVuZE5vdGU+PENpdGU+PEF1dGhvcj5MYW48L0F1dGhvcj48WWVhcj4yMDE3PC9ZZWFyPjxSZWNO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</w:fldData>
        </w:fldChar>
      </w:r>
      <w:r>
        <w:rPr>
          <w:kern w:val="0"/>
          <w:sz w:val="24"/>
        </w:rPr>
        <w:instrText xml:space="preserve"> ADDIN EN.CITE.DATA </w:instrText>
      </w:r>
      <w:r>
        <w:rPr>
          <w:kern w:val="0"/>
          <w:sz w:val="24"/>
        </w:rPr>
        <w:fldChar w:fldCharType="end"/>
      </w:r>
      <w:r>
        <w:rPr>
          <w:kern w:val="0"/>
          <w:sz w:val="24"/>
        </w:rPr>
        <w:fldChar w:fldCharType="separate"/>
      </w:r>
      <w:r>
        <w:rPr>
          <w:kern w:val="0"/>
          <w:sz w:val="24"/>
          <w:vertAlign w:val="superscript"/>
        </w:rPr>
        <w:t>23,24</w:t>
      </w:r>
      <w:r>
        <w:rPr>
          <w:kern w:val="0"/>
          <w:sz w:val="24"/>
        </w:rPr>
        <w:fldChar w:fldCharType="end"/>
      </w:r>
      <w:r>
        <w:rPr>
          <w:sz w:val="24"/>
        </w:rPr>
        <w:t xml:space="preserve"> </w:t>
      </w:r>
      <w:r>
        <w:rPr>
          <w:kern w:val="0"/>
          <w:sz w:val="24"/>
        </w:rPr>
        <w:t xml:space="preserve">And Kwon et al. </w:t>
      </w:r>
      <w:r>
        <w:rPr>
          <w:kern w:val="0"/>
          <w:sz w:val="24"/>
          <w:u w:color="FA5050"/>
        </w:rPr>
        <w:t>only</w:t>
      </w:r>
      <w:r>
        <w:rPr>
          <w:kern w:val="0"/>
          <w:sz w:val="24"/>
        </w:rPr>
        <w:t xml:space="preserve"> carried out a prospective single-arm study that analyzed a small number of patients who underwent robotic gastrectomy after </w:t>
      </w:r>
      <w:r>
        <w:rPr>
          <w:kern w:val="0"/>
          <w:sz w:val="24"/>
          <w:u w:color="FA5050"/>
        </w:rPr>
        <w:t>peritumoral</w:t>
      </w:r>
      <w:r>
        <w:rPr>
          <w:kern w:val="0"/>
          <w:sz w:val="24"/>
        </w:rPr>
        <w:t xml:space="preserve"> injection of ICG.</w:t>
      </w:r>
      <w:r>
        <w:rPr>
          <w:kern w:val="0"/>
          <w:sz w:val="24"/>
        </w:rPr>
        <w:fldChar w:fldCharType="begin"/>
      </w:r>
      <w:r>
        <w:rPr>
          <w:kern w:val="0"/>
          <w:sz w:val="24"/>
        </w:rPr>
        <w:instrText xml:space="preserve"> ADDIN EN.CITE &lt;EndNote&gt;&lt;Cite&gt;&lt;Author&gt;Kwon&lt;/Author&gt;&lt;Year&gt;2019&lt;/Year&gt;&lt;RecNum&gt;748&lt;/RecNum&gt;&lt;DisplayText&gt;&lt;style face="superscript"&gt;25&lt;/style&gt;&lt;/DisplayText&gt;&lt;record&gt;&lt;rec-number&gt;748&lt;/rec-number&gt;&lt;foreign-keys&gt;&lt;key app="EN" db-id="xpzr0erzmxsa9se0rf4p20fqfa5wtvd0fxfr" timestamp="1567933690"&gt;748&lt;/key&gt;&lt;/foreign-keys&gt;&lt;ref-type name="Journal Article"&gt;17&lt;/ref-type&gt;&lt;contributors&gt;&lt;authors&gt;&lt;author&gt;Kwon, I. G.&lt;/author&gt;&lt;author&gt;Son, T.&lt;/author&gt;&lt;author&gt;Kim, H. I.&lt;/author&gt;&lt;author&gt;Hyung, W. J.&lt;/author&gt;&lt;/authors&gt;&lt;/contributors&gt;&lt;auth-address&gt;Department of Surgery, Yonsei University College of Medicine, Seoul, Republic of Korea.&amp;#xD;Gastric Cancer Center, Yonsei Cancer Center, Yonsei University Health System, Seoul, Republic of Korea.&lt;/auth-address&gt;&lt;titles&gt;&lt;title&gt;Fluorescent Lymphography-Guided Lymphadenectomy During Robotic Radical Gastrectomy for Gastric Cancer&lt;/title&gt;&lt;secondary-title&gt;JAMA Surg&lt;/secondary-title&gt;&lt;alt-title&gt;JAMA surgery&lt;/alt-title&gt;&lt;/titles&gt;&lt;periodical&gt;&lt;full-title&gt;JAMA Surg&lt;/full-title&gt;&lt;abbr-1&gt;JAMA surgery&lt;/abbr-1&gt;&lt;/periodical&gt;&lt;alt-periodical&gt;&lt;full-title&gt;JAMA Surg&lt;/full-title&gt;&lt;abbr-1&gt;JAMA surgery&lt;/abbr-1&gt;&lt;/alt-periodical&gt;&lt;pages&gt;150-158&lt;/pages&gt;&lt;volume&gt;154&lt;/volume&gt;&lt;number&gt;2&lt;/number&gt;&lt;edition&gt;2018/11/15&lt;/edition&gt;&lt;dates&gt;&lt;year&gt;2019&lt;/year&gt;&lt;pub-dates&gt;&lt;date&gt;Feb 1&lt;/date&gt;&lt;/pub-dates&gt;&lt;/dates&gt;&lt;isbn&gt;2168-6254&lt;/isbn&gt;&lt;accession-num&gt;30427990&lt;/accession-num&gt;&lt;urls&gt;&lt;/urls&gt;&lt;custom2&gt;PMC6439673&lt;/custom2&gt;&lt;electronic-resource-num&gt;10.1001/jamasurg.2018.4267&lt;/electronic-resource-num&gt;&lt;remote-database-provider&gt;NLM&lt;/remote-database-provider&gt;&lt;language&gt;eng&lt;/language&gt;&lt;/record&gt;&lt;/Cite&gt;&lt;/EndNote&gt;</w:instrText>
      </w:r>
      <w:r>
        <w:rPr>
          <w:kern w:val="0"/>
          <w:sz w:val="24"/>
        </w:rPr>
        <w:fldChar w:fldCharType="separate"/>
      </w:r>
      <w:r>
        <w:rPr>
          <w:kern w:val="0"/>
          <w:sz w:val="24"/>
          <w:vertAlign w:val="superscript"/>
        </w:rPr>
        <w:t>25</w:t>
      </w:r>
      <w:r>
        <w:rPr>
          <w:kern w:val="0"/>
          <w:sz w:val="24"/>
        </w:rPr>
        <w:fldChar w:fldCharType="end"/>
      </w:r>
      <w:r>
        <w:rPr>
          <w:kern w:val="0"/>
          <w:sz w:val="24"/>
        </w:rPr>
        <w:t xml:space="preserve"> Individualized radical lymphadenectomy is becoming the goal of every surgeon performing minimally invasive procedures. </w:t>
      </w:r>
    </w:p>
    <w:p w14:paraId="05F43D39">
      <w:pPr>
        <w:spacing w:line="360" w:lineRule="auto"/>
        <w:ind w:firstLine="480" w:firstLineChars="200"/>
        <w:jc w:val="left"/>
        <w:rPr>
          <w:kern w:val="0"/>
          <w:sz w:val="24"/>
        </w:rPr>
      </w:pPr>
      <w:r>
        <w:rPr>
          <w:kern w:val="0"/>
          <w:sz w:val="24"/>
        </w:rPr>
        <w:t xml:space="preserve">Therefore, there </w:t>
      </w:r>
      <w:r>
        <w:rPr>
          <w:kern w:val="0"/>
          <w:sz w:val="24"/>
          <w:u w:color="19A0DC"/>
        </w:rPr>
        <w:t>is still</w:t>
      </w:r>
      <w:r>
        <w:rPr>
          <w:kern w:val="0"/>
          <w:sz w:val="24"/>
        </w:rPr>
        <w:t xml:space="preserve"> a lack of high-level evidence-based large sample randomized controlled trials (RCTs) to evaluate the safety, efficacy and feasibility of ICG in guiding </w:t>
      </w:r>
      <w:r>
        <w:rPr>
          <w:kern w:val="0"/>
          <w:sz w:val="24"/>
          <w:u w:color="FA5050"/>
        </w:rPr>
        <w:t>laparoscopic</w:t>
      </w:r>
      <w:r>
        <w:rPr>
          <w:kern w:val="0"/>
          <w:sz w:val="24"/>
        </w:rPr>
        <w:t xml:space="preserve"> D2 lymphadenectomy of GC worldwide. To promote the standardization of NIR imaging in </w:t>
      </w:r>
      <w:r>
        <w:rPr>
          <w:kern w:val="0"/>
          <w:sz w:val="24"/>
          <w:u w:color="FA5050"/>
        </w:rPr>
        <w:t>laparoscopic</w:t>
      </w:r>
      <w:r>
        <w:rPr>
          <w:kern w:val="0"/>
          <w:sz w:val="24"/>
        </w:rPr>
        <w:t xml:space="preserve"> resection of GC, and </w:t>
      </w:r>
      <w:r>
        <w:rPr>
          <w:kern w:val="0"/>
          <w:sz w:val="24"/>
          <w:u w:color="19A0DC"/>
        </w:rPr>
        <w:t>to establish</w:t>
      </w:r>
      <w:r>
        <w:rPr>
          <w:kern w:val="0"/>
          <w:sz w:val="24"/>
        </w:rPr>
        <w:t xml:space="preserve"> </w:t>
      </w:r>
      <w:r>
        <w:rPr>
          <w:kern w:val="0"/>
          <w:sz w:val="24"/>
          <w:u w:color="FA5050"/>
        </w:rPr>
        <w:t>a reference</w:t>
      </w:r>
      <w:r>
        <w:rPr>
          <w:kern w:val="0"/>
          <w:sz w:val="24"/>
        </w:rPr>
        <w:t xml:space="preserve"> for the application of ICG imaging in radical resection of cancers in digest system (such as esophageal and colorectal cancer). This RCT </w:t>
      </w:r>
      <w:r>
        <w:rPr>
          <w:kern w:val="0"/>
          <w:sz w:val="24"/>
          <w:u w:color="19A0DC"/>
        </w:rPr>
        <w:t>was intended to assess</w:t>
      </w:r>
      <w:r>
        <w:rPr>
          <w:kern w:val="0"/>
          <w:sz w:val="24"/>
        </w:rPr>
        <w:t xml:space="preserve"> long-term oncological efficacy, LN harvest and </w:t>
      </w:r>
      <w:r>
        <w:rPr>
          <w:kern w:val="0"/>
          <w:sz w:val="24"/>
          <w:u w:color="FA5050"/>
        </w:rPr>
        <w:t>perioperative</w:t>
      </w:r>
      <w:r>
        <w:rPr>
          <w:kern w:val="0"/>
          <w:sz w:val="24"/>
        </w:rPr>
        <w:t xml:space="preserve"> safety during </w:t>
      </w:r>
      <w:r>
        <w:rPr>
          <w:kern w:val="0"/>
          <w:sz w:val="24"/>
          <w:u w:color="FA5050"/>
        </w:rPr>
        <w:t>laparoscopic</w:t>
      </w:r>
      <w:r>
        <w:rPr>
          <w:kern w:val="0"/>
          <w:sz w:val="24"/>
        </w:rPr>
        <w:t xml:space="preserve"> ICG-guide radical gastrectomy for GC patients by comparing ICG group with Non-ICG group at a simultaneous, </w:t>
      </w:r>
      <w:r>
        <w:rPr>
          <w:kern w:val="0"/>
          <w:sz w:val="24"/>
          <w:u w:color="FA5050"/>
        </w:rPr>
        <w:t>large-scale</w:t>
      </w:r>
      <w:r>
        <w:rPr>
          <w:kern w:val="0"/>
          <w:sz w:val="24"/>
        </w:rPr>
        <w:t xml:space="preserve"> center. </w:t>
      </w:r>
      <w:bookmarkStart w:id="108" w:name="_Toc10247"/>
    </w:p>
    <w:p w14:paraId="3E0FF536">
      <w:pPr>
        <w:numPr>
          <w:ilvl w:val="0"/>
          <w:numId w:val="21"/>
        </w:numPr>
        <w:spacing w:line="360" w:lineRule="auto"/>
        <w:jc w:val="left"/>
        <w:rPr>
          <w:kern w:val="0"/>
          <w:sz w:val="24"/>
        </w:rPr>
      </w:pPr>
      <w:r>
        <w:rPr>
          <w:rFonts w:eastAsia="微软雅黑"/>
          <w:b/>
          <w:bCs/>
          <w:sz w:val="24"/>
        </w:rPr>
        <w:t>Objective</w:t>
      </w:r>
      <w:bookmarkEnd w:id="108"/>
    </w:p>
    <w:p w14:paraId="4DF91C94">
      <w:pPr>
        <w:spacing w:line="360" w:lineRule="auto"/>
        <w:ind w:right="-50" w:rightChars="-24" w:firstLine="480" w:firstLineChars="200"/>
        <w:rPr>
          <w:kern w:val="0"/>
          <w:sz w:val="24"/>
        </w:rPr>
      </w:pPr>
      <w:r>
        <w:rPr>
          <w:kern w:val="0"/>
          <w:sz w:val="24"/>
        </w:rPr>
        <w:t>The purpose of the randomized controlled trial is to investigate the safety, efficacy, and feasibility of ICG near-infrared imaging tracing in guiding laparoscopic D2 LN dissection for gastric cancer by comparing injection ICG group and non-injection ICG group.</w:t>
      </w:r>
    </w:p>
    <w:p w14:paraId="751DC3A5">
      <w:pPr>
        <w:pStyle w:val="2"/>
        <w:numPr>
          <w:ilvl w:val="0"/>
          <w:numId w:val="21"/>
        </w:numPr>
        <w:adjustRightInd w:val="0"/>
        <w:snapToGrid w:val="0"/>
        <w:spacing w:before="0" w:after="0" w:line="360" w:lineRule="auto"/>
        <w:rPr>
          <w:rFonts w:eastAsia="微软雅黑"/>
          <w:bCs w:val="0"/>
          <w:kern w:val="2"/>
          <w:sz w:val="24"/>
          <w:szCs w:val="24"/>
        </w:rPr>
      </w:pPr>
      <w:bookmarkStart w:id="109" w:name="_Toc30524"/>
      <w:r>
        <w:rPr>
          <w:rFonts w:eastAsia="微软雅黑"/>
          <w:sz w:val="24"/>
          <w:szCs w:val="24"/>
        </w:rPr>
        <w:t>Research design</w:t>
      </w:r>
      <w:bookmarkEnd w:id="109"/>
    </w:p>
    <w:p w14:paraId="464B5694">
      <w:pPr>
        <w:spacing w:line="360" w:lineRule="auto"/>
        <w:ind w:firstLine="480" w:firstLineChars="200"/>
        <w:rPr>
          <w:rFonts w:eastAsia="微软雅黑"/>
          <w:kern w:val="0"/>
          <w:sz w:val="24"/>
        </w:rPr>
      </w:pPr>
      <w:r>
        <w:rPr>
          <w:sz w:val="24"/>
          <w:lang w:bidi="ar"/>
        </w:rPr>
        <w:t>Single center, prospective, open-label,</w:t>
      </w:r>
      <w:r>
        <w:t xml:space="preserve"> </w:t>
      </w:r>
      <w:r>
        <w:rPr>
          <w:sz w:val="24"/>
          <w:lang w:bidi="ar"/>
        </w:rPr>
        <w:t>phase 3, parallel assignment, randomized controlled. ClinicalTrials.gov: NCT03050879. IRB number: 2016YF015-02</w:t>
      </w:r>
    </w:p>
    <w:p w14:paraId="3D312CF0">
      <w:pPr>
        <w:adjustRightInd w:val="0"/>
        <w:snapToGrid w:val="0"/>
        <w:spacing w:line="360" w:lineRule="auto"/>
        <w:rPr>
          <w:rFonts w:eastAsia="微软雅黑"/>
          <w:b/>
          <w:sz w:val="24"/>
        </w:rPr>
      </w:pPr>
      <w:r>
        <w:rPr>
          <w:rFonts w:eastAsia="微软雅黑"/>
          <w:b/>
          <w:sz w:val="24"/>
        </w:rPr>
        <w:t>3.1 Single center</w:t>
      </w:r>
    </w:p>
    <w:p w14:paraId="01CFEBDA">
      <w:pPr>
        <w:spacing w:line="360" w:lineRule="auto"/>
        <w:ind w:firstLine="480" w:firstLineChars="200"/>
        <w:rPr>
          <w:rFonts w:eastAsia="微软雅黑"/>
          <w:kern w:val="0"/>
          <w:sz w:val="24"/>
        </w:rPr>
      </w:pPr>
      <w:r>
        <w:rPr>
          <w:rFonts w:eastAsia="微软雅黑"/>
          <w:kern w:val="0"/>
          <w:sz w:val="24"/>
        </w:rPr>
        <w:t>Department of Gastric Surgery in Fujian Medical University Union Hospital</w:t>
      </w:r>
    </w:p>
    <w:p w14:paraId="3397E027">
      <w:pPr>
        <w:adjustRightInd w:val="0"/>
        <w:snapToGrid w:val="0"/>
        <w:spacing w:line="360" w:lineRule="auto"/>
        <w:rPr>
          <w:rFonts w:eastAsia="微软雅黑"/>
          <w:b/>
          <w:sz w:val="24"/>
        </w:rPr>
      </w:pPr>
      <w:r>
        <w:rPr>
          <w:rFonts w:eastAsia="微软雅黑"/>
          <w:b/>
          <w:sz w:val="24"/>
        </w:rPr>
        <w:t>3.2 Case group</w:t>
      </w:r>
    </w:p>
    <w:p w14:paraId="1121FEEB">
      <w:pPr>
        <w:pStyle w:val="33"/>
        <w:snapToGrid w:val="0"/>
        <w:spacing w:line="360" w:lineRule="auto"/>
        <w:ind w:firstLine="480" w:firstLineChars="200"/>
        <w:rPr>
          <w:rFonts w:ascii="Times New Roman" w:hAnsi="Times New Roman" w:eastAsia="微软雅黑" w:cs="Times New Roman"/>
          <w:color w:val="auto"/>
        </w:rPr>
      </w:pPr>
      <w:r>
        <w:rPr>
          <w:rFonts w:ascii="Times New Roman" w:hAnsi="Times New Roman" w:eastAsia="微软雅黑" w:cs="Times New Roman"/>
          <w:color w:val="auto"/>
        </w:rPr>
        <w:t xml:space="preserve">Group A (study group): laparoscopic gastrectomy group with the use of near-infrared imaging (ICG group) </w:t>
      </w:r>
    </w:p>
    <w:p w14:paraId="1EFA3E80">
      <w:pPr>
        <w:pStyle w:val="33"/>
        <w:snapToGrid w:val="0"/>
        <w:spacing w:line="360" w:lineRule="auto"/>
        <w:ind w:firstLine="480" w:firstLineChars="200"/>
        <w:rPr>
          <w:rFonts w:ascii="Times New Roman" w:hAnsi="Times New Roman" w:eastAsia="微软雅黑" w:cs="Times New Roman"/>
          <w:color w:val="auto"/>
        </w:rPr>
      </w:pPr>
      <w:r>
        <w:rPr>
          <w:rFonts w:ascii="Times New Roman" w:hAnsi="Times New Roman" w:eastAsia="微软雅黑" w:cs="Times New Roman"/>
          <w:color w:val="auto"/>
        </w:rPr>
        <w:t>Group B (control group): laparoscopic gastrectomy group without the use of near-infrared imaging (Non-ICG group)</w:t>
      </w:r>
    </w:p>
    <w:p w14:paraId="686D93A2">
      <w:pPr>
        <w:pStyle w:val="33"/>
        <w:snapToGrid w:val="0"/>
        <w:spacing w:line="360" w:lineRule="auto"/>
        <w:rPr>
          <w:rFonts w:ascii="Times New Roman" w:hAnsi="Times New Roman" w:eastAsia="微软雅黑" w:cs="Times New Roman"/>
          <w:b/>
          <w:color w:val="auto"/>
        </w:rPr>
      </w:pPr>
      <w:r>
        <w:rPr>
          <w:rFonts w:ascii="Times New Roman" w:hAnsi="Times New Roman" w:eastAsia="微软雅黑" w:cs="Times New Roman"/>
          <w:b/>
          <w:color w:val="auto"/>
          <w:kern w:val="2"/>
        </w:rPr>
        <w:t>3.3 Estimate Sample Size</w:t>
      </w:r>
    </w:p>
    <w:p w14:paraId="7499C579">
      <w:pPr>
        <w:adjustRightInd w:val="0"/>
        <w:snapToGrid w:val="0"/>
        <w:spacing w:line="360" w:lineRule="auto"/>
        <w:ind w:firstLine="480" w:firstLineChars="200"/>
        <w:rPr>
          <w:rFonts w:eastAsia="微软雅黑"/>
          <w:sz w:val="24"/>
        </w:rPr>
      </w:pPr>
      <w:r>
        <w:rPr>
          <w:rFonts w:eastAsia="微软雅黑"/>
          <w:sz w:val="24"/>
        </w:rPr>
        <w:t>This study is a superiority test (unilateral), whose primary outcome measure is the total number of retrieving LNs. According to the previous study results and related literature reports, the total number of LN dissections in the control group was about 32.9,</w:t>
      </w:r>
      <w:r>
        <w:rPr>
          <w:rFonts w:eastAsia="微软雅黑"/>
          <w:sz w:val="24"/>
          <w:vertAlign w:val="superscript"/>
        </w:rPr>
        <w:t>26-28</w:t>
      </w:r>
      <w:r>
        <w:rPr>
          <w:rFonts w:eastAsia="微软雅黑"/>
          <w:sz w:val="24"/>
        </w:rPr>
        <w:t xml:space="preserve"> This analysis was based on an α of 0.05, a power of 80%, and a margin delta of 15%, revealing that at least 107 patients would be necessary per group. Considering an expected dropout rate of 20%, it was determined that each group needed at least 133 patients, for a total of 266 cases. The sample size was calculated using nQuery Advisor software, version 7.0 (Statistical Solutions, Ltd). For both drop-ins and drop-outs, observation time will be censored at the time of drop-in or drop-out. </w:t>
      </w:r>
    </w:p>
    <w:p w14:paraId="506F947F">
      <w:pPr>
        <w:adjustRightInd w:val="0"/>
        <w:snapToGrid w:val="0"/>
        <w:spacing w:line="360" w:lineRule="auto"/>
        <w:rPr>
          <w:rFonts w:eastAsia="微软雅黑"/>
          <w:sz w:val="24"/>
        </w:rPr>
      </w:pPr>
      <w:r>
        <w:rPr>
          <w:rFonts w:eastAsia="微软雅黑"/>
          <w:b/>
          <w:sz w:val="24"/>
        </w:rPr>
        <w:t xml:space="preserve">3.4 </w:t>
      </w:r>
      <w:r>
        <w:rPr>
          <w:rFonts w:eastAsia="微软雅黑"/>
          <w:b/>
          <w:bCs/>
          <w:sz w:val="24"/>
        </w:rPr>
        <w:t>Blind method</w:t>
      </w:r>
      <w:r>
        <w:rPr>
          <w:rFonts w:eastAsia="微软雅黑"/>
          <w:b/>
          <w:sz w:val="24"/>
        </w:rPr>
        <w:t xml:space="preserve">: </w:t>
      </w:r>
      <w:r>
        <w:rPr>
          <w:rFonts w:eastAsia="微软雅黑"/>
          <w:sz w:val="24"/>
        </w:rPr>
        <w:t>This research adopts an open design</w:t>
      </w:r>
    </w:p>
    <w:p w14:paraId="77EE47E5">
      <w:pPr>
        <w:adjustRightInd w:val="0"/>
        <w:snapToGrid w:val="0"/>
        <w:spacing w:line="360" w:lineRule="auto"/>
        <w:rPr>
          <w:rFonts w:eastAsia="微软雅黑"/>
          <w:b/>
          <w:sz w:val="24"/>
        </w:rPr>
      </w:pPr>
      <w:r>
        <w:rPr>
          <w:rFonts w:eastAsia="微软雅黑"/>
          <w:b/>
          <w:sz w:val="24"/>
        </w:rPr>
        <w:t xml:space="preserve">3.5 </w:t>
      </w:r>
      <w:r>
        <w:rPr>
          <w:rFonts w:eastAsia="微软雅黑"/>
          <w:b/>
          <w:bCs/>
          <w:sz w:val="24"/>
        </w:rPr>
        <w:t>Research cycle</w:t>
      </w:r>
    </w:p>
    <w:p w14:paraId="249EC037">
      <w:pPr>
        <w:spacing w:line="360" w:lineRule="auto"/>
        <w:ind w:firstLine="480" w:firstLineChars="200"/>
        <w:rPr>
          <w:rFonts w:eastAsia="微软雅黑"/>
          <w:sz w:val="24"/>
        </w:rPr>
      </w:pPr>
      <w:r>
        <w:rPr>
          <w:rFonts w:eastAsia="微软雅黑"/>
          <w:sz w:val="24"/>
        </w:rPr>
        <w:t>Estimated enrollment cycle: complete enrollment within 4 years</w:t>
      </w:r>
    </w:p>
    <w:p w14:paraId="2ED109E0">
      <w:pPr>
        <w:adjustRightInd w:val="0"/>
        <w:snapToGrid w:val="0"/>
        <w:spacing w:line="360" w:lineRule="auto"/>
        <w:ind w:firstLine="480" w:firstLineChars="200"/>
        <w:rPr>
          <w:rFonts w:eastAsia="微软雅黑"/>
          <w:sz w:val="24"/>
        </w:rPr>
      </w:pPr>
      <w:r>
        <w:rPr>
          <w:rFonts w:eastAsia="微软雅黑"/>
          <w:sz w:val="24"/>
        </w:rPr>
        <w:t>Follow-up period: begin at the enrollment of the first case and end 1 month after the enrollment of the last case.</w:t>
      </w:r>
    </w:p>
    <w:p w14:paraId="7B264F74">
      <w:pPr>
        <w:adjustRightInd w:val="0"/>
        <w:snapToGrid w:val="0"/>
        <w:spacing w:line="360" w:lineRule="auto"/>
        <w:ind w:firstLine="480" w:firstLineChars="200"/>
        <w:rPr>
          <w:rFonts w:eastAsia="微软雅黑"/>
          <w:sz w:val="24"/>
        </w:rPr>
      </w:pPr>
      <w:r>
        <w:rPr>
          <w:rFonts w:eastAsia="微软雅黑"/>
          <w:sz w:val="24"/>
        </w:rPr>
        <w:t>Estimated time: 2017.01-2021.01 (to complete enrollment) - 2024.01 (to complete follow-up)</w:t>
      </w:r>
    </w:p>
    <w:p w14:paraId="068D2391">
      <w:pPr>
        <w:adjustRightInd w:val="0"/>
        <w:snapToGrid w:val="0"/>
        <w:spacing w:line="360" w:lineRule="auto"/>
        <w:ind w:firstLine="480" w:firstLineChars="200"/>
        <w:rPr>
          <w:rFonts w:eastAsia="微软雅黑"/>
          <w:sz w:val="24"/>
        </w:rPr>
      </w:pPr>
      <w:r>
        <w:rPr>
          <w:rFonts w:eastAsia="微软雅黑"/>
          <w:sz w:val="24"/>
        </w:rPr>
        <w:t>Actually time: 2017.01-2019.07 (to complete enrollment) - 202</w:t>
      </w:r>
      <w:r>
        <w:rPr>
          <w:rFonts w:hint="eastAsia" w:eastAsia="微软雅黑"/>
          <w:sz w:val="24"/>
          <w:lang w:val="en-US" w:eastAsia="zh-CN"/>
        </w:rPr>
        <w:t>4</w:t>
      </w:r>
      <w:r>
        <w:rPr>
          <w:rFonts w:eastAsia="微软雅黑"/>
          <w:sz w:val="24"/>
        </w:rPr>
        <w:t>.08 (to complete follow-up). Follow-up period changed to 3 years after the final participant’s randomization date.</w:t>
      </w:r>
    </w:p>
    <w:p w14:paraId="3593E0FE">
      <w:pPr>
        <w:numPr>
          <w:ilvl w:val="0"/>
          <w:numId w:val="21"/>
        </w:numPr>
        <w:adjustRightInd w:val="0"/>
        <w:snapToGrid w:val="0"/>
        <w:spacing w:line="360" w:lineRule="auto"/>
        <w:outlineLvl w:val="0"/>
        <w:rPr>
          <w:rFonts w:eastAsia="微软雅黑"/>
          <w:b/>
          <w:sz w:val="24"/>
        </w:rPr>
      </w:pPr>
      <w:bookmarkStart w:id="110" w:name="_Toc1651"/>
      <w:r>
        <w:rPr>
          <w:rFonts w:eastAsia="微软雅黑"/>
          <w:b/>
          <w:sz w:val="24"/>
        </w:rPr>
        <w:t>Study objects</w:t>
      </w:r>
      <w:bookmarkEnd w:id="110"/>
    </w:p>
    <w:p w14:paraId="507303C8">
      <w:pPr>
        <w:adjustRightInd w:val="0"/>
        <w:snapToGrid w:val="0"/>
        <w:spacing w:line="360" w:lineRule="auto"/>
        <w:ind w:firstLine="480" w:firstLineChars="200"/>
        <w:rPr>
          <w:rFonts w:eastAsia="微软雅黑"/>
          <w:sz w:val="24"/>
        </w:rPr>
      </w:pPr>
      <w:r>
        <w:rPr>
          <w:rFonts w:eastAsia="微软雅黑"/>
          <w:sz w:val="24"/>
        </w:rPr>
        <w:t>All patients who meet the inclusion criteria and not conform to the exclusion criteria are qualified for this study.</w:t>
      </w:r>
    </w:p>
    <w:p w14:paraId="4A6C1469">
      <w:pPr>
        <w:adjustRightInd w:val="0"/>
        <w:snapToGrid w:val="0"/>
        <w:spacing w:line="360" w:lineRule="auto"/>
        <w:jc w:val="left"/>
        <w:rPr>
          <w:rFonts w:eastAsia="微软雅黑"/>
          <w:b/>
          <w:sz w:val="24"/>
        </w:rPr>
      </w:pPr>
      <w:r>
        <w:rPr>
          <w:rFonts w:eastAsia="微软雅黑"/>
          <w:b/>
          <w:sz w:val="24"/>
        </w:rPr>
        <w:t xml:space="preserve">4.1 Inclusion criteria </w:t>
      </w:r>
    </w:p>
    <w:p w14:paraId="2F85C29C">
      <w:pPr>
        <w:pStyle w:val="25"/>
        <w:numPr>
          <w:ilvl w:val="255"/>
          <w:numId w:val="0"/>
        </w:numPr>
        <w:adjustRightInd w:val="0"/>
        <w:snapToGrid w:val="0"/>
        <w:spacing w:line="360" w:lineRule="auto"/>
        <w:rPr>
          <w:rFonts w:eastAsia="微软雅黑"/>
          <w:sz w:val="24"/>
        </w:rPr>
      </w:pPr>
      <w:r>
        <w:rPr>
          <w:rFonts w:eastAsia="微软雅黑"/>
          <w:sz w:val="24"/>
        </w:rPr>
        <w:t>(1) Age from 18 to 75 years</w:t>
      </w:r>
    </w:p>
    <w:p w14:paraId="26FBF200">
      <w:pPr>
        <w:pStyle w:val="25"/>
        <w:numPr>
          <w:ilvl w:val="255"/>
          <w:numId w:val="0"/>
        </w:numPr>
        <w:adjustRightInd w:val="0"/>
        <w:snapToGrid w:val="0"/>
        <w:spacing w:line="360" w:lineRule="auto"/>
        <w:rPr>
          <w:rFonts w:eastAsia="微软雅黑"/>
          <w:sz w:val="24"/>
        </w:rPr>
      </w:pPr>
      <w:r>
        <w:rPr>
          <w:rFonts w:eastAsia="微软雅黑"/>
          <w:sz w:val="24"/>
        </w:rPr>
        <w:t>(2) Primary gastric adenocarcinoma (papillary, tubular, mucinous, signet ring cell, or poorly differentiated) confirmed pathologically by endoscopic biopsy</w:t>
      </w:r>
    </w:p>
    <w:p w14:paraId="6B9F0039">
      <w:pPr>
        <w:pStyle w:val="25"/>
        <w:numPr>
          <w:ilvl w:val="255"/>
          <w:numId w:val="0"/>
        </w:numPr>
        <w:adjustRightInd w:val="0"/>
        <w:snapToGrid w:val="0"/>
        <w:spacing w:line="360" w:lineRule="auto"/>
        <w:rPr>
          <w:rFonts w:eastAsia="微软雅黑"/>
          <w:sz w:val="24"/>
        </w:rPr>
      </w:pPr>
      <w:r>
        <w:rPr>
          <w:rFonts w:eastAsia="微软雅黑"/>
          <w:sz w:val="24"/>
        </w:rPr>
        <w:t xml:space="preserve">(3) Clinical stage tumor T1-4a (cT1-4a), N-/+, M0 at preoperative evaluation according to the American Joint Committee on Cancer (AJCC) Cancer Staging Manual Seventh Edition </w:t>
      </w:r>
    </w:p>
    <w:p w14:paraId="2382132E">
      <w:pPr>
        <w:pStyle w:val="25"/>
        <w:numPr>
          <w:ilvl w:val="255"/>
          <w:numId w:val="0"/>
        </w:numPr>
        <w:adjustRightInd w:val="0"/>
        <w:snapToGrid w:val="0"/>
        <w:spacing w:line="360" w:lineRule="auto"/>
        <w:rPr>
          <w:rFonts w:eastAsia="微软雅黑"/>
          <w:sz w:val="24"/>
        </w:rPr>
      </w:pPr>
      <w:r>
        <w:rPr>
          <w:rFonts w:eastAsia="微软雅黑"/>
          <w:sz w:val="24"/>
        </w:rPr>
        <w:t xml:space="preserve">(4) No distant metastasis, no direct invasion of pancreas, spleen or other organs nearby in the preoperative examinations </w:t>
      </w:r>
    </w:p>
    <w:p w14:paraId="494C3859">
      <w:pPr>
        <w:pStyle w:val="25"/>
        <w:numPr>
          <w:ilvl w:val="255"/>
          <w:numId w:val="0"/>
        </w:numPr>
        <w:adjustRightInd w:val="0"/>
        <w:snapToGrid w:val="0"/>
        <w:spacing w:line="360" w:lineRule="auto"/>
        <w:rPr>
          <w:rFonts w:eastAsia="微软雅黑"/>
          <w:sz w:val="24"/>
        </w:rPr>
      </w:pPr>
      <w:r>
        <w:rPr>
          <w:rFonts w:eastAsia="微软雅黑"/>
          <w:sz w:val="24"/>
        </w:rPr>
        <w:t>(5) Performance status of 0 or 1 on the ECOG (Eastern Cooperative Oncology Group) scale</w:t>
      </w:r>
    </w:p>
    <w:p w14:paraId="61CF5FEB">
      <w:pPr>
        <w:pStyle w:val="25"/>
        <w:numPr>
          <w:ilvl w:val="255"/>
          <w:numId w:val="0"/>
        </w:numPr>
        <w:adjustRightInd w:val="0"/>
        <w:snapToGrid w:val="0"/>
        <w:spacing w:line="360" w:lineRule="auto"/>
        <w:rPr>
          <w:rFonts w:eastAsia="微软雅黑"/>
          <w:sz w:val="24"/>
        </w:rPr>
      </w:pPr>
      <w:r>
        <w:rPr>
          <w:rFonts w:eastAsia="微软雅黑"/>
          <w:sz w:val="24"/>
        </w:rPr>
        <w:t>(6) ASA (American Society of Anesthesiology) class I to III</w:t>
      </w:r>
    </w:p>
    <w:p w14:paraId="5F411E28">
      <w:pPr>
        <w:pStyle w:val="25"/>
        <w:numPr>
          <w:ilvl w:val="255"/>
          <w:numId w:val="0"/>
        </w:numPr>
        <w:adjustRightInd w:val="0"/>
        <w:snapToGrid w:val="0"/>
        <w:spacing w:line="360" w:lineRule="auto"/>
        <w:rPr>
          <w:rFonts w:eastAsia="微软雅黑"/>
          <w:sz w:val="24"/>
        </w:rPr>
      </w:pPr>
      <w:r>
        <w:rPr>
          <w:rFonts w:eastAsia="微软雅黑"/>
          <w:sz w:val="24"/>
        </w:rPr>
        <w:t>(7) The written informed consent of subjects must be given before study-related activities are conducted.</w:t>
      </w:r>
    </w:p>
    <w:p w14:paraId="2A017EFB">
      <w:pPr>
        <w:pStyle w:val="25"/>
        <w:adjustRightInd w:val="0"/>
        <w:snapToGrid w:val="0"/>
        <w:spacing w:line="360" w:lineRule="auto"/>
        <w:ind w:firstLine="0" w:firstLineChars="0"/>
        <w:jc w:val="left"/>
        <w:rPr>
          <w:rFonts w:eastAsia="微软雅黑"/>
          <w:b/>
          <w:bCs/>
          <w:sz w:val="24"/>
        </w:rPr>
      </w:pPr>
      <w:r>
        <w:rPr>
          <w:rFonts w:eastAsia="微软雅黑"/>
          <w:b/>
          <w:bCs/>
          <w:sz w:val="24"/>
        </w:rPr>
        <w:t>4.2 Exclusion criteria</w:t>
      </w:r>
    </w:p>
    <w:p w14:paraId="6E8ADDB7">
      <w:pPr>
        <w:pStyle w:val="25"/>
        <w:numPr>
          <w:ilvl w:val="255"/>
          <w:numId w:val="0"/>
        </w:numPr>
        <w:adjustRightInd w:val="0"/>
        <w:snapToGrid w:val="0"/>
        <w:spacing w:line="360" w:lineRule="auto"/>
        <w:rPr>
          <w:rFonts w:eastAsia="微软雅黑"/>
          <w:sz w:val="24"/>
        </w:rPr>
      </w:pPr>
      <w:r>
        <w:rPr>
          <w:rFonts w:eastAsia="微软雅黑"/>
          <w:sz w:val="24"/>
        </w:rPr>
        <w:t>(1) Women during pregnancy or breast-feeding</w:t>
      </w:r>
    </w:p>
    <w:p w14:paraId="3CB867D9">
      <w:pPr>
        <w:pStyle w:val="25"/>
        <w:numPr>
          <w:ilvl w:val="255"/>
          <w:numId w:val="0"/>
        </w:numPr>
        <w:adjustRightInd w:val="0"/>
        <w:snapToGrid w:val="0"/>
        <w:spacing w:line="360" w:lineRule="auto"/>
        <w:rPr>
          <w:rFonts w:eastAsia="微软雅黑"/>
          <w:sz w:val="24"/>
        </w:rPr>
      </w:pPr>
      <w:r>
        <w:rPr>
          <w:rFonts w:eastAsia="微软雅黑"/>
          <w:sz w:val="24"/>
        </w:rPr>
        <w:t>(2) Severe mental disorder</w:t>
      </w:r>
    </w:p>
    <w:p w14:paraId="47F967E1">
      <w:pPr>
        <w:pStyle w:val="25"/>
        <w:numPr>
          <w:ilvl w:val="255"/>
          <w:numId w:val="0"/>
        </w:numPr>
        <w:adjustRightInd w:val="0"/>
        <w:snapToGrid w:val="0"/>
        <w:spacing w:line="360" w:lineRule="auto"/>
        <w:rPr>
          <w:rFonts w:eastAsia="微软雅黑"/>
          <w:sz w:val="24"/>
        </w:rPr>
      </w:pPr>
      <w:r>
        <w:rPr>
          <w:rFonts w:eastAsia="微软雅黑"/>
          <w:sz w:val="24"/>
        </w:rPr>
        <w:t>(3) History of previous upper abdominal surgery (except for laparoscopic cholecystectomy)</w:t>
      </w:r>
    </w:p>
    <w:p w14:paraId="123DE42E">
      <w:pPr>
        <w:pStyle w:val="25"/>
        <w:numPr>
          <w:ilvl w:val="255"/>
          <w:numId w:val="0"/>
        </w:numPr>
        <w:adjustRightInd w:val="0"/>
        <w:snapToGrid w:val="0"/>
        <w:spacing w:line="360" w:lineRule="auto"/>
        <w:rPr>
          <w:rFonts w:eastAsia="微软雅黑"/>
          <w:sz w:val="24"/>
        </w:rPr>
      </w:pPr>
      <w:r>
        <w:rPr>
          <w:rFonts w:eastAsia="微软雅黑"/>
          <w:sz w:val="24"/>
        </w:rPr>
        <w:t>(4) History of previous gastric surgery (including ESD/EMR for gastric cancer)</w:t>
      </w:r>
    </w:p>
    <w:p w14:paraId="7977E8CF">
      <w:pPr>
        <w:pStyle w:val="25"/>
        <w:numPr>
          <w:ilvl w:val="255"/>
          <w:numId w:val="0"/>
        </w:numPr>
        <w:adjustRightInd w:val="0"/>
        <w:snapToGrid w:val="0"/>
        <w:spacing w:line="360" w:lineRule="auto"/>
        <w:rPr>
          <w:rFonts w:eastAsia="微软雅黑"/>
          <w:sz w:val="24"/>
        </w:rPr>
      </w:pPr>
      <w:r>
        <w:rPr>
          <w:rFonts w:eastAsia="微软雅黑"/>
          <w:sz w:val="24"/>
        </w:rPr>
        <w:t>(5) Rejection of laparoscopic resection</w:t>
      </w:r>
    </w:p>
    <w:p w14:paraId="14B07695">
      <w:pPr>
        <w:pStyle w:val="25"/>
        <w:numPr>
          <w:ilvl w:val="255"/>
          <w:numId w:val="0"/>
        </w:numPr>
        <w:adjustRightInd w:val="0"/>
        <w:snapToGrid w:val="0"/>
        <w:spacing w:line="360" w:lineRule="auto"/>
        <w:rPr>
          <w:rFonts w:eastAsia="微软雅黑"/>
          <w:sz w:val="24"/>
        </w:rPr>
      </w:pPr>
      <w:r>
        <w:rPr>
          <w:rFonts w:eastAsia="微软雅黑"/>
          <w:sz w:val="24"/>
        </w:rPr>
        <w:t>(6) History of allergy to iodine agents</w:t>
      </w:r>
    </w:p>
    <w:p w14:paraId="2EC16EA8">
      <w:pPr>
        <w:pStyle w:val="25"/>
        <w:numPr>
          <w:ilvl w:val="255"/>
          <w:numId w:val="0"/>
        </w:numPr>
        <w:adjustRightInd w:val="0"/>
        <w:snapToGrid w:val="0"/>
        <w:spacing w:line="360" w:lineRule="auto"/>
        <w:rPr>
          <w:rFonts w:eastAsia="微软雅黑"/>
          <w:sz w:val="24"/>
        </w:rPr>
      </w:pPr>
      <w:r>
        <w:rPr>
          <w:rFonts w:eastAsia="微软雅黑"/>
          <w:sz w:val="24"/>
        </w:rPr>
        <w:t>(7) Enlarged or bulky regional LN diameter over 3cm by preoperative imaging</w:t>
      </w:r>
    </w:p>
    <w:p w14:paraId="1A0D826D">
      <w:pPr>
        <w:pStyle w:val="25"/>
        <w:numPr>
          <w:ilvl w:val="255"/>
          <w:numId w:val="0"/>
        </w:numPr>
        <w:adjustRightInd w:val="0"/>
        <w:snapToGrid w:val="0"/>
        <w:spacing w:line="360" w:lineRule="auto"/>
        <w:rPr>
          <w:rFonts w:eastAsia="微软雅黑"/>
          <w:sz w:val="24"/>
        </w:rPr>
      </w:pPr>
      <w:r>
        <w:rPr>
          <w:rFonts w:eastAsia="微软雅黑"/>
          <w:sz w:val="24"/>
        </w:rPr>
        <w:t>(8) History of other malignant disease within past five years</w:t>
      </w:r>
    </w:p>
    <w:p w14:paraId="23021CD9">
      <w:pPr>
        <w:pStyle w:val="25"/>
        <w:numPr>
          <w:ilvl w:val="255"/>
          <w:numId w:val="0"/>
        </w:numPr>
        <w:adjustRightInd w:val="0"/>
        <w:snapToGrid w:val="0"/>
        <w:spacing w:line="360" w:lineRule="auto"/>
        <w:rPr>
          <w:rFonts w:eastAsia="微软雅黑"/>
          <w:sz w:val="24"/>
        </w:rPr>
      </w:pPr>
      <w:r>
        <w:rPr>
          <w:rFonts w:eastAsia="微软雅黑"/>
          <w:sz w:val="24"/>
        </w:rPr>
        <w:t>(9)</w:t>
      </w:r>
      <w:r>
        <w:t xml:space="preserve"> </w:t>
      </w:r>
      <w:r>
        <w:rPr>
          <w:rFonts w:eastAsia="微软雅黑"/>
          <w:sz w:val="24"/>
        </w:rPr>
        <w:t>History of previous neoadjuvant chemotherapy or radiotherapy</w:t>
      </w:r>
    </w:p>
    <w:p w14:paraId="33EF4DE0">
      <w:pPr>
        <w:pStyle w:val="25"/>
        <w:numPr>
          <w:ilvl w:val="255"/>
          <w:numId w:val="0"/>
        </w:numPr>
        <w:adjustRightInd w:val="0"/>
        <w:snapToGrid w:val="0"/>
        <w:spacing w:line="360" w:lineRule="auto"/>
        <w:rPr>
          <w:rFonts w:eastAsia="微软雅黑"/>
          <w:sz w:val="24"/>
        </w:rPr>
      </w:pPr>
      <w:r>
        <w:rPr>
          <w:rFonts w:eastAsia="微软雅黑"/>
          <w:sz w:val="24"/>
        </w:rPr>
        <w:t>(10) History of unstable angina or myocardial infarction within the past six months</w:t>
      </w:r>
    </w:p>
    <w:p w14:paraId="77789AE7">
      <w:pPr>
        <w:pStyle w:val="25"/>
        <w:numPr>
          <w:ilvl w:val="255"/>
          <w:numId w:val="0"/>
        </w:numPr>
        <w:adjustRightInd w:val="0"/>
        <w:snapToGrid w:val="0"/>
        <w:spacing w:line="360" w:lineRule="auto"/>
        <w:rPr>
          <w:rFonts w:eastAsia="微软雅黑"/>
          <w:sz w:val="24"/>
        </w:rPr>
      </w:pPr>
      <w:r>
        <w:rPr>
          <w:rFonts w:eastAsia="微软雅黑"/>
          <w:sz w:val="24"/>
        </w:rPr>
        <w:t>(11) History of unstable angina or myocardial infarction within past six months</w:t>
      </w:r>
    </w:p>
    <w:p w14:paraId="52944916">
      <w:pPr>
        <w:pStyle w:val="25"/>
        <w:numPr>
          <w:ilvl w:val="255"/>
          <w:numId w:val="0"/>
        </w:numPr>
        <w:adjustRightInd w:val="0"/>
        <w:snapToGrid w:val="0"/>
        <w:spacing w:line="360" w:lineRule="auto"/>
        <w:rPr>
          <w:rFonts w:eastAsia="微软雅黑"/>
          <w:sz w:val="24"/>
        </w:rPr>
      </w:pPr>
      <w:r>
        <w:rPr>
          <w:rFonts w:eastAsia="微软雅黑"/>
          <w:sz w:val="24"/>
        </w:rPr>
        <w:t>(12) History of continuous systematic administration of corticosteroids within one month</w:t>
      </w:r>
    </w:p>
    <w:p w14:paraId="6DFFCBFF">
      <w:pPr>
        <w:pStyle w:val="25"/>
        <w:numPr>
          <w:ilvl w:val="255"/>
          <w:numId w:val="0"/>
        </w:numPr>
        <w:adjustRightInd w:val="0"/>
        <w:snapToGrid w:val="0"/>
        <w:spacing w:line="360" w:lineRule="auto"/>
        <w:rPr>
          <w:rFonts w:eastAsia="微软雅黑"/>
          <w:sz w:val="24"/>
        </w:rPr>
      </w:pPr>
      <w:r>
        <w:rPr>
          <w:rFonts w:eastAsia="微软雅黑"/>
          <w:sz w:val="24"/>
        </w:rPr>
        <w:t>(13) Requirement of simultaneous surgery for another disease</w:t>
      </w:r>
    </w:p>
    <w:p w14:paraId="6736E268">
      <w:pPr>
        <w:pStyle w:val="25"/>
        <w:numPr>
          <w:ilvl w:val="255"/>
          <w:numId w:val="0"/>
        </w:numPr>
        <w:adjustRightInd w:val="0"/>
        <w:snapToGrid w:val="0"/>
        <w:spacing w:line="360" w:lineRule="auto"/>
        <w:rPr>
          <w:rFonts w:eastAsia="微软雅黑"/>
          <w:sz w:val="24"/>
        </w:rPr>
      </w:pPr>
      <w:r>
        <w:rPr>
          <w:rFonts w:eastAsia="微软雅黑"/>
          <w:sz w:val="24"/>
        </w:rPr>
        <w:t>(14) Emergency surgery due to complications (bleeding, obstruction or perforation) caused by gastric cancer</w:t>
      </w:r>
    </w:p>
    <w:p w14:paraId="3AFD15EE">
      <w:pPr>
        <w:pStyle w:val="25"/>
        <w:numPr>
          <w:ilvl w:val="255"/>
          <w:numId w:val="0"/>
        </w:numPr>
        <w:adjustRightInd w:val="0"/>
        <w:snapToGrid w:val="0"/>
        <w:spacing w:line="360" w:lineRule="auto"/>
        <w:rPr>
          <w:rFonts w:eastAsia="微软雅黑"/>
          <w:sz w:val="24"/>
        </w:rPr>
      </w:pPr>
      <w:r>
        <w:rPr>
          <w:rFonts w:eastAsia="微软雅黑"/>
          <w:sz w:val="24"/>
        </w:rPr>
        <w:t>(15) FEV1&lt;50% of the predicted values</w:t>
      </w:r>
    </w:p>
    <w:p w14:paraId="1ED6A6AC">
      <w:pPr>
        <w:adjustRightInd w:val="0"/>
        <w:snapToGrid w:val="0"/>
        <w:spacing w:line="360" w:lineRule="auto"/>
        <w:jc w:val="left"/>
        <w:rPr>
          <w:rFonts w:eastAsia="微软雅黑"/>
          <w:b/>
          <w:sz w:val="24"/>
        </w:rPr>
      </w:pPr>
      <w:r>
        <w:rPr>
          <w:rFonts w:eastAsia="微软雅黑"/>
          <w:sz w:val="24"/>
        </w:rPr>
        <w:t>(16) Linitis plastica, Widespread</w:t>
      </w:r>
    </w:p>
    <w:p w14:paraId="3826424C">
      <w:pPr>
        <w:adjustRightInd w:val="0"/>
        <w:snapToGrid w:val="0"/>
        <w:spacing w:line="360" w:lineRule="auto"/>
        <w:rPr>
          <w:rFonts w:eastAsia="微软雅黑"/>
          <w:b/>
          <w:sz w:val="24"/>
        </w:rPr>
      </w:pPr>
      <w:r>
        <w:rPr>
          <w:rFonts w:eastAsia="微软雅黑"/>
          <w:b/>
          <w:sz w:val="24"/>
        </w:rPr>
        <w:t xml:space="preserve">4.3 </w:t>
      </w:r>
      <w:r>
        <w:rPr>
          <w:rFonts w:hint="eastAsia" w:eastAsia="微软雅黑"/>
          <w:b/>
          <w:bCs/>
          <w:sz w:val="24"/>
          <w:lang w:val="en-US" w:eastAsia="zh-CN"/>
        </w:rPr>
        <w:t>W</w:t>
      </w:r>
      <w:r>
        <w:rPr>
          <w:rFonts w:hint="eastAsia" w:eastAsia="微软雅黑"/>
          <w:b/>
          <w:bCs/>
          <w:sz w:val="24"/>
        </w:rPr>
        <w:t>ithdrawal</w:t>
      </w:r>
      <w:r>
        <w:rPr>
          <w:rFonts w:eastAsia="微软雅黑"/>
          <w:b/>
          <w:bCs/>
          <w:sz w:val="24"/>
        </w:rPr>
        <w:t xml:space="preserve"> criteria</w:t>
      </w:r>
    </w:p>
    <w:p w14:paraId="52A89764">
      <w:pPr>
        <w:pStyle w:val="25"/>
        <w:numPr>
          <w:ilvl w:val="0"/>
          <w:numId w:val="22"/>
        </w:numPr>
        <w:adjustRightInd w:val="0"/>
        <w:snapToGrid w:val="0"/>
        <w:spacing w:line="360" w:lineRule="auto"/>
        <w:ind w:firstLine="0" w:firstLineChars="0"/>
        <w:rPr>
          <w:rFonts w:eastAsia="微软雅黑"/>
          <w:sz w:val="24"/>
        </w:rPr>
      </w:pPr>
      <w:r>
        <w:rPr>
          <w:rFonts w:eastAsia="微软雅黑"/>
          <w:sz w:val="24"/>
        </w:rPr>
        <w:t xml:space="preserve">M1 tumor confirmed intraoperatively or postoperatively: distant metastasis only found by intraoperative exploration or postoperative pathological biopsy or a positive postoperative peritoneal lavage cytology examination; </w:t>
      </w:r>
    </w:p>
    <w:p w14:paraId="68FDB1E6">
      <w:pPr>
        <w:pStyle w:val="25"/>
        <w:numPr>
          <w:ilvl w:val="0"/>
          <w:numId w:val="22"/>
        </w:numPr>
        <w:adjustRightInd w:val="0"/>
        <w:snapToGrid w:val="0"/>
        <w:spacing w:line="360" w:lineRule="auto"/>
        <w:ind w:firstLine="0" w:firstLineChars="0"/>
        <w:rPr>
          <w:rFonts w:eastAsia="微软雅黑"/>
          <w:sz w:val="24"/>
        </w:rPr>
      </w:pPr>
      <w:r>
        <w:rPr>
          <w:rFonts w:eastAsia="微软雅黑"/>
          <w:sz w:val="24"/>
        </w:rPr>
        <w:t>Patients intraoperatively/postoperatively confirmed as T4b, or tumor invading the duodenum;</w:t>
      </w:r>
    </w:p>
    <w:p w14:paraId="4CD10D15">
      <w:pPr>
        <w:pStyle w:val="25"/>
        <w:numPr>
          <w:ilvl w:val="0"/>
          <w:numId w:val="22"/>
        </w:numPr>
        <w:adjustRightInd w:val="0"/>
        <w:snapToGrid w:val="0"/>
        <w:spacing w:line="360" w:lineRule="auto"/>
        <w:ind w:firstLine="0" w:firstLineChars="0"/>
        <w:rPr>
          <w:rFonts w:eastAsia="微软雅黑"/>
          <w:sz w:val="24"/>
        </w:rPr>
      </w:pPr>
      <w:r>
        <w:rPr>
          <w:rFonts w:eastAsia="微软雅黑"/>
          <w:sz w:val="24"/>
        </w:rPr>
        <w:t xml:space="preserve">Patients intraoperatively confirmed as unable to complete D2 LN dissection/R0 resection due to tumor: unable to complete R0 resection due to regional LN integration into a mass or surrounded with important blood vessels, which cannot be resected; </w:t>
      </w:r>
    </w:p>
    <w:p w14:paraId="48A29054">
      <w:pPr>
        <w:pStyle w:val="25"/>
        <w:numPr>
          <w:ilvl w:val="0"/>
          <w:numId w:val="22"/>
        </w:numPr>
        <w:adjustRightInd w:val="0"/>
        <w:snapToGrid w:val="0"/>
        <w:spacing w:line="360" w:lineRule="auto"/>
        <w:ind w:firstLine="0" w:firstLineChars="0"/>
        <w:rPr>
          <w:rFonts w:eastAsia="微软雅黑"/>
          <w:sz w:val="24"/>
        </w:rPr>
      </w:pPr>
      <w:r>
        <w:rPr>
          <w:rFonts w:eastAsia="微软雅黑"/>
          <w:sz w:val="24"/>
        </w:rPr>
        <w:t xml:space="preserve">Patients requiring simultaneous surgical treatment of other diseases;   </w:t>
      </w:r>
    </w:p>
    <w:p w14:paraId="6F1DB235">
      <w:pPr>
        <w:pStyle w:val="25"/>
        <w:numPr>
          <w:ilvl w:val="0"/>
          <w:numId w:val="22"/>
        </w:numPr>
        <w:adjustRightInd w:val="0"/>
        <w:snapToGrid w:val="0"/>
        <w:spacing w:line="360" w:lineRule="auto"/>
        <w:ind w:firstLine="0" w:firstLineChars="0"/>
        <w:rPr>
          <w:rFonts w:eastAsia="微软雅黑"/>
          <w:sz w:val="24"/>
        </w:rPr>
      </w:pPr>
      <w:r>
        <w:rPr>
          <w:rFonts w:eastAsia="微软雅黑"/>
          <w:sz w:val="24"/>
        </w:rPr>
        <w:t xml:space="preserve">Sudden severe complications during the perioperative period (intolerable surgery or anesthesia), which renders it unsuitable or unfeasible to implement the study treatment protocol as scheduled;   </w:t>
      </w:r>
    </w:p>
    <w:p w14:paraId="29C48C16">
      <w:pPr>
        <w:pStyle w:val="25"/>
        <w:numPr>
          <w:ilvl w:val="0"/>
          <w:numId w:val="22"/>
        </w:numPr>
        <w:adjustRightInd w:val="0"/>
        <w:snapToGrid w:val="0"/>
        <w:spacing w:line="360" w:lineRule="auto"/>
        <w:ind w:firstLine="0" w:firstLineChars="0"/>
        <w:rPr>
          <w:rFonts w:eastAsia="微软雅黑"/>
          <w:sz w:val="24"/>
        </w:rPr>
      </w:pPr>
      <w:r>
        <w:rPr>
          <w:rFonts w:eastAsia="微软雅黑"/>
          <w:sz w:val="24"/>
        </w:rPr>
        <w:t xml:space="preserve">Patients confirmed to require emergency surgery by attending physicians due to changes in the patient’s condition after inclusion in this study; </w:t>
      </w:r>
    </w:p>
    <w:p w14:paraId="4948F53C">
      <w:pPr>
        <w:pStyle w:val="25"/>
        <w:numPr>
          <w:ilvl w:val="0"/>
          <w:numId w:val="22"/>
        </w:numPr>
        <w:adjustRightInd w:val="0"/>
        <w:snapToGrid w:val="0"/>
        <w:spacing w:line="360" w:lineRule="auto"/>
        <w:ind w:firstLine="0" w:firstLineChars="0"/>
        <w:rPr>
          <w:rFonts w:eastAsia="微软雅黑"/>
          <w:sz w:val="24"/>
        </w:rPr>
      </w:pPr>
      <w:r>
        <w:rPr>
          <w:rFonts w:eastAsia="微软雅黑"/>
          <w:sz w:val="24"/>
        </w:rPr>
        <w:t xml:space="preserve">Patients who voluntarily quit or discontinue treatment for personal reasons at any stage after inclusion in this study; </w:t>
      </w:r>
    </w:p>
    <w:p w14:paraId="39738E74">
      <w:pPr>
        <w:pStyle w:val="25"/>
        <w:numPr>
          <w:ilvl w:val="0"/>
          <w:numId w:val="22"/>
        </w:numPr>
        <w:adjustRightInd w:val="0"/>
        <w:snapToGrid w:val="0"/>
        <w:spacing w:line="360" w:lineRule="auto"/>
        <w:ind w:firstLine="0" w:firstLineChars="0"/>
        <w:rPr>
          <w:rFonts w:eastAsia="微软雅黑"/>
          <w:sz w:val="24"/>
        </w:rPr>
      </w:pPr>
      <w:r>
        <w:rPr>
          <w:rFonts w:eastAsia="微软雅黑"/>
          <w:sz w:val="24"/>
        </w:rPr>
        <w:t>Treatment implemented is proven to violate study protocol.</w:t>
      </w:r>
    </w:p>
    <w:p w14:paraId="74FDD065">
      <w:pPr>
        <w:pStyle w:val="25"/>
        <w:adjustRightInd w:val="0"/>
        <w:snapToGrid w:val="0"/>
        <w:spacing w:line="360" w:lineRule="auto"/>
        <w:ind w:firstLine="0" w:firstLineChars="0"/>
        <w:rPr>
          <w:rFonts w:eastAsia="微软雅黑"/>
          <w:sz w:val="24"/>
        </w:rPr>
      </w:pPr>
    </w:p>
    <w:p w14:paraId="666623A1">
      <w:pPr>
        <w:adjustRightInd w:val="0"/>
        <w:snapToGrid w:val="0"/>
        <w:spacing w:line="360" w:lineRule="auto"/>
        <w:rPr>
          <w:rFonts w:eastAsia="微软雅黑"/>
          <w:b/>
          <w:sz w:val="28"/>
          <w:szCs w:val="28"/>
        </w:rPr>
      </w:pPr>
      <w:r>
        <w:rPr>
          <w:rFonts w:eastAsia="微软雅黑"/>
          <w:b/>
          <w:sz w:val="24"/>
        </w:rPr>
        <w:t>4.4 Case screening</w:t>
      </w:r>
    </w:p>
    <w:p w14:paraId="2642E3D3">
      <w:pPr>
        <w:adjustRightInd w:val="0"/>
        <w:snapToGrid w:val="0"/>
        <w:spacing w:line="360" w:lineRule="auto"/>
        <w:ind w:left="440" w:hanging="440" w:hangingChars="200"/>
        <w:rPr>
          <w:rFonts w:eastAsia="微软雅黑"/>
          <w:sz w:val="24"/>
        </w:rPr>
      </w:pPr>
      <w:r>
        <w:rPr>
          <w:rFonts w:eastAsia="微软雅黑"/>
          <w:sz w:val="22"/>
          <w:szCs w:val="22"/>
        </w:rPr>
        <w:t>(1</w:t>
      </w:r>
      <w:r>
        <w:rPr>
          <w:rFonts w:eastAsia="微软雅黑"/>
          <w:sz w:val="24"/>
        </w:rPr>
        <w:t>) When Patients admitted to hospital should meet the following criteria: Age between 18 and 75 years old; Performance status of 0 or 1 on the ECOG scale; None-pregnant or no lactating women; Not suffering from a severe mental disorder; No history of previous upper abdominal surgery (except for laparoscopic cholecystectomy); No history of previous gastric surgery (including ESD/EMR for gastric cancer); No History of other malignant disease within the past five years; No history of unstable angina or myocardial infarction within the past six months; No history of continuous systematic administration of corticosteroids within one month; No requirement of simultaneous surgery for another disease; FEV1≥50% of the predicted values; No history of a cerebrovascular accident within the past six months.</w:t>
      </w:r>
    </w:p>
    <w:p w14:paraId="0EC286CA">
      <w:pPr>
        <w:adjustRightInd w:val="0"/>
        <w:snapToGrid w:val="0"/>
        <w:spacing w:line="360" w:lineRule="auto"/>
        <w:ind w:left="480" w:hanging="480" w:hangingChars="200"/>
        <w:rPr>
          <w:rFonts w:eastAsia="微软雅黑"/>
          <w:sz w:val="24"/>
        </w:rPr>
      </w:pPr>
      <w:r>
        <w:rPr>
          <w:rFonts w:eastAsia="微软雅黑"/>
          <w:sz w:val="24"/>
        </w:rPr>
        <w:t>(2) Endoscopic examination of the primary lesion in the patient (recommended endoscopic ultrasound endoscopy, EUS) and histopathological biopsy showed gastric adenocarcinoma (papillary adenocarcinoma [pap], tubular adenocarcinoma [tub], mucinous adenocarcinoma [muc], signet ring cell carcinoma [sig], and poorly differentiated adenocarcinoma [por]). Total abdominal CT was performed on the patient, and no enlarged LNs (maximum diameter ≥ 3 cm) were found in the periplasmic area, including significant enlargement or merging of the No. 10 LNs into a group or local invasion/distance metastasis. No obvious tumor infiltration was found in the spleen and spleen vessels.</w:t>
      </w:r>
    </w:p>
    <w:p w14:paraId="6B162E81">
      <w:pPr>
        <w:adjustRightInd w:val="0"/>
        <w:snapToGrid w:val="0"/>
        <w:spacing w:line="360" w:lineRule="auto"/>
        <w:ind w:left="480" w:hanging="480" w:hangingChars="200"/>
        <w:rPr>
          <w:rFonts w:eastAsia="微软雅黑"/>
          <w:sz w:val="24"/>
        </w:rPr>
      </w:pPr>
      <w:r>
        <w:rPr>
          <w:rFonts w:eastAsia="微软雅黑"/>
          <w:sz w:val="24"/>
        </w:rPr>
        <w:t>(3) Patient is explicitly diagnosed with upper third gastric cancer, has a preoperative staging assessment of T1-4a, N0-3, M0 and is expected to undergo total gastrectomy and D2 LN dissection to obtain R0 surgical results (also indicated for multiple primary cancer).</w:t>
      </w:r>
    </w:p>
    <w:p w14:paraId="1DF44555">
      <w:pPr>
        <w:adjustRightInd w:val="0"/>
        <w:snapToGrid w:val="0"/>
        <w:spacing w:line="360" w:lineRule="auto"/>
        <w:ind w:left="480" w:hanging="480" w:hangingChars="200"/>
        <w:rPr>
          <w:rFonts w:eastAsia="微软雅黑"/>
          <w:sz w:val="24"/>
        </w:rPr>
      </w:pPr>
      <w:r>
        <w:rPr>
          <w:rFonts w:eastAsia="微软雅黑"/>
          <w:sz w:val="24"/>
        </w:rPr>
        <w:t>(4) Patients do not require neoadjuvant chemoradiotherapy or chemotherapy and the attending doctor does not recommend that they receive neoadjuvant chemoradiotherapy or chemotherapy.</w:t>
      </w:r>
    </w:p>
    <w:p w14:paraId="61E3E0E2">
      <w:pPr>
        <w:adjustRightInd w:val="0"/>
        <w:snapToGrid w:val="0"/>
        <w:spacing w:line="360" w:lineRule="auto"/>
        <w:ind w:left="480" w:hanging="480" w:hangingChars="200"/>
        <w:rPr>
          <w:rFonts w:eastAsia="微软雅黑"/>
          <w:sz w:val="24"/>
        </w:rPr>
      </w:pPr>
      <w:r>
        <w:rPr>
          <w:rFonts w:eastAsia="微软雅黑"/>
          <w:sz w:val="24"/>
        </w:rPr>
        <w:t>(5) ASA class I to III.</w:t>
      </w:r>
    </w:p>
    <w:p w14:paraId="0A9B7F50">
      <w:pPr>
        <w:adjustRightInd w:val="0"/>
        <w:snapToGrid w:val="0"/>
        <w:spacing w:line="360" w:lineRule="auto"/>
        <w:rPr>
          <w:rFonts w:eastAsia="微软雅黑"/>
          <w:sz w:val="24"/>
        </w:rPr>
      </w:pPr>
      <w:r>
        <w:rPr>
          <w:rFonts w:eastAsia="微软雅黑"/>
          <w:sz w:val="24"/>
        </w:rPr>
        <w:t>(6) No requirement for emergency surgery.</w:t>
      </w:r>
    </w:p>
    <w:p w14:paraId="428A5396">
      <w:pPr>
        <w:numPr>
          <w:ilvl w:val="255"/>
          <w:numId w:val="0"/>
        </w:numPr>
        <w:adjustRightInd w:val="0"/>
        <w:snapToGrid w:val="0"/>
        <w:spacing w:line="360" w:lineRule="auto"/>
        <w:rPr>
          <w:rFonts w:eastAsia="微软雅黑"/>
          <w:sz w:val="22"/>
          <w:szCs w:val="22"/>
        </w:rPr>
      </w:pPr>
      <w:r>
        <w:rPr>
          <w:rFonts w:eastAsia="微软雅黑"/>
          <w:sz w:val="24"/>
        </w:rPr>
        <w:t>(7) Patient does not require emergency surgery.</w:t>
      </w:r>
    </w:p>
    <w:p w14:paraId="3F511A09">
      <w:pPr>
        <w:adjustRightInd w:val="0"/>
        <w:snapToGrid w:val="0"/>
        <w:spacing w:line="360" w:lineRule="auto"/>
        <w:ind w:left="440" w:hanging="440" w:hangingChars="200"/>
        <w:rPr>
          <w:rFonts w:eastAsia="微软雅黑"/>
          <w:sz w:val="22"/>
          <w:szCs w:val="22"/>
        </w:rPr>
      </w:pPr>
      <w:r>
        <w:rPr>
          <w:rFonts w:eastAsia="微软雅黑"/>
          <w:sz w:val="22"/>
          <w:szCs w:val="22"/>
        </w:rPr>
        <w:t>(8</w:t>
      </w:r>
      <w:r>
        <w:rPr>
          <w:rFonts w:eastAsia="微软雅黑"/>
          <w:sz w:val="24"/>
        </w:rPr>
        <w:t>) At this point the patient becomes a potential selected case and enters the 9.1 case selection procedure.</w:t>
      </w:r>
    </w:p>
    <w:p w14:paraId="74338D1F">
      <w:pPr>
        <w:adjustRightInd w:val="0"/>
        <w:snapToGrid w:val="0"/>
        <w:spacing w:line="360" w:lineRule="auto"/>
        <w:outlineLvl w:val="0"/>
        <w:rPr>
          <w:rFonts w:eastAsia="微软雅黑"/>
          <w:b/>
          <w:sz w:val="32"/>
          <w:szCs w:val="32"/>
        </w:rPr>
      </w:pPr>
      <w:bookmarkStart w:id="111" w:name="_Toc8251"/>
      <w:r>
        <w:rPr>
          <w:rFonts w:eastAsia="微软雅黑"/>
          <w:b/>
          <w:sz w:val="30"/>
          <w:szCs w:val="30"/>
        </w:rPr>
        <w:t xml:space="preserve">5. </w:t>
      </w:r>
      <w:r>
        <w:rPr>
          <w:rFonts w:eastAsia="微软雅黑"/>
          <w:b/>
          <w:bCs/>
          <w:sz w:val="30"/>
          <w:szCs w:val="30"/>
        </w:rPr>
        <w:t>Outcome Measures</w:t>
      </w:r>
      <w:bookmarkEnd w:id="111"/>
    </w:p>
    <w:p w14:paraId="09FBF2C8">
      <w:pPr>
        <w:adjustRightInd w:val="0"/>
        <w:snapToGrid w:val="0"/>
        <w:spacing w:line="360" w:lineRule="auto"/>
        <w:rPr>
          <w:rFonts w:eastAsia="微软雅黑"/>
          <w:b/>
          <w:sz w:val="24"/>
        </w:rPr>
      </w:pPr>
      <w:r>
        <w:rPr>
          <w:rFonts w:eastAsia="微软雅黑"/>
          <w:b/>
          <w:sz w:val="24"/>
        </w:rPr>
        <w:t>5.1 Primary Outcome Measures</w:t>
      </w:r>
    </w:p>
    <w:p w14:paraId="6D26A761">
      <w:pPr>
        <w:pStyle w:val="25"/>
        <w:numPr>
          <w:ilvl w:val="0"/>
          <w:numId w:val="4"/>
        </w:numPr>
        <w:spacing w:line="360" w:lineRule="auto"/>
        <w:ind w:firstLineChars="0"/>
        <w:rPr>
          <w:rFonts w:eastAsia="微软雅黑"/>
          <w:sz w:val="24"/>
        </w:rPr>
      </w:pPr>
      <w:r>
        <w:rPr>
          <w:rFonts w:eastAsia="微软雅黑"/>
          <w:sz w:val="24"/>
        </w:rPr>
        <w:t xml:space="preserve">Total number of retrieved LNs </w:t>
      </w:r>
    </w:p>
    <w:p w14:paraId="56EBCF5A">
      <w:pPr>
        <w:adjustRightInd w:val="0"/>
        <w:snapToGrid w:val="0"/>
        <w:spacing w:line="360" w:lineRule="auto"/>
        <w:rPr>
          <w:rFonts w:eastAsia="微软雅黑"/>
          <w:b/>
          <w:sz w:val="24"/>
        </w:rPr>
      </w:pPr>
      <w:r>
        <w:rPr>
          <w:rFonts w:eastAsia="微软雅黑"/>
          <w:b/>
          <w:sz w:val="24"/>
        </w:rPr>
        <w:t>5.2 Secondary Outcome Measures</w:t>
      </w:r>
    </w:p>
    <w:p w14:paraId="379FDA31">
      <w:pPr>
        <w:pStyle w:val="25"/>
        <w:numPr>
          <w:ilvl w:val="0"/>
          <w:numId w:val="4"/>
        </w:numPr>
        <w:spacing w:line="360" w:lineRule="auto"/>
        <w:ind w:firstLineChars="0"/>
        <w:rPr>
          <w:rFonts w:eastAsia="微软雅黑"/>
          <w:sz w:val="24"/>
        </w:rPr>
      </w:pPr>
      <w:r>
        <w:rPr>
          <w:rFonts w:eastAsia="微软雅黑"/>
          <w:sz w:val="24"/>
        </w:rPr>
        <w:t xml:space="preserve">The rate of fluorescence </w:t>
      </w:r>
    </w:p>
    <w:p w14:paraId="2C362C12">
      <w:pPr>
        <w:pStyle w:val="25"/>
        <w:numPr>
          <w:ilvl w:val="0"/>
          <w:numId w:val="4"/>
        </w:numPr>
        <w:spacing w:line="360" w:lineRule="auto"/>
        <w:ind w:firstLineChars="0"/>
        <w:rPr>
          <w:rFonts w:eastAsia="微软雅黑"/>
          <w:sz w:val="24"/>
        </w:rPr>
      </w:pPr>
      <w:r>
        <w:rPr>
          <w:rFonts w:eastAsia="微软雅黑"/>
          <w:sz w:val="24"/>
        </w:rPr>
        <w:t>Positive rate</w:t>
      </w:r>
    </w:p>
    <w:p w14:paraId="1304849F">
      <w:pPr>
        <w:pStyle w:val="25"/>
        <w:numPr>
          <w:ilvl w:val="0"/>
          <w:numId w:val="4"/>
        </w:numPr>
        <w:spacing w:line="360" w:lineRule="auto"/>
        <w:ind w:firstLineChars="0"/>
        <w:outlineLvl w:val="0"/>
        <w:rPr>
          <w:rFonts w:eastAsia="微软雅黑"/>
          <w:sz w:val="24"/>
        </w:rPr>
      </w:pPr>
      <w:bookmarkStart w:id="112" w:name="_Toc718"/>
      <w:r>
        <w:rPr>
          <w:rFonts w:eastAsia="微软雅黑"/>
          <w:sz w:val="24"/>
        </w:rPr>
        <w:t>False positive rate</w:t>
      </w:r>
      <w:bookmarkEnd w:id="112"/>
    </w:p>
    <w:p w14:paraId="57BB13BF">
      <w:pPr>
        <w:pStyle w:val="25"/>
        <w:numPr>
          <w:ilvl w:val="0"/>
          <w:numId w:val="4"/>
        </w:numPr>
        <w:spacing w:line="360" w:lineRule="auto"/>
        <w:ind w:firstLineChars="0"/>
        <w:rPr>
          <w:rFonts w:eastAsia="微软雅黑"/>
          <w:sz w:val="24"/>
        </w:rPr>
      </w:pPr>
      <w:r>
        <w:rPr>
          <w:rFonts w:eastAsia="微软雅黑"/>
          <w:sz w:val="24"/>
        </w:rPr>
        <w:t>Negative rate</w:t>
      </w:r>
    </w:p>
    <w:p w14:paraId="2EF01364">
      <w:pPr>
        <w:pStyle w:val="25"/>
        <w:numPr>
          <w:ilvl w:val="0"/>
          <w:numId w:val="4"/>
        </w:numPr>
        <w:spacing w:line="360" w:lineRule="auto"/>
        <w:ind w:firstLineChars="0"/>
        <w:rPr>
          <w:rFonts w:eastAsia="微软雅黑"/>
          <w:sz w:val="24"/>
        </w:rPr>
      </w:pPr>
      <w:r>
        <w:rPr>
          <w:rFonts w:eastAsia="微软雅黑"/>
          <w:sz w:val="24"/>
        </w:rPr>
        <w:t>False negative rate</w:t>
      </w:r>
    </w:p>
    <w:p w14:paraId="33145E4C">
      <w:pPr>
        <w:pStyle w:val="25"/>
        <w:numPr>
          <w:ilvl w:val="0"/>
          <w:numId w:val="4"/>
        </w:numPr>
        <w:spacing w:line="360" w:lineRule="auto"/>
        <w:ind w:firstLineChars="0"/>
        <w:rPr>
          <w:rFonts w:eastAsia="微软雅黑"/>
          <w:sz w:val="24"/>
        </w:rPr>
      </w:pPr>
      <w:r>
        <w:rPr>
          <w:rFonts w:eastAsia="微软雅黑"/>
          <w:sz w:val="24"/>
        </w:rPr>
        <w:t>Number of Metastatic Lymph Nodes</w:t>
      </w:r>
    </w:p>
    <w:p w14:paraId="0DBB1185">
      <w:pPr>
        <w:pStyle w:val="25"/>
        <w:numPr>
          <w:ilvl w:val="0"/>
          <w:numId w:val="4"/>
        </w:numPr>
        <w:spacing w:line="360" w:lineRule="auto"/>
        <w:ind w:firstLineChars="0"/>
        <w:rPr>
          <w:rFonts w:eastAsia="微软雅黑"/>
          <w:sz w:val="24"/>
        </w:rPr>
      </w:pPr>
      <w:r>
        <w:rPr>
          <w:rFonts w:eastAsia="微软雅黑"/>
          <w:sz w:val="24"/>
        </w:rPr>
        <w:t>Metastatic rate of LN</w:t>
      </w:r>
    </w:p>
    <w:p w14:paraId="2421CE15">
      <w:pPr>
        <w:pStyle w:val="25"/>
        <w:numPr>
          <w:ilvl w:val="0"/>
          <w:numId w:val="4"/>
        </w:numPr>
        <w:spacing w:line="360" w:lineRule="auto"/>
        <w:ind w:firstLineChars="0"/>
        <w:rPr>
          <w:rFonts w:eastAsia="微软雅黑"/>
          <w:sz w:val="24"/>
        </w:rPr>
      </w:pPr>
      <w:r>
        <w:rPr>
          <w:rFonts w:eastAsia="微软雅黑"/>
          <w:sz w:val="24"/>
        </w:rPr>
        <w:t>Morbidity and mortality rates</w:t>
      </w:r>
    </w:p>
    <w:p w14:paraId="4350295F">
      <w:pPr>
        <w:pStyle w:val="25"/>
        <w:numPr>
          <w:ilvl w:val="0"/>
          <w:numId w:val="4"/>
        </w:numPr>
        <w:spacing w:line="360" w:lineRule="auto"/>
        <w:ind w:firstLineChars="0"/>
        <w:rPr>
          <w:rFonts w:eastAsia="微软雅黑"/>
          <w:sz w:val="24"/>
        </w:rPr>
      </w:pPr>
      <w:r>
        <w:rPr>
          <w:rFonts w:eastAsia="微软雅黑"/>
          <w:sz w:val="24"/>
        </w:rPr>
        <w:t>3-year disease-free survival rate</w:t>
      </w:r>
    </w:p>
    <w:p w14:paraId="3F069804">
      <w:pPr>
        <w:pStyle w:val="25"/>
        <w:numPr>
          <w:ilvl w:val="0"/>
          <w:numId w:val="4"/>
        </w:numPr>
        <w:spacing w:line="360" w:lineRule="auto"/>
        <w:ind w:firstLineChars="0"/>
        <w:rPr>
          <w:rFonts w:eastAsia="微软雅黑"/>
          <w:sz w:val="24"/>
        </w:rPr>
      </w:pPr>
      <w:r>
        <w:rPr>
          <w:rFonts w:eastAsia="微软雅黑"/>
          <w:sz w:val="24"/>
        </w:rPr>
        <w:t>3-year overall survival rate</w:t>
      </w:r>
    </w:p>
    <w:p w14:paraId="11BB33F1">
      <w:pPr>
        <w:pStyle w:val="25"/>
        <w:numPr>
          <w:ilvl w:val="0"/>
          <w:numId w:val="4"/>
        </w:numPr>
        <w:spacing w:line="360" w:lineRule="auto"/>
        <w:ind w:firstLineChars="0"/>
        <w:rPr>
          <w:rFonts w:eastAsia="微软雅黑"/>
          <w:sz w:val="24"/>
        </w:rPr>
      </w:pPr>
      <w:r>
        <w:rPr>
          <w:rFonts w:eastAsia="微软雅黑"/>
          <w:sz w:val="24"/>
        </w:rPr>
        <w:t>3-year recurrence pattern</w:t>
      </w:r>
    </w:p>
    <w:p w14:paraId="4BA0C737">
      <w:pPr>
        <w:pStyle w:val="25"/>
        <w:numPr>
          <w:ilvl w:val="0"/>
          <w:numId w:val="4"/>
        </w:numPr>
        <w:spacing w:line="360" w:lineRule="auto"/>
        <w:ind w:firstLineChars="0"/>
        <w:rPr>
          <w:rFonts w:eastAsia="微软雅黑"/>
          <w:sz w:val="24"/>
        </w:rPr>
      </w:pPr>
      <w:r>
        <w:rPr>
          <w:rFonts w:hint="eastAsia" w:eastAsia="微软雅黑"/>
          <w:sz w:val="24"/>
          <w:lang w:val="en-US" w:eastAsia="zh-CN"/>
        </w:rPr>
        <w:t>5</w:t>
      </w:r>
      <w:r>
        <w:rPr>
          <w:rFonts w:eastAsia="微软雅黑"/>
          <w:sz w:val="24"/>
        </w:rPr>
        <w:t>-year disease-free survival rate</w:t>
      </w:r>
    </w:p>
    <w:p w14:paraId="76134B25">
      <w:pPr>
        <w:pStyle w:val="25"/>
        <w:numPr>
          <w:ilvl w:val="0"/>
          <w:numId w:val="4"/>
        </w:numPr>
        <w:spacing w:line="360" w:lineRule="auto"/>
        <w:ind w:firstLineChars="0"/>
        <w:rPr>
          <w:rFonts w:eastAsia="微软雅黑"/>
          <w:sz w:val="24"/>
        </w:rPr>
      </w:pPr>
      <w:r>
        <w:rPr>
          <w:rFonts w:hint="eastAsia" w:eastAsia="微软雅黑"/>
          <w:sz w:val="24"/>
          <w:lang w:val="en-US" w:eastAsia="zh-CN"/>
        </w:rPr>
        <w:t>5</w:t>
      </w:r>
      <w:r>
        <w:rPr>
          <w:rFonts w:eastAsia="微软雅黑"/>
          <w:sz w:val="24"/>
        </w:rPr>
        <w:t>-year overall survival rate</w:t>
      </w:r>
    </w:p>
    <w:p w14:paraId="51093C3E">
      <w:pPr>
        <w:pStyle w:val="25"/>
        <w:numPr>
          <w:ilvl w:val="0"/>
          <w:numId w:val="4"/>
        </w:numPr>
        <w:spacing w:line="360" w:lineRule="auto"/>
        <w:ind w:firstLineChars="0"/>
        <w:rPr>
          <w:rFonts w:eastAsia="微软雅黑"/>
          <w:sz w:val="24"/>
        </w:rPr>
      </w:pPr>
      <w:r>
        <w:rPr>
          <w:rFonts w:hint="eastAsia" w:eastAsia="微软雅黑"/>
          <w:sz w:val="24"/>
          <w:lang w:val="en-US" w:eastAsia="zh-CN"/>
        </w:rPr>
        <w:t>5</w:t>
      </w:r>
      <w:r>
        <w:rPr>
          <w:rFonts w:eastAsia="微软雅黑"/>
          <w:sz w:val="24"/>
        </w:rPr>
        <w:t>-year recurrence pattern</w:t>
      </w:r>
    </w:p>
    <w:p w14:paraId="6BE98E4D">
      <w:pPr>
        <w:pStyle w:val="25"/>
        <w:numPr>
          <w:ilvl w:val="0"/>
          <w:numId w:val="4"/>
        </w:numPr>
        <w:spacing w:line="360" w:lineRule="auto"/>
        <w:ind w:firstLineChars="0"/>
        <w:rPr>
          <w:rFonts w:eastAsia="微软雅黑"/>
          <w:sz w:val="24"/>
        </w:rPr>
      </w:pPr>
      <w:r>
        <w:rPr>
          <w:rFonts w:eastAsia="微软雅黑"/>
          <w:sz w:val="24"/>
        </w:rPr>
        <w:t>Postoperative recovery course</w:t>
      </w:r>
    </w:p>
    <w:p w14:paraId="5135E98A">
      <w:pPr>
        <w:pStyle w:val="25"/>
        <w:numPr>
          <w:ilvl w:val="0"/>
          <w:numId w:val="4"/>
        </w:numPr>
        <w:spacing w:line="360" w:lineRule="auto"/>
        <w:ind w:firstLineChars="0"/>
        <w:rPr>
          <w:rFonts w:eastAsia="微软雅黑"/>
          <w:sz w:val="24"/>
        </w:rPr>
      </w:pPr>
      <w:r>
        <w:rPr>
          <w:rFonts w:eastAsia="微软雅黑"/>
          <w:sz w:val="24"/>
        </w:rPr>
        <w:t>Operation time</w:t>
      </w:r>
    </w:p>
    <w:p w14:paraId="78AFBD53">
      <w:pPr>
        <w:pStyle w:val="25"/>
        <w:numPr>
          <w:ilvl w:val="0"/>
          <w:numId w:val="4"/>
        </w:numPr>
        <w:spacing w:line="360" w:lineRule="auto"/>
        <w:ind w:firstLineChars="0"/>
        <w:rPr>
          <w:rFonts w:eastAsia="微软雅黑"/>
          <w:sz w:val="24"/>
        </w:rPr>
      </w:pPr>
      <w:r>
        <w:rPr>
          <w:rFonts w:eastAsia="微软雅黑"/>
          <w:sz w:val="24"/>
        </w:rPr>
        <w:t>The variation of weight</w:t>
      </w:r>
    </w:p>
    <w:p w14:paraId="141162C7">
      <w:pPr>
        <w:pStyle w:val="25"/>
        <w:numPr>
          <w:ilvl w:val="0"/>
          <w:numId w:val="4"/>
        </w:numPr>
        <w:spacing w:line="360" w:lineRule="auto"/>
        <w:ind w:firstLineChars="0"/>
        <w:rPr>
          <w:rFonts w:eastAsia="微软雅黑"/>
          <w:sz w:val="24"/>
        </w:rPr>
      </w:pPr>
      <w:r>
        <w:rPr>
          <w:rFonts w:eastAsia="微软雅黑"/>
          <w:sz w:val="24"/>
        </w:rPr>
        <w:t>Intraoperative blood loss</w:t>
      </w:r>
    </w:p>
    <w:p w14:paraId="4F9C66D1">
      <w:pPr>
        <w:pStyle w:val="25"/>
        <w:numPr>
          <w:ilvl w:val="0"/>
          <w:numId w:val="4"/>
        </w:numPr>
        <w:spacing w:line="360" w:lineRule="auto"/>
        <w:ind w:firstLineChars="0"/>
        <w:rPr>
          <w:rFonts w:eastAsia="微软雅黑"/>
          <w:sz w:val="24"/>
        </w:rPr>
      </w:pPr>
      <w:r>
        <w:rPr>
          <w:rFonts w:eastAsia="微软雅黑"/>
          <w:sz w:val="24"/>
        </w:rPr>
        <w:t>Conversive rate</w:t>
      </w:r>
    </w:p>
    <w:p w14:paraId="6AD2B329">
      <w:pPr>
        <w:pStyle w:val="25"/>
        <w:numPr>
          <w:ilvl w:val="0"/>
          <w:numId w:val="4"/>
        </w:numPr>
        <w:spacing w:line="360" w:lineRule="auto"/>
        <w:ind w:firstLineChars="0"/>
        <w:rPr>
          <w:rFonts w:eastAsia="微软雅黑"/>
          <w:sz w:val="24"/>
        </w:rPr>
      </w:pPr>
      <w:r>
        <w:rPr>
          <w:rFonts w:eastAsia="微软雅黑"/>
          <w:sz w:val="24"/>
        </w:rPr>
        <w:t>Intraoperative morbidity rates</w:t>
      </w:r>
    </w:p>
    <w:p w14:paraId="67DAF85C">
      <w:pPr>
        <w:pStyle w:val="25"/>
        <w:numPr>
          <w:ilvl w:val="0"/>
          <w:numId w:val="4"/>
        </w:numPr>
        <w:spacing w:line="360" w:lineRule="auto"/>
        <w:ind w:firstLineChars="0"/>
        <w:rPr>
          <w:rFonts w:eastAsia="微软雅黑"/>
          <w:sz w:val="24"/>
        </w:rPr>
      </w:pPr>
      <w:r>
        <w:rPr>
          <w:rFonts w:eastAsia="微软雅黑"/>
          <w:sz w:val="24"/>
        </w:rPr>
        <w:t>Incision length</w:t>
      </w:r>
    </w:p>
    <w:p w14:paraId="5D5A11CC">
      <w:pPr>
        <w:pStyle w:val="25"/>
        <w:numPr>
          <w:ilvl w:val="0"/>
          <w:numId w:val="4"/>
        </w:numPr>
        <w:spacing w:line="360" w:lineRule="auto"/>
        <w:ind w:firstLineChars="0"/>
        <w:rPr>
          <w:rFonts w:eastAsia="微软雅黑"/>
          <w:sz w:val="24"/>
        </w:rPr>
      </w:pPr>
      <w:r>
        <w:rPr>
          <w:rFonts w:eastAsia="微软雅黑"/>
          <w:sz w:val="24"/>
        </w:rPr>
        <w:t>The variation of cholesterol</w:t>
      </w:r>
    </w:p>
    <w:p w14:paraId="62241A17">
      <w:pPr>
        <w:pStyle w:val="25"/>
        <w:numPr>
          <w:ilvl w:val="0"/>
          <w:numId w:val="4"/>
        </w:numPr>
        <w:spacing w:line="360" w:lineRule="auto"/>
        <w:ind w:firstLineChars="0"/>
        <w:rPr>
          <w:rFonts w:eastAsia="微软雅黑"/>
          <w:sz w:val="24"/>
        </w:rPr>
      </w:pPr>
      <w:r>
        <w:rPr>
          <w:rFonts w:eastAsia="微软雅黑"/>
          <w:sz w:val="24"/>
        </w:rPr>
        <w:t>The variation of album</w:t>
      </w:r>
    </w:p>
    <w:p w14:paraId="64088B26">
      <w:pPr>
        <w:pStyle w:val="25"/>
        <w:numPr>
          <w:ilvl w:val="0"/>
          <w:numId w:val="4"/>
        </w:numPr>
        <w:spacing w:line="360" w:lineRule="auto"/>
        <w:ind w:firstLineChars="0"/>
        <w:rPr>
          <w:rFonts w:eastAsia="微软雅黑"/>
          <w:sz w:val="24"/>
        </w:rPr>
      </w:pPr>
      <w:r>
        <w:rPr>
          <w:rFonts w:eastAsia="微软雅黑"/>
          <w:sz w:val="24"/>
        </w:rPr>
        <w:t>The results of endoscopy</w:t>
      </w:r>
    </w:p>
    <w:p w14:paraId="10B6C1DB">
      <w:pPr>
        <w:pStyle w:val="25"/>
        <w:numPr>
          <w:ilvl w:val="0"/>
          <w:numId w:val="4"/>
        </w:numPr>
        <w:spacing w:line="360" w:lineRule="auto"/>
        <w:ind w:firstLineChars="0"/>
        <w:rPr>
          <w:rFonts w:eastAsia="微软雅黑"/>
          <w:sz w:val="24"/>
        </w:rPr>
      </w:pPr>
      <w:r>
        <w:rPr>
          <w:rFonts w:eastAsia="微软雅黑"/>
          <w:sz w:val="24"/>
        </w:rPr>
        <w:t>The variation of body temperature</w:t>
      </w:r>
    </w:p>
    <w:p w14:paraId="668B2EDA">
      <w:pPr>
        <w:pStyle w:val="25"/>
        <w:numPr>
          <w:ilvl w:val="0"/>
          <w:numId w:val="4"/>
        </w:numPr>
        <w:spacing w:line="360" w:lineRule="auto"/>
        <w:ind w:firstLineChars="0"/>
        <w:rPr>
          <w:rFonts w:eastAsia="微软雅黑"/>
          <w:sz w:val="24"/>
        </w:rPr>
      </w:pPr>
      <w:r>
        <w:rPr>
          <w:rFonts w:eastAsia="微软雅黑"/>
          <w:sz w:val="24"/>
        </w:rPr>
        <w:t>The variation of white blood cell count</w:t>
      </w:r>
    </w:p>
    <w:p w14:paraId="5098423C">
      <w:pPr>
        <w:pStyle w:val="25"/>
        <w:numPr>
          <w:ilvl w:val="0"/>
          <w:numId w:val="4"/>
        </w:numPr>
        <w:spacing w:line="360" w:lineRule="auto"/>
        <w:ind w:firstLineChars="0"/>
        <w:rPr>
          <w:rFonts w:eastAsia="微软雅黑"/>
          <w:sz w:val="24"/>
        </w:rPr>
      </w:pPr>
      <w:r>
        <w:rPr>
          <w:rFonts w:eastAsia="微软雅黑"/>
          <w:sz w:val="24"/>
        </w:rPr>
        <w:t>The variation of hemoglobin</w:t>
      </w:r>
    </w:p>
    <w:p w14:paraId="226B3920">
      <w:pPr>
        <w:pStyle w:val="25"/>
        <w:numPr>
          <w:ilvl w:val="0"/>
          <w:numId w:val="4"/>
        </w:numPr>
        <w:spacing w:line="360" w:lineRule="auto"/>
        <w:ind w:firstLineChars="0"/>
        <w:rPr>
          <w:rFonts w:eastAsia="微软雅黑"/>
          <w:sz w:val="24"/>
        </w:rPr>
      </w:pPr>
      <w:r>
        <w:rPr>
          <w:rFonts w:eastAsia="微软雅黑"/>
          <w:sz w:val="24"/>
        </w:rPr>
        <w:t>The variation of C-reactive protein</w:t>
      </w:r>
    </w:p>
    <w:p w14:paraId="4A72CF95">
      <w:pPr>
        <w:pStyle w:val="25"/>
        <w:numPr>
          <w:ilvl w:val="0"/>
          <w:numId w:val="4"/>
        </w:numPr>
        <w:spacing w:line="360" w:lineRule="auto"/>
        <w:ind w:firstLineChars="0"/>
        <w:rPr>
          <w:rFonts w:eastAsia="微软雅黑"/>
          <w:sz w:val="24"/>
        </w:rPr>
      </w:pPr>
      <w:r>
        <w:rPr>
          <w:rFonts w:eastAsia="微软雅黑"/>
          <w:sz w:val="24"/>
        </w:rPr>
        <w:t>The variation of prealbumin</w:t>
      </w:r>
    </w:p>
    <w:p w14:paraId="5B018353">
      <w:pPr>
        <w:pStyle w:val="25"/>
        <w:numPr>
          <w:ilvl w:val="0"/>
          <w:numId w:val="4"/>
        </w:numPr>
        <w:spacing w:line="360" w:lineRule="auto"/>
        <w:ind w:firstLineChars="0"/>
        <w:rPr>
          <w:rFonts w:eastAsia="微软雅黑"/>
          <w:sz w:val="24"/>
        </w:rPr>
      </w:pPr>
      <w:r>
        <w:rPr>
          <w:rFonts w:eastAsia="微软雅黑"/>
          <w:sz w:val="24"/>
        </w:rPr>
        <w:t>Recurrence pattern</w:t>
      </w:r>
    </w:p>
    <w:p w14:paraId="62BE8D0F">
      <w:pPr>
        <w:adjustRightInd w:val="0"/>
        <w:snapToGrid w:val="0"/>
        <w:spacing w:line="360" w:lineRule="auto"/>
        <w:outlineLvl w:val="0"/>
        <w:rPr>
          <w:rFonts w:eastAsia="微软雅黑"/>
          <w:b/>
          <w:sz w:val="32"/>
          <w:szCs w:val="32"/>
        </w:rPr>
      </w:pPr>
      <w:bookmarkStart w:id="113" w:name="_Toc30911"/>
      <w:r>
        <w:rPr>
          <w:rFonts w:eastAsia="微软雅黑"/>
          <w:b/>
          <w:sz w:val="30"/>
          <w:szCs w:val="30"/>
        </w:rPr>
        <w:t>6. Diagnostic criteria for this study</w:t>
      </w:r>
      <w:bookmarkEnd w:id="113"/>
    </w:p>
    <w:p w14:paraId="7D8148C7">
      <w:pPr>
        <w:spacing w:line="360" w:lineRule="auto"/>
        <w:rPr>
          <w:rFonts w:eastAsia="微软雅黑"/>
          <w:sz w:val="24"/>
        </w:rPr>
      </w:pPr>
      <w:r>
        <w:rPr>
          <w:rFonts w:eastAsia="微软雅黑"/>
          <w:sz w:val="24"/>
        </w:rPr>
        <w:t>(1) The AJCC-7th TNM tumor staging system will be used for this study.</w:t>
      </w:r>
    </w:p>
    <w:p w14:paraId="2B1EF13C">
      <w:pPr>
        <w:spacing w:line="360" w:lineRule="auto"/>
        <w:rPr>
          <w:rFonts w:eastAsia="微软雅黑"/>
          <w:sz w:val="24"/>
        </w:rPr>
      </w:pPr>
      <w:r>
        <w:rPr>
          <w:rFonts w:eastAsia="微软雅黑"/>
          <w:sz w:val="24"/>
        </w:rPr>
        <w:t>(2) Diagnostic criteria and classification of gastric cancer: According to the histopathological international diagnostic criteria, classification will be divided into papillary adenocarcinoma (pap), tubular adenocarcinoma (tub), mucinous adenocarcinoma (muc), signet ring cell carcinoma (sig), and poorly differentiated adenocarcinoma (por).</w:t>
      </w:r>
    </w:p>
    <w:p w14:paraId="7E34B195">
      <w:pPr>
        <w:spacing w:line="360" w:lineRule="auto"/>
        <w:jc w:val="left"/>
        <w:rPr>
          <w:rFonts w:eastAsia="微软雅黑"/>
          <w:b/>
          <w:sz w:val="32"/>
          <w:szCs w:val="32"/>
        </w:rPr>
      </w:pPr>
      <w:r>
        <w:rPr>
          <w:rFonts w:eastAsia="微软雅黑"/>
          <w:b/>
          <w:sz w:val="30"/>
          <w:szCs w:val="30"/>
        </w:rPr>
        <w:t xml:space="preserve">7. </w:t>
      </w:r>
      <w:r>
        <w:rPr>
          <w:b/>
          <w:sz w:val="30"/>
          <w:szCs w:val="30"/>
        </w:rPr>
        <w:t xml:space="preserve">Qualifications of the participated Surgeons </w:t>
      </w:r>
    </w:p>
    <w:p w14:paraId="1667D08F">
      <w:pPr>
        <w:adjustRightInd w:val="0"/>
        <w:snapToGrid w:val="0"/>
        <w:spacing w:line="360" w:lineRule="auto"/>
        <w:rPr>
          <w:rFonts w:eastAsia="微软雅黑"/>
          <w:b/>
          <w:sz w:val="24"/>
        </w:rPr>
      </w:pPr>
      <w:r>
        <w:rPr>
          <w:rFonts w:eastAsia="微软雅黑"/>
          <w:b/>
          <w:sz w:val="24"/>
        </w:rPr>
        <w:t xml:space="preserve">7.1 </w:t>
      </w:r>
      <w:r>
        <w:rPr>
          <w:b/>
          <w:sz w:val="24"/>
        </w:rPr>
        <w:t>Basic principle</w:t>
      </w:r>
      <w:r>
        <w:rPr>
          <w:rFonts w:eastAsia="微软雅黑"/>
          <w:b/>
          <w:sz w:val="24"/>
        </w:rPr>
        <w:t xml:space="preserve"> </w:t>
      </w:r>
    </w:p>
    <w:p w14:paraId="1856590D">
      <w:pPr>
        <w:spacing w:line="360" w:lineRule="auto"/>
        <w:ind w:firstLine="360" w:firstLineChars="150"/>
        <w:rPr>
          <w:sz w:val="24"/>
        </w:rPr>
      </w:pPr>
      <w:r>
        <w:rPr>
          <w:sz w:val="24"/>
        </w:rPr>
        <w:t>All candidate surgeons in our study met the following criteria:</w:t>
      </w:r>
    </w:p>
    <w:p w14:paraId="1AA6B357">
      <w:pPr>
        <w:spacing w:line="360" w:lineRule="auto"/>
        <w:ind w:firstLine="360" w:firstLineChars="150"/>
        <w:rPr>
          <w:sz w:val="24"/>
        </w:rPr>
      </w:pPr>
      <w:r>
        <w:rPr>
          <w:sz w:val="24"/>
        </w:rPr>
        <w:t>Performed at least 100 laparoscopic radical gastrectomy and completed a learning curve in laparoscopic radical LN dissection.</w:t>
      </w:r>
    </w:p>
    <w:p w14:paraId="66C257E9">
      <w:pPr>
        <w:spacing w:line="360" w:lineRule="auto"/>
        <w:ind w:firstLine="360" w:firstLineChars="150"/>
        <w:rPr>
          <w:sz w:val="24"/>
        </w:rPr>
      </w:pPr>
      <w:r>
        <w:rPr>
          <w:sz w:val="24"/>
        </w:rPr>
        <w:t>Pass the blind surgical video examination.</w:t>
      </w:r>
    </w:p>
    <w:p w14:paraId="2B990EE0">
      <w:pPr>
        <w:spacing w:line="360" w:lineRule="auto"/>
        <w:ind w:firstLine="360" w:firstLineChars="150"/>
        <w:rPr>
          <w:sz w:val="24"/>
        </w:rPr>
      </w:pPr>
      <w:r>
        <w:rPr>
          <w:rFonts w:hint="eastAsia"/>
          <w:sz w:val="24"/>
        </w:rPr>
        <w:t>Prior to the commencement of the surgery, the surgeon is unaware of the patient's specific lottery group, to prevent any potential bias or differential treatment towards the patient.</w:t>
      </w:r>
    </w:p>
    <w:p w14:paraId="7BE816E9">
      <w:pPr>
        <w:adjustRightInd w:val="0"/>
        <w:snapToGrid w:val="0"/>
        <w:spacing w:line="360" w:lineRule="auto"/>
        <w:rPr>
          <w:rFonts w:eastAsia="微软雅黑"/>
          <w:b/>
          <w:sz w:val="24"/>
        </w:rPr>
      </w:pPr>
      <w:r>
        <w:rPr>
          <w:rFonts w:eastAsia="微软雅黑"/>
          <w:b/>
          <w:sz w:val="24"/>
        </w:rPr>
        <w:t xml:space="preserve">7.2 </w:t>
      </w:r>
      <w:r>
        <w:rPr>
          <w:b/>
          <w:sz w:val="24"/>
        </w:rPr>
        <w:t>Checklist for determination of success about D2 lymphadenectomy</w:t>
      </w:r>
    </w:p>
    <w:tbl>
      <w:tblPr>
        <w:tblStyle w:val="12"/>
        <w:tblW w:w="943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481"/>
        <w:gridCol w:w="2952"/>
      </w:tblGrid>
      <w:tr w14:paraId="489257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2" w:hRule="atLeast"/>
          <w:jc w:val="center"/>
        </w:trPr>
        <w:tc>
          <w:tcPr>
            <w:tcW w:w="6481" w:type="dxa"/>
          </w:tcPr>
          <w:p w14:paraId="0BEC39C0">
            <w:pPr>
              <w:spacing w:line="480" w:lineRule="auto"/>
              <w:jc w:val="left"/>
            </w:pPr>
            <w:r>
              <w:t xml:space="preserve">Scoring Method for D2 Lymph Node Dissection </w:t>
            </w:r>
          </w:p>
        </w:tc>
        <w:tc>
          <w:tcPr>
            <w:tcW w:w="2952" w:type="dxa"/>
          </w:tcPr>
          <w:p w14:paraId="6710DDF7">
            <w:pPr>
              <w:spacing w:line="480" w:lineRule="auto"/>
            </w:pPr>
            <w:r>
              <w:t>Complete</w:t>
            </w:r>
            <w:r>
              <w:tab/>
            </w:r>
            <w:r>
              <w:t xml:space="preserve"> Incomplete  None</w:t>
            </w:r>
          </w:p>
          <w:p w14:paraId="7547DE8E">
            <w:pPr>
              <w:spacing w:line="480" w:lineRule="auto"/>
              <w:ind w:firstLine="210" w:firstLineChars="100"/>
            </w:pPr>
            <w:r>
              <w:t>10</w:t>
            </w:r>
            <w:r>
              <w:tab/>
            </w:r>
            <w:r>
              <w:t xml:space="preserve">    5</w:t>
            </w:r>
            <w:r>
              <w:tab/>
            </w:r>
            <w:r>
              <w:t xml:space="preserve">     0</w:t>
            </w:r>
          </w:p>
        </w:tc>
      </w:tr>
      <w:tr w14:paraId="4F4E54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1" w:hRule="atLeast"/>
          <w:jc w:val="center"/>
        </w:trPr>
        <w:tc>
          <w:tcPr>
            <w:tcW w:w="6481" w:type="dxa"/>
          </w:tcPr>
          <w:p w14:paraId="7566A8E6">
            <w:pPr>
              <w:spacing w:line="480" w:lineRule="auto"/>
              <w:rPr>
                <w:rFonts w:eastAsia="Gulim"/>
              </w:rPr>
            </w:pPr>
            <w:r>
              <w:rPr>
                <w:rFonts w:eastAsia="Gulim"/>
              </w:rPr>
              <w:t xml:space="preserve">1. Properly full omentectomy </w:t>
            </w:r>
          </w:p>
          <w:p w14:paraId="0C01EB80">
            <w:pPr>
              <w:spacing w:line="480" w:lineRule="auto"/>
              <w:rPr>
                <w:rFonts w:eastAsia="Gulim"/>
              </w:rPr>
            </w:pPr>
            <w:r>
              <w:rPr>
                <w:rFonts w:eastAsia="Gulim"/>
              </w:rPr>
              <w:t xml:space="preserve">2. Ligation of left gastroepiploic artery at origin </w:t>
            </w:r>
          </w:p>
          <w:p w14:paraId="78FAC7C3">
            <w:pPr>
              <w:spacing w:line="480" w:lineRule="auto"/>
              <w:rPr>
                <w:rFonts w:eastAsia="Gulim"/>
              </w:rPr>
            </w:pPr>
            <w:r>
              <w:rPr>
                <w:rFonts w:eastAsia="Gulim"/>
              </w:rPr>
              <w:t>3. Ligation of right gastroepiploic artery at origin</w:t>
            </w:r>
          </w:p>
          <w:p w14:paraId="66E4E038">
            <w:pPr>
              <w:spacing w:line="480" w:lineRule="auto"/>
              <w:rPr>
                <w:rFonts w:eastAsia="Gulim"/>
              </w:rPr>
            </w:pPr>
            <w:r>
              <w:rPr>
                <w:rFonts w:eastAsia="Gulim"/>
              </w:rPr>
              <w:t>4. Full exposure of common hepatic artery</w:t>
            </w:r>
          </w:p>
          <w:p w14:paraId="16A0744B">
            <w:pPr>
              <w:spacing w:line="480" w:lineRule="auto"/>
              <w:rPr>
                <w:rFonts w:eastAsia="Gulim"/>
              </w:rPr>
            </w:pPr>
            <w:r>
              <w:rPr>
                <w:rFonts w:eastAsia="Gulim"/>
              </w:rPr>
              <w:t>5. Ligation of right gastric artery at origin</w:t>
            </w:r>
          </w:p>
          <w:p w14:paraId="390117BF">
            <w:pPr>
              <w:spacing w:line="480" w:lineRule="auto"/>
              <w:rPr>
                <w:rFonts w:eastAsia="Gulim"/>
              </w:rPr>
            </w:pPr>
            <w:r>
              <w:rPr>
                <w:rFonts w:eastAsia="Gulim"/>
              </w:rPr>
              <w:t>6. Exposure of portal vein</w:t>
            </w:r>
          </w:p>
          <w:p w14:paraId="26D6672F">
            <w:pPr>
              <w:spacing w:line="480" w:lineRule="auto"/>
              <w:rPr>
                <w:rFonts w:eastAsia="Gulim"/>
              </w:rPr>
            </w:pPr>
            <w:r>
              <w:rPr>
                <w:rFonts w:eastAsia="Gulim"/>
              </w:rPr>
              <w:t xml:space="preserve">7. Exposure of splenic artery to branch of posterior gastric artery </w:t>
            </w:r>
          </w:p>
          <w:p w14:paraId="3DCF61DB">
            <w:pPr>
              <w:spacing w:line="480" w:lineRule="auto"/>
              <w:rPr>
                <w:rFonts w:eastAsia="Gulim"/>
              </w:rPr>
            </w:pPr>
            <w:r>
              <w:rPr>
                <w:rFonts w:eastAsia="Gulim"/>
              </w:rPr>
              <w:t>8. Identification of splenic vein</w:t>
            </w:r>
          </w:p>
          <w:p w14:paraId="6E630A8D">
            <w:pPr>
              <w:spacing w:line="480" w:lineRule="auto"/>
              <w:rPr>
                <w:rFonts w:eastAsia="Gulim"/>
              </w:rPr>
            </w:pPr>
            <w:r>
              <w:rPr>
                <w:rFonts w:eastAsia="Gulim"/>
              </w:rPr>
              <w:t>9. Ligation of left gastric artery at origin</w:t>
            </w:r>
          </w:p>
          <w:p w14:paraId="058638B8">
            <w:pPr>
              <w:spacing w:line="480" w:lineRule="auto"/>
              <w:rPr>
                <w:rFonts w:eastAsia="Gulim"/>
              </w:rPr>
            </w:pPr>
            <w:r>
              <w:rPr>
                <w:rFonts w:eastAsia="Gulim"/>
              </w:rPr>
              <w:t>10. Exposure of gastroesophageal junction</w:t>
            </w:r>
          </w:p>
        </w:tc>
        <w:tc>
          <w:tcPr>
            <w:tcW w:w="2952" w:type="dxa"/>
          </w:tcPr>
          <w:p w14:paraId="58411736">
            <w:pPr>
              <w:spacing w:line="480" w:lineRule="auto"/>
              <w:ind w:firstLine="315" w:firstLineChars="150"/>
              <w:rPr>
                <w:rFonts w:eastAsia="Gulim"/>
              </w:rPr>
            </w:pPr>
            <w:r>
              <w:rPr>
                <w:rFonts w:eastAsia="Gulim"/>
              </w:rPr>
              <w:t>□        □       □</w:t>
            </w:r>
          </w:p>
          <w:p w14:paraId="000206A4">
            <w:pPr>
              <w:spacing w:line="480" w:lineRule="auto"/>
              <w:ind w:firstLine="315" w:firstLineChars="150"/>
              <w:rPr>
                <w:rFonts w:eastAsia="Gulim"/>
              </w:rPr>
            </w:pPr>
            <w:r>
              <w:rPr>
                <w:rFonts w:eastAsia="Gulim"/>
              </w:rPr>
              <w:t>□        □       □</w:t>
            </w:r>
          </w:p>
          <w:p w14:paraId="267D2DAB">
            <w:pPr>
              <w:spacing w:line="480" w:lineRule="auto"/>
              <w:ind w:firstLine="315" w:firstLineChars="150"/>
              <w:rPr>
                <w:rFonts w:eastAsia="Gulim"/>
              </w:rPr>
            </w:pPr>
            <w:r>
              <w:rPr>
                <w:rFonts w:eastAsia="Gulim"/>
              </w:rPr>
              <w:t>□        □       □</w:t>
            </w:r>
          </w:p>
          <w:p w14:paraId="6F6CD9ED">
            <w:pPr>
              <w:spacing w:line="480" w:lineRule="auto"/>
              <w:ind w:firstLine="315" w:firstLineChars="150"/>
              <w:rPr>
                <w:rFonts w:eastAsia="Gulim"/>
              </w:rPr>
            </w:pPr>
            <w:r>
              <w:rPr>
                <w:rFonts w:eastAsia="Gulim"/>
              </w:rPr>
              <w:t>□        □       □</w:t>
            </w:r>
          </w:p>
          <w:p w14:paraId="4CE7C65C">
            <w:pPr>
              <w:spacing w:line="480" w:lineRule="auto"/>
              <w:ind w:firstLine="315" w:firstLineChars="150"/>
              <w:rPr>
                <w:rFonts w:eastAsia="Gulim"/>
              </w:rPr>
            </w:pPr>
            <w:r>
              <w:rPr>
                <w:rFonts w:eastAsia="Gulim"/>
              </w:rPr>
              <w:t>□        □       □</w:t>
            </w:r>
          </w:p>
          <w:p w14:paraId="2B248D12">
            <w:pPr>
              <w:spacing w:line="480" w:lineRule="auto"/>
              <w:ind w:firstLine="315" w:firstLineChars="150"/>
              <w:rPr>
                <w:rFonts w:eastAsia="Gulim"/>
              </w:rPr>
            </w:pPr>
            <w:r>
              <w:rPr>
                <w:rFonts w:eastAsia="Gulim"/>
              </w:rPr>
              <w:t>□        □       □</w:t>
            </w:r>
          </w:p>
          <w:p w14:paraId="7496B747">
            <w:pPr>
              <w:spacing w:line="480" w:lineRule="auto"/>
              <w:ind w:firstLine="315" w:firstLineChars="150"/>
              <w:rPr>
                <w:rFonts w:eastAsia="Gulim"/>
              </w:rPr>
            </w:pPr>
            <w:r>
              <w:rPr>
                <w:rFonts w:eastAsia="Gulim"/>
              </w:rPr>
              <w:t>□        □       □</w:t>
            </w:r>
          </w:p>
          <w:p w14:paraId="5358770F">
            <w:pPr>
              <w:spacing w:line="480" w:lineRule="auto"/>
              <w:ind w:firstLine="315" w:firstLineChars="150"/>
              <w:rPr>
                <w:rFonts w:eastAsia="Gulim"/>
              </w:rPr>
            </w:pPr>
            <w:r>
              <w:rPr>
                <w:rFonts w:eastAsia="Gulim"/>
              </w:rPr>
              <w:t>□        □       □</w:t>
            </w:r>
          </w:p>
          <w:p w14:paraId="3431939D">
            <w:pPr>
              <w:spacing w:line="480" w:lineRule="auto"/>
              <w:ind w:firstLine="315" w:firstLineChars="150"/>
              <w:rPr>
                <w:rFonts w:eastAsia="Gulim"/>
              </w:rPr>
            </w:pPr>
            <w:r>
              <w:rPr>
                <w:rFonts w:eastAsia="Gulim"/>
              </w:rPr>
              <w:t>□        □       □</w:t>
            </w:r>
          </w:p>
          <w:p w14:paraId="6240963F">
            <w:pPr>
              <w:keepNext/>
              <w:spacing w:line="480" w:lineRule="auto"/>
              <w:ind w:firstLine="315" w:firstLineChars="150"/>
              <w:rPr>
                <w:rFonts w:eastAsia="Gulim"/>
              </w:rPr>
            </w:pPr>
            <w:r>
              <w:rPr>
                <w:rFonts w:eastAsia="Gulim"/>
              </w:rPr>
              <w:t>□        □       □</w:t>
            </w:r>
          </w:p>
        </w:tc>
      </w:tr>
    </w:tbl>
    <w:p w14:paraId="48C602CB">
      <w:pPr>
        <w:spacing w:line="360" w:lineRule="auto"/>
        <w:outlineLvl w:val="0"/>
        <w:rPr>
          <w:rFonts w:eastAsia="Gulim"/>
          <w:sz w:val="24"/>
        </w:rPr>
      </w:pPr>
      <w:bookmarkStart w:id="114" w:name="_Toc30110"/>
      <w:r>
        <w:rPr>
          <w:sz w:val="24"/>
        </w:rPr>
        <w:t>(</w:t>
      </w:r>
      <w:r>
        <w:rPr>
          <w:rFonts w:eastAsia="Gulim"/>
          <w:sz w:val="24"/>
        </w:rPr>
        <w:t>1</w:t>
      </w:r>
      <w:r>
        <w:rPr>
          <w:sz w:val="24"/>
        </w:rPr>
        <w:t>)</w:t>
      </w:r>
      <w:r>
        <w:rPr>
          <w:rFonts w:eastAsia="Gulim"/>
          <w:sz w:val="24"/>
        </w:rPr>
        <w:t>.</w:t>
      </w:r>
      <w:r>
        <w:rPr>
          <w:rFonts w:eastAsia="BatangChe"/>
          <w:sz w:val="24"/>
        </w:rPr>
        <w:t xml:space="preserve"> </w:t>
      </w:r>
      <w:r>
        <w:rPr>
          <w:rFonts w:eastAsia="Gulim"/>
          <w:sz w:val="24"/>
        </w:rPr>
        <w:t>Properly full omentectomy</w:t>
      </w:r>
      <w:bookmarkEnd w:id="114"/>
      <w:r>
        <w:rPr>
          <w:rFonts w:eastAsia="Gulim"/>
          <w:sz w:val="24"/>
        </w:rPr>
        <w:t xml:space="preserve"> </w:t>
      </w:r>
    </w:p>
    <w:p w14:paraId="2B026099">
      <w:pPr>
        <w:spacing w:line="360" w:lineRule="auto"/>
        <w:ind w:firstLine="240" w:firstLineChars="100"/>
        <w:rPr>
          <w:rFonts w:eastAsia="Gulim"/>
          <w:sz w:val="24"/>
        </w:rPr>
      </w:pPr>
      <w:r>
        <w:rPr>
          <w:rFonts w:eastAsia="Gulim"/>
          <w:sz w:val="24"/>
        </w:rPr>
        <w:t>a. Omentectomy was performed close to transverse colon</w:t>
      </w:r>
    </w:p>
    <w:p w14:paraId="10EFCE6B">
      <w:pPr>
        <w:spacing w:line="360" w:lineRule="auto"/>
        <w:ind w:firstLine="240" w:firstLineChars="100"/>
        <w:rPr>
          <w:rFonts w:eastAsia="Gulim"/>
          <w:sz w:val="24"/>
        </w:rPr>
      </w:pPr>
      <w:r>
        <w:rPr>
          <w:rFonts w:eastAsia="Gulim"/>
          <w:sz w:val="24"/>
          <w:u w:color="FA5050"/>
        </w:rPr>
        <w:t>b.</w:t>
      </w:r>
      <w:r>
        <w:rPr>
          <w:rFonts w:eastAsia="Gulim"/>
          <w:sz w:val="24"/>
        </w:rPr>
        <w:t xml:space="preserve"> Omentectomy was performed from hepatic flexure to splenic flexure</w:t>
      </w:r>
    </w:p>
    <w:p w14:paraId="663F5D83">
      <w:pPr>
        <w:spacing w:line="360" w:lineRule="auto"/>
        <w:ind w:left="479" w:leftChars="114" w:hanging="240" w:hangingChars="100"/>
        <w:rPr>
          <w:rFonts w:eastAsia="Gulim"/>
          <w:sz w:val="24"/>
        </w:rPr>
      </w:pPr>
      <w:r>
        <w:rPr>
          <w:rFonts w:eastAsia="Gulim"/>
          <w:sz w:val="24"/>
          <w:u w:color="FA5050"/>
        </w:rPr>
        <w:t>c.</w:t>
      </w:r>
      <w:r>
        <w:rPr>
          <w:rFonts w:eastAsia="Gulim"/>
          <w:sz w:val="24"/>
        </w:rPr>
        <w:t xml:space="preserve"> Anterior layer of transverse colonic mesentery and pancreatic anterior peritoneum </w:t>
      </w:r>
      <w:r>
        <w:rPr>
          <w:rFonts w:eastAsia="Gulim"/>
          <w:sz w:val="24"/>
          <w:u w:color="FA5050"/>
        </w:rPr>
        <w:t>w</w:t>
      </w:r>
      <w:r>
        <w:rPr>
          <w:sz w:val="24"/>
        </w:rPr>
        <w:t>as</w:t>
      </w:r>
      <w:r>
        <w:rPr>
          <w:rFonts w:eastAsia="Gulim"/>
          <w:sz w:val="24"/>
        </w:rPr>
        <w:t xml:space="preserve"> dissected. </w:t>
      </w:r>
    </w:p>
    <w:p w14:paraId="2E4C6DD8">
      <w:pPr>
        <w:spacing w:line="360" w:lineRule="auto"/>
        <w:rPr>
          <w:rFonts w:eastAsia="Gulim"/>
          <w:sz w:val="24"/>
        </w:rPr>
      </w:pPr>
      <w:r>
        <w:rPr>
          <w:sz w:val="24"/>
        </w:rPr>
        <w:t>(</w:t>
      </w:r>
      <w:r>
        <w:rPr>
          <w:rFonts w:eastAsia="Gulim"/>
          <w:sz w:val="24"/>
        </w:rPr>
        <w:t>2</w:t>
      </w:r>
      <w:r>
        <w:rPr>
          <w:sz w:val="24"/>
        </w:rPr>
        <w:t>)</w:t>
      </w:r>
      <w:r>
        <w:rPr>
          <w:rFonts w:eastAsia="Gulim"/>
          <w:sz w:val="24"/>
        </w:rPr>
        <w:t>. Ligation of left gastroepiploic artery at origin</w:t>
      </w:r>
    </w:p>
    <w:p w14:paraId="3F325854">
      <w:pPr>
        <w:spacing w:line="360" w:lineRule="auto"/>
        <w:rPr>
          <w:rFonts w:eastAsia="Gulim"/>
          <w:sz w:val="24"/>
        </w:rPr>
      </w:pPr>
      <w:r>
        <w:rPr>
          <w:sz w:val="24"/>
        </w:rPr>
        <w:t>(</w:t>
      </w:r>
      <w:r>
        <w:rPr>
          <w:rFonts w:eastAsia="Gulim"/>
          <w:sz w:val="24"/>
        </w:rPr>
        <w:t>3</w:t>
      </w:r>
      <w:r>
        <w:rPr>
          <w:sz w:val="24"/>
        </w:rPr>
        <w:t>)</w:t>
      </w:r>
      <w:r>
        <w:rPr>
          <w:rFonts w:eastAsia="Gulim"/>
          <w:sz w:val="24"/>
        </w:rPr>
        <w:t>. Ligation of right gastroepiploic artery at origin</w:t>
      </w:r>
    </w:p>
    <w:p w14:paraId="54D656EA">
      <w:pPr>
        <w:spacing w:line="360" w:lineRule="auto"/>
        <w:rPr>
          <w:rFonts w:eastAsia="Gulim"/>
          <w:sz w:val="24"/>
        </w:rPr>
      </w:pPr>
      <w:r>
        <w:rPr>
          <w:sz w:val="24"/>
        </w:rPr>
        <w:t>(</w:t>
      </w:r>
      <w:r>
        <w:rPr>
          <w:rFonts w:eastAsia="Gulim"/>
          <w:sz w:val="24"/>
        </w:rPr>
        <w:t>4</w:t>
      </w:r>
      <w:r>
        <w:rPr>
          <w:sz w:val="24"/>
        </w:rPr>
        <w:t>)</w:t>
      </w:r>
      <w:r>
        <w:rPr>
          <w:rFonts w:eastAsia="Gulim"/>
          <w:sz w:val="24"/>
        </w:rPr>
        <w:t>. Full exposure of common hepatic artery</w:t>
      </w:r>
      <w:r>
        <w:rPr>
          <w:sz w:val="24"/>
        </w:rPr>
        <w:t xml:space="preserve">: </w:t>
      </w:r>
      <w:r>
        <w:rPr>
          <w:rFonts w:eastAsia="Gulim"/>
          <w:sz w:val="24"/>
        </w:rPr>
        <w:t xml:space="preserve">More than half of anterior part in the </w:t>
      </w:r>
      <w:r>
        <w:rPr>
          <w:rFonts w:eastAsia="Gulim"/>
          <w:sz w:val="24"/>
          <w:u w:color="FA5050"/>
        </w:rPr>
        <w:t>common</w:t>
      </w:r>
      <w:r>
        <w:rPr>
          <w:rFonts w:eastAsia="Gulim"/>
          <w:sz w:val="24"/>
        </w:rPr>
        <w:t xml:space="preserve"> hepatic artery </w:t>
      </w:r>
      <w:r>
        <w:rPr>
          <w:rFonts w:eastAsia="Gulim"/>
          <w:sz w:val="24"/>
          <w:u w:color="FA5050"/>
        </w:rPr>
        <w:t>were</w:t>
      </w:r>
      <w:r>
        <w:rPr>
          <w:rFonts w:eastAsia="Gulim"/>
          <w:sz w:val="24"/>
        </w:rPr>
        <w:t xml:space="preserve"> exposed.</w:t>
      </w:r>
    </w:p>
    <w:p w14:paraId="21FCA285">
      <w:pPr>
        <w:spacing w:line="360" w:lineRule="auto"/>
        <w:rPr>
          <w:rFonts w:eastAsia="Gulim"/>
          <w:sz w:val="24"/>
        </w:rPr>
      </w:pPr>
      <w:r>
        <w:rPr>
          <w:sz w:val="24"/>
        </w:rPr>
        <w:t>(</w:t>
      </w:r>
      <w:r>
        <w:rPr>
          <w:rFonts w:eastAsia="Gulim"/>
          <w:sz w:val="24"/>
        </w:rPr>
        <w:t>5</w:t>
      </w:r>
      <w:r>
        <w:rPr>
          <w:sz w:val="24"/>
        </w:rPr>
        <w:t>)</w:t>
      </w:r>
      <w:r>
        <w:rPr>
          <w:rFonts w:eastAsia="Gulim"/>
          <w:sz w:val="24"/>
        </w:rPr>
        <w:t xml:space="preserve">. Ligation of right gastric artery at origin </w:t>
      </w:r>
    </w:p>
    <w:p w14:paraId="293EB283">
      <w:pPr>
        <w:spacing w:line="360" w:lineRule="auto"/>
        <w:outlineLvl w:val="0"/>
        <w:rPr>
          <w:rFonts w:eastAsia="Gulim"/>
          <w:sz w:val="24"/>
        </w:rPr>
      </w:pPr>
      <w:bookmarkStart w:id="115" w:name="_Toc31707"/>
      <w:r>
        <w:rPr>
          <w:sz w:val="24"/>
        </w:rPr>
        <w:t>(</w:t>
      </w:r>
      <w:r>
        <w:rPr>
          <w:rFonts w:eastAsia="Gulim"/>
          <w:sz w:val="24"/>
        </w:rPr>
        <w:t>6</w:t>
      </w:r>
      <w:r>
        <w:rPr>
          <w:sz w:val="24"/>
        </w:rPr>
        <w:t>)</w:t>
      </w:r>
      <w:r>
        <w:rPr>
          <w:rFonts w:eastAsia="Gulim"/>
          <w:sz w:val="24"/>
        </w:rPr>
        <w:t>. Exposure of portal vein</w:t>
      </w:r>
      <w:bookmarkEnd w:id="115"/>
      <w:r>
        <w:rPr>
          <w:rFonts w:eastAsia="Gulim"/>
          <w:sz w:val="24"/>
        </w:rPr>
        <w:t xml:space="preserve"> </w:t>
      </w:r>
    </w:p>
    <w:p w14:paraId="23B052DB">
      <w:pPr>
        <w:spacing w:line="360" w:lineRule="auto"/>
        <w:rPr>
          <w:rFonts w:eastAsia="Gulim"/>
          <w:sz w:val="24"/>
        </w:rPr>
      </w:pPr>
      <w:r>
        <w:rPr>
          <w:sz w:val="24"/>
        </w:rPr>
        <w:t>(</w:t>
      </w:r>
      <w:r>
        <w:rPr>
          <w:rFonts w:eastAsia="Gulim"/>
          <w:sz w:val="24"/>
        </w:rPr>
        <w:t>7</w:t>
      </w:r>
      <w:r>
        <w:rPr>
          <w:sz w:val="24"/>
        </w:rPr>
        <w:t>)</w:t>
      </w:r>
      <w:r>
        <w:rPr>
          <w:rFonts w:eastAsia="Gulim"/>
          <w:sz w:val="24"/>
        </w:rPr>
        <w:t>. Exposure of splenic artery to branch of posterior gastric artery</w:t>
      </w:r>
    </w:p>
    <w:p w14:paraId="4119C112">
      <w:pPr>
        <w:spacing w:line="360" w:lineRule="auto"/>
        <w:ind w:firstLine="240" w:firstLineChars="100"/>
        <w:rPr>
          <w:rFonts w:eastAsia="Gulim"/>
          <w:sz w:val="24"/>
        </w:rPr>
      </w:pPr>
      <w:r>
        <w:rPr>
          <w:rFonts w:eastAsia="Gulim"/>
          <w:sz w:val="24"/>
        </w:rPr>
        <w:t>a. More than half of anterior part in splenic artery was exposed.</w:t>
      </w:r>
    </w:p>
    <w:p w14:paraId="4FE58B20">
      <w:pPr>
        <w:spacing w:line="360" w:lineRule="auto"/>
        <w:ind w:firstLine="240" w:firstLineChars="100"/>
        <w:rPr>
          <w:rFonts w:eastAsia="Gulim"/>
          <w:sz w:val="24"/>
        </w:rPr>
      </w:pPr>
      <w:r>
        <w:rPr>
          <w:rFonts w:eastAsia="Gulim"/>
          <w:sz w:val="24"/>
          <w:u w:color="FA5050"/>
        </w:rPr>
        <w:t>b.</w:t>
      </w:r>
      <w:r>
        <w:rPr>
          <w:rFonts w:eastAsia="Gulim"/>
          <w:sz w:val="24"/>
        </w:rPr>
        <w:t xml:space="preserve"> Splenic artery was exposed from celiac trunk to posterior gastric artery</w:t>
      </w:r>
    </w:p>
    <w:p w14:paraId="78E21C66">
      <w:pPr>
        <w:spacing w:line="360" w:lineRule="auto"/>
        <w:rPr>
          <w:rFonts w:eastAsia="Gulim"/>
          <w:sz w:val="24"/>
        </w:rPr>
      </w:pPr>
      <w:r>
        <w:rPr>
          <w:sz w:val="24"/>
        </w:rPr>
        <w:t>(</w:t>
      </w:r>
      <w:r>
        <w:rPr>
          <w:rFonts w:eastAsia="Gulim"/>
          <w:sz w:val="24"/>
        </w:rPr>
        <w:t>8</w:t>
      </w:r>
      <w:r>
        <w:rPr>
          <w:sz w:val="24"/>
        </w:rPr>
        <w:t>)</w:t>
      </w:r>
      <w:r>
        <w:rPr>
          <w:rFonts w:eastAsia="Gulim"/>
          <w:sz w:val="24"/>
        </w:rPr>
        <w:t xml:space="preserve">. Identification of splenic vein </w:t>
      </w:r>
    </w:p>
    <w:p w14:paraId="215B6EF7">
      <w:pPr>
        <w:spacing w:line="360" w:lineRule="auto"/>
        <w:rPr>
          <w:rFonts w:eastAsia="Gulim"/>
          <w:sz w:val="24"/>
        </w:rPr>
      </w:pPr>
      <w:r>
        <w:rPr>
          <w:sz w:val="24"/>
        </w:rPr>
        <w:t>(</w:t>
      </w:r>
      <w:r>
        <w:rPr>
          <w:rFonts w:eastAsia="Gulim"/>
          <w:sz w:val="24"/>
        </w:rPr>
        <w:t>9</w:t>
      </w:r>
      <w:r>
        <w:rPr>
          <w:sz w:val="24"/>
        </w:rPr>
        <w:t>)</w:t>
      </w:r>
      <w:r>
        <w:rPr>
          <w:rFonts w:eastAsia="Gulim"/>
          <w:sz w:val="24"/>
        </w:rPr>
        <w:t>. Ligation of left gastric artery at origin</w:t>
      </w:r>
    </w:p>
    <w:p w14:paraId="0ACF899E">
      <w:pPr>
        <w:spacing w:line="360" w:lineRule="auto"/>
        <w:rPr>
          <w:rFonts w:eastAsia="Gulim"/>
          <w:sz w:val="24"/>
        </w:rPr>
      </w:pPr>
      <w:r>
        <w:rPr>
          <w:sz w:val="24"/>
        </w:rPr>
        <w:t>(</w:t>
      </w:r>
      <w:r>
        <w:rPr>
          <w:rFonts w:eastAsia="Gulim"/>
          <w:sz w:val="24"/>
        </w:rPr>
        <w:t>10</w:t>
      </w:r>
      <w:r>
        <w:rPr>
          <w:sz w:val="24"/>
        </w:rPr>
        <w:t>)</w:t>
      </w:r>
      <w:r>
        <w:rPr>
          <w:rFonts w:eastAsia="Gulim"/>
          <w:sz w:val="24"/>
        </w:rPr>
        <w:t>. Exposure of gastroesophageal junction</w:t>
      </w:r>
    </w:p>
    <w:p w14:paraId="0E448864">
      <w:pPr>
        <w:spacing w:line="360" w:lineRule="auto"/>
        <w:ind w:firstLine="240" w:firstLineChars="100"/>
        <w:rPr>
          <w:rFonts w:eastAsia="Gulim"/>
          <w:sz w:val="24"/>
        </w:rPr>
      </w:pPr>
      <w:r>
        <w:rPr>
          <w:rFonts w:eastAsia="Gulim"/>
          <w:sz w:val="24"/>
        </w:rPr>
        <w:t xml:space="preserve">a. Anterior and right side of </w:t>
      </w:r>
      <w:r>
        <w:rPr>
          <w:rFonts w:eastAsia="Gulim"/>
          <w:sz w:val="24"/>
          <w:u w:color="FA5050"/>
        </w:rPr>
        <w:t>the abdominal</w:t>
      </w:r>
      <w:r>
        <w:rPr>
          <w:rFonts w:eastAsia="Gulim"/>
          <w:sz w:val="24"/>
        </w:rPr>
        <w:t xml:space="preserve"> esophagus were exposed.</w:t>
      </w:r>
    </w:p>
    <w:p w14:paraId="43E0C5BB">
      <w:pPr>
        <w:spacing w:line="360" w:lineRule="auto"/>
        <w:rPr>
          <w:rFonts w:eastAsia="Gulim"/>
          <w:sz w:val="24"/>
        </w:rPr>
      </w:pPr>
      <w:r>
        <w:rPr>
          <w:rFonts w:eastAsia="Gulim"/>
          <w:sz w:val="24"/>
        </w:rPr>
        <w:t>- D2 lymphadenectomy was accepted if all randomly assigned three investigators rated 85 points and more regarding checklists in unedited video review.</w:t>
      </w:r>
    </w:p>
    <w:p w14:paraId="4425E214">
      <w:pPr>
        <w:spacing w:line="360" w:lineRule="auto"/>
        <w:rPr>
          <w:sz w:val="24"/>
        </w:rPr>
      </w:pPr>
    </w:p>
    <w:p w14:paraId="40A70C08">
      <w:pPr>
        <w:adjustRightInd w:val="0"/>
        <w:snapToGrid w:val="0"/>
        <w:spacing w:line="360" w:lineRule="auto"/>
        <w:rPr>
          <w:rFonts w:eastAsia="微软雅黑"/>
          <w:b/>
          <w:sz w:val="32"/>
          <w:szCs w:val="32"/>
        </w:rPr>
      </w:pPr>
      <w:r>
        <w:rPr>
          <w:rFonts w:eastAsia="微软雅黑"/>
          <w:b/>
          <w:sz w:val="32"/>
          <w:szCs w:val="32"/>
        </w:rPr>
        <w:t>8. End point and definition of related result determination</w:t>
      </w:r>
    </w:p>
    <w:p w14:paraId="5D405CFF">
      <w:pPr>
        <w:adjustRightInd w:val="0"/>
        <w:snapToGrid w:val="0"/>
        <w:spacing w:line="360" w:lineRule="auto"/>
        <w:jc w:val="left"/>
        <w:rPr>
          <w:rFonts w:eastAsia="微软雅黑"/>
          <w:b/>
          <w:sz w:val="24"/>
        </w:rPr>
      </w:pPr>
      <w:r>
        <w:rPr>
          <w:rFonts w:eastAsia="微软雅黑"/>
          <w:b/>
          <w:sz w:val="24"/>
        </w:rPr>
        <w:t xml:space="preserve">8.1 </w:t>
      </w:r>
      <w:r>
        <w:rPr>
          <w:b/>
          <w:sz w:val="24"/>
        </w:rPr>
        <w:t>Definition of recurrence and recurrence date</w:t>
      </w:r>
    </w:p>
    <w:p w14:paraId="39340284">
      <w:pPr>
        <w:spacing w:line="360" w:lineRule="auto"/>
        <w:ind w:firstLine="360" w:firstLineChars="150"/>
        <w:rPr>
          <w:sz w:val="24"/>
        </w:rPr>
      </w:pPr>
      <w:r>
        <w:rPr>
          <w:sz w:val="24"/>
        </w:rPr>
        <w:t>The following situations are regarded as “recurrence” and should be recorded as the evidence of “recurrence” in the CRF.</w:t>
      </w:r>
    </w:p>
    <w:p w14:paraId="2EB1C21D">
      <w:pPr>
        <w:numPr>
          <w:ilvl w:val="0"/>
          <w:numId w:val="23"/>
        </w:numPr>
        <w:adjustRightInd w:val="0"/>
        <w:snapToGrid w:val="0"/>
        <w:spacing w:line="360" w:lineRule="auto"/>
        <w:rPr>
          <w:rFonts w:eastAsia="微软雅黑"/>
          <w:sz w:val="24"/>
        </w:rPr>
      </w:pPr>
      <w:r>
        <w:rPr>
          <w:sz w:val="24"/>
        </w:rPr>
        <w:t>Recurrence identified by any one image examination (X-ray, ultrasound, CT, MRI, PET-CT, endoscope, etc.) and, if there are a variety of imaging examinations, results without contradiction determined “recurrence”. The earliest date that the recurrence is found is defined as the “recurrence date”.</w:t>
      </w:r>
    </w:p>
    <w:p w14:paraId="6A28FEA0">
      <w:pPr>
        <w:numPr>
          <w:ilvl w:val="0"/>
          <w:numId w:val="23"/>
        </w:numPr>
        <w:adjustRightInd w:val="0"/>
        <w:snapToGrid w:val="0"/>
        <w:spacing w:line="360" w:lineRule="auto"/>
        <w:rPr>
          <w:rFonts w:eastAsia="微软雅黑"/>
          <w:sz w:val="24"/>
        </w:rPr>
      </w:pPr>
      <w:r>
        <w:rPr>
          <w:sz w:val="24"/>
        </w:rPr>
        <w:t>For cases that lack the use of imaging or a pathological diagnosis, the date we diagnose the occurrence of clinical recurrence based on clinical history and physical examination is defined as the “recurrence date”.</w:t>
      </w:r>
    </w:p>
    <w:p w14:paraId="79A900D5">
      <w:pPr>
        <w:numPr>
          <w:ilvl w:val="0"/>
          <w:numId w:val="23"/>
        </w:numPr>
        <w:adjustRightInd w:val="0"/>
        <w:snapToGrid w:val="0"/>
        <w:spacing w:line="360" w:lineRule="auto"/>
        <w:rPr>
          <w:rFonts w:eastAsia="微软雅黑"/>
          <w:sz w:val="24"/>
        </w:rPr>
      </w:pPr>
      <w:r>
        <w:rPr>
          <w:sz w:val="24"/>
        </w:rPr>
        <w:t>For cases without imaging or clinical diagnosis but with a cytology or tissue biopsy pathological diagnosis of recurrence, the earliest date confirmed by cytology or biopsy pathology is considered the “recurrence date”.</w:t>
      </w:r>
    </w:p>
    <w:p w14:paraId="145EA1D7">
      <w:pPr>
        <w:numPr>
          <w:ilvl w:val="0"/>
          <w:numId w:val="23"/>
        </w:numPr>
        <w:adjustRightInd w:val="0"/>
        <w:snapToGrid w:val="0"/>
        <w:spacing w:line="360" w:lineRule="auto"/>
        <w:rPr>
          <w:rFonts w:eastAsia="微软雅黑"/>
          <w:sz w:val="24"/>
        </w:rPr>
      </w:pPr>
      <w:r>
        <w:rPr>
          <w:sz w:val="24"/>
        </w:rPr>
        <w:t>A rise in CEA or other associated tumor markers alone could not be diagnosed as a relapse.</w:t>
      </w:r>
    </w:p>
    <w:p w14:paraId="0C1B536D">
      <w:pPr>
        <w:adjustRightInd w:val="0"/>
        <w:snapToGrid w:val="0"/>
        <w:spacing w:line="360" w:lineRule="auto"/>
        <w:jc w:val="left"/>
        <w:rPr>
          <w:rFonts w:eastAsia="微软雅黑"/>
          <w:b/>
          <w:sz w:val="24"/>
        </w:rPr>
      </w:pPr>
      <w:r>
        <w:rPr>
          <w:rFonts w:eastAsia="微软雅黑"/>
          <w:b/>
          <w:sz w:val="24"/>
        </w:rPr>
        <w:t>8.2 Incidence of postoperative complications</w:t>
      </w:r>
    </w:p>
    <w:p w14:paraId="6420AB6F">
      <w:pPr>
        <w:adjustRightInd w:val="0"/>
        <w:snapToGrid w:val="0"/>
        <w:spacing w:line="360" w:lineRule="auto"/>
        <w:rPr>
          <w:rFonts w:eastAsia="微软雅黑"/>
          <w:b/>
          <w:sz w:val="24"/>
        </w:rPr>
      </w:pPr>
      <w:r>
        <w:rPr>
          <w:rFonts w:eastAsia="微软雅黑"/>
          <w:b/>
          <w:sz w:val="24"/>
        </w:rPr>
        <w:t>8.2.1 Incidence of postoperative complications</w:t>
      </w:r>
    </w:p>
    <w:p w14:paraId="1D01C58F">
      <w:pPr>
        <w:adjustRightInd w:val="0"/>
        <w:snapToGrid w:val="0"/>
        <w:spacing w:line="360" w:lineRule="auto"/>
        <w:ind w:firstLine="480" w:firstLineChars="200"/>
        <w:rPr>
          <w:rFonts w:eastAsia="微软雅黑"/>
          <w:sz w:val="24"/>
        </w:rPr>
      </w:pPr>
      <w:r>
        <w:rPr>
          <w:sz w:val="24"/>
        </w:rPr>
        <w:t>The number of all patients treated with surgery as the denominator and the number of the patients with any intraoperative and postoperative complications as the numerator are used to calculate the proportions.</w:t>
      </w:r>
      <w:r>
        <w:rPr>
          <w:kern w:val="0"/>
          <w:sz w:val="24"/>
        </w:rPr>
        <w:t xml:space="preserve"> </w:t>
      </w:r>
    </w:p>
    <w:p w14:paraId="14265C1A">
      <w:pPr>
        <w:adjustRightInd w:val="0"/>
        <w:snapToGrid w:val="0"/>
        <w:spacing w:line="360" w:lineRule="auto"/>
        <w:rPr>
          <w:rFonts w:eastAsia="微软雅黑"/>
          <w:b/>
          <w:sz w:val="24"/>
        </w:rPr>
      </w:pPr>
      <w:r>
        <w:rPr>
          <w:rFonts w:eastAsia="微软雅黑"/>
          <w:b/>
          <w:sz w:val="24"/>
        </w:rPr>
        <w:t>8.2.2 Incidence of overall postoperative complications</w:t>
      </w:r>
    </w:p>
    <w:p w14:paraId="5618F4CD">
      <w:pPr>
        <w:adjustRightInd w:val="0"/>
        <w:snapToGrid w:val="0"/>
        <w:spacing w:line="360" w:lineRule="auto"/>
        <w:ind w:firstLine="480" w:firstLineChars="200"/>
        <w:rPr>
          <w:rFonts w:eastAsia="微软雅黑"/>
          <w:sz w:val="24"/>
        </w:rPr>
      </w:pPr>
      <w:r>
        <w:rPr>
          <w:rFonts w:eastAsia="微软雅黑"/>
          <w:sz w:val="24"/>
        </w:rPr>
        <w:t>The postoperative complication criteria refer to short-term complications after surgery in the postoperative observation project (see 9.4.5). The time is defined as within 30th after surgery, or the first discharge time if the days of hospital stay more than 30 days.</w:t>
      </w:r>
    </w:p>
    <w:p w14:paraId="4E83C2E9">
      <w:pPr>
        <w:adjustRightInd w:val="0"/>
        <w:snapToGrid w:val="0"/>
        <w:spacing w:line="360" w:lineRule="auto"/>
        <w:rPr>
          <w:rFonts w:eastAsia="微软雅黑"/>
          <w:b/>
          <w:sz w:val="24"/>
        </w:rPr>
      </w:pPr>
      <w:r>
        <w:rPr>
          <w:rFonts w:eastAsia="微软雅黑"/>
          <w:b/>
          <w:sz w:val="24"/>
        </w:rPr>
        <w:t>8.2.3 Incidence of postoperative major complications</w:t>
      </w:r>
    </w:p>
    <w:p w14:paraId="630D6541">
      <w:pPr>
        <w:adjustRightInd w:val="0"/>
        <w:snapToGrid w:val="0"/>
        <w:spacing w:line="360" w:lineRule="auto"/>
        <w:ind w:firstLine="480" w:firstLineChars="200"/>
        <w:rPr>
          <w:rFonts w:eastAsia="微软雅黑"/>
          <w:sz w:val="24"/>
        </w:rPr>
      </w:pPr>
      <w:r>
        <w:rPr>
          <w:rFonts w:eastAsia="微软雅黑"/>
          <w:sz w:val="24"/>
        </w:rPr>
        <w:t>The standard for postoperative major complications refers to the short-term complications in the postoperative observation project (see 9.4.5) according to the Clavien–dindo grade, IIIA level and above for serious complications, and when multiple complications occur simultaneously, the highest ranked complication is the subject.</w:t>
      </w:r>
    </w:p>
    <w:p w14:paraId="0C914079">
      <w:pPr>
        <w:adjustRightInd w:val="0"/>
        <w:snapToGrid w:val="0"/>
        <w:spacing w:line="360" w:lineRule="auto"/>
        <w:jc w:val="left"/>
        <w:rPr>
          <w:rFonts w:eastAsia="微软雅黑"/>
          <w:b/>
          <w:sz w:val="24"/>
        </w:rPr>
      </w:pPr>
      <w:r>
        <w:rPr>
          <w:rFonts w:eastAsia="微软雅黑"/>
          <w:b/>
          <w:sz w:val="24"/>
        </w:rPr>
        <w:t xml:space="preserve">8.3 </w:t>
      </w:r>
      <w:r>
        <w:rPr>
          <w:b/>
          <w:sz w:val="24"/>
        </w:rPr>
        <w:t>Incidence of surgical complications</w:t>
      </w:r>
    </w:p>
    <w:p w14:paraId="30E867FC">
      <w:pPr>
        <w:adjustRightInd w:val="0"/>
        <w:snapToGrid w:val="0"/>
        <w:spacing w:line="360" w:lineRule="auto"/>
        <w:ind w:firstLine="480" w:firstLineChars="200"/>
        <w:rPr>
          <w:rFonts w:eastAsia="微软雅黑"/>
          <w:sz w:val="24"/>
        </w:rPr>
      </w:pPr>
      <w:r>
        <w:rPr>
          <w:sz w:val="24"/>
        </w:rPr>
        <w:t>The number of all patients treated with surgery as the denominator and the number of the patients with any intraoperative and postoperative complications as the numerator are used to calculate the proportions. The criteria for the intraoperative complications refer to the descriptions of intraoperative complications in the observation project (in 9.3.3).</w:t>
      </w:r>
    </w:p>
    <w:p w14:paraId="32C7FBF2">
      <w:pPr>
        <w:adjustRightInd w:val="0"/>
        <w:snapToGrid w:val="0"/>
        <w:spacing w:line="360" w:lineRule="auto"/>
        <w:jc w:val="left"/>
        <w:rPr>
          <w:rFonts w:eastAsia="微软雅黑"/>
          <w:b/>
          <w:sz w:val="24"/>
        </w:rPr>
      </w:pPr>
      <w:r>
        <w:rPr>
          <w:rFonts w:eastAsia="微软雅黑"/>
          <w:b/>
          <w:sz w:val="24"/>
        </w:rPr>
        <w:t xml:space="preserve">8.4 </w:t>
      </w:r>
      <w:r>
        <w:rPr>
          <w:b/>
          <w:sz w:val="24"/>
        </w:rPr>
        <w:t>Mortality</w:t>
      </w:r>
    </w:p>
    <w:p w14:paraId="41E485E2">
      <w:pPr>
        <w:spacing w:line="360" w:lineRule="auto"/>
        <w:ind w:firstLine="360" w:firstLineChars="150"/>
        <w:rPr>
          <w:sz w:val="24"/>
        </w:rPr>
      </w:pPr>
      <w:r>
        <w:rPr>
          <w:rFonts w:eastAsia="微软雅黑"/>
          <w:sz w:val="24"/>
        </w:rPr>
        <w:sym w:font="Symbol" w:char="F0B7"/>
      </w:r>
      <w:r>
        <w:rPr>
          <w:sz w:val="24"/>
        </w:rPr>
        <w:t>The number of all the patients receiving surgery as the denominator and the number of the patients in any of the following situations as the numerator are used to calculate proportions. This proportion indicated the operative mortality ratio.</w:t>
      </w:r>
    </w:p>
    <w:p w14:paraId="24375AB3">
      <w:pPr>
        <w:spacing w:line="360" w:lineRule="auto"/>
        <w:ind w:firstLine="360" w:firstLineChars="150"/>
        <w:rPr>
          <w:sz w:val="24"/>
        </w:rPr>
      </w:pPr>
      <w:r>
        <w:rPr>
          <w:rFonts w:eastAsia="微软雅黑"/>
          <w:sz w:val="24"/>
        </w:rPr>
        <w:sym w:font="Symbol" w:char="F0B7"/>
      </w:r>
      <w:r>
        <w:rPr>
          <w:sz w:val="24"/>
        </w:rPr>
        <w:t>Situations: patients whose death was identified according to documented intraoperative observation items, including patients who die within 30 days after the surgery (including 30 days) regardless of the causality between the death and the surgery, and patients who die more than 30 days after the surgery (whose death is proved to have a direct causal relationship with the first operation).</w:t>
      </w:r>
    </w:p>
    <w:p w14:paraId="2CF3CD61">
      <w:pPr>
        <w:adjustRightInd w:val="0"/>
        <w:snapToGrid w:val="0"/>
        <w:spacing w:line="360" w:lineRule="auto"/>
        <w:jc w:val="left"/>
        <w:rPr>
          <w:b/>
          <w:sz w:val="24"/>
        </w:rPr>
      </w:pPr>
      <w:r>
        <w:rPr>
          <w:b/>
          <w:sz w:val="24"/>
        </w:rPr>
        <w:t>8.5 Disease-free survival</w:t>
      </w:r>
    </w:p>
    <w:p w14:paraId="6B1B245B">
      <w:pPr>
        <w:adjustRightInd w:val="0"/>
        <w:snapToGrid w:val="0"/>
        <w:spacing w:line="360" w:lineRule="auto"/>
        <w:ind w:firstLine="480" w:firstLineChars="200"/>
        <w:rPr>
          <w:rFonts w:eastAsia="微软雅黑"/>
          <w:sz w:val="24"/>
        </w:rPr>
      </w:pPr>
      <w:r>
        <w:rPr>
          <w:sz w:val="24"/>
        </w:rPr>
        <w:t xml:space="preserve">Disease-free survival is calculated from the day of surgery to the day of recurrence or death (When the specific date of recurrence of the tumor is unknown, the ending point is the date of death due to tumor causes). In the event that neither death nor recurrence of the tumor are observed, the end point is the final date that a patient is confirmed as relapse-free. </w:t>
      </w:r>
      <w:r>
        <w:rPr>
          <w:rFonts w:eastAsia="微软雅黑"/>
          <w:sz w:val="24"/>
        </w:rPr>
        <w:t>(T</w:t>
      </w:r>
      <w:r>
        <w:rPr>
          <w:sz w:val="24"/>
        </w:rPr>
        <w:t>he final date of disease-free survival: The last date of the outpatient visit day or the date of acceptance of the examination</w:t>
      </w:r>
      <w:r>
        <w:rPr>
          <w:rFonts w:eastAsia="微软雅黑"/>
          <w:sz w:val="24"/>
        </w:rPr>
        <w:t>). (Follow-up cycle and required examinations are shown in the follow-up process 9.5.3)</w:t>
      </w:r>
    </w:p>
    <w:p w14:paraId="1FDA7B1D">
      <w:pPr>
        <w:adjustRightInd w:val="0"/>
        <w:snapToGrid w:val="0"/>
        <w:spacing w:line="360" w:lineRule="auto"/>
        <w:jc w:val="left"/>
        <w:rPr>
          <w:rFonts w:eastAsia="微软雅黑"/>
          <w:b/>
          <w:sz w:val="24"/>
        </w:rPr>
      </w:pPr>
      <w:r>
        <w:rPr>
          <w:rFonts w:eastAsia="微软雅黑"/>
          <w:b/>
          <w:sz w:val="24"/>
        </w:rPr>
        <w:t xml:space="preserve">8.6 </w:t>
      </w:r>
      <w:r>
        <w:rPr>
          <w:b/>
          <w:sz w:val="24"/>
        </w:rPr>
        <w:t>Overall survival time</w:t>
      </w:r>
    </w:p>
    <w:p w14:paraId="0592A828">
      <w:pPr>
        <w:adjustRightInd w:val="0"/>
        <w:snapToGrid w:val="0"/>
        <w:spacing w:line="360" w:lineRule="auto"/>
        <w:ind w:firstLine="480" w:firstLineChars="200"/>
        <w:rPr>
          <w:sz w:val="24"/>
        </w:rPr>
      </w:pPr>
      <w:r>
        <w:rPr>
          <w:sz w:val="24"/>
        </w:rPr>
        <w:t>The overall survival is calculated from the day of surgery until death or until the final follow-up date, whichever occurs first. For survival cases, the end point is the last date that survival was confirmed. If loss to follow-up occurred, the end point is the final date that survival could be confirmed.</w:t>
      </w:r>
    </w:p>
    <w:p w14:paraId="78DA8163">
      <w:pPr>
        <w:adjustRightInd w:val="0"/>
        <w:snapToGrid w:val="0"/>
        <w:spacing w:line="360" w:lineRule="auto"/>
        <w:jc w:val="left"/>
        <w:rPr>
          <w:rFonts w:eastAsia="微软雅黑"/>
          <w:b/>
          <w:sz w:val="24"/>
        </w:rPr>
      </w:pPr>
      <w:r>
        <w:rPr>
          <w:rFonts w:eastAsia="微软雅黑"/>
          <w:b/>
          <w:sz w:val="24"/>
        </w:rPr>
        <w:t xml:space="preserve">8.7 </w:t>
      </w:r>
      <w:r>
        <w:rPr>
          <w:b/>
          <w:sz w:val="24"/>
        </w:rPr>
        <w:t>Determination of surgical outcomes</w:t>
      </w:r>
    </w:p>
    <w:p w14:paraId="76A92AC8">
      <w:pPr>
        <w:adjustRightInd w:val="0"/>
        <w:snapToGrid w:val="0"/>
        <w:spacing w:line="360" w:lineRule="auto"/>
        <w:rPr>
          <w:rFonts w:eastAsia="微软雅黑"/>
          <w:sz w:val="24"/>
        </w:rPr>
      </w:pPr>
      <w:r>
        <w:rPr>
          <w:rFonts w:eastAsia="微软雅黑"/>
          <w:b/>
          <w:sz w:val="24"/>
        </w:rPr>
        <w:t xml:space="preserve">8.7.1 </w:t>
      </w:r>
      <w:r>
        <w:rPr>
          <w:b/>
          <w:sz w:val="24"/>
        </w:rPr>
        <w:t xml:space="preserve">Operative time: </w:t>
      </w:r>
      <w:r>
        <w:rPr>
          <w:sz w:val="24"/>
        </w:rPr>
        <w:t>from skin incision to the skin being sutured</w:t>
      </w:r>
    </w:p>
    <w:p w14:paraId="44F4C565">
      <w:pPr>
        <w:adjustRightInd w:val="0"/>
        <w:snapToGrid w:val="0"/>
        <w:spacing w:line="360" w:lineRule="auto"/>
        <w:rPr>
          <w:b/>
          <w:sz w:val="24"/>
        </w:rPr>
      </w:pPr>
      <w:r>
        <w:rPr>
          <w:rFonts w:eastAsia="微软雅黑"/>
          <w:b/>
          <w:sz w:val="24"/>
        </w:rPr>
        <w:t xml:space="preserve">8.7.2 </w:t>
      </w:r>
      <w:r>
        <w:rPr>
          <w:b/>
          <w:sz w:val="24"/>
        </w:rPr>
        <w:t>Postoperative recovery indexes</w:t>
      </w:r>
    </w:p>
    <w:p w14:paraId="16E445FA">
      <w:pPr>
        <w:adjustRightInd w:val="0"/>
        <w:snapToGrid w:val="0"/>
        <w:spacing w:line="360" w:lineRule="auto"/>
        <w:rPr>
          <w:b/>
          <w:sz w:val="24"/>
        </w:rPr>
      </w:pPr>
      <w:r>
        <w:rPr>
          <w:b/>
          <w:sz w:val="24"/>
        </w:rPr>
        <w:t>8.7.2.1 Time to ambulation, flatus, recovery of liquid diet and semi-liquid diet.</w:t>
      </w:r>
    </w:p>
    <w:p w14:paraId="555FAE45">
      <w:pPr>
        <w:adjustRightInd w:val="0"/>
        <w:snapToGrid w:val="0"/>
        <w:spacing w:line="360" w:lineRule="auto"/>
        <w:rPr>
          <w:rFonts w:eastAsia="微软雅黑"/>
          <w:sz w:val="24"/>
        </w:rPr>
      </w:pPr>
      <w:r>
        <w:rPr>
          <w:rFonts w:eastAsia="微软雅黑"/>
          <w:sz w:val="24"/>
        </w:rPr>
        <w:sym w:font="Symbol" w:char="F0B7"/>
      </w:r>
      <w:r>
        <w:rPr>
          <w:rFonts w:eastAsia="微软雅黑"/>
          <w:sz w:val="24"/>
        </w:rPr>
        <w:t></w:t>
      </w:r>
      <w:r>
        <w:rPr>
          <w:sz w:val="24"/>
        </w:rPr>
        <w:t>During the day of surgery to the first discharge, the initial time to ambulation, flatus, liquid diet and semi-liquid diet during the postoperative hospitalization is recorded by hour</w:t>
      </w:r>
      <w:r>
        <w:rPr>
          <w:rFonts w:eastAsia="微软雅黑"/>
          <w:sz w:val="24"/>
        </w:rPr>
        <w:t>.</w:t>
      </w:r>
    </w:p>
    <w:p w14:paraId="691B4980">
      <w:pPr>
        <w:adjustRightInd w:val="0"/>
        <w:snapToGrid w:val="0"/>
        <w:spacing w:line="360" w:lineRule="auto"/>
        <w:rPr>
          <w:rFonts w:eastAsia="微软雅黑"/>
          <w:sz w:val="24"/>
        </w:rPr>
      </w:pPr>
      <w:r>
        <w:rPr>
          <w:rFonts w:eastAsia="微软雅黑"/>
          <w:sz w:val="24"/>
        </w:rPr>
        <w:sym w:font="Symbol" w:char="F0B7"/>
      </w:r>
      <w:r>
        <w:rPr>
          <w:rFonts w:eastAsia="微软雅黑"/>
          <w:sz w:val="24"/>
        </w:rPr>
        <w:t></w:t>
      </w:r>
      <w:r>
        <w:rPr>
          <w:sz w:val="24"/>
        </w:rPr>
        <w:t>Flatus on the operation day should be excluded</w:t>
      </w:r>
      <w:r>
        <w:rPr>
          <w:rFonts w:eastAsia="微软雅黑"/>
          <w:sz w:val="24"/>
        </w:rPr>
        <w:t>.</w:t>
      </w:r>
    </w:p>
    <w:p w14:paraId="0328F44F">
      <w:pPr>
        <w:adjustRightInd w:val="0"/>
        <w:snapToGrid w:val="0"/>
        <w:spacing w:line="360" w:lineRule="auto"/>
        <w:rPr>
          <w:rFonts w:eastAsia="微软雅黑"/>
          <w:sz w:val="24"/>
        </w:rPr>
      </w:pPr>
      <w:r>
        <w:rPr>
          <w:rFonts w:eastAsia="微软雅黑"/>
          <w:sz w:val="24"/>
        </w:rPr>
        <w:sym w:font="Symbol" w:char="F0B7"/>
      </w:r>
      <w:r>
        <w:rPr>
          <w:rFonts w:eastAsia="微软雅黑"/>
          <w:sz w:val="24"/>
        </w:rPr>
        <w:t></w:t>
      </w:r>
      <w:r>
        <w:rPr>
          <w:sz w:val="24"/>
        </w:rPr>
        <w:t>If flatus or resumption of liquid and semi-liquid diet does not occur before hospital discharge, the discharge time should be recorded as the corresponding time.</w:t>
      </w:r>
    </w:p>
    <w:p w14:paraId="03ECF668">
      <w:pPr>
        <w:adjustRightInd w:val="0"/>
        <w:snapToGrid w:val="0"/>
        <w:spacing w:line="360" w:lineRule="auto"/>
        <w:rPr>
          <w:rFonts w:eastAsia="微软雅黑"/>
          <w:sz w:val="24"/>
        </w:rPr>
      </w:pPr>
      <w:r>
        <w:rPr>
          <w:rFonts w:eastAsia="微软雅黑"/>
          <w:sz w:val="24"/>
        </w:rPr>
        <w:sym w:font="Symbol" w:char="F0B7"/>
      </w:r>
      <w:r>
        <w:rPr>
          <w:rFonts w:eastAsia="微软雅黑"/>
          <w:sz w:val="24"/>
        </w:rPr>
        <w:t></w:t>
      </w:r>
      <w:r>
        <w:rPr>
          <w:sz w:val="24"/>
        </w:rPr>
        <w:t>The initial time to ambulation, flatus, liquid diet and semi-liquid diet should be recorded according to patients’ reports.</w:t>
      </w:r>
    </w:p>
    <w:p w14:paraId="530AF07D">
      <w:pPr>
        <w:adjustRightInd w:val="0"/>
        <w:snapToGrid w:val="0"/>
        <w:spacing w:line="360" w:lineRule="auto"/>
        <w:rPr>
          <w:rFonts w:eastAsia="微软雅黑"/>
          <w:b/>
          <w:sz w:val="24"/>
        </w:rPr>
      </w:pPr>
      <w:r>
        <w:rPr>
          <w:rFonts w:eastAsia="微软雅黑"/>
          <w:b/>
          <w:sz w:val="24"/>
        </w:rPr>
        <w:t xml:space="preserve">8.7.2.2 </w:t>
      </w:r>
      <w:r>
        <w:rPr>
          <w:b/>
          <w:sz w:val="24"/>
        </w:rPr>
        <w:t>The maximum temperature</w:t>
      </w:r>
    </w:p>
    <w:p w14:paraId="6FCD16D8">
      <w:pPr>
        <w:adjustRightInd w:val="0"/>
        <w:snapToGrid w:val="0"/>
        <w:spacing w:line="360" w:lineRule="auto"/>
        <w:ind w:firstLine="480" w:firstLineChars="200"/>
        <w:rPr>
          <w:rFonts w:eastAsia="微软雅黑"/>
          <w:sz w:val="24"/>
        </w:rPr>
      </w:pPr>
      <w:r>
        <w:rPr>
          <w:sz w:val="24"/>
        </w:rPr>
        <w:t>The highest value of body temperature measured at least 3 times a day from the first day to the eighth day after operation is documented.</w:t>
      </w:r>
    </w:p>
    <w:p w14:paraId="0CC0E55F">
      <w:pPr>
        <w:adjustRightInd w:val="0"/>
        <w:snapToGrid w:val="0"/>
        <w:spacing w:line="360" w:lineRule="auto"/>
        <w:rPr>
          <w:rFonts w:eastAsia="微软雅黑"/>
          <w:b/>
          <w:sz w:val="24"/>
        </w:rPr>
      </w:pPr>
      <w:r>
        <w:rPr>
          <w:rFonts w:eastAsia="微软雅黑"/>
          <w:b/>
          <w:sz w:val="24"/>
        </w:rPr>
        <w:t xml:space="preserve">8.7.3 </w:t>
      </w:r>
      <w:r>
        <w:rPr>
          <w:b/>
          <w:sz w:val="24"/>
        </w:rPr>
        <w:t>Percentage of conversion to laparotomy</w:t>
      </w:r>
    </w:p>
    <w:p w14:paraId="24F03347">
      <w:pPr>
        <w:spacing w:line="360" w:lineRule="auto"/>
        <w:ind w:firstLine="480" w:firstLineChars="200"/>
        <w:rPr>
          <w:sz w:val="24"/>
        </w:rPr>
      </w:pPr>
      <w:r>
        <w:rPr>
          <w:sz w:val="24"/>
        </w:rPr>
        <w:t>Among all the patients who underwent surgery, the number of patients planning to receive a laparoscopic surgery per protocol is used as the denominator, while the number of the patients who receive a conversion to open surgery is considered the numerator. The proportion calculated is regarded as the rate of transfer laparotomies. In this study, if the length of the auxiliary incision is more than 10 cm, it is considered a conversion to open surgery.</w:t>
      </w:r>
    </w:p>
    <w:p w14:paraId="17113CB1">
      <w:pPr>
        <w:adjustRightInd w:val="0"/>
        <w:snapToGrid w:val="0"/>
        <w:spacing w:line="360" w:lineRule="auto"/>
        <w:outlineLvl w:val="0"/>
        <w:rPr>
          <w:rFonts w:eastAsia="微软雅黑"/>
          <w:b/>
          <w:sz w:val="32"/>
          <w:szCs w:val="32"/>
        </w:rPr>
      </w:pPr>
      <w:bookmarkStart w:id="116" w:name="_Toc26562"/>
      <w:r>
        <w:rPr>
          <w:rFonts w:eastAsia="微软雅黑"/>
          <w:b/>
          <w:sz w:val="32"/>
          <w:szCs w:val="32"/>
        </w:rPr>
        <w:t>9. Standard operating procedures (SOP)</w:t>
      </w:r>
      <w:bookmarkEnd w:id="116"/>
      <w:r>
        <w:rPr>
          <w:rFonts w:eastAsia="微软雅黑"/>
          <w:b/>
          <w:sz w:val="32"/>
          <w:szCs w:val="32"/>
        </w:rPr>
        <w:t xml:space="preserve"> </w:t>
      </w:r>
    </w:p>
    <w:p w14:paraId="074D2199">
      <w:pPr>
        <w:adjustRightInd w:val="0"/>
        <w:snapToGrid w:val="0"/>
        <w:spacing w:line="360" w:lineRule="auto"/>
        <w:jc w:val="left"/>
        <w:rPr>
          <w:rFonts w:eastAsia="微软雅黑"/>
          <w:b/>
          <w:sz w:val="24"/>
        </w:rPr>
      </w:pPr>
      <w:r>
        <w:rPr>
          <w:rFonts w:eastAsia="微软雅黑"/>
          <w:b/>
          <w:sz w:val="24"/>
        </w:rPr>
        <w:t>9.1 Case selection</w:t>
      </w:r>
    </w:p>
    <w:p w14:paraId="3869BDE1">
      <w:pPr>
        <w:adjustRightInd w:val="0"/>
        <w:snapToGrid w:val="0"/>
        <w:spacing w:line="360" w:lineRule="auto"/>
        <w:rPr>
          <w:rFonts w:eastAsia="微软雅黑"/>
          <w:b/>
          <w:sz w:val="24"/>
        </w:rPr>
      </w:pPr>
      <w:r>
        <w:rPr>
          <w:rFonts w:eastAsia="微软雅黑"/>
          <w:b/>
          <w:sz w:val="24"/>
        </w:rPr>
        <w:t>9.1.1 Selection assessment items</w:t>
      </w:r>
    </w:p>
    <w:p w14:paraId="375DB02D">
      <w:pPr>
        <w:adjustRightInd w:val="0"/>
        <w:snapToGrid w:val="0"/>
        <w:spacing w:line="360" w:lineRule="auto"/>
        <w:ind w:firstLine="480" w:firstLineChars="200"/>
        <w:rPr>
          <w:rFonts w:eastAsia="微软雅黑"/>
          <w:sz w:val="24"/>
        </w:rPr>
      </w:pPr>
      <w:r>
        <w:rPr>
          <w:rFonts w:eastAsia="微软雅黑"/>
          <w:sz w:val="24"/>
        </w:rPr>
        <w:t>Clinical examination data of patients conducted from hospital admission to enrollment into this study (time period is usually 2 weeks) will be considered baseline data, and must include:</w:t>
      </w:r>
    </w:p>
    <w:p w14:paraId="5C30BE79">
      <w:pPr>
        <w:adjustRightInd w:val="0"/>
        <w:snapToGrid w:val="0"/>
        <w:spacing w:line="360" w:lineRule="auto"/>
        <w:rPr>
          <w:rFonts w:eastAsia="微软雅黑"/>
          <w:sz w:val="24"/>
        </w:rPr>
      </w:pPr>
      <w:r>
        <w:rPr>
          <w:rFonts w:eastAsia="微软雅黑"/>
          <w:sz w:val="24"/>
        </w:rPr>
        <w:t>(1) Systemic status: ECOG score, height, weight.</w:t>
      </w:r>
    </w:p>
    <w:p w14:paraId="0540ADD6">
      <w:pPr>
        <w:adjustRightInd w:val="0"/>
        <w:snapToGrid w:val="0"/>
        <w:spacing w:line="360" w:lineRule="auto"/>
        <w:rPr>
          <w:rFonts w:eastAsia="微软雅黑"/>
          <w:sz w:val="24"/>
        </w:rPr>
      </w:pPr>
      <w:r>
        <w:rPr>
          <w:rFonts w:eastAsia="微软雅黑"/>
          <w:sz w:val="24"/>
        </w:rPr>
        <w:t>(2) Peripheral venous blood: Hb, RBC, WBC, LYM, NEU, NEU%, PLT, MONO.</w:t>
      </w:r>
    </w:p>
    <w:p w14:paraId="0367FAD8">
      <w:pPr>
        <w:adjustRightInd w:val="0"/>
        <w:snapToGrid w:val="0"/>
        <w:spacing w:line="360" w:lineRule="auto"/>
        <w:ind w:left="480" w:hanging="480" w:hangingChars="200"/>
        <w:rPr>
          <w:rFonts w:eastAsia="微软雅黑"/>
          <w:sz w:val="24"/>
        </w:rPr>
      </w:pPr>
      <w:r>
        <w:rPr>
          <w:rFonts w:eastAsia="微软雅黑"/>
          <w:sz w:val="24"/>
        </w:rPr>
        <w:t>(3) Blood biochemistry: albumin, prealbumin, total bilirubin, indirect bilirubin, direct bilirubin, AST, ALT, creatinine, urea nitrogen, total cholesterol, triglycerides, fasting glucose, potassium, sodium, chlorine, calcium.</w:t>
      </w:r>
    </w:p>
    <w:p w14:paraId="5599CA3F">
      <w:pPr>
        <w:adjustRightInd w:val="0"/>
        <w:snapToGrid w:val="0"/>
        <w:spacing w:line="360" w:lineRule="auto"/>
        <w:rPr>
          <w:rFonts w:eastAsia="微软雅黑"/>
          <w:sz w:val="24"/>
        </w:rPr>
      </w:pPr>
      <w:r>
        <w:rPr>
          <w:rFonts w:eastAsia="微软雅黑"/>
          <w:sz w:val="24"/>
        </w:rPr>
        <w:t>(4) Serum tumor markers: CEA, CA19-9, CA72-4, CA12-5, AFP</w:t>
      </w:r>
    </w:p>
    <w:p w14:paraId="5A120BDD">
      <w:pPr>
        <w:adjustRightInd w:val="0"/>
        <w:snapToGrid w:val="0"/>
        <w:spacing w:line="360" w:lineRule="auto"/>
        <w:ind w:left="480" w:hanging="480" w:hangingChars="200"/>
        <w:rPr>
          <w:rFonts w:eastAsia="微软雅黑"/>
          <w:sz w:val="24"/>
        </w:rPr>
      </w:pPr>
      <w:r>
        <w:rPr>
          <w:rFonts w:eastAsia="微软雅黑"/>
          <w:sz w:val="24"/>
        </w:rPr>
        <w:t>(5) Full abdominal (slice thickness of 10mm or less, in case of allergy to the contrast agent, CT horizontal scanning is allowed only).</w:t>
      </w:r>
    </w:p>
    <w:p w14:paraId="5CD89192">
      <w:pPr>
        <w:adjustRightInd w:val="0"/>
        <w:snapToGrid w:val="0"/>
        <w:spacing w:line="360" w:lineRule="auto"/>
        <w:ind w:left="480" w:hanging="480" w:hangingChars="200"/>
        <w:rPr>
          <w:rFonts w:eastAsia="微软雅黑"/>
          <w:sz w:val="24"/>
        </w:rPr>
      </w:pPr>
      <w:r>
        <w:rPr>
          <w:rFonts w:eastAsia="微软雅黑"/>
          <w:sz w:val="24"/>
        </w:rPr>
        <w:t>(6) Upper gastrointestinal endoscopic ultrasonography (EUS) and biopsy, if no EUS, select ordinary upper gastrointestinal endoscopy and biopsy instead.</w:t>
      </w:r>
    </w:p>
    <w:p w14:paraId="29B09A8B">
      <w:pPr>
        <w:adjustRightInd w:val="0"/>
        <w:snapToGrid w:val="0"/>
        <w:spacing w:line="360" w:lineRule="auto"/>
        <w:rPr>
          <w:rFonts w:eastAsia="微软雅黑"/>
          <w:sz w:val="24"/>
        </w:rPr>
      </w:pPr>
      <w:r>
        <w:rPr>
          <w:rFonts w:eastAsia="微软雅黑"/>
          <w:sz w:val="24"/>
        </w:rPr>
        <w:t>(7) Chest X-ray (AP and lateral views): cardiopulmonary conditions.</w:t>
      </w:r>
    </w:p>
    <w:p w14:paraId="64B005FF">
      <w:pPr>
        <w:adjustRightInd w:val="0"/>
        <w:snapToGrid w:val="0"/>
        <w:spacing w:line="360" w:lineRule="auto"/>
        <w:rPr>
          <w:rFonts w:eastAsia="微软雅黑"/>
          <w:sz w:val="24"/>
        </w:rPr>
      </w:pPr>
      <w:r>
        <w:rPr>
          <w:rFonts w:eastAsia="微软雅黑"/>
          <w:sz w:val="24"/>
        </w:rPr>
        <w:t>(8) Resting 12-lead ECG.</w:t>
      </w:r>
    </w:p>
    <w:p w14:paraId="6648F092">
      <w:pPr>
        <w:adjustRightInd w:val="0"/>
        <w:snapToGrid w:val="0"/>
        <w:spacing w:line="360" w:lineRule="auto"/>
        <w:rPr>
          <w:rFonts w:eastAsia="微软雅黑"/>
          <w:b/>
          <w:sz w:val="24"/>
        </w:rPr>
      </w:pPr>
      <w:r>
        <w:rPr>
          <w:rFonts w:eastAsia="微软雅黑"/>
          <w:sz w:val="24"/>
        </w:rPr>
        <w:t>(9) Respiratory function tests: FEV1, FVC.</w:t>
      </w:r>
    </w:p>
    <w:p w14:paraId="6918194B">
      <w:pPr>
        <w:adjustRightInd w:val="0"/>
        <w:snapToGrid w:val="0"/>
        <w:spacing w:line="360" w:lineRule="auto"/>
        <w:rPr>
          <w:rFonts w:eastAsia="微软雅黑"/>
          <w:b/>
          <w:sz w:val="24"/>
        </w:rPr>
      </w:pPr>
      <w:r>
        <w:rPr>
          <w:rFonts w:eastAsia="微软雅黑"/>
          <w:b/>
          <w:sz w:val="24"/>
        </w:rPr>
        <w:t xml:space="preserve">9.1.2 Selection application </w:t>
      </w:r>
    </w:p>
    <w:p w14:paraId="50946D44">
      <w:pPr>
        <w:adjustRightInd w:val="0"/>
        <w:snapToGrid w:val="0"/>
        <w:spacing w:line="360" w:lineRule="auto"/>
        <w:ind w:firstLine="480" w:firstLineChars="200"/>
        <w:rPr>
          <w:rFonts w:eastAsia="微软雅黑"/>
          <w:sz w:val="24"/>
        </w:rPr>
      </w:pPr>
      <w:r>
        <w:rPr>
          <w:rFonts w:eastAsia="微软雅黑"/>
          <w:sz w:val="24"/>
        </w:rPr>
        <w:t>For cases that meet all inclusion criteria and none of the exclusion criteria, talk to patients and their families and sign informed consent. Application and confirmation of eligibility should be completed preoperatively; postoperative applications will not be accepted.</w:t>
      </w:r>
    </w:p>
    <w:p w14:paraId="55A70DEA">
      <w:pPr>
        <w:adjustRightInd w:val="0"/>
        <w:snapToGrid w:val="0"/>
        <w:spacing w:line="360" w:lineRule="auto"/>
        <w:jc w:val="left"/>
        <w:rPr>
          <w:rFonts w:eastAsia="微软雅黑"/>
          <w:b/>
          <w:sz w:val="24"/>
        </w:rPr>
      </w:pPr>
      <w:r>
        <w:rPr>
          <w:rFonts w:eastAsia="微软雅黑"/>
          <w:b/>
          <w:sz w:val="24"/>
        </w:rPr>
        <w:t>9.2 Preoperative management</w:t>
      </w:r>
    </w:p>
    <w:p w14:paraId="1848F6DB">
      <w:pPr>
        <w:adjustRightInd w:val="0"/>
        <w:snapToGrid w:val="0"/>
        <w:spacing w:line="360" w:lineRule="auto"/>
        <w:ind w:firstLine="480" w:firstLineChars="200"/>
        <w:rPr>
          <w:rFonts w:eastAsia="微软雅黑"/>
          <w:sz w:val="24"/>
        </w:rPr>
      </w:pPr>
      <w:r>
        <w:rPr>
          <w:rFonts w:eastAsia="微软雅黑"/>
          <w:sz w:val="24"/>
        </w:rPr>
        <w:t xml:space="preserve">After the eligibility is obtained, surgery should be performed within two weeks (including the 14th day) </w:t>
      </w:r>
    </w:p>
    <w:p w14:paraId="7F256535">
      <w:pPr>
        <w:pStyle w:val="25"/>
        <w:numPr>
          <w:ilvl w:val="1"/>
          <w:numId w:val="9"/>
        </w:numPr>
        <w:adjustRightInd w:val="0"/>
        <w:snapToGrid w:val="0"/>
        <w:spacing w:line="360" w:lineRule="auto"/>
        <w:ind w:left="0" w:firstLine="0" w:firstLineChars="0"/>
        <w:rPr>
          <w:rFonts w:eastAsia="微软雅黑"/>
          <w:sz w:val="24"/>
        </w:rPr>
      </w:pPr>
      <w:r>
        <w:rPr>
          <w:rFonts w:eastAsia="微软雅黑"/>
          <w:sz w:val="24"/>
        </w:rPr>
        <w:t xml:space="preserve">In case of any deterioration of the clinical conditions from the selection time to the expected day of surgery, whether to undergo an elective surgery as planned should be decided in accordance with the judgment of the doctor in charge; if an emergency surgery is required, the case should be withdrawn from PP set according to 4.3 Withdrawal Criteria. </w:t>
      </w:r>
    </w:p>
    <w:p w14:paraId="069092DF">
      <w:pPr>
        <w:pStyle w:val="25"/>
        <w:numPr>
          <w:ilvl w:val="1"/>
          <w:numId w:val="9"/>
        </w:numPr>
        <w:adjustRightInd w:val="0"/>
        <w:snapToGrid w:val="0"/>
        <w:spacing w:line="360" w:lineRule="auto"/>
        <w:ind w:left="0" w:firstLine="0" w:firstLineChars="0"/>
        <w:rPr>
          <w:rFonts w:eastAsia="微软雅黑"/>
          <w:sz w:val="24"/>
        </w:rPr>
      </w:pPr>
      <w:r>
        <w:rPr>
          <w:rFonts w:eastAsia="微软雅黑"/>
          <w:sz w:val="24"/>
        </w:rPr>
        <w:t xml:space="preserve">For patients with nutritional risks, preoperative enteral/parenteral nutritional support is allowed. </w:t>
      </w:r>
    </w:p>
    <w:p w14:paraId="30B44F2A">
      <w:pPr>
        <w:pStyle w:val="25"/>
        <w:numPr>
          <w:ilvl w:val="1"/>
          <w:numId w:val="9"/>
        </w:numPr>
        <w:adjustRightInd w:val="0"/>
        <w:snapToGrid w:val="0"/>
        <w:spacing w:line="360" w:lineRule="auto"/>
        <w:ind w:firstLineChars="0"/>
        <w:rPr>
          <w:rFonts w:eastAsia="微软雅黑"/>
          <w:sz w:val="24"/>
        </w:rPr>
      </w:pPr>
      <w:r>
        <w:rPr>
          <w:rFonts w:eastAsia="微软雅黑"/>
          <w:sz w:val="24"/>
        </w:rPr>
        <w:t xml:space="preserve">For elderly, smokers, high-risk patients with diabetes, obesity and chronic cardiovascular/cerebrovascular or thromboembolic past history, among others, perioperative low-molecular-weight heparin prophylaxis, lower-limb antithrombotic massage, active lower limb massage, training in respiratory function and other preventive measures are recommended. For other potentially high-risk complications not specified in this study protocol, the doctor can decide on the most appropriate approach according to clinical practice and specific needs and should record it in the CRF. </w:t>
      </w:r>
    </w:p>
    <w:p w14:paraId="3425FBEB">
      <w:pPr>
        <w:pStyle w:val="25"/>
        <w:numPr>
          <w:ilvl w:val="1"/>
          <w:numId w:val="9"/>
        </w:numPr>
        <w:adjustRightInd w:val="0"/>
        <w:snapToGrid w:val="0"/>
        <w:spacing w:line="360" w:lineRule="auto"/>
        <w:ind w:firstLineChars="0"/>
        <w:rPr>
          <w:rFonts w:eastAsia="微软雅黑"/>
          <w:sz w:val="24"/>
        </w:rPr>
      </w:pPr>
      <w:r>
        <w:rPr>
          <w:rFonts w:eastAsia="微软雅黑"/>
          <w:sz w:val="24"/>
        </w:rPr>
        <w:t>For the operative approach of the surgeries in this study should be selected by the doctor in charge according to his/her experience and the specific intraoperative circumstances.</w:t>
      </w:r>
    </w:p>
    <w:p w14:paraId="63B65EA1">
      <w:pPr>
        <w:pStyle w:val="25"/>
        <w:numPr>
          <w:ilvl w:val="1"/>
          <w:numId w:val="9"/>
        </w:numPr>
        <w:adjustRightInd w:val="0"/>
        <w:snapToGrid w:val="0"/>
        <w:spacing w:line="360" w:lineRule="auto"/>
        <w:ind w:firstLineChars="0"/>
        <w:rPr>
          <w:rFonts w:eastAsia="微软雅黑"/>
          <w:sz w:val="24"/>
        </w:rPr>
      </w:pPr>
      <w:r>
        <w:rPr>
          <w:rFonts w:eastAsia="微软雅黑"/>
          <w:sz w:val="24"/>
        </w:rPr>
        <w:t xml:space="preserve">Preoperative fasting and water deprivation and other before-anesthesia requirements on patients should follow the conventional anesthesia program, which is not specified in this study. </w:t>
      </w:r>
    </w:p>
    <w:p w14:paraId="30EE52F8">
      <w:pPr>
        <w:pStyle w:val="25"/>
        <w:numPr>
          <w:ilvl w:val="1"/>
          <w:numId w:val="9"/>
        </w:numPr>
        <w:adjustRightInd w:val="0"/>
        <w:snapToGrid w:val="0"/>
        <w:spacing w:line="360" w:lineRule="auto"/>
        <w:ind w:firstLineChars="0"/>
        <w:rPr>
          <w:rFonts w:eastAsia="微软雅黑"/>
          <w:sz w:val="24"/>
        </w:rPr>
      </w:pPr>
      <w:r>
        <w:rPr>
          <w:rFonts w:eastAsia="微软雅黑"/>
          <w:sz w:val="24"/>
        </w:rPr>
        <w:t xml:space="preserve">For prophylactic antibiotics, the first intravenous infusion should begin 30 minutes prior to surgery. It is recommended to select a second-generation cephalosporin (there are no provisions on specific brands in this study); the preparation, concentration and infusion rate should comply with routine practice; and prophylaxis should not exceed postoperative three days at a frequency of one infusion every 12 hours. If patient is allergic to cephalosporins (including history of allergy or allergy after cephalosporin administration), other types of antibiotics are allowed according to the specific clinical situation and when used over the same time period mentioned. </w:t>
      </w:r>
    </w:p>
    <w:p w14:paraId="0B933183">
      <w:pPr>
        <w:pStyle w:val="25"/>
        <w:numPr>
          <w:ilvl w:val="1"/>
          <w:numId w:val="9"/>
        </w:numPr>
        <w:adjustRightInd w:val="0"/>
        <w:snapToGrid w:val="0"/>
        <w:spacing w:line="360" w:lineRule="auto"/>
        <w:ind w:firstLineChars="0"/>
        <w:rPr>
          <w:rFonts w:eastAsia="微软雅黑"/>
          <w:sz w:val="24"/>
        </w:rPr>
      </w:pPr>
      <w:r>
        <w:rPr>
          <w:rFonts w:eastAsia="微软雅黑"/>
          <w:sz w:val="24"/>
        </w:rPr>
        <w:t>Patient data to be collected during the preoperative period also includes CRP.</w:t>
      </w:r>
    </w:p>
    <w:p w14:paraId="52FA9E4E">
      <w:pPr>
        <w:pStyle w:val="25"/>
        <w:numPr>
          <w:ilvl w:val="1"/>
          <w:numId w:val="9"/>
        </w:numPr>
        <w:adjustRightInd w:val="0"/>
        <w:snapToGrid w:val="0"/>
        <w:spacing w:line="360" w:lineRule="auto"/>
        <w:ind w:firstLineChars="0"/>
        <w:rPr>
          <w:rFonts w:eastAsia="微软雅黑"/>
          <w:sz w:val="24"/>
        </w:rPr>
      </w:pPr>
      <w:r>
        <w:rPr>
          <w:rFonts w:eastAsia="微软雅黑"/>
          <w:sz w:val="24"/>
        </w:rPr>
        <w:t>Informed consent was given to eligible patients 2 days before surgery, and patients were performed randomization. Either patient assigned to ICG or Non-ICG groups, preoperative endoscopy is necessary for tumor location</w:t>
      </w:r>
      <w:r>
        <w:t xml:space="preserve"> </w:t>
      </w:r>
      <w:r>
        <w:rPr>
          <w:rFonts w:eastAsia="微软雅黑"/>
          <w:sz w:val="24"/>
        </w:rPr>
        <w:t>one day before surgery. The difference is that the ICG group received drug injections but the Non-ICG group did not.</w:t>
      </w:r>
    </w:p>
    <w:p w14:paraId="2721F9D0">
      <w:pPr>
        <w:pStyle w:val="25"/>
        <w:numPr>
          <w:ilvl w:val="1"/>
          <w:numId w:val="9"/>
        </w:numPr>
        <w:adjustRightInd w:val="0"/>
        <w:snapToGrid w:val="0"/>
        <w:spacing w:line="360" w:lineRule="auto"/>
        <w:ind w:firstLineChars="0"/>
        <w:rPr>
          <w:rFonts w:eastAsia="微软雅黑"/>
          <w:sz w:val="24"/>
        </w:rPr>
      </w:pPr>
      <w:r>
        <w:rPr>
          <w:rFonts w:eastAsia="微软雅黑"/>
          <w:sz w:val="24"/>
        </w:rPr>
        <w:t>For patients who were assigned to ICG group, endoscopic injection of ICG one day before surgery. As a fluorescent developer, ICG (Dandong Yichuang Pharmaceutical Co., Ltd) was dissolved into 1.25 mg/ml solutions in sterile water. 0.5 mL of the prepared solution, containing 0.625mg of ICG was injected along the submucosa of the stomach at four points around the primary tumor, respectively, for a total volume of 2ml (a total 2.5mg ICG) (Fig. 1).</w:t>
      </w:r>
    </w:p>
    <w:p w14:paraId="1A42A145">
      <w:pPr>
        <w:pStyle w:val="25"/>
        <w:adjustRightInd w:val="0"/>
        <w:snapToGrid w:val="0"/>
        <w:spacing w:line="360" w:lineRule="auto"/>
        <w:ind w:left="420" w:firstLine="0" w:firstLineChars="0"/>
      </w:pPr>
      <w:r>
        <w:rPr>
          <w:rFonts w:eastAsia="微软雅黑"/>
          <w:sz w:val="28"/>
          <w:szCs w:val="28"/>
        </w:rPr>
        <w:drawing>
          <wp:inline distT="0" distB="0" distL="0" distR="0">
            <wp:extent cx="2258060" cy="1993900"/>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18"/>
                    <a:srcRect/>
                    <a:stretch>
                      <a:fillRect/>
                    </a:stretch>
                  </pic:blipFill>
                  <pic:spPr>
                    <a:xfrm>
                      <a:off x="0" y="0"/>
                      <a:ext cx="2265613" cy="2000487"/>
                    </a:xfrm>
                    <a:prstGeom prst="rect">
                      <a:avLst/>
                    </a:prstGeom>
                    <a:noFill/>
                    <a:ln>
                      <a:noFill/>
                    </a:ln>
                  </pic:spPr>
                </pic:pic>
              </a:graphicData>
            </a:graphic>
          </wp:inline>
        </w:drawing>
      </w:r>
      <w:r>
        <w:rPr>
          <w:rFonts w:eastAsia="微软雅黑"/>
          <w:sz w:val="28"/>
          <w:szCs w:val="28"/>
        </w:rPr>
        <w:drawing>
          <wp:inline distT="0" distB="0" distL="0" distR="0">
            <wp:extent cx="2286000" cy="19939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9"/>
                    <a:srcRect/>
                    <a:stretch>
                      <a:fillRect/>
                    </a:stretch>
                  </pic:blipFill>
                  <pic:spPr>
                    <a:xfrm>
                      <a:off x="0" y="0"/>
                      <a:ext cx="2317184" cy="2021375"/>
                    </a:xfrm>
                    <a:prstGeom prst="rect">
                      <a:avLst/>
                    </a:prstGeom>
                    <a:noFill/>
                    <a:ln>
                      <a:noFill/>
                    </a:ln>
                  </pic:spPr>
                </pic:pic>
              </a:graphicData>
            </a:graphic>
          </wp:inline>
        </w:drawing>
      </w:r>
    </w:p>
    <w:p w14:paraId="03C684A8">
      <w:pPr>
        <w:pStyle w:val="25"/>
        <w:adjustRightInd w:val="0"/>
        <w:snapToGrid w:val="0"/>
        <w:spacing w:line="360" w:lineRule="auto"/>
        <w:ind w:left="420" w:firstLine="0" w:firstLineChars="0"/>
      </w:pPr>
      <w:r>
        <w:rPr>
          <w:b/>
          <w:bCs/>
        </w:rPr>
        <w:t>Fig.1</w:t>
      </w:r>
      <w:r>
        <w:t xml:space="preserve"> Endoscopic submucosal injection of ICG one day before surgery.</w:t>
      </w:r>
    </w:p>
    <w:p w14:paraId="756FFDA1">
      <w:pPr>
        <w:adjustRightInd w:val="0"/>
        <w:snapToGrid w:val="0"/>
        <w:spacing w:line="360" w:lineRule="auto"/>
        <w:jc w:val="left"/>
        <w:rPr>
          <w:rFonts w:eastAsia="微软雅黑"/>
          <w:b/>
          <w:sz w:val="24"/>
        </w:rPr>
      </w:pPr>
      <w:r>
        <w:rPr>
          <w:rFonts w:eastAsia="微软雅黑"/>
          <w:b/>
          <w:sz w:val="24"/>
        </w:rPr>
        <w:t>9.3 Standardization of surgical practice</w:t>
      </w:r>
    </w:p>
    <w:p w14:paraId="36500252">
      <w:pPr>
        <w:adjustRightInd w:val="0"/>
        <w:snapToGrid w:val="0"/>
        <w:spacing w:line="360" w:lineRule="auto"/>
        <w:rPr>
          <w:rFonts w:eastAsia="微软雅黑"/>
          <w:b/>
          <w:sz w:val="24"/>
        </w:rPr>
      </w:pPr>
      <w:r>
        <w:rPr>
          <w:rFonts w:eastAsia="微软雅黑"/>
          <w:b/>
          <w:sz w:val="24"/>
        </w:rPr>
        <w:t>9.3.1 Handling practices followed by both groups</w:t>
      </w:r>
    </w:p>
    <w:p w14:paraId="2DA37DF8">
      <w:pPr>
        <w:adjustRightInd w:val="0"/>
        <w:snapToGrid w:val="0"/>
        <w:spacing w:line="360" w:lineRule="auto"/>
        <w:rPr>
          <w:rFonts w:eastAsia="微软雅黑"/>
          <w:b/>
          <w:sz w:val="24"/>
        </w:rPr>
      </w:pPr>
      <w:r>
        <w:rPr>
          <w:rFonts w:eastAsia="微软雅黑"/>
          <w:b/>
          <w:sz w:val="24"/>
        </w:rPr>
        <w:t>9.3.1.1 Anesthesia</w:t>
      </w:r>
    </w:p>
    <w:p w14:paraId="3C916BF3">
      <w:pPr>
        <w:adjustRightInd w:val="0"/>
        <w:snapToGrid w:val="0"/>
        <w:spacing w:line="360" w:lineRule="auto"/>
        <w:ind w:firstLine="480" w:firstLineChars="200"/>
        <w:rPr>
          <w:rFonts w:eastAsia="微软雅黑"/>
          <w:sz w:val="24"/>
        </w:rPr>
      </w:pPr>
      <w:r>
        <w:rPr>
          <w:rFonts w:eastAsia="微软雅黑"/>
          <w:sz w:val="24"/>
        </w:rPr>
        <w:t>The operation is to be carried out with endotracheal intubation under general anesthesia; whether epidural assisted anesthesia is applied or not is left at the discretion of the anesthetist and is not specified in this study protocol.</w:t>
      </w:r>
    </w:p>
    <w:p w14:paraId="4E6A1639">
      <w:pPr>
        <w:adjustRightInd w:val="0"/>
        <w:snapToGrid w:val="0"/>
        <w:spacing w:line="360" w:lineRule="auto"/>
        <w:rPr>
          <w:rFonts w:eastAsia="微软雅黑"/>
          <w:b/>
          <w:sz w:val="24"/>
        </w:rPr>
      </w:pPr>
      <w:r>
        <w:rPr>
          <w:rFonts w:eastAsia="微软雅黑"/>
          <w:b/>
          <w:sz w:val="24"/>
        </w:rPr>
        <w:t>9.3.1.2 Intraoperative exploration</w:t>
      </w:r>
    </w:p>
    <w:p w14:paraId="725205EC">
      <w:pPr>
        <w:adjustRightInd w:val="0"/>
        <w:snapToGrid w:val="0"/>
        <w:spacing w:line="360" w:lineRule="auto"/>
        <w:ind w:firstLine="480" w:firstLineChars="200"/>
        <w:rPr>
          <w:rFonts w:eastAsia="微软雅黑"/>
          <w:sz w:val="24"/>
        </w:rPr>
      </w:pPr>
      <w:r>
        <w:rPr>
          <w:rFonts w:eastAsia="微软雅黑"/>
          <w:sz w:val="24"/>
        </w:rPr>
        <w:t>Explore the abdominal cavity for any hepatic, peritoneal, mesenteric, or pelvic metastases and gastric serosal invasion</w:t>
      </w:r>
    </w:p>
    <w:p w14:paraId="05AD51CD">
      <w:pPr>
        <w:adjustRightInd w:val="0"/>
        <w:snapToGrid w:val="0"/>
        <w:spacing w:line="360" w:lineRule="auto"/>
        <w:rPr>
          <w:rFonts w:eastAsia="微软雅黑"/>
          <w:b/>
          <w:sz w:val="24"/>
        </w:rPr>
      </w:pPr>
      <w:r>
        <w:rPr>
          <w:rFonts w:eastAsia="微软雅黑"/>
          <w:b/>
          <w:sz w:val="24"/>
        </w:rPr>
        <w:t>9.3.1.3 Regulations on the extent of the gastrectomy</w:t>
      </w:r>
    </w:p>
    <w:p w14:paraId="44310F37">
      <w:pPr>
        <w:adjustRightInd w:val="0"/>
        <w:snapToGrid w:val="0"/>
        <w:spacing w:line="360" w:lineRule="auto"/>
        <w:ind w:firstLine="480" w:firstLineChars="200"/>
        <w:rPr>
          <w:rFonts w:eastAsia="微软雅黑"/>
          <w:sz w:val="24"/>
        </w:rPr>
      </w:pPr>
      <w:r>
        <w:rPr>
          <w:rFonts w:eastAsia="微软雅黑"/>
          <w:sz w:val="24"/>
        </w:rPr>
        <w:t>If the oncological principles first can be satisfied, it is determined by the surgeon according to his experience and the specific circumstances of the operation.</w:t>
      </w:r>
    </w:p>
    <w:p w14:paraId="298C6971">
      <w:pPr>
        <w:adjustRightInd w:val="0"/>
        <w:snapToGrid w:val="0"/>
        <w:spacing w:line="360" w:lineRule="auto"/>
        <w:rPr>
          <w:rFonts w:eastAsia="微软雅黑"/>
          <w:b/>
          <w:sz w:val="24"/>
        </w:rPr>
      </w:pPr>
      <w:r>
        <w:rPr>
          <w:rFonts w:eastAsia="微软雅黑"/>
          <w:b/>
          <w:sz w:val="24"/>
        </w:rPr>
        <w:t xml:space="preserve">9.3.1.4 Regulations on digestive tract reconstruction </w:t>
      </w:r>
    </w:p>
    <w:p w14:paraId="1749C720">
      <w:pPr>
        <w:spacing w:line="360" w:lineRule="auto"/>
        <w:ind w:firstLine="480" w:firstLineChars="200"/>
        <w:rPr>
          <w:rFonts w:eastAsia="微软雅黑"/>
          <w:sz w:val="24"/>
        </w:rPr>
      </w:pPr>
      <w:r>
        <w:rPr>
          <w:rFonts w:eastAsia="微软雅黑"/>
          <w:sz w:val="24"/>
        </w:rPr>
        <w:t>The digestive tract reconstruction method is to be determined by the surgeon according to his/her own experience and the intraoperative situation. If instrumental anastomosis is used, whether the manual reinforced stitching is to be performed or not on anastomotic stoma is determined by the surgeon and not specified in this study protocol.</w:t>
      </w:r>
    </w:p>
    <w:p w14:paraId="7CE027FA">
      <w:pPr>
        <w:adjustRightInd w:val="0"/>
        <w:snapToGrid w:val="0"/>
        <w:spacing w:line="360" w:lineRule="auto"/>
        <w:rPr>
          <w:rFonts w:eastAsia="微软雅黑"/>
          <w:b/>
          <w:sz w:val="24"/>
        </w:rPr>
      </w:pPr>
      <w:r>
        <w:rPr>
          <w:rFonts w:eastAsia="微软雅黑"/>
          <w:b/>
          <w:sz w:val="24"/>
        </w:rPr>
        <w:t xml:space="preserve">9.3.1.5 Regulations on surgery-related equipment and instruments </w:t>
      </w:r>
    </w:p>
    <w:p w14:paraId="514E9832">
      <w:pPr>
        <w:adjustRightInd w:val="0"/>
        <w:snapToGrid w:val="0"/>
        <w:spacing w:line="360" w:lineRule="auto"/>
        <w:ind w:firstLine="480" w:firstLineChars="200"/>
        <w:rPr>
          <w:rFonts w:eastAsia="微软雅黑"/>
          <w:sz w:val="24"/>
        </w:rPr>
      </w:pPr>
      <w:r>
        <w:rPr>
          <w:rFonts w:eastAsia="微软雅黑"/>
          <w:sz w:val="24"/>
        </w:rPr>
        <w:t>We used the NOVADAQ Fluorescence Surgical System (Stryker, US) equipped with the fluorescence mode to acquire NIR fluorescent images for ICG group. A simple finger click can change between visible light and NIR imaging (green spots under a visible background) without the need to change any equipment, because the surgical system contains a module for fluorescence imaging, the surgeon could turn on the NIR mode during the LN dissection.</w:t>
      </w:r>
    </w:p>
    <w:p w14:paraId="120542F6">
      <w:pPr>
        <w:adjustRightInd w:val="0"/>
        <w:snapToGrid w:val="0"/>
        <w:spacing w:line="360" w:lineRule="auto"/>
        <w:ind w:firstLine="480" w:firstLineChars="200"/>
        <w:rPr>
          <w:rFonts w:eastAsia="微软雅黑"/>
          <w:sz w:val="24"/>
        </w:rPr>
      </w:pPr>
      <w:r>
        <w:rPr>
          <w:rFonts w:eastAsia="微软雅黑"/>
          <w:sz w:val="24"/>
        </w:rPr>
        <w:t xml:space="preserve">Energy equipment, vascular ligation method, digestive tract cutting closure, and digestive tract reconstruction instruments are determined by the surgeon in charge of the operation according to his/her own experience and actual needs and are not specified in this study protocol. </w:t>
      </w:r>
    </w:p>
    <w:p w14:paraId="64F1CC3E">
      <w:pPr>
        <w:adjustRightInd w:val="0"/>
        <w:snapToGrid w:val="0"/>
        <w:spacing w:line="360" w:lineRule="auto"/>
        <w:rPr>
          <w:rFonts w:eastAsia="微软雅黑"/>
          <w:b/>
          <w:sz w:val="24"/>
        </w:rPr>
      </w:pPr>
      <w:r>
        <w:rPr>
          <w:rFonts w:eastAsia="微软雅黑"/>
          <w:b/>
          <w:sz w:val="24"/>
        </w:rPr>
        <w:t xml:space="preserve">9.3.1.6 Regulations on ICG-guide LN dissection </w:t>
      </w:r>
    </w:p>
    <w:p w14:paraId="3BF5F580">
      <w:pPr>
        <w:spacing w:line="360" w:lineRule="auto"/>
        <w:ind w:firstLine="480" w:firstLineChars="200"/>
        <w:rPr>
          <w:bCs/>
          <w:sz w:val="24"/>
        </w:rPr>
      </w:pPr>
      <w:r>
        <w:rPr>
          <w:bCs/>
          <w:sz w:val="24"/>
        </w:rPr>
        <w:t xml:space="preserve">Sequences of LN dissection were routinely performed </w:t>
      </w:r>
      <w:r>
        <w:rPr>
          <w:bCs/>
          <w:sz w:val="24"/>
          <w:u w:color="FA5050"/>
        </w:rPr>
        <w:t>as</w:t>
      </w:r>
      <w:r>
        <w:rPr>
          <w:bCs/>
          <w:sz w:val="24"/>
        </w:rPr>
        <w:t xml:space="preserve"> follow</w:t>
      </w:r>
      <w:r>
        <w:rPr>
          <w:bCs/>
          <w:sz w:val="24"/>
        </w:rPr>
        <w:fldChar w:fldCharType="begin">
          <w:fldData xml:space="preserve">PEVuZE5vdGU+PENpdGU+PEF1dGhvcj5IdWFuZzwvQXV0aG9yPjxZZWFyPjIwMTU8L1llYXI+PFJl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</w:fldData>
        </w:fldChar>
      </w:r>
      <w:r>
        <w:rPr>
          <w:bCs/>
          <w:sz w:val="24"/>
        </w:rPr>
        <w:instrText xml:space="preserve"> ADDIN EN.CITE </w:instrText>
      </w:r>
      <w:r>
        <w:rPr>
          <w:bCs/>
          <w:sz w:val="24"/>
        </w:rPr>
        <w:fldChar w:fldCharType="begin">
          <w:fldData xml:space="preserve">PEVuZE5vdGU+PENpdGU+PEF1dGhvcj5IdWFuZzwvQXV0aG9yPjxZZWFyPjIwMTU8L1llYXI+PFJl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</w:fldData>
        </w:fldChar>
      </w:r>
      <w:r>
        <w:rPr>
          <w:bCs/>
          <w:sz w:val="24"/>
        </w:rPr>
        <w:instrText xml:space="preserve"> ADDIN EN.CITE.DATA </w:instrText>
      </w:r>
      <w:r>
        <w:rPr>
          <w:bCs/>
          <w:sz w:val="24"/>
        </w:rPr>
        <w:fldChar w:fldCharType="end"/>
      </w:r>
      <w:r>
        <w:rPr>
          <w:bCs/>
          <w:sz w:val="24"/>
        </w:rPr>
        <w:fldChar w:fldCharType="separate"/>
      </w:r>
      <w:r>
        <w:rPr>
          <w:bCs/>
          <w:sz w:val="24"/>
          <w:vertAlign w:val="superscript"/>
        </w:rPr>
        <w:t>29,30</w:t>
      </w:r>
      <w:r>
        <w:rPr>
          <w:bCs/>
          <w:sz w:val="24"/>
        </w:rPr>
        <w:fldChar w:fldCharType="end"/>
      </w:r>
      <w:r>
        <w:rPr>
          <w:bCs/>
          <w:sz w:val="24"/>
        </w:rPr>
        <w:t xml:space="preserve">: (1) for TG: No. 6 → No.7, 9, 11p → No. 8a, 12a, 5 → No. </w:t>
      </w:r>
      <w:r>
        <w:rPr>
          <w:bCs/>
          <w:sz w:val="24"/>
          <w:u w:color="FA5050"/>
        </w:rPr>
        <w:t xml:space="preserve">1 → </w:t>
      </w:r>
      <w:r>
        <w:rPr>
          <w:bCs/>
          <w:sz w:val="24"/>
        </w:rPr>
        <w:t xml:space="preserve">No. </w:t>
      </w:r>
      <w:r>
        <w:rPr>
          <w:bCs/>
          <w:sz w:val="24"/>
          <w:u w:color="FA5050"/>
        </w:rPr>
        <w:t xml:space="preserve">4sb → </w:t>
      </w:r>
      <w:r>
        <w:rPr>
          <w:bCs/>
          <w:sz w:val="24"/>
        </w:rPr>
        <w:t xml:space="preserve">No. 4sa, 11d → No. 2; and for (2) DG: No. </w:t>
      </w:r>
      <w:r>
        <w:rPr>
          <w:bCs/>
          <w:sz w:val="24"/>
          <w:u w:color="FA5050"/>
        </w:rPr>
        <w:t xml:space="preserve">6 → </w:t>
      </w:r>
      <w:r>
        <w:rPr>
          <w:bCs/>
          <w:sz w:val="24"/>
        </w:rPr>
        <w:t xml:space="preserve">No. 7, 9, 11p → No. 3, 1 → No. 8a, 12a, 5 → No. 4sb. No.10 LNs were performed a selective dissection, when the primary tumor was located in the upper-middle part of the stomach and invading </w:t>
      </w:r>
      <w:r>
        <w:rPr>
          <w:bCs/>
          <w:sz w:val="24"/>
          <w:u w:color="FA5050"/>
        </w:rPr>
        <w:t>the greater</w:t>
      </w:r>
      <w:r>
        <w:rPr>
          <w:bCs/>
          <w:sz w:val="24"/>
        </w:rPr>
        <w:t xml:space="preserve"> curvature </w:t>
      </w:r>
      <w:r>
        <w:rPr>
          <w:bCs/>
          <w:sz w:val="24"/>
          <w:u w:color="FA5050"/>
        </w:rPr>
        <w:t>or</w:t>
      </w:r>
      <w:r>
        <w:rPr>
          <w:bCs/>
          <w:sz w:val="24"/>
        </w:rPr>
        <w:t xml:space="preserve"> preoperative imaging suggests splenic LN enlargement or No.10 LNs </w:t>
      </w:r>
      <w:r>
        <w:rPr>
          <w:bCs/>
          <w:sz w:val="24"/>
          <w:u w:color="FA5050"/>
        </w:rPr>
        <w:t>emitted</w:t>
      </w:r>
      <w:r>
        <w:rPr>
          <w:bCs/>
          <w:sz w:val="24"/>
        </w:rPr>
        <w:t xml:space="preserve"> fluorescence under the NIR mode.</w:t>
      </w:r>
      <w:r>
        <w:rPr>
          <w:bCs/>
          <w:sz w:val="24"/>
          <w:vertAlign w:val="superscript"/>
        </w:rPr>
        <w:t>31-33</w:t>
      </w:r>
    </w:p>
    <w:p w14:paraId="73128918">
      <w:pPr>
        <w:spacing w:line="360" w:lineRule="auto"/>
        <w:ind w:firstLine="600" w:firstLineChars="250"/>
        <w:rPr>
          <w:bCs/>
          <w:sz w:val="24"/>
        </w:rPr>
      </w:pPr>
      <w:r>
        <w:rPr>
          <w:bCs/>
          <w:sz w:val="24"/>
        </w:rPr>
        <w:t xml:space="preserve">For patients in the ICG group, after finished the all LNs dissection, routine imaging of the surgical area </w:t>
      </w:r>
      <w:r>
        <w:rPr>
          <w:bCs/>
          <w:sz w:val="24"/>
          <w:u w:color="19A0DC"/>
        </w:rPr>
        <w:t>was performed to determine whether</w:t>
      </w:r>
      <w:r>
        <w:rPr>
          <w:bCs/>
          <w:sz w:val="24"/>
        </w:rPr>
        <w:t xml:space="preserve"> there is residual fluorescent LN. When residual LNs containing fluorescence </w:t>
      </w:r>
      <w:r>
        <w:rPr>
          <w:bCs/>
          <w:sz w:val="24"/>
          <w:u w:color="19A0DC"/>
        </w:rPr>
        <w:t>were detected in</w:t>
      </w:r>
      <w:r>
        <w:rPr>
          <w:bCs/>
          <w:sz w:val="24"/>
        </w:rPr>
        <w:t xml:space="preserve"> the dissected area, we performed complementary dissection of these LNs. Also</w:t>
      </w:r>
      <w:r>
        <w:rPr>
          <w:bCs/>
          <w:sz w:val="24"/>
          <w:u w:color="FA5050"/>
        </w:rPr>
        <w:t xml:space="preserve">, </w:t>
      </w:r>
      <w:r>
        <w:rPr>
          <w:bCs/>
          <w:sz w:val="24"/>
        </w:rPr>
        <w:t xml:space="preserve">if fluorescent LNs were detected outside the planned dissection area (No. 10, and 14v), excessive dissection beyond the scope of D2 LND </w:t>
      </w:r>
      <w:r>
        <w:rPr>
          <w:bCs/>
          <w:sz w:val="24"/>
          <w:u w:color="19A0DC"/>
        </w:rPr>
        <w:t>performed</w:t>
      </w:r>
      <w:r>
        <w:rPr>
          <w:bCs/>
          <w:sz w:val="24"/>
        </w:rPr>
        <w:t xml:space="preserve">. </w:t>
      </w:r>
    </w:p>
    <w:p w14:paraId="78CB9CE0">
      <w:pPr>
        <w:adjustRightInd w:val="0"/>
        <w:snapToGrid w:val="0"/>
        <w:spacing w:line="360" w:lineRule="auto"/>
        <w:rPr>
          <w:rFonts w:eastAsia="微软雅黑"/>
          <w:b/>
          <w:sz w:val="24"/>
        </w:rPr>
      </w:pPr>
      <w:r>
        <w:rPr>
          <w:rFonts w:eastAsia="微软雅黑"/>
          <w:b/>
          <w:sz w:val="24"/>
        </w:rPr>
        <w:t>9.3.1.6 Regulations on gastric canal and peritoneal drainage tube</w:t>
      </w:r>
    </w:p>
    <w:p w14:paraId="5FD1F536">
      <w:pPr>
        <w:spacing w:line="360" w:lineRule="auto"/>
        <w:ind w:firstLine="480" w:firstLineChars="200"/>
        <w:rPr>
          <w:rFonts w:eastAsia="微软雅黑"/>
          <w:sz w:val="24"/>
        </w:rPr>
      </w:pPr>
      <w:r>
        <w:rPr>
          <w:rFonts w:eastAsia="微软雅黑"/>
          <w:sz w:val="24"/>
        </w:rPr>
        <w:t xml:space="preserve">Whether an indwelling gastric canal or peritoneal drainage tube is left or not after operation is determined by the surgeon in charge of the research participating center according to his/her own experience and actual needs and are not specified in this study protocol. </w:t>
      </w:r>
    </w:p>
    <w:p w14:paraId="0756CAC1">
      <w:pPr>
        <w:adjustRightInd w:val="0"/>
        <w:snapToGrid w:val="0"/>
        <w:spacing w:line="360" w:lineRule="auto"/>
        <w:rPr>
          <w:rFonts w:eastAsia="微软雅黑"/>
          <w:b/>
          <w:sz w:val="24"/>
        </w:rPr>
      </w:pPr>
      <w:r>
        <w:rPr>
          <w:rFonts w:eastAsia="微软雅黑"/>
          <w:b/>
          <w:sz w:val="24"/>
        </w:rPr>
        <w:t>9.3.1.7 Regulations on simultaneous surgery for other disease</w:t>
      </w:r>
    </w:p>
    <w:p w14:paraId="3AF7E961">
      <w:pPr>
        <w:spacing w:line="360" w:lineRule="auto"/>
        <w:ind w:firstLine="480" w:firstLineChars="200"/>
        <w:rPr>
          <w:rFonts w:eastAsia="微软雅黑"/>
          <w:sz w:val="24"/>
        </w:rPr>
      </w:pPr>
      <w:r>
        <w:rPr>
          <w:rFonts w:eastAsia="微软雅黑"/>
          <w:sz w:val="24"/>
        </w:rPr>
        <w:t xml:space="preserve">If any other system/organ disease is found during surgery, the responsible surgeon and the consultants of relevant departments should jointly determine performance of a concurrent operation if there is such necessity. The priority of operations is determined according to clinical routine; the patients meeting Exclusion Criteria will be excluded from the PP Set. </w:t>
      </w:r>
    </w:p>
    <w:p w14:paraId="03AD009A">
      <w:pPr>
        <w:adjustRightInd w:val="0"/>
        <w:snapToGrid w:val="0"/>
        <w:spacing w:line="360" w:lineRule="auto"/>
        <w:rPr>
          <w:rFonts w:eastAsia="微软雅黑"/>
          <w:b/>
          <w:sz w:val="24"/>
        </w:rPr>
      </w:pPr>
      <w:r>
        <w:rPr>
          <w:rFonts w:eastAsia="微软雅黑"/>
          <w:b/>
          <w:sz w:val="24"/>
        </w:rPr>
        <w:t>9.3.1.8 Regulations on handling of excluded patients as identified intraoperatively</w:t>
      </w:r>
    </w:p>
    <w:p w14:paraId="327F81BE">
      <w:pPr>
        <w:spacing w:line="360" w:lineRule="auto"/>
        <w:ind w:firstLine="480" w:firstLineChars="200"/>
        <w:rPr>
          <w:rFonts w:eastAsia="微软雅黑"/>
          <w:sz w:val="24"/>
        </w:rPr>
      </w:pPr>
      <w:r>
        <w:rPr>
          <w:rFonts w:eastAsia="微软雅黑"/>
          <w:sz w:val="24"/>
        </w:rPr>
        <w:t>If the surgeon in charge judges and determines that the patient undergoing surgery belongs to the exclusion case group, then the research approach is suspended and the surgeon will follow routine clinical practice of the research participating center to decide subsequent treatment (therapeutic decisions as to whether to excise gastric primary focus and metastases are made by the surgeon in charge); whether to proceed with laparoscopic surgery or convert it to laparotomy will be determined by the surgeon in charge. The excluded cases still need to complete data collection and follow-up and included in the analysis study (ITTP population).</w:t>
      </w:r>
    </w:p>
    <w:p w14:paraId="312EBC5E">
      <w:pPr>
        <w:adjustRightInd w:val="0"/>
        <w:snapToGrid w:val="0"/>
        <w:spacing w:line="360" w:lineRule="auto"/>
        <w:rPr>
          <w:rFonts w:eastAsia="微软雅黑"/>
          <w:b/>
          <w:sz w:val="24"/>
        </w:rPr>
      </w:pPr>
      <w:r>
        <w:rPr>
          <w:rFonts w:eastAsia="微软雅黑"/>
          <w:b/>
          <w:sz w:val="24"/>
        </w:rPr>
        <w:t>9.3.1.9 Regulations on imagery/photographing</w:t>
      </w:r>
    </w:p>
    <w:p w14:paraId="1E5132A1">
      <w:pPr>
        <w:pStyle w:val="25"/>
        <w:adjustRightInd w:val="0"/>
        <w:snapToGrid w:val="0"/>
        <w:spacing w:line="360" w:lineRule="auto"/>
        <w:ind w:left="384" w:firstLine="0" w:firstLineChars="0"/>
        <w:rPr>
          <w:rFonts w:eastAsia="微软雅黑"/>
          <w:sz w:val="24"/>
        </w:rPr>
      </w:pPr>
      <w:r>
        <w:rPr>
          <w:rFonts w:eastAsia="微软雅黑"/>
          <w:sz w:val="24"/>
        </w:rPr>
        <w:t xml:space="preserve">A digital camera (8 million pixels at least) will be used to take pictures which shall </w:t>
      </w:r>
    </w:p>
    <w:p w14:paraId="1E619F36">
      <w:pPr>
        <w:pStyle w:val="25"/>
        <w:adjustRightInd w:val="0"/>
        <w:snapToGrid w:val="0"/>
        <w:spacing w:line="360" w:lineRule="auto"/>
        <w:ind w:firstLine="0" w:firstLineChars="0"/>
        <w:rPr>
          <w:rFonts w:eastAsia="微软雅黑"/>
          <w:sz w:val="24"/>
        </w:rPr>
      </w:pPr>
      <w:r>
        <w:rPr>
          <w:rFonts w:eastAsia="微软雅黑"/>
          <w:sz w:val="24"/>
        </w:rPr>
        <w:t>contain the following contents (see the example below) (</w:t>
      </w:r>
      <w:r>
        <w:rPr>
          <w:rFonts w:eastAsia="微软雅黑"/>
          <w:b/>
          <w:bCs/>
          <w:sz w:val="24"/>
        </w:rPr>
        <w:t>Fig.2</w:t>
      </w:r>
      <w:r>
        <w:rPr>
          <w:rFonts w:eastAsia="微软雅黑"/>
          <w:sz w:val="24"/>
        </w:rPr>
        <w:t>):</w:t>
      </w:r>
    </w:p>
    <w:p w14:paraId="15A72B4F">
      <w:pPr>
        <w:pStyle w:val="25"/>
        <w:numPr>
          <w:ilvl w:val="0"/>
          <w:numId w:val="24"/>
        </w:numPr>
        <w:spacing w:line="360" w:lineRule="auto"/>
        <w:ind w:firstLineChars="0"/>
        <w:rPr>
          <w:rFonts w:eastAsia="微软雅黑"/>
          <w:sz w:val="24"/>
        </w:rPr>
      </w:pPr>
      <w:r>
        <w:rPr>
          <w:rFonts w:eastAsia="微软雅黑"/>
          <w:sz w:val="24"/>
        </w:rPr>
        <w:t xml:space="preserve">Field of LN dissection (5 pictures or more) </w:t>
      </w:r>
    </w:p>
    <w:p w14:paraId="3DCDF8CC">
      <w:pPr>
        <w:spacing w:line="360" w:lineRule="auto"/>
        <w:rPr>
          <w:rFonts w:eastAsia="微软雅黑"/>
          <w:sz w:val="24"/>
        </w:rPr>
      </w:pPr>
      <w:r>
        <w:rPr>
          <w:rFonts w:eastAsia="微软雅黑"/>
          <w:sz w:val="24"/>
        </w:rPr>
        <w:t></w:t>
      </w:r>
      <w:r>
        <w:rPr>
          <w:rFonts w:eastAsia="微软雅黑"/>
          <w:sz w:val="24"/>
        </w:rPr>
        <w:tab/>
      </w:r>
      <w:r>
        <w:rPr>
          <w:rFonts w:eastAsia="微软雅黑"/>
          <w:b/>
          <w:bCs/>
          <w:sz w:val="24"/>
        </w:rPr>
        <w:t>Inferior pylorus region (1 picture)</w:t>
      </w:r>
      <w:r>
        <w:rPr>
          <w:rFonts w:eastAsia="微软雅黑"/>
          <w:sz w:val="24"/>
        </w:rPr>
        <w:t xml:space="preserve">: the right gastroepiploic arteriovenous cut site should be included. </w:t>
      </w:r>
    </w:p>
    <w:p w14:paraId="0A55D6E2">
      <w:pPr>
        <w:spacing w:line="360" w:lineRule="auto"/>
        <w:rPr>
          <w:rFonts w:eastAsia="微软雅黑"/>
          <w:sz w:val="24"/>
        </w:rPr>
      </w:pPr>
      <w:r>
        <w:rPr>
          <w:rFonts w:eastAsia="微软雅黑"/>
          <w:sz w:val="24"/>
        </w:rPr>
        <w:t></w:t>
      </w:r>
      <w:r>
        <w:rPr>
          <w:rFonts w:eastAsia="微软雅黑"/>
          <w:sz w:val="24"/>
        </w:rPr>
        <w:tab/>
      </w:r>
      <w:r>
        <w:rPr>
          <w:rFonts w:eastAsia="微软雅黑"/>
          <w:b/>
          <w:bCs/>
          <w:sz w:val="24"/>
        </w:rPr>
        <w:t>Right-side area of the superior margin of the pancreas (1 picture)</w:t>
      </w:r>
      <w:r>
        <w:rPr>
          <w:rFonts w:eastAsia="微软雅黑"/>
          <w:sz w:val="24"/>
        </w:rPr>
        <w:t>: the front top of the entire common hepatic artery, the half front of the inferior proper hepatic artery and the cut site of the right gastric artery should be included.</w:t>
      </w:r>
    </w:p>
    <w:p w14:paraId="03BC30E8">
      <w:pPr>
        <w:spacing w:line="360" w:lineRule="auto"/>
        <w:rPr>
          <w:rFonts w:eastAsia="微软雅黑"/>
          <w:sz w:val="24"/>
        </w:rPr>
      </w:pPr>
      <w:r>
        <w:rPr>
          <w:rFonts w:eastAsia="微软雅黑"/>
          <w:sz w:val="24"/>
        </w:rPr>
        <w:t></w:t>
      </w:r>
      <w:r>
        <w:rPr>
          <w:rFonts w:eastAsia="微软雅黑"/>
          <w:sz w:val="24"/>
        </w:rPr>
        <w:tab/>
      </w:r>
      <w:r>
        <w:rPr>
          <w:rFonts w:eastAsia="微软雅黑"/>
          <w:b/>
          <w:bCs/>
          <w:sz w:val="24"/>
        </w:rPr>
        <w:t>Left-side region of the superior margin of the pancreas (1 picture)</w:t>
      </w:r>
      <w:r>
        <w:rPr>
          <w:rFonts w:eastAsia="微软雅黑"/>
          <w:sz w:val="24"/>
        </w:rPr>
        <w:t>: the left gastric arteriovenous cut position, celiac arterial trunk and proximal splenic artery should be included.</w:t>
      </w:r>
    </w:p>
    <w:p w14:paraId="553FCA87">
      <w:pPr>
        <w:spacing w:line="360" w:lineRule="auto"/>
        <w:rPr>
          <w:rFonts w:eastAsia="微软雅黑"/>
          <w:sz w:val="24"/>
        </w:rPr>
      </w:pPr>
      <w:r>
        <w:rPr>
          <w:rFonts w:eastAsia="微软雅黑"/>
          <w:sz w:val="24"/>
        </w:rPr>
        <w:t></w:t>
      </w:r>
      <w:r>
        <w:rPr>
          <w:rFonts w:eastAsia="微软雅黑"/>
          <w:sz w:val="24"/>
        </w:rPr>
        <w:tab/>
      </w:r>
      <w:r>
        <w:rPr>
          <w:rFonts w:eastAsia="微软雅黑"/>
          <w:b/>
          <w:bCs/>
          <w:sz w:val="24"/>
        </w:rPr>
        <w:t>Right side of the cardia and lesser gastric curvature side (1 picture).</w:t>
      </w:r>
    </w:p>
    <w:p w14:paraId="0DA61DB4">
      <w:pPr>
        <w:spacing w:line="360" w:lineRule="auto"/>
        <w:rPr>
          <w:rFonts w:eastAsia="微软雅黑"/>
          <w:sz w:val="24"/>
        </w:rPr>
      </w:pPr>
      <w:r>
        <w:rPr>
          <w:rFonts w:eastAsia="微软雅黑"/>
          <w:sz w:val="24"/>
        </w:rPr>
        <w:t></w:t>
      </w:r>
      <w:r>
        <w:rPr>
          <w:rFonts w:eastAsia="微软雅黑"/>
          <w:sz w:val="24"/>
        </w:rPr>
        <w:tab/>
      </w:r>
      <w:r>
        <w:rPr>
          <w:rFonts w:eastAsia="微软雅黑"/>
          <w:b/>
          <w:bCs/>
          <w:sz w:val="24"/>
        </w:rPr>
        <w:t>Left gastroepiploic vessel dividing position (1 picture)</w:t>
      </w:r>
      <w:r>
        <w:rPr>
          <w:rFonts w:eastAsia="微软雅黑"/>
          <w:sz w:val="24"/>
        </w:rPr>
        <w:t xml:space="preserve">: the cut site of the left gastroepiploic artery and vein should be included. </w:t>
      </w:r>
    </w:p>
    <w:p w14:paraId="799D8FEB">
      <w:pPr>
        <w:spacing w:line="360" w:lineRule="auto"/>
        <w:rPr>
          <w:rFonts w:eastAsia="微软雅黑"/>
          <w:sz w:val="24"/>
        </w:rPr>
      </w:pPr>
      <w:r>
        <w:rPr>
          <w:rFonts w:eastAsia="微软雅黑"/>
          <w:sz w:val="24"/>
        </w:rPr>
        <w:t></w:t>
      </w:r>
      <w:r>
        <w:rPr>
          <w:rFonts w:eastAsia="微软雅黑"/>
          <w:sz w:val="24"/>
        </w:rPr>
        <w:tab/>
      </w:r>
      <w:r>
        <w:rPr>
          <w:rFonts w:eastAsia="微软雅黑"/>
          <w:b/>
          <w:bCs/>
          <w:sz w:val="24"/>
        </w:rPr>
        <w:t>Splenic hilus region (1 picture, if applicable)</w:t>
      </w:r>
      <w:r>
        <w:rPr>
          <w:rFonts w:eastAsia="微软雅黑"/>
          <w:sz w:val="24"/>
        </w:rPr>
        <w:t>: the cut sites of the distal splenic artery and short gastric vessel should be included.</w:t>
      </w:r>
    </w:p>
    <w:p w14:paraId="78526F74">
      <w:pPr>
        <w:spacing w:line="360" w:lineRule="auto"/>
        <w:rPr>
          <w:rFonts w:eastAsia="微软雅黑"/>
          <w:sz w:val="24"/>
        </w:rPr>
      </w:pPr>
      <w:r>
        <w:rPr>
          <w:rFonts w:eastAsia="微软雅黑"/>
          <w:sz w:val="24"/>
        </w:rPr>
        <w:t>(2) After the skin incision is closed (1 picture, measuring scale serving as a reference object).</w:t>
      </w:r>
    </w:p>
    <w:p w14:paraId="2818B0FD">
      <w:pPr>
        <w:spacing w:line="360" w:lineRule="auto"/>
        <w:rPr>
          <w:rFonts w:eastAsia="微软雅黑"/>
          <w:sz w:val="24"/>
        </w:rPr>
      </w:pPr>
      <w:r>
        <w:rPr>
          <w:rFonts w:eastAsia="微软雅黑"/>
          <w:sz w:val="24"/>
        </w:rPr>
        <w:t xml:space="preserve">(3) Postoperative fresh specimens (4 pictures, measuring scale serving as a reference object); 1 picture before and 3 pictures after dissection (mark focus size; 1 picture each of distal and proximal incisional margins). After the specimen is cut open along the greater gastric curvature, a measuring scale is placed as a reference object before taking pictures to record the following items: the distance between the tumor edge and the proximal incisional margin (1 picture), the distance between the tumor edge and the distal incisional margin (1 picture), and the focus size and appearance of the mucosal face after the specimen is unfolded (1 picture). </w:t>
      </w:r>
    </w:p>
    <w:p w14:paraId="7525D684">
      <w:pPr>
        <w:spacing w:line="312" w:lineRule="auto"/>
        <w:rPr>
          <w:rFonts w:eastAsia="微软雅黑"/>
          <w:szCs w:val="21"/>
        </w:rPr>
      </w:pPr>
      <w:r>
        <w:rPr>
          <w:rFonts w:eastAsia="微软雅黑"/>
          <w:szCs w:val="21"/>
        </w:rPr>
        <w:drawing>
          <wp:inline distT="0" distB="0" distL="0" distR="0">
            <wp:extent cx="5356860" cy="3017520"/>
            <wp:effectExtent l="0" t="0" r="2540" b="508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noChangeArrowheads="1"/>
                    </pic:cNvPicPr>
                  </pic:nvPicPr>
                  <pic:blipFill>
                    <a:blip r:embed="rId36"/>
                    <a:srcRect/>
                    <a:stretch>
                      <a:fillRect/>
                    </a:stretch>
                  </pic:blipFill>
                  <pic:spPr>
                    <a:xfrm>
                      <a:off x="0" y="0"/>
                      <a:ext cx="5356860" cy="3017520"/>
                    </a:xfrm>
                    <a:prstGeom prst="rect">
                      <a:avLst/>
                    </a:prstGeom>
                    <a:noFill/>
                    <a:ln>
                      <a:noFill/>
                    </a:ln>
                  </pic:spPr>
                </pic:pic>
              </a:graphicData>
            </a:graphic>
          </wp:inline>
        </w:drawing>
      </w:r>
    </w:p>
    <w:p w14:paraId="7396BB73">
      <w:pPr>
        <w:spacing w:line="312" w:lineRule="auto"/>
        <w:jc w:val="left"/>
        <w:rPr>
          <w:rFonts w:eastAsia="微软雅黑"/>
          <w:szCs w:val="21"/>
        </w:rPr>
      </w:pPr>
      <w:r>
        <w:rPr>
          <w:rFonts w:eastAsia="微软雅黑"/>
          <w:szCs w:val="21"/>
        </w:rPr>
        <w:t>Fig. 2-1-1. Inferior pyloric area (No.6 LNs) under a natural light mode</w:t>
      </w:r>
    </w:p>
    <w:p w14:paraId="442D9351">
      <w:pPr>
        <w:spacing w:line="312" w:lineRule="auto"/>
        <w:jc w:val="left"/>
        <w:rPr>
          <w:rFonts w:eastAsia="微软雅黑"/>
          <w:szCs w:val="21"/>
        </w:rPr>
      </w:pPr>
      <w:r>
        <w:rPr>
          <w:rFonts w:eastAsia="微软雅黑"/>
          <w:szCs w:val="21"/>
        </w:rPr>
        <w:drawing>
          <wp:inline distT="0" distB="0" distL="0" distR="0">
            <wp:extent cx="5356860" cy="3017520"/>
            <wp:effectExtent l="0" t="0" r="2540" b="508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noChangeArrowheads="1"/>
                    </pic:cNvPicPr>
                  </pic:nvPicPr>
                  <pic:blipFill>
                    <a:blip r:embed="rId37"/>
                    <a:srcRect/>
                    <a:stretch>
                      <a:fillRect/>
                    </a:stretch>
                  </pic:blipFill>
                  <pic:spPr>
                    <a:xfrm>
                      <a:off x="0" y="0"/>
                      <a:ext cx="5356860" cy="3017520"/>
                    </a:xfrm>
                    <a:prstGeom prst="rect">
                      <a:avLst/>
                    </a:prstGeom>
                    <a:noFill/>
                    <a:ln>
                      <a:noFill/>
                    </a:ln>
                  </pic:spPr>
                </pic:pic>
              </a:graphicData>
            </a:graphic>
          </wp:inline>
        </w:drawing>
      </w:r>
    </w:p>
    <w:p w14:paraId="073FB0CA">
      <w:pPr>
        <w:spacing w:line="312" w:lineRule="auto"/>
        <w:jc w:val="left"/>
        <w:rPr>
          <w:rFonts w:eastAsia="微软雅黑"/>
          <w:kern w:val="0"/>
          <w:szCs w:val="21"/>
        </w:rPr>
      </w:pPr>
      <w:r>
        <w:rPr>
          <w:rFonts w:eastAsia="微软雅黑"/>
          <w:szCs w:val="21"/>
        </w:rPr>
        <w:t xml:space="preserve">Fig. 2-1-2. Inferior pyloric area (No.6 LNs) </w:t>
      </w:r>
      <w:bookmarkStart w:id="117" w:name="_Hlk60586091"/>
      <w:r>
        <w:rPr>
          <w:rFonts w:eastAsia="微软雅黑"/>
          <w:szCs w:val="21"/>
        </w:rPr>
        <w:t>under a NIR fluorescent light mode</w:t>
      </w:r>
      <w:bookmarkEnd w:id="117"/>
    </w:p>
    <w:p w14:paraId="1FEE6AD1">
      <w:pPr>
        <w:spacing w:line="312" w:lineRule="auto"/>
        <w:jc w:val="left"/>
        <w:rPr>
          <w:rFonts w:eastAsia="微软雅黑"/>
          <w:szCs w:val="21"/>
        </w:rPr>
      </w:pPr>
      <w:r>
        <w:rPr>
          <w:rFonts w:eastAsia="微软雅黑"/>
          <w:kern w:val="0"/>
          <w:szCs w:val="21"/>
        </w:rPr>
        <w:drawing>
          <wp:inline distT="0" distB="0" distL="0" distR="0">
            <wp:extent cx="5359400" cy="3016250"/>
            <wp:effectExtent l="0" t="0" r="0" b="635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noChangeArrowheads="1"/>
                    </pic:cNvPicPr>
                  </pic:nvPicPr>
                  <pic:blipFill>
                    <a:blip r:embed="rId38"/>
                    <a:srcRect/>
                    <a:stretch>
                      <a:fillRect/>
                    </a:stretch>
                  </pic:blipFill>
                  <pic:spPr>
                    <a:xfrm>
                      <a:off x="0" y="0"/>
                      <a:ext cx="5359400" cy="3016250"/>
                    </a:xfrm>
                    <a:prstGeom prst="rect">
                      <a:avLst/>
                    </a:prstGeom>
                    <a:noFill/>
                    <a:ln>
                      <a:noFill/>
                    </a:ln>
                  </pic:spPr>
                </pic:pic>
              </a:graphicData>
            </a:graphic>
          </wp:inline>
        </w:drawing>
      </w:r>
    </w:p>
    <w:p w14:paraId="2AC51CA0">
      <w:pPr>
        <w:spacing w:line="312" w:lineRule="auto"/>
        <w:jc w:val="left"/>
        <w:rPr>
          <w:rFonts w:eastAsia="微软雅黑"/>
          <w:kern w:val="0"/>
          <w:szCs w:val="21"/>
        </w:rPr>
      </w:pPr>
      <w:r>
        <w:rPr>
          <w:rFonts w:eastAsia="微软雅黑"/>
          <w:szCs w:val="21"/>
        </w:rPr>
        <w:t xml:space="preserve">Fig. 2-2-1. Right-side area of the superior margin of the pancreas (No.5, No.8a, and No.12a LNs) under </w:t>
      </w:r>
      <w:r>
        <w:rPr>
          <w:spacing w:val="15"/>
          <w:sz w:val="24"/>
        </w:rPr>
        <w:t>a natural light mode</w:t>
      </w:r>
    </w:p>
    <w:p w14:paraId="5F70D5C4">
      <w:pPr>
        <w:spacing w:line="312" w:lineRule="auto"/>
        <w:jc w:val="left"/>
        <w:rPr>
          <w:rFonts w:eastAsia="微软雅黑"/>
          <w:szCs w:val="21"/>
        </w:rPr>
      </w:pPr>
      <w:r>
        <w:rPr>
          <w:rFonts w:eastAsia="微软雅黑"/>
          <w:szCs w:val="21"/>
        </w:rPr>
        <w:drawing>
          <wp:inline distT="0" distB="0" distL="0" distR="0">
            <wp:extent cx="5359400" cy="3016250"/>
            <wp:effectExtent l="0" t="0" r="0" b="635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noChangeArrowheads="1"/>
                    </pic:cNvPicPr>
                  </pic:nvPicPr>
                  <pic:blipFill>
                    <a:blip r:embed="rId39"/>
                    <a:srcRect/>
                    <a:stretch>
                      <a:fillRect/>
                    </a:stretch>
                  </pic:blipFill>
                  <pic:spPr>
                    <a:xfrm>
                      <a:off x="0" y="0"/>
                      <a:ext cx="5359400" cy="3016250"/>
                    </a:xfrm>
                    <a:prstGeom prst="rect">
                      <a:avLst/>
                    </a:prstGeom>
                    <a:noFill/>
                    <a:ln>
                      <a:noFill/>
                    </a:ln>
                  </pic:spPr>
                </pic:pic>
              </a:graphicData>
            </a:graphic>
          </wp:inline>
        </w:drawing>
      </w:r>
    </w:p>
    <w:p w14:paraId="2D9E3275">
      <w:pPr>
        <w:spacing w:line="312" w:lineRule="auto"/>
        <w:jc w:val="left"/>
        <w:rPr>
          <w:rFonts w:eastAsia="微软雅黑"/>
          <w:szCs w:val="21"/>
        </w:rPr>
      </w:pPr>
      <w:r>
        <w:rPr>
          <w:rFonts w:eastAsia="微软雅黑"/>
          <w:szCs w:val="21"/>
        </w:rPr>
        <w:t>Fig. 2-2-2. Right-side area of the superior margin of the pancreas (No.5, No.8a, and No.12a LNs)</w:t>
      </w:r>
      <w:bookmarkStart w:id="118" w:name="_Hlk60586141"/>
      <w:r>
        <w:rPr>
          <w:rFonts w:eastAsia="微软雅黑"/>
          <w:szCs w:val="21"/>
        </w:rPr>
        <w:t xml:space="preserve"> under a NIR fluorescent light mode</w:t>
      </w:r>
      <w:bookmarkEnd w:id="118"/>
    </w:p>
    <w:p w14:paraId="7CB9D96F">
      <w:pPr>
        <w:spacing w:line="312" w:lineRule="auto"/>
        <w:jc w:val="left"/>
        <w:rPr>
          <w:rFonts w:eastAsia="微软雅黑"/>
          <w:szCs w:val="21"/>
        </w:rPr>
      </w:pPr>
      <w:r>
        <w:rPr>
          <w:rFonts w:eastAsia="微软雅黑"/>
          <w:szCs w:val="21"/>
        </w:rPr>
        <w:drawing>
          <wp:inline distT="0" distB="0" distL="0" distR="0">
            <wp:extent cx="5375275" cy="3023870"/>
            <wp:effectExtent l="0" t="0" r="9525" b="1143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noChangeArrowheads="1"/>
                    </pic:cNvPicPr>
                  </pic:nvPicPr>
                  <pic:blipFill>
                    <a:blip r:embed="rId40"/>
                    <a:srcRect/>
                    <a:stretch>
                      <a:fillRect/>
                    </a:stretch>
                  </pic:blipFill>
                  <pic:spPr>
                    <a:xfrm>
                      <a:off x="0" y="0"/>
                      <a:ext cx="5375275" cy="3023870"/>
                    </a:xfrm>
                    <a:prstGeom prst="rect">
                      <a:avLst/>
                    </a:prstGeom>
                    <a:noFill/>
                    <a:ln>
                      <a:noFill/>
                    </a:ln>
                  </pic:spPr>
                </pic:pic>
              </a:graphicData>
            </a:graphic>
          </wp:inline>
        </w:drawing>
      </w:r>
    </w:p>
    <w:p w14:paraId="5D2D181F">
      <w:pPr>
        <w:spacing w:line="312" w:lineRule="auto"/>
        <w:jc w:val="left"/>
        <w:rPr>
          <w:rFonts w:eastAsia="微软雅黑"/>
          <w:szCs w:val="21"/>
        </w:rPr>
      </w:pPr>
      <w:r>
        <w:rPr>
          <w:rFonts w:eastAsia="微软雅黑"/>
          <w:szCs w:val="21"/>
        </w:rPr>
        <w:t>Fig. 2-3-1.</w:t>
      </w:r>
      <w:r>
        <w:t xml:space="preserve"> </w:t>
      </w:r>
      <w:r>
        <w:rPr>
          <w:rFonts w:eastAsia="微软雅黑"/>
          <w:szCs w:val="21"/>
        </w:rPr>
        <w:t xml:space="preserve">Left-side area of the superior margin of the pancreas (No.7, No.9, and No.11p LNs) under a </w:t>
      </w:r>
      <w:bookmarkStart w:id="119" w:name="_Hlk62165126"/>
      <w:r>
        <w:rPr>
          <w:rFonts w:eastAsia="微软雅黑"/>
          <w:szCs w:val="21"/>
        </w:rPr>
        <w:t>nature light mode</w:t>
      </w:r>
      <w:bookmarkEnd w:id="119"/>
    </w:p>
    <w:p w14:paraId="5A7B7ACD">
      <w:pPr>
        <w:spacing w:line="312" w:lineRule="auto"/>
        <w:jc w:val="left"/>
        <w:rPr>
          <w:rFonts w:eastAsia="微软雅黑"/>
          <w:szCs w:val="21"/>
        </w:rPr>
      </w:pPr>
      <w:r>
        <w:rPr>
          <w:rFonts w:eastAsia="微软雅黑"/>
          <w:szCs w:val="21"/>
        </w:rPr>
        <w:drawing>
          <wp:inline distT="0" distB="0" distL="0" distR="0">
            <wp:extent cx="5375275" cy="3023870"/>
            <wp:effectExtent l="0" t="0" r="9525" b="1143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noChangeArrowheads="1"/>
                    </pic:cNvPicPr>
                  </pic:nvPicPr>
                  <pic:blipFill>
                    <a:blip r:embed="rId41"/>
                    <a:srcRect/>
                    <a:stretch>
                      <a:fillRect/>
                    </a:stretch>
                  </pic:blipFill>
                  <pic:spPr>
                    <a:xfrm>
                      <a:off x="0" y="0"/>
                      <a:ext cx="5375275" cy="3023870"/>
                    </a:xfrm>
                    <a:prstGeom prst="rect">
                      <a:avLst/>
                    </a:prstGeom>
                    <a:noFill/>
                    <a:ln>
                      <a:noFill/>
                    </a:ln>
                  </pic:spPr>
                </pic:pic>
              </a:graphicData>
            </a:graphic>
          </wp:inline>
        </w:drawing>
      </w:r>
    </w:p>
    <w:p w14:paraId="4695C759">
      <w:pPr>
        <w:spacing w:line="312" w:lineRule="auto"/>
        <w:rPr>
          <w:rFonts w:eastAsia="微软雅黑"/>
          <w:szCs w:val="21"/>
        </w:rPr>
      </w:pPr>
      <w:r>
        <w:rPr>
          <w:rFonts w:eastAsia="微软雅黑"/>
          <w:szCs w:val="21"/>
        </w:rPr>
        <w:t>Fig. 2-3-2. Left-side area of the superior margin of the pancreas (No.7, No.9, and No.11p LNs)</w:t>
      </w:r>
      <w:r>
        <w:t xml:space="preserve"> </w:t>
      </w:r>
      <w:r>
        <w:rPr>
          <w:rFonts w:eastAsia="微软雅黑"/>
          <w:szCs w:val="21"/>
        </w:rPr>
        <w:t>under a NIR fluorescent light mode</w:t>
      </w:r>
    </w:p>
    <w:p w14:paraId="116BC1D5">
      <w:pPr>
        <w:spacing w:line="312" w:lineRule="auto"/>
        <w:rPr>
          <w:rFonts w:eastAsia="微软雅黑"/>
          <w:szCs w:val="21"/>
        </w:rPr>
      </w:pPr>
    </w:p>
    <w:p w14:paraId="5897C12D">
      <w:pPr>
        <w:spacing w:line="312" w:lineRule="auto"/>
        <w:rPr>
          <w:rFonts w:eastAsia="微软雅黑"/>
          <w:szCs w:val="21"/>
        </w:rPr>
      </w:pPr>
      <w:r>
        <w:drawing>
          <wp:inline distT="0" distB="0" distL="0" distR="0">
            <wp:extent cx="5375275" cy="3024505"/>
            <wp:effectExtent l="0" t="0" r="9525" b="10795"/>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noChangeArrowheads="1"/>
                    </pic:cNvPicPr>
                  </pic:nvPicPr>
                  <pic:blipFill>
                    <a:blip r:embed="rId42"/>
                    <a:srcRect/>
                    <a:stretch>
                      <a:fillRect/>
                    </a:stretch>
                  </pic:blipFill>
                  <pic:spPr>
                    <a:xfrm>
                      <a:off x="0" y="0"/>
                      <a:ext cx="5375275" cy="3024505"/>
                    </a:xfrm>
                    <a:prstGeom prst="rect">
                      <a:avLst/>
                    </a:prstGeom>
                    <a:noFill/>
                    <a:ln>
                      <a:noFill/>
                    </a:ln>
                  </pic:spPr>
                </pic:pic>
              </a:graphicData>
            </a:graphic>
          </wp:inline>
        </w:drawing>
      </w:r>
    </w:p>
    <w:p w14:paraId="558793A8">
      <w:pPr>
        <w:spacing w:line="312" w:lineRule="auto"/>
        <w:jc w:val="left"/>
        <w:rPr>
          <w:rFonts w:eastAsia="微软雅黑"/>
          <w:szCs w:val="21"/>
        </w:rPr>
      </w:pPr>
      <w:r>
        <w:rPr>
          <w:rFonts w:eastAsia="微软雅黑"/>
          <w:szCs w:val="21"/>
        </w:rPr>
        <w:t xml:space="preserve">Fig. 2-4-1. Right side of the cardia and lesser gastric curvature side (the No.1 and No.3 LNs) </w:t>
      </w:r>
      <w:bookmarkStart w:id="120" w:name="_Hlk62165199"/>
      <w:r>
        <w:rPr>
          <w:rFonts w:eastAsia="微软雅黑"/>
          <w:szCs w:val="21"/>
        </w:rPr>
        <w:t>under a nature light mode</w:t>
      </w:r>
      <w:bookmarkEnd w:id="120"/>
    </w:p>
    <w:p w14:paraId="069FBD65">
      <w:pPr>
        <w:spacing w:line="312" w:lineRule="auto"/>
        <w:rPr>
          <w:rFonts w:eastAsia="微软雅黑"/>
          <w:kern w:val="0"/>
          <w:szCs w:val="21"/>
        </w:rPr>
      </w:pPr>
    </w:p>
    <w:p w14:paraId="41540EA9">
      <w:pPr>
        <w:spacing w:line="312" w:lineRule="auto"/>
        <w:rPr>
          <w:rFonts w:eastAsia="微软雅黑"/>
          <w:szCs w:val="21"/>
        </w:rPr>
      </w:pPr>
      <w:r>
        <w:rPr>
          <w:rFonts w:eastAsia="微软雅黑"/>
          <w:szCs w:val="21"/>
        </w:rPr>
        <w:drawing>
          <wp:inline distT="0" distB="0" distL="0" distR="0">
            <wp:extent cx="5375275" cy="3023870"/>
            <wp:effectExtent l="0" t="0" r="9525" b="1143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noChangeArrowheads="1"/>
                    </pic:cNvPicPr>
                  </pic:nvPicPr>
                  <pic:blipFill>
                    <a:blip r:embed="rId43"/>
                    <a:srcRect/>
                    <a:stretch>
                      <a:fillRect/>
                    </a:stretch>
                  </pic:blipFill>
                  <pic:spPr>
                    <a:xfrm>
                      <a:off x="0" y="0"/>
                      <a:ext cx="5375275" cy="3023870"/>
                    </a:xfrm>
                    <a:prstGeom prst="rect">
                      <a:avLst/>
                    </a:prstGeom>
                    <a:noFill/>
                    <a:ln>
                      <a:noFill/>
                    </a:ln>
                  </pic:spPr>
                </pic:pic>
              </a:graphicData>
            </a:graphic>
          </wp:inline>
        </w:drawing>
      </w:r>
    </w:p>
    <w:p w14:paraId="0C7DD233">
      <w:pPr>
        <w:spacing w:line="312" w:lineRule="auto"/>
        <w:jc w:val="left"/>
        <w:rPr>
          <w:rFonts w:eastAsia="微软雅黑"/>
          <w:szCs w:val="21"/>
        </w:rPr>
      </w:pPr>
      <w:r>
        <w:rPr>
          <w:rFonts w:eastAsia="微软雅黑"/>
          <w:szCs w:val="21"/>
        </w:rPr>
        <w:t>Fig. 2-4-2. Right side of the cardia and lesser gastric curvature side (the No.1 and No.3 LNs) under a NIR fluorescent light mode</w:t>
      </w:r>
    </w:p>
    <w:p w14:paraId="104F03F8">
      <w:pPr>
        <w:spacing w:line="312" w:lineRule="auto"/>
        <w:jc w:val="left"/>
        <w:rPr>
          <w:rFonts w:eastAsia="微软雅黑"/>
          <w:szCs w:val="21"/>
        </w:rPr>
      </w:pPr>
      <w:r>
        <w:rPr>
          <w:rFonts w:eastAsia="微软雅黑"/>
          <w:szCs w:val="21"/>
        </w:rPr>
        <w:drawing>
          <wp:inline distT="0" distB="0" distL="0" distR="0">
            <wp:extent cx="5356860" cy="3017520"/>
            <wp:effectExtent l="0" t="0" r="2540" b="508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noChangeArrowheads="1"/>
                    </pic:cNvPicPr>
                  </pic:nvPicPr>
                  <pic:blipFill>
                    <a:blip r:embed="rId44"/>
                    <a:srcRect/>
                    <a:stretch>
                      <a:fillRect/>
                    </a:stretch>
                  </pic:blipFill>
                  <pic:spPr>
                    <a:xfrm>
                      <a:off x="0" y="0"/>
                      <a:ext cx="5356860" cy="3017520"/>
                    </a:xfrm>
                    <a:prstGeom prst="rect">
                      <a:avLst/>
                    </a:prstGeom>
                    <a:noFill/>
                    <a:ln>
                      <a:noFill/>
                    </a:ln>
                  </pic:spPr>
                </pic:pic>
              </a:graphicData>
            </a:graphic>
          </wp:inline>
        </w:drawing>
      </w:r>
    </w:p>
    <w:p w14:paraId="29AB7816">
      <w:pPr>
        <w:spacing w:line="312" w:lineRule="auto"/>
        <w:rPr>
          <w:rFonts w:eastAsia="微软雅黑"/>
          <w:szCs w:val="21"/>
        </w:rPr>
      </w:pPr>
      <w:r>
        <w:rPr>
          <w:rFonts w:eastAsia="微软雅黑"/>
          <w:szCs w:val="21"/>
        </w:rPr>
        <w:t>Fig. 2-5-1. Cut site of the left gastroepiploic vessel (No.4 sb LNs) under a nature light mode</w:t>
      </w:r>
    </w:p>
    <w:p w14:paraId="34127811">
      <w:pPr>
        <w:spacing w:line="312" w:lineRule="auto"/>
        <w:jc w:val="left"/>
        <w:rPr>
          <w:rFonts w:eastAsia="微软雅黑"/>
          <w:szCs w:val="21"/>
        </w:rPr>
      </w:pPr>
      <w:r>
        <w:rPr>
          <w:rFonts w:eastAsia="微软雅黑"/>
          <w:szCs w:val="21"/>
        </w:rPr>
        <w:drawing>
          <wp:inline distT="0" distB="0" distL="0" distR="0">
            <wp:extent cx="5356860" cy="3017520"/>
            <wp:effectExtent l="0" t="0" r="2540" b="508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noChangeArrowheads="1"/>
                    </pic:cNvPicPr>
                  </pic:nvPicPr>
                  <pic:blipFill>
                    <a:blip r:embed="rId45"/>
                    <a:srcRect/>
                    <a:stretch>
                      <a:fillRect/>
                    </a:stretch>
                  </pic:blipFill>
                  <pic:spPr>
                    <a:xfrm>
                      <a:off x="0" y="0"/>
                      <a:ext cx="5356860" cy="3017520"/>
                    </a:xfrm>
                    <a:prstGeom prst="rect">
                      <a:avLst/>
                    </a:prstGeom>
                    <a:noFill/>
                    <a:ln>
                      <a:noFill/>
                    </a:ln>
                  </pic:spPr>
                </pic:pic>
              </a:graphicData>
            </a:graphic>
          </wp:inline>
        </w:drawing>
      </w:r>
    </w:p>
    <w:p w14:paraId="3269D4C1">
      <w:pPr>
        <w:spacing w:line="312" w:lineRule="auto"/>
        <w:rPr>
          <w:rFonts w:eastAsia="微软雅黑"/>
          <w:szCs w:val="21"/>
        </w:rPr>
      </w:pPr>
      <w:r>
        <w:rPr>
          <w:rFonts w:eastAsia="微软雅黑"/>
          <w:szCs w:val="21"/>
        </w:rPr>
        <w:t>Fig. 2-5-2. Cut site of the left gastroepiploic vessel (No.4 sb LNs) under a NIR fluorescent light mode</w:t>
      </w:r>
    </w:p>
    <w:p w14:paraId="298601A4">
      <w:pPr>
        <w:spacing w:line="312" w:lineRule="auto"/>
        <w:rPr>
          <w:rFonts w:eastAsia="微软雅黑"/>
          <w:szCs w:val="21"/>
        </w:rPr>
      </w:pPr>
      <w:r>
        <w:rPr>
          <w:rFonts w:eastAsia="微软雅黑"/>
          <w:szCs w:val="21"/>
        </w:rPr>
        <w:drawing>
          <wp:inline distT="0" distB="0" distL="0" distR="0">
            <wp:extent cx="5375275" cy="3023870"/>
            <wp:effectExtent l="0" t="0" r="9525" b="1143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noChangeArrowheads="1"/>
                    </pic:cNvPicPr>
                  </pic:nvPicPr>
                  <pic:blipFill>
                    <a:blip r:embed="rId46"/>
                    <a:srcRect/>
                    <a:stretch>
                      <a:fillRect/>
                    </a:stretch>
                  </pic:blipFill>
                  <pic:spPr>
                    <a:xfrm>
                      <a:off x="0" y="0"/>
                      <a:ext cx="5375275" cy="3023870"/>
                    </a:xfrm>
                    <a:prstGeom prst="rect">
                      <a:avLst/>
                    </a:prstGeom>
                    <a:noFill/>
                    <a:ln>
                      <a:noFill/>
                    </a:ln>
                  </pic:spPr>
                </pic:pic>
              </a:graphicData>
            </a:graphic>
          </wp:inline>
        </w:drawing>
      </w:r>
    </w:p>
    <w:p w14:paraId="50EB44B7">
      <w:pPr>
        <w:spacing w:line="312" w:lineRule="auto"/>
        <w:outlineLvl w:val="0"/>
        <w:rPr>
          <w:rFonts w:eastAsia="微软雅黑"/>
          <w:szCs w:val="21"/>
        </w:rPr>
      </w:pPr>
      <w:r>
        <w:rPr>
          <w:rFonts w:eastAsia="微软雅黑"/>
          <w:szCs w:val="21"/>
        </w:rPr>
        <w:t>Fig. 2-6-1. Splenic hilus area (No.11d and No.10 LNs) under a nature light mode</w:t>
      </w:r>
    </w:p>
    <w:p w14:paraId="5EB34B02">
      <w:pPr>
        <w:spacing w:line="312" w:lineRule="auto"/>
        <w:rPr>
          <w:rFonts w:eastAsia="微软雅黑"/>
          <w:szCs w:val="21"/>
        </w:rPr>
      </w:pPr>
      <w:r>
        <w:rPr>
          <w:rFonts w:eastAsia="微软雅黑"/>
          <w:szCs w:val="21"/>
        </w:rPr>
        <w:drawing>
          <wp:inline distT="0" distB="0" distL="0" distR="0">
            <wp:extent cx="5375275" cy="3023870"/>
            <wp:effectExtent l="0" t="0" r="9525" b="1143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noChangeArrowheads="1"/>
                    </pic:cNvPicPr>
                  </pic:nvPicPr>
                  <pic:blipFill>
                    <a:blip r:embed="rId47"/>
                    <a:srcRect/>
                    <a:stretch>
                      <a:fillRect/>
                    </a:stretch>
                  </pic:blipFill>
                  <pic:spPr>
                    <a:xfrm>
                      <a:off x="0" y="0"/>
                      <a:ext cx="5375275" cy="3023870"/>
                    </a:xfrm>
                    <a:prstGeom prst="rect">
                      <a:avLst/>
                    </a:prstGeom>
                    <a:noFill/>
                    <a:ln>
                      <a:noFill/>
                    </a:ln>
                  </pic:spPr>
                </pic:pic>
              </a:graphicData>
            </a:graphic>
          </wp:inline>
        </w:drawing>
      </w:r>
    </w:p>
    <w:p w14:paraId="50300442">
      <w:pPr>
        <w:spacing w:line="312" w:lineRule="auto"/>
        <w:outlineLvl w:val="0"/>
        <w:rPr>
          <w:rFonts w:eastAsia="微软雅黑"/>
          <w:szCs w:val="21"/>
        </w:rPr>
      </w:pPr>
      <w:r>
        <w:rPr>
          <w:rFonts w:eastAsia="微软雅黑"/>
          <w:szCs w:val="21"/>
        </w:rPr>
        <w:t>Fig. 2-6-2. Splenic hilus area (No.11d and No.10 LNs) under a NIR fluorescent light mode</w:t>
      </w:r>
    </w:p>
    <w:p w14:paraId="1142B56A">
      <w:pPr>
        <w:spacing w:line="360" w:lineRule="auto"/>
        <w:rPr>
          <w:rFonts w:eastAsia="微软雅黑"/>
          <w:sz w:val="24"/>
        </w:rPr>
      </w:pPr>
    </w:p>
    <w:p w14:paraId="2A2C9D16">
      <w:pPr>
        <w:spacing w:line="360" w:lineRule="auto"/>
        <w:rPr>
          <w:rFonts w:eastAsia="微软雅黑"/>
          <w:szCs w:val="21"/>
        </w:rPr>
      </w:pPr>
      <w:r>
        <w:rPr>
          <w:rFonts w:eastAsia="微软雅黑"/>
          <w:szCs w:val="21"/>
        </w:rPr>
        <w:drawing>
          <wp:inline distT="0" distB="0" distL="0" distR="0">
            <wp:extent cx="5377180" cy="3051175"/>
            <wp:effectExtent l="0" t="0" r="7620" b="9525"/>
            <wp:docPr id="18" name="图片 18" descr="E:\公用\图片\标本图片\110___03\IMG_34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公用\图片\标本图片\110___03\IMG_3463.JPG"/>
                    <pic:cNvPicPr>
                      <a:picLocks noChangeAspect="1" noChangeArrowheads="1"/>
                    </pic:cNvPicPr>
                  </pic:nvPicPr>
                  <pic:blipFill>
                    <a:blip r:embed="rId26"/>
                    <a:srcRect/>
                    <a:stretch>
                      <a:fillRect/>
                    </a:stretch>
                  </pic:blipFill>
                  <pic:spPr>
                    <a:xfrm>
                      <a:off x="0" y="0"/>
                      <a:ext cx="5375275" cy="3050215"/>
                    </a:xfrm>
                    <a:prstGeom prst="rect">
                      <a:avLst/>
                    </a:prstGeom>
                    <a:noFill/>
                    <a:ln>
                      <a:noFill/>
                    </a:ln>
                  </pic:spPr>
                </pic:pic>
              </a:graphicData>
            </a:graphic>
          </wp:inline>
        </w:drawing>
      </w:r>
    </w:p>
    <w:p w14:paraId="7B466133">
      <w:pPr>
        <w:spacing w:line="360" w:lineRule="auto"/>
        <w:rPr>
          <w:rFonts w:eastAsia="微软雅黑"/>
          <w:szCs w:val="21"/>
        </w:rPr>
      </w:pPr>
      <w:r>
        <w:rPr>
          <w:rFonts w:eastAsia="微软雅黑"/>
          <w:szCs w:val="21"/>
        </w:rPr>
        <w:t>Fig. 2-7 Incision appearance (mark the incision length)</w:t>
      </w:r>
    </w:p>
    <w:p w14:paraId="65322284">
      <w:pPr>
        <w:spacing w:line="360" w:lineRule="auto"/>
        <w:rPr>
          <w:rFonts w:eastAsia="微软雅黑"/>
          <w:szCs w:val="21"/>
        </w:rPr>
      </w:pPr>
      <w:r>
        <w:rPr>
          <w:rFonts w:eastAsia="微软雅黑"/>
          <w:szCs w:val="21"/>
        </w:rPr>
        <w:drawing>
          <wp:inline distT="0" distB="0" distL="0" distR="0">
            <wp:extent cx="5379720" cy="3024505"/>
            <wp:effectExtent l="0" t="0" r="5080" b="10795"/>
            <wp:docPr id="19" name="图片 19" descr="H:\泽宁照片\脾门\对照\陈善锋\PimenB-C098标本解剖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H:\泽宁照片\脾门\对照\陈善锋\PimenB-C098标本解剖前.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5378060" cy="3024000"/>
                    </a:xfrm>
                    <a:prstGeom prst="rect">
                      <a:avLst/>
                    </a:prstGeom>
                    <a:noFill/>
                    <a:ln>
                      <a:noFill/>
                    </a:ln>
                  </pic:spPr>
                </pic:pic>
              </a:graphicData>
            </a:graphic>
          </wp:inline>
        </w:drawing>
      </w:r>
    </w:p>
    <w:p w14:paraId="10E9B343">
      <w:pPr>
        <w:spacing w:line="360" w:lineRule="auto"/>
        <w:outlineLvl w:val="0"/>
        <w:rPr>
          <w:rFonts w:eastAsia="微软雅黑"/>
          <w:szCs w:val="21"/>
        </w:rPr>
      </w:pPr>
      <w:bookmarkStart w:id="121" w:name="_Toc5858"/>
      <w:r>
        <w:rPr>
          <w:rFonts w:eastAsia="微软雅黑"/>
          <w:szCs w:val="21"/>
        </w:rPr>
        <w:t>Fig. 2-8 Specimen observation (before dissection)</w:t>
      </w:r>
      <w:bookmarkEnd w:id="121"/>
    </w:p>
    <w:p w14:paraId="41492390">
      <w:pPr>
        <w:spacing w:line="360" w:lineRule="auto"/>
        <w:rPr>
          <w:rFonts w:eastAsia="微软雅黑"/>
          <w:szCs w:val="21"/>
        </w:rPr>
      </w:pPr>
      <w:r>
        <w:rPr>
          <w:rFonts w:eastAsia="微软雅黑"/>
          <w:szCs w:val="21"/>
        </w:rPr>
        <w:drawing>
          <wp:inline distT="0" distB="0" distL="0" distR="0">
            <wp:extent cx="5186045" cy="3023235"/>
            <wp:effectExtent l="0" t="0" r="8255" b="12065"/>
            <wp:docPr id="26" name="图片 26" descr="E:\RCT入组截图\脾门\清扫\林联苏\PimenA-C043肿瘤大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RCT入组截图\脾门\清扫\林联苏\PimenA-C043肿瘤大小.JPG"/>
                    <pic:cNvPicPr>
                      <a:picLocks noChangeAspect="1" noChangeArrowheads="1"/>
                    </pic:cNvPicPr>
                  </pic:nvPicPr>
                  <pic:blipFill>
                    <a:blip r:embed="rId28"/>
                    <a:srcRect/>
                    <a:stretch>
                      <a:fillRect/>
                    </a:stretch>
                  </pic:blipFill>
                  <pic:spPr>
                    <a:xfrm>
                      <a:off x="0" y="0"/>
                      <a:ext cx="5186770" cy="3024000"/>
                    </a:xfrm>
                    <a:prstGeom prst="rect">
                      <a:avLst/>
                    </a:prstGeom>
                    <a:noFill/>
                    <a:ln>
                      <a:noFill/>
                    </a:ln>
                  </pic:spPr>
                </pic:pic>
              </a:graphicData>
            </a:graphic>
          </wp:inline>
        </w:drawing>
      </w:r>
    </w:p>
    <w:p w14:paraId="6DFDDBDD">
      <w:pPr>
        <w:spacing w:line="360" w:lineRule="auto"/>
        <w:jc w:val="left"/>
        <w:rPr>
          <w:rFonts w:eastAsia="微软雅黑"/>
          <w:szCs w:val="21"/>
        </w:rPr>
      </w:pPr>
      <w:r>
        <w:rPr>
          <w:rFonts w:eastAsia="微软雅黑"/>
          <w:szCs w:val="21"/>
        </w:rPr>
        <w:t>Fig. 2-9 Specimen observation (focus size; the dissection is made along the greater gastric curvature, and the focus and incisional margin on the mucosal face are observed; if the tumor is located at the greater gastric curvature, then the dissection is made along the lesser curvature)</w:t>
      </w:r>
    </w:p>
    <w:p w14:paraId="32BBB80C">
      <w:pPr>
        <w:spacing w:line="360" w:lineRule="auto"/>
        <w:jc w:val="left"/>
        <w:rPr>
          <w:rFonts w:eastAsia="微软雅黑"/>
          <w:szCs w:val="21"/>
        </w:rPr>
      </w:pPr>
      <w:r>
        <w:rPr>
          <w:rFonts w:eastAsia="微软雅黑"/>
          <w:szCs w:val="21"/>
        </w:rPr>
        <w:drawing>
          <wp:inline distT="0" distB="0" distL="0" distR="0">
            <wp:extent cx="5186045" cy="3023235"/>
            <wp:effectExtent l="0" t="0" r="8255" b="12065"/>
            <wp:docPr id="27" name="图片 27" descr="E:\RCT入组截图\脾门\清扫\林联苏\PimenA-C043肿瘤边缘距近切缘距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RCT入组截图\脾门\清扫\林联苏\PimenA-C043肿瘤边缘距近切缘距离.JPG"/>
                    <pic:cNvPicPr>
                      <a:picLocks noChangeAspect="1" noChangeArrowheads="1"/>
                    </pic:cNvPicPr>
                  </pic:nvPicPr>
                  <pic:blipFill>
                    <a:blip r:embed="rId29"/>
                    <a:srcRect b="8136"/>
                    <a:stretch>
                      <a:fillRect/>
                    </a:stretch>
                  </pic:blipFill>
                  <pic:spPr>
                    <a:xfrm>
                      <a:off x="0" y="0"/>
                      <a:ext cx="5186720" cy="3024000"/>
                    </a:xfrm>
                    <a:prstGeom prst="rect">
                      <a:avLst/>
                    </a:prstGeom>
                    <a:noFill/>
                    <a:ln>
                      <a:noFill/>
                    </a:ln>
                  </pic:spPr>
                </pic:pic>
              </a:graphicData>
            </a:graphic>
          </wp:inline>
        </w:drawing>
      </w:r>
    </w:p>
    <w:p w14:paraId="38F573B9">
      <w:pPr>
        <w:spacing w:line="360" w:lineRule="auto"/>
        <w:jc w:val="left"/>
        <w:rPr>
          <w:rFonts w:eastAsia="微软雅黑"/>
          <w:szCs w:val="21"/>
        </w:rPr>
      </w:pPr>
      <w:r>
        <w:rPr>
          <w:rFonts w:eastAsia="微软雅黑"/>
          <w:szCs w:val="21"/>
        </w:rPr>
        <w:t>Fig. 2-10 Specimen observation (the distance between the tumor edge and the proximal incisional margin)</w:t>
      </w:r>
      <w:r>
        <w:rPr>
          <w:rFonts w:eastAsia="微软雅黑"/>
          <w:szCs w:val="21"/>
        </w:rPr>
        <w:drawing>
          <wp:inline distT="0" distB="0" distL="0" distR="0">
            <wp:extent cx="5213350" cy="3023235"/>
            <wp:effectExtent l="0" t="0" r="6350" b="12065"/>
            <wp:docPr id="29" name="图片 29" descr="E:\RCT入组截图\脾门\清扫\林联苏\PimenA-C043肿瘤距远切缘距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RCT入组截图\脾门\清扫\林联苏\PimenA-C043肿瘤距远切缘距离.JPG"/>
                    <pic:cNvPicPr>
                      <a:picLocks noChangeAspect="1" noChangeArrowheads="1"/>
                    </pic:cNvPicPr>
                  </pic:nvPicPr>
                  <pic:blipFill>
                    <a:blip r:embed="rId30"/>
                    <a:srcRect l="11685" t="4407" b="8136"/>
                    <a:stretch>
                      <a:fillRect/>
                    </a:stretch>
                  </pic:blipFill>
                  <pic:spPr>
                    <a:xfrm>
                      <a:off x="0" y="0"/>
                      <a:ext cx="5213930" cy="3024000"/>
                    </a:xfrm>
                    <a:prstGeom prst="rect">
                      <a:avLst/>
                    </a:prstGeom>
                    <a:noFill/>
                    <a:ln>
                      <a:noFill/>
                    </a:ln>
                  </pic:spPr>
                </pic:pic>
              </a:graphicData>
            </a:graphic>
          </wp:inline>
        </w:drawing>
      </w:r>
    </w:p>
    <w:p w14:paraId="133FB589">
      <w:pPr>
        <w:spacing w:line="360" w:lineRule="auto"/>
        <w:jc w:val="left"/>
        <w:rPr>
          <w:rFonts w:eastAsia="微软雅黑"/>
          <w:szCs w:val="21"/>
        </w:rPr>
      </w:pPr>
      <w:r>
        <w:rPr>
          <w:rFonts w:eastAsia="微软雅黑"/>
          <w:szCs w:val="21"/>
        </w:rPr>
        <w:t>Fig. 2-11 Specimen observation (the distance between the tumor edge and the distal incisional margin)</w:t>
      </w:r>
    </w:p>
    <w:p w14:paraId="294A0D06">
      <w:pPr>
        <w:adjustRightInd w:val="0"/>
        <w:snapToGrid w:val="0"/>
        <w:spacing w:line="360" w:lineRule="auto"/>
        <w:rPr>
          <w:rFonts w:eastAsia="微软雅黑"/>
          <w:b/>
          <w:sz w:val="24"/>
        </w:rPr>
      </w:pPr>
      <w:r>
        <w:rPr>
          <w:rFonts w:eastAsia="微软雅黑"/>
          <w:b/>
          <w:sz w:val="24"/>
        </w:rPr>
        <w:t>9.3.1.10 Regulations on the photo/ image privacy protection and naming</w:t>
      </w:r>
    </w:p>
    <w:p w14:paraId="5EB912AC">
      <w:pPr>
        <w:adjustRightInd w:val="0"/>
        <w:snapToGrid w:val="0"/>
        <w:spacing w:line="360" w:lineRule="auto"/>
        <w:ind w:firstLine="480" w:firstLineChars="200"/>
        <w:rPr>
          <w:rFonts w:eastAsia="微软雅黑"/>
          <w:sz w:val="24"/>
        </w:rPr>
      </w:pPr>
      <w:r>
        <w:rPr>
          <w:rFonts w:eastAsia="微软雅黑"/>
          <w:sz w:val="24"/>
        </w:rPr>
        <w:t>No image data shall disclose the personal information of patients.</w:t>
      </w:r>
    </w:p>
    <w:p w14:paraId="300445C8">
      <w:pPr>
        <w:adjustRightInd w:val="0"/>
        <w:snapToGrid w:val="0"/>
        <w:spacing w:line="360" w:lineRule="auto"/>
        <w:ind w:firstLine="480" w:firstLineChars="200"/>
        <w:rPr>
          <w:rFonts w:eastAsia="微软雅黑"/>
          <w:sz w:val="24"/>
        </w:rPr>
      </w:pPr>
      <w:r>
        <w:rPr>
          <w:rFonts w:eastAsia="微软雅黑"/>
          <w:sz w:val="24"/>
        </w:rPr>
        <w:t xml:space="preserve">When the photos/images are viewed or reviewed, the personal information must be processed with mosaics or be covered. </w:t>
      </w:r>
    </w:p>
    <w:p w14:paraId="73ACE31B">
      <w:pPr>
        <w:adjustRightInd w:val="0"/>
        <w:snapToGrid w:val="0"/>
        <w:spacing w:line="360" w:lineRule="auto"/>
        <w:ind w:firstLine="480" w:firstLineChars="200"/>
        <w:rPr>
          <w:rFonts w:eastAsia="微软雅黑"/>
          <w:sz w:val="24"/>
        </w:rPr>
      </w:pPr>
      <w:r>
        <w:rPr>
          <w:rFonts w:eastAsia="微软雅黑"/>
          <w:sz w:val="24"/>
        </w:rPr>
        <w:t>The photographed parts should be marked with unified Chinese name: inferior pylorus area; left gastroepiploic vessel cut site; right-side area of superior margin of the pancreas; left-side area of superior margin of the pancreas; right side of the cardia and lesser gastric curvature side; splenic hilus area; incision appearance; specimen observation (before dissection); specimen observation (focus size); specimen observation (the distance between the tumor edge and the proximal incisional margin); and specimen observation (the distance between the tumor edge and the distal incisional margin).</w:t>
      </w:r>
    </w:p>
    <w:p w14:paraId="2A974586">
      <w:pPr>
        <w:adjustRightInd w:val="0"/>
        <w:snapToGrid w:val="0"/>
        <w:spacing w:line="360" w:lineRule="auto"/>
        <w:ind w:firstLine="480" w:firstLineChars="200"/>
        <w:rPr>
          <w:rFonts w:eastAsia="微软雅黑"/>
          <w:sz w:val="24"/>
        </w:rPr>
      </w:pPr>
      <w:r>
        <w:rPr>
          <w:rFonts w:eastAsia="微软雅黑"/>
          <w:sz w:val="24"/>
        </w:rPr>
        <w:t xml:space="preserve"> For example:</w:t>
      </w:r>
    </w:p>
    <w:p w14:paraId="0ACB473F">
      <w:pPr>
        <w:adjustRightInd w:val="0"/>
        <w:snapToGrid w:val="0"/>
        <w:spacing w:line="360" w:lineRule="auto"/>
        <w:ind w:firstLine="480" w:firstLineChars="200"/>
        <w:rPr>
          <w:rFonts w:eastAsia="微软雅黑"/>
          <w:sz w:val="24"/>
        </w:rPr>
      </w:pPr>
      <w:r>
        <w:rPr>
          <w:rFonts w:eastAsia="微软雅黑"/>
          <w:sz w:val="24"/>
        </w:rPr>
        <w:t xml:space="preserve"> Photo Name: [ICG-subject's random number - Inferior pylorus area]/ [Non-ICG-subject's random number - Inferior pylorus area]</w:t>
      </w:r>
    </w:p>
    <w:p w14:paraId="2471EFDA">
      <w:pPr>
        <w:adjustRightInd w:val="0"/>
        <w:snapToGrid w:val="0"/>
        <w:spacing w:line="360" w:lineRule="auto"/>
        <w:ind w:firstLine="480" w:firstLineChars="200"/>
        <w:rPr>
          <w:rFonts w:eastAsia="微软雅黑"/>
          <w:sz w:val="24"/>
        </w:rPr>
      </w:pPr>
      <w:r>
        <w:rPr>
          <w:rFonts w:eastAsia="微软雅黑"/>
          <w:sz w:val="24"/>
        </w:rPr>
        <w:t xml:space="preserve"> Folder name: [ICG-subject's random number]/[Non-ICG-subject's random number]</w:t>
      </w:r>
    </w:p>
    <w:p w14:paraId="16247343">
      <w:pPr>
        <w:adjustRightInd w:val="0"/>
        <w:snapToGrid w:val="0"/>
        <w:spacing w:line="360" w:lineRule="auto"/>
        <w:rPr>
          <w:rFonts w:eastAsia="微软雅黑"/>
          <w:b/>
          <w:sz w:val="24"/>
        </w:rPr>
      </w:pPr>
      <w:r>
        <w:rPr>
          <w:rFonts w:eastAsia="微软雅黑"/>
          <w:b/>
          <w:sz w:val="24"/>
        </w:rPr>
        <w:t>9.3.1.11 Criteria for confirming operation quality</w:t>
      </w:r>
    </w:p>
    <w:p w14:paraId="4D71402A">
      <w:pPr>
        <w:adjustRightInd w:val="0"/>
        <w:snapToGrid w:val="0"/>
        <w:spacing w:line="360" w:lineRule="auto"/>
        <w:ind w:firstLine="480" w:firstLineChars="200"/>
        <w:rPr>
          <w:rFonts w:eastAsia="微软雅黑"/>
          <w:sz w:val="24"/>
        </w:rPr>
      </w:pPr>
      <w:r>
        <w:rPr>
          <w:rFonts w:eastAsia="微软雅黑"/>
          <w:sz w:val="24"/>
        </w:rPr>
        <w:t>To confirm the appropriateness of the surgical procedure, surgery quality, (auxiliary) incision length and specimen integrity will be assessed in the photographs saved (as stated above) The whole laparoscopic surgery procedure will be videotaped, and the unclipped image files will be saved.</w:t>
      </w:r>
    </w:p>
    <w:p w14:paraId="420B316A">
      <w:pPr>
        <w:adjustRightInd w:val="0"/>
        <w:snapToGrid w:val="0"/>
        <w:spacing w:line="360" w:lineRule="auto"/>
        <w:rPr>
          <w:rFonts w:eastAsia="微软雅黑"/>
          <w:b/>
          <w:sz w:val="24"/>
        </w:rPr>
      </w:pPr>
      <w:r>
        <w:rPr>
          <w:rFonts w:eastAsia="微软雅黑"/>
          <w:b/>
          <w:sz w:val="24"/>
        </w:rPr>
        <w:t>9.3.1.12 Saving of imaging data</w:t>
      </w:r>
    </w:p>
    <w:p w14:paraId="3389D350">
      <w:pPr>
        <w:adjustRightInd w:val="0"/>
        <w:snapToGrid w:val="0"/>
        <w:spacing w:line="360" w:lineRule="auto"/>
        <w:ind w:firstLine="480" w:firstLineChars="200"/>
        <w:rPr>
          <w:rFonts w:eastAsia="微软雅黑"/>
          <w:sz w:val="24"/>
        </w:rPr>
      </w:pPr>
      <w:r>
        <w:rPr>
          <w:rFonts w:eastAsia="微软雅黑"/>
          <w:sz w:val="24"/>
        </w:rPr>
        <w:t>All photographs and data will be saved in the hard disk or portable digital carrier in digital form, and the surgical video required a specific hard drive to be saved for at least 3 years.</w:t>
      </w:r>
    </w:p>
    <w:p w14:paraId="00D62EA3">
      <w:pPr>
        <w:adjustRightInd w:val="0"/>
        <w:snapToGrid w:val="0"/>
        <w:spacing w:line="360" w:lineRule="auto"/>
        <w:ind w:firstLine="480" w:firstLineChars="200"/>
        <w:rPr>
          <w:rFonts w:eastAsia="微软雅黑"/>
          <w:sz w:val="24"/>
        </w:rPr>
      </w:pPr>
      <w:r>
        <w:rPr>
          <w:rFonts w:eastAsia="微软雅黑"/>
          <w:sz w:val="24"/>
        </w:rPr>
        <w:t xml:space="preserve">If failure to provide the complete photo according to “Regulations on imagery/photographing” is confirmed, the Research Committee will judge and record the surgery quality as unqualified; however, the case will remain in the PP set data of this study. </w:t>
      </w:r>
    </w:p>
    <w:p w14:paraId="2EA9B037">
      <w:pPr>
        <w:adjustRightInd w:val="0"/>
        <w:snapToGrid w:val="0"/>
        <w:spacing w:line="360" w:lineRule="auto"/>
        <w:rPr>
          <w:rFonts w:eastAsia="微软雅黑"/>
          <w:b/>
          <w:sz w:val="24"/>
        </w:rPr>
      </w:pPr>
      <w:r>
        <w:rPr>
          <w:rFonts w:eastAsia="微软雅黑"/>
          <w:b/>
          <w:sz w:val="24"/>
        </w:rPr>
        <w:t>9.3.2 Regulations on laparoscopy</w:t>
      </w:r>
    </w:p>
    <w:p w14:paraId="0FEC1881">
      <w:pPr>
        <w:adjustRightInd w:val="0"/>
        <w:snapToGrid w:val="0"/>
        <w:spacing w:line="360" w:lineRule="auto"/>
        <w:rPr>
          <w:rFonts w:eastAsia="微软雅黑"/>
          <w:b/>
          <w:sz w:val="24"/>
        </w:rPr>
      </w:pPr>
      <w:r>
        <w:rPr>
          <w:rFonts w:eastAsia="微软雅黑"/>
          <w:b/>
          <w:sz w:val="24"/>
        </w:rPr>
        <w:t>9.3.2.1 Regulations on pneumoperitoneum</w:t>
      </w:r>
    </w:p>
    <w:p w14:paraId="36405377">
      <w:pPr>
        <w:adjustRightInd w:val="0"/>
        <w:snapToGrid w:val="0"/>
        <w:spacing w:line="360" w:lineRule="auto"/>
        <w:rPr>
          <w:rFonts w:eastAsia="微软雅黑"/>
          <w:b/>
          <w:sz w:val="24"/>
        </w:rPr>
      </w:pPr>
      <w:r>
        <w:rPr>
          <w:rFonts w:eastAsia="微软雅黑"/>
          <w:b/>
          <w:sz w:val="24"/>
        </w:rPr>
        <w:t xml:space="preserve">    </w:t>
      </w:r>
      <w:r>
        <w:rPr>
          <w:rFonts w:eastAsia="微软雅黑"/>
          <w:sz w:val="24"/>
        </w:rPr>
        <w:t>Carbon dioxide pneumoperitoneum will be used to maintain the pressure at 12-13 mmHg.</w:t>
      </w:r>
    </w:p>
    <w:p w14:paraId="69BBD852">
      <w:pPr>
        <w:adjustRightInd w:val="0"/>
        <w:snapToGrid w:val="0"/>
        <w:spacing w:line="360" w:lineRule="auto"/>
        <w:rPr>
          <w:rFonts w:eastAsia="微软雅黑"/>
          <w:b/>
          <w:sz w:val="24"/>
        </w:rPr>
      </w:pPr>
      <w:r>
        <w:rPr>
          <w:rFonts w:eastAsia="微软雅黑"/>
          <w:b/>
          <w:sz w:val="24"/>
        </w:rPr>
        <w:t>9.3.2.2 Regulations on punctures and auxiliary incision</w:t>
      </w:r>
    </w:p>
    <w:p w14:paraId="61576B89">
      <w:pPr>
        <w:spacing w:line="360" w:lineRule="auto"/>
        <w:ind w:firstLine="480" w:firstLineChars="200"/>
        <w:rPr>
          <w:rFonts w:eastAsia="微软雅黑"/>
          <w:sz w:val="24"/>
        </w:rPr>
      </w:pPr>
      <w:r>
        <w:rPr>
          <w:rFonts w:eastAsia="微软雅黑"/>
          <w:sz w:val="24"/>
        </w:rPr>
        <w:t xml:space="preserve">The positions of punctures and auxiliary small incision are not specified; the number of punctures should not exceed 5. There should be only one auxiliary small incision whose length shall not exceed the maximum tumor diameter and necessarily will be less than 10 cm in normal cases. If the auxiliary small incision needs to be longer than 10 cm, the surgeon in charge should make a decision and record the reasons in the CRF. </w:t>
      </w:r>
    </w:p>
    <w:p w14:paraId="1010508F">
      <w:pPr>
        <w:adjustRightInd w:val="0"/>
        <w:snapToGrid w:val="0"/>
        <w:spacing w:line="360" w:lineRule="auto"/>
        <w:rPr>
          <w:rFonts w:eastAsia="微软雅黑"/>
          <w:b/>
          <w:sz w:val="24"/>
        </w:rPr>
      </w:pPr>
      <w:r>
        <w:rPr>
          <w:rFonts w:eastAsia="微软雅黑"/>
          <w:b/>
          <w:sz w:val="24"/>
        </w:rPr>
        <w:t>9.3.2.3 Definition of laparoscopic approach</w:t>
      </w:r>
    </w:p>
    <w:p w14:paraId="22DB1EA6">
      <w:pPr>
        <w:adjustRightInd w:val="0"/>
        <w:snapToGrid w:val="0"/>
        <w:spacing w:line="360" w:lineRule="auto"/>
        <w:ind w:firstLine="436"/>
        <w:rPr>
          <w:rFonts w:eastAsia="微软雅黑"/>
          <w:sz w:val="24"/>
        </w:rPr>
      </w:pPr>
      <w:r>
        <w:rPr>
          <w:rFonts w:eastAsia="微软雅黑"/>
          <w:bCs/>
          <w:sz w:val="24"/>
        </w:rPr>
        <w:t>The operations within the abdominal cavity must be performed using laparoscopic instruments with the support of a camera system.</w:t>
      </w:r>
      <w:r>
        <w:rPr>
          <w:rFonts w:eastAsia="微软雅黑"/>
          <w:bCs/>
          <w:kern w:val="0"/>
          <w:sz w:val="24"/>
        </w:rPr>
        <w:t xml:space="preserve"> </w:t>
      </w:r>
      <w:r>
        <w:rPr>
          <w:rFonts w:eastAsia="微软雅黑"/>
          <w:kern w:val="0"/>
          <w:sz w:val="24"/>
        </w:rPr>
        <w:t xml:space="preserve">Perigastric disassociation, greater omentum excision, omental bursa excision, LN dissection, and blood vessel handling are completed under laparoscopic guidance. </w:t>
      </w:r>
      <w:r>
        <w:rPr>
          <w:rFonts w:eastAsia="微软雅黑"/>
          <w:sz w:val="24"/>
        </w:rPr>
        <w:t>For gastrectomy and digestive tract reconstruction use of auxiliary small incisions is allowed and can be completed with an opened abdomen.</w:t>
      </w:r>
    </w:p>
    <w:p w14:paraId="4129FA23">
      <w:pPr>
        <w:adjustRightInd w:val="0"/>
        <w:snapToGrid w:val="0"/>
        <w:spacing w:line="360" w:lineRule="auto"/>
        <w:rPr>
          <w:rFonts w:eastAsia="微软雅黑"/>
          <w:b/>
          <w:sz w:val="24"/>
        </w:rPr>
      </w:pPr>
      <w:r>
        <w:rPr>
          <w:rFonts w:eastAsia="微软雅黑"/>
          <w:b/>
          <w:sz w:val="24"/>
        </w:rPr>
        <w:t>9.3.2.4 Regulations on conversion to laparotomy</w:t>
      </w:r>
    </w:p>
    <w:p w14:paraId="0AC01B8B">
      <w:pPr>
        <w:adjustRightInd w:val="0"/>
        <w:snapToGrid w:val="0"/>
        <w:spacing w:line="360" w:lineRule="auto"/>
        <w:ind w:firstLine="480" w:firstLineChars="200"/>
        <w:rPr>
          <w:rFonts w:eastAsia="微软雅黑"/>
          <w:sz w:val="24"/>
        </w:rPr>
      </w:pPr>
      <w:r>
        <w:rPr>
          <w:rFonts w:eastAsia="微软雅黑"/>
          <w:sz w:val="24"/>
        </w:rPr>
        <w:t>When intra-abdominal hemorrhage, organ damage and other serious/life-threatening complications which are difficult to control occur during laparoscopic surgery, it is necessary to actively convert to laparotomy. If the anesthesiologist and surgeon consider that intraoperative complications caused by carbon dioxide pneumoperitoneum may threaten the patient’s life, it is necessary to actively convert to open. The surgeon in charge can decide to convert to laparotomy driven by other technical or equipment reasons and will record said reasons. The reasons for the conversion to open must be clearly recorded in the CRF. The incision length of &gt;10 cm is defined as a case of conversion to open surgery in this study.</w:t>
      </w:r>
    </w:p>
    <w:p w14:paraId="53407EAC">
      <w:pPr>
        <w:adjustRightInd w:val="0"/>
        <w:snapToGrid w:val="0"/>
        <w:spacing w:line="360" w:lineRule="auto"/>
        <w:rPr>
          <w:rFonts w:eastAsia="微软雅黑"/>
          <w:b/>
          <w:sz w:val="24"/>
        </w:rPr>
      </w:pPr>
      <w:r>
        <w:rPr>
          <w:rFonts w:eastAsia="微软雅黑"/>
          <w:b/>
          <w:sz w:val="24"/>
        </w:rPr>
        <w:t>9.3.2.5 Subsequent treatment of excluded patients from the laparoscopic group</w:t>
      </w:r>
    </w:p>
    <w:p w14:paraId="30A8605C">
      <w:pPr>
        <w:adjustRightInd w:val="0"/>
        <w:snapToGrid w:val="0"/>
        <w:spacing w:line="360" w:lineRule="auto"/>
        <w:ind w:firstLine="480" w:firstLineChars="200"/>
        <w:rPr>
          <w:rFonts w:eastAsia="微软雅黑"/>
          <w:sz w:val="24"/>
        </w:rPr>
      </w:pPr>
      <w:r>
        <w:rPr>
          <w:rFonts w:eastAsia="微软雅黑"/>
          <w:sz w:val="24"/>
        </w:rPr>
        <w:t>Whether the patients continue to undergo surgery under laparoscopy or converted to open surgery is at surgeon’s discretion according to clinical experience.</w:t>
      </w:r>
    </w:p>
    <w:p w14:paraId="234DFC44">
      <w:pPr>
        <w:adjustRightInd w:val="0"/>
        <w:snapToGrid w:val="0"/>
        <w:spacing w:line="360" w:lineRule="auto"/>
        <w:rPr>
          <w:rFonts w:eastAsia="微软雅黑"/>
          <w:b/>
          <w:sz w:val="24"/>
        </w:rPr>
      </w:pPr>
      <w:r>
        <w:rPr>
          <w:rFonts w:eastAsia="微软雅黑"/>
          <w:b/>
          <w:sz w:val="24"/>
        </w:rPr>
        <w:t xml:space="preserve">9.3.3 Operative parameters </w:t>
      </w:r>
      <w:r>
        <w:rPr>
          <w:rFonts w:eastAsia="微软雅黑"/>
          <w:sz w:val="24"/>
        </w:rPr>
        <w:t>(same for both groups)</w:t>
      </w:r>
    </w:p>
    <w:p w14:paraId="74ADA54F">
      <w:pPr>
        <w:adjustRightInd w:val="0"/>
        <w:snapToGrid w:val="0"/>
        <w:spacing w:line="360" w:lineRule="auto"/>
        <w:ind w:firstLine="480" w:firstLineChars="200"/>
        <w:rPr>
          <w:rFonts w:eastAsia="微软雅黑"/>
          <w:sz w:val="24"/>
        </w:rPr>
      </w:pPr>
      <w:r>
        <w:rPr>
          <w:rFonts w:eastAsia="微软雅黑"/>
          <w:sz w:val="24"/>
        </w:rPr>
        <w:t>Completed by the research assistant on the day of the operation. specific projects include:</w:t>
      </w:r>
    </w:p>
    <w:p w14:paraId="7DE59F27">
      <w:pPr>
        <w:adjustRightInd w:val="0"/>
        <w:snapToGrid w:val="0"/>
        <w:spacing w:line="360" w:lineRule="auto"/>
        <w:rPr>
          <w:rFonts w:eastAsia="微软雅黑"/>
          <w:sz w:val="24"/>
        </w:rPr>
      </w:pPr>
      <w:r>
        <w:rPr>
          <w:rFonts w:eastAsia="微软雅黑"/>
          <w:sz w:val="24"/>
        </w:rPr>
        <w:t>(1) Name of responsible surgeons</w:t>
      </w:r>
    </w:p>
    <w:p w14:paraId="29E513B7">
      <w:pPr>
        <w:adjustRightInd w:val="0"/>
        <w:snapToGrid w:val="0"/>
        <w:spacing w:line="360" w:lineRule="auto"/>
        <w:rPr>
          <w:rFonts w:eastAsia="微软雅黑"/>
          <w:sz w:val="24"/>
        </w:rPr>
      </w:pPr>
      <w:r>
        <w:rPr>
          <w:rFonts w:eastAsia="微软雅黑"/>
          <w:sz w:val="24"/>
        </w:rPr>
        <w:t>(2) Operation time (min)</w:t>
      </w:r>
    </w:p>
    <w:p w14:paraId="15E218FF">
      <w:pPr>
        <w:adjustRightInd w:val="0"/>
        <w:snapToGrid w:val="0"/>
        <w:spacing w:line="360" w:lineRule="auto"/>
        <w:rPr>
          <w:rFonts w:eastAsia="微软雅黑"/>
          <w:sz w:val="24"/>
        </w:rPr>
      </w:pPr>
      <w:r>
        <w:rPr>
          <w:rFonts w:eastAsia="微软雅黑"/>
          <w:sz w:val="24"/>
        </w:rPr>
        <w:t>(3) Type of operation, digestive tract reconstruction, intraoperative</w:t>
      </w:r>
      <w:r>
        <w:rPr>
          <w:rFonts w:eastAsia="微软雅黑"/>
          <w:b/>
          <w:bCs/>
          <w:sz w:val="24"/>
        </w:rPr>
        <w:t xml:space="preserve"> </w:t>
      </w:r>
      <w:r>
        <w:rPr>
          <w:rFonts w:eastAsia="微软雅黑"/>
          <w:bCs/>
          <w:sz w:val="24"/>
        </w:rPr>
        <w:t>damage and whether the tumor was ruptured during surgery (intact rupture of the capsule)</w:t>
      </w:r>
      <w:r>
        <w:rPr>
          <w:rFonts w:eastAsia="微软雅黑"/>
          <w:sz w:val="24"/>
        </w:rPr>
        <w:t xml:space="preserve"> </w:t>
      </w:r>
    </w:p>
    <w:p w14:paraId="42BDE77A">
      <w:pPr>
        <w:adjustRightInd w:val="0"/>
        <w:snapToGrid w:val="0"/>
        <w:spacing w:line="360" w:lineRule="auto"/>
        <w:rPr>
          <w:rFonts w:eastAsia="微软雅黑"/>
          <w:sz w:val="24"/>
        </w:rPr>
      </w:pPr>
      <w:r>
        <w:rPr>
          <w:rFonts w:eastAsia="微软雅黑"/>
          <w:sz w:val="24"/>
        </w:rPr>
        <w:t>(4) Length of incision (cm)</w:t>
      </w:r>
    </w:p>
    <w:p w14:paraId="3DCE835F">
      <w:pPr>
        <w:spacing w:line="360" w:lineRule="auto"/>
        <w:rPr>
          <w:rFonts w:eastAsia="微软雅黑"/>
          <w:sz w:val="24"/>
        </w:rPr>
      </w:pPr>
      <w:r>
        <w:rPr>
          <w:rFonts w:eastAsia="微软雅黑"/>
          <w:sz w:val="24"/>
        </w:rPr>
        <w:t>(5) Conversion to open surgery or not and the reasons for this decision</w:t>
      </w:r>
    </w:p>
    <w:p w14:paraId="67963967">
      <w:pPr>
        <w:adjustRightInd w:val="0"/>
        <w:snapToGrid w:val="0"/>
        <w:spacing w:line="360" w:lineRule="auto"/>
        <w:ind w:left="480" w:hanging="480" w:hangingChars="200"/>
        <w:rPr>
          <w:rFonts w:eastAsia="微软雅黑"/>
          <w:sz w:val="24"/>
        </w:rPr>
      </w:pPr>
      <w:r>
        <w:rPr>
          <w:rFonts w:eastAsia="微软雅黑"/>
          <w:sz w:val="24"/>
        </w:rPr>
        <w:t>(6) Intraoperative estimated blood loss (ml; from skin cutting to stitching, intraoperative blood loss = (postoperative gauze weight, grams - preoperative gauze weight, grams) *1ml/g+ suction fluid, ml)</w:t>
      </w:r>
    </w:p>
    <w:p w14:paraId="2D9C1AC5">
      <w:pPr>
        <w:adjustRightInd w:val="0"/>
        <w:snapToGrid w:val="0"/>
        <w:spacing w:line="360" w:lineRule="auto"/>
        <w:rPr>
          <w:rFonts w:eastAsia="微软雅黑"/>
          <w:sz w:val="24"/>
        </w:rPr>
      </w:pPr>
      <w:r>
        <w:rPr>
          <w:rFonts w:eastAsia="微软雅黑"/>
          <w:sz w:val="24"/>
        </w:rPr>
        <w:t xml:space="preserve">(7) Blood transfusion (ml): in this study, the blood transfusion event is defined as transfusion of red cell suspension (ml) or whole blood (ml) </w:t>
      </w:r>
    </w:p>
    <w:p w14:paraId="2C7BC960">
      <w:pPr>
        <w:adjustRightInd w:val="0"/>
        <w:snapToGrid w:val="0"/>
        <w:spacing w:line="360" w:lineRule="auto"/>
        <w:rPr>
          <w:rFonts w:eastAsia="微软雅黑"/>
          <w:sz w:val="24"/>
        </w:rPr>
      </w:pPr>
      <w:r>
        <w:rPr>
          <w:rFonts w:eastAsia="微软雅黑"/>
          <w:sz w:val="24"/>
        </w:rPr>
        <w:t xml:space="preserve">(8) Tumor location </w:t>
      </w:r>
    </w:p>
    <w:p w14:paraId="10BB4F79">
      <w:pPr>
        <w:spacing w:line="360" w:lineRule="auto"/>
        <w:rPr>
          <w:rFonts w:eastAsia="微软雅黑"/>
          <w:sz w:val="24"/>
        </w:rPr>
      </w:pPr>
      <w:r>
        <w:rPr>
          <w:rFonts w:eastAsia="微软雅黑"/>
          <w:sz w:val="24"/>
        </w:rPr>
        <w:t>(9) Tumor size (maximum tumor diameter, mm)</w:t>
      </w:r>
    </w:p>
    <w:p w14:paraId="323FEBDA">
      <w:pPr>
        <w:adjustRightInd w:val="0"/>
        <w:snapToGrid w:val="0"/>
        <w:spacing w:line="360" w:lineRule="auto"/>
        <w:rPr>
          <w:rFonts w:eastAsia="微软雅黑"/>
          <w:sz w:val="24"/>
        </w:rPr>
      </w:pPr>
      <w:r>
        <w:rPr>
          <w:rFonts w:eastAsia="微软雅黑"/>
          <w:sz w:val="24"/>
        </w:rPr>
        <w:t>(10) Distant metastasis (location)</w:t>
      </w:r>
    </w:p>
    <w:p w14:paraId="5ECFE56D">
      <w:pPr>
        <w:adjustRightInd w:val="0"/>
        <w:snapToGrid w:val="0"/>
        <w:spacing w:line="360" w:lineRule="auto"/>
        <w:rPr>
          <w:rFonts w:eastAsia="微软雅黑"/>
          <w:sz w:val="24"/>
        </w:rPr>
      </w:pPr>
      <w:r>
        <w:rPr>
          <w:rFonts w:eastAsia="微软雅黑"/>
          <w:sz w:val="24"/>
        </w:rPr>
        <w:t>(11) Proximal resected margin (mm), distal resected margin (mm), radicality (R0/R1/R2)</w:t>
      </w:r>
    </w:p>
    <w:p w14:paraId="1F4CB5F1">
      <w:pPr>
        <w:adjustRightInd w:val="0"/>
        <w:snapToGrid w:val="0"/>
        <w:spacing w:line="360" w:lineRule="auto"/>
        <w:rPr>
          <w:rFonts w:eastAsia="微软雅黑"/>
          <w:sz w:val="24"/>
        </w:rPr>
      </w:pPr>
      <w:r>
        <w:rPr>
          <w:rFonts w:eastAsia="微软雅黑"/>
          <w:sz w:val="24"/>
        </w:rPr>
        <w:t xml:space="preserve">(12) Intraoperative complications (occurring from skin incision to skin closure) including: </w:t>
      </w:r>
    </w:p>
    <w:p w14:paraId="32DF0572">
      <w:pPr>
        <w:adjustRightInd w:val="0"/>
        <w:snapToGrid w:val="0"/>
        <w:spacing w:line="360" w:lineRule="auto"/>
        <w:ind w:firstLine="480" w:firstLineChars="200"/>
        <w:rPr>
          <w:rFonts w:eastAsia="微软雅黑"/>
          <w:sz w:val="24"/>
        </w:rPr>
      </w:pPr>
      <w:r>
        <w:rPr>
          <w:rFonts w:eastAsia="微软雅黑"/>
          <w:sz w:val="24"/>
        </w:rPr>
        <w:t xml:space="preserve">Surgery-related complications: intraoperative hemorrhage and injury: A. Vascular injury: a vascular injury is defined as a blood vessel with either a blood vessel clamp or a titanium clamp closure and an intra-cavity suture or any other method to control the bleeding. B. Organ damage: maybe including diaphragmatic injury, esophageal injury, duodenal injury, colon injury, small intestine injury, spleen injury (excluding &lt;1/3 spleen ischemia), liver injury, pancreatic injury, gallbladder injury, kidney damage etc. </w:t>
      </w:r>
    </w:p>
    <w:p w14:paraId="0A4319D8">
      <w:pPr>
        <w:adjustRightInd w:val="0"/>
        <w:snapToGrid w:val="0"/>
        <w:spacing w:line="360" w:lineRule="auto"/>
        <w:rPr>
          <w:rFonts w:eastAsia="微软雅黑"/>
          <w:sz w:val="24"/>
        </w:rPr>
      </w:pPr>
      <w:r>
        <w:rPr>
          <w:rFonts w:eastAsia="微软雅黑"/>
          <w:sz w:val="24"/>
        </w:rPr>
        <w:t>C. Tumor rupture: tumor envelope integrity damage air abdominal-related complications: high-blood carbonate, mediastinal emphysema, subcutaneous emphysema, air embolism, respiratory circulation instability caused by abdominal pressure.</w:t>
      </w:r>
    </w:p>
    <w:p w14:paraId="1E75863D">
      <w:pPr>
        <w:adjustRightInd w:val="0"/>
        <w:snapToGrid w:val="0"/>
        <w:spacing w:line="360" w:lineRule="auto"/>
        <w:ind w:firstLine="480" w:firstLineChars="200"/>
        <w:rPr>
          <w:rFonts w:eastAsia="微软雅黑"/>
          <w:sz w:val="24"/>
        </w:rPr>
      </w:pPr>
      <w:r>
        <w:rPr>
          <w:rFonts w:eastAsia="微软雅黑"/>
          <w:sz w:val="24"/>
        </w:rPr>
        <w:t>Anesthesia-related complications: Allergic reactions.</w:t>
      </w:r>
    </w:p>
    <w:p w14:paraId="3CF773A9">
      <w:pPr>
        <w:spacing w:line="360" w:lineRule="auto"/>
        <w:rPr>
          <w:rFonts w:eastAsia="微软雅黑"/>
          <w:sz w:val="24"/>
        </w:rPr>
      </w:pPr>
      <w:r>
        <w:rPr>
          <w:rFonts w:eastAsia="微软雅黑"/>
          <w:sz w:val="24"/>
        </w:rPr>
        <w:t xml:space="preserve">(13) Intraoperative death (occurring during the time period from skin cutting to skin stitching completion) regardless of reason. </w:t>
      </w:r>
    </w:p>
    <w:p w14:paraId="0549F394">
      <w:pPr>
        <w:adjustRightInd w:val="0"/>
        <w:snapToGrid w:val="0"/>
        <w:spacing w:line="360" w:lineRule="auto"/>
        <w:jc w:val="left"/>
        <w:rPr>
          <w:rFonts w:eastAsia="微软雅黑"/>
          <w:b/>
          <w:sz w:val="24"/>
        </w:rPr>
      </w:pPr>
      <w:r>
        <w:rPr>
          <w:rFonts w:eastAsia="微软雅黑"/>
          <w:b/>
          <w:sz w:val="24"/>
        </w:rPr>
        <w:t>9.4 Postoperative management (</w:t>
      </w:r>
      <w:r>
        <w:rPr>
          <w:rFonts w:eastAsia="微软雅黑"/>
          <w:sz w:val="24"/>
        </w:rPr>
        <w:t>same for both groups</w:t>
      </w:r>
      <w:r>
        <w:rPr>
          <w:rFonts w:eastAsia="微软雅黑"/>
          <w:b/>
          <w:sz w:val="24"/>
        </w:rPr>
        <w:t xml:space="preserve">) </w:t>
      </w:r>
    </w:p>
    <w:p w14:paraId="392A61F3">
      <w:pPr>
        <w:adjustRightInd w:val="0"/>
        <w:snapToGrid w:val="0"/>
        <w:spacing w:line="360" w:lineRule="auto"/>
        <w:rPr>
          <w:rFonts w:eastAsia="微软雅黑"/>
          <w:b/>
          <w:sz w:val="24"/>
        </w:rPr>
      </w:pPr>
      <w:r>
        <w:rPr>
          <w:rFonts w:eastAsia="微软雅黑"/>
          <w:b/>
          <w:sz w:val="24"/>
        </w:rPr>
        <w:t>9.4.1 The use of prophylactic analgesics</w:t>
      </w:r>
    </w:p>
    <w:p w14:paraId="2998D438">
      <w:pPr>
        <w:adjustRightInd w:val="0"/>
        <w:snapToGrid w:val="0"/>
        <w:spacing w:line="360" w:lineRule="auto"/>
        <w:ind w:firstLine="480" w:firstLineChars="200"/>
        <w:rPr>
          <w:rFonts w:eastAsia="微软雅黑"/>
          <w:sz w:val="24"/>
        </w:rPr>
      </w:pPr>
      <w:r>
        <w:rPr>
          <w:rFonts w:eastAsia="微软雅黑"/>
          <w:sz w:val="24"/>
        </w:rPr>
        <w:t>Continuous postoperative prophylactic intravenous analgesia is allowable but not mandatory within postoperative 48 hours; its dose, type and rate of infusion should be determined by the anesthesiologist according to clinical practices and specific patient conditions. The repeated use of prophylactic analgesics is not allowed beyond 48 hours after the end of surgery, unless it is judged necessary</w:t>
      </w:r>
    </w:p>
    <w:p w14:paraId="7A3CFF1B">
      <w:pPr>
        <w:adjustRightInd w:val="0"/>
        <w:snapToGrid w:val="0"/>
        <w:spacing w:line="360" w:lineRule="auto"/>
        <w:rPr>
          <w:rFonts w:eastAsia="微软雅黑"/>
          <w:b/>
          <w:sz w:val="24"/>
        </w:rPr>
      </w:pPr>
      <w:r>
        <w:rPr>
          <w:rFonts w:eastAsia="微软雅黑"/>
          <w:b/>
          <w:sz w:val="24"/>
        </w:rPr>
        <w:t>9.4.2 Fluid replacement and nutritional support</w:t>
      </w:r>
    </w:p>
    <w:p w14:paraId="13BB10F1">
      <w:pPr>
        <w:adjustRightInd w:val="0"/>
        <w:snapToGrid w:val="0"/>
        <w:spacing w:line="360" w:lineRule="auto"/>
        <w:ind w:firstLine="480" w:firstLineChars="200"/>
        <w:rPr>
          <w:rFonts w:eastAsia="微软雅黑"/>
          <w:sz w:val="24"/>
        </w:rPr>
      </w:pPr>
      <w:r>
        <w:rPr>
          <w:rFonts w:eastAsia="微软雅黑"/>
          <w:sz w:val="24"/>
        </w:rPr>
        <w:t xml:space="preserve">Postoperative fluid infusion (including glucose, insulin, electrolytes, vitamins, etc.) or nutritional support (enteral/parenteral) will be performed based on doctor’s experience and routine clinical practices and is not specified in this study. After oral feeding, it is allowable to stop or gradually reduce fluid infusion/nutritional support. </w:t>
      </w:r>
    </w:p>
    <w:p w14:paraId="54F7B965">
      <w:pPr>
        <w:adjustRightInd w:val="0"/>
        <w:snapToGrid w:val="0"/>
        <w:spacing w:line="360" w:lineRule="auto"/>
        <w:rPr>
          <w:rFonts w:eastAsia="微软雅黑"/>
          <w:b/>
          <w:sz w:val="24"/>
        </w:rPr>
      </w:pPr>
      <w:r>
        <w:rPr>
          <w:rFonts w:eastAsia="微软雅黑"/>
          <w:b/>
          <w:sz w:val="24"/>
        </w:rPr>
        <w:t>9.4.3 Post-operative rehabilitation management</w:t>
      </w:r>
    </w:p>
    <w:p w14:paraId="1F6999F9">
      <w:pPr>
        <w:adjustRightInd w:val="0"/>
        <w:snapToGrid w:val="0"/>
        <w:spacing w:line="360" w:lineRule="auto"/>
        <w:ind w:firstLine="480" w:firstLineChars="200"/>
        <w:rPr>
          <w:rFonts w:eastAsia="微软雅黑"/>
          <w:sz w:val="24"/>
        </w:rPr>
      </w:pPr>
      <w:r>
        <w:rPr>
          <w:rFonts w:eastAsia="微软雅黑"/>
          <w:sz w:val="24"/>
        </w:rPr>
        <w:t xml:space="preserve">Management methods of incision, stomach and abdominal drainage tube: follow regular diagnosis and treatment approaches. Eating recovery time, diet transition strategies: follow regular diagnosis and treatment approaches. </w:t>
      </w:r>
    </w:p>
    <w:p w14:paraId="4DF99787">
      <w:pPr>
        <w:adjustRightInd w:val="0"/>
        <w:snapToGrid w:val="0"/>
        <w:spacing w:line="360" w:lineRule="auto"/>
        <w:rPr>
          <w:rFonts w:eastAsia="微软雅黑"/>
          <w:b/>
          <w:sz w:val="24"/>
        </w:rPr>
      </w:pPr>
      <w:r>
        <w:rPr>
          <w:rFonts w:eastAsia="微软雅黑"/>
          <w:b/>
          <w:sz w:val="24"/>
        </w:rPr>
        <w:t>9.4.4 Discharge standard</w:t>
      </w:r>
    </w:p>
    <w:p w14:paraId="6D2C5F43">
      <w:pPr>
        <w:spacing w:line="360" w:lineRule="auto"/>
        <w:ind w:firstLine="480" w:firstLineChars="200"/>
        <w:rPr>
          <w:rFonts w:eastAsia="微软雅黑"/>
          <w:sz w:val="24"/>
        </w:rPr>
      </w:pPr>
      <w:r>
        <w:rPr>
          <w:rFonts w:eastAsia="微软雅黑"/>
          <w:sz w:val="24"/>
        </w:rPr>
        <w:t>Patients needed to meet the following criteria for discharge: (1) satisfactory intake of a soft diet. (2) move around of their bed. and (3) absence of complications by routine clinical examinations. This information will be recorded in the CRF.</w:t>
      </w:r>
    </w:p>
    <w:p w14:paraId="63C9A5DF">
      <w:pPr>
        <w:adjustRightInd w:val="0"/>
        <w:snapToGrid w:val="0"/>
        <w:spacing w:line="360" w:lineRule="auto"/>
        <w:rPr>
          <w:rFonts w:eastAsia="微软雅黑"/>
          <w:b/>
          <w:sz w:val="24"/>
        </w:rPr>
      </w:pPr>
      <w:r>
        <w:rPr>
          <w:rFonts w:eastAsia="微软雅黑"/>
          <w:b/>
          <w:sz w:val="24"/>
        </w:rPr>
        <w:t>9.4.5 Postoperative observation items</w:t>
      </w:r>
    </w:p>
    <w:p w14:paraId="3FC9242F">
      <w:pPr>
        <w:adjustRightInd w:val="0"/>
        <w:snapToGrid w:val="0"/>
        <w:spacing w:line="360" w:lineRule="auto"/>
        <w:ind w:firstLine="480" w:firstLineChars="200"/>
        <w:rPr>
          <w:rFonts w:eastAsia="微软雅黑"/>
          <w:sz w:val="24"/>
        </w:rPr>
      </w:pPr>
      <w:r>
        <w:rPr>
          <w:rFonts w:eastAsia="微软雅黑"/>
          <w:sz w:val="24"/>
        </w:rPr>
        <w:t>Definition of “postoperative day n”: One day from 0:00 to up to 24:00. Up to 24:00 on the day of surgery is “</w:t>
      </w:r>
      <w:r>
        <w:rPr>
          <w:rFonts w:eastAsia="微软雅黑"/>
          <w:b/>
          <w:bCs/>
          <w:sz w:val="24"/>
        </w:rPr>
        <w:t>postoperative day 0;</w:t>
      </w:r>
      <w:r>
        <w:rPr>
          <w:rFonts w:eastAsia="微软雅黑"/>
          <w:sz w:val="24"/>
        </w:rPr>
        <w:t>” the next day from 0:00 to up to 24:00 is “</w:t>
      </w:r>
      <w:r>
        <w:rPr>
          <w:rFonts w:eastAsia="微软雅黑"/>
          <w:b/>
          <w:bCs/>
          <w:sz w:val="24"/>
        </w:rPr>
        <w:t>postoperative day 1</w:t>
      </w:r>
      <w:r>
        <w:rPr>
          <w:rFonts w:eastAsia="微软雅黑"/>
          <w:sz w:val="24"/>
        </w:rPr>
        <w:t>;” and so on. From the first postoperative day until hospital discharge, the research assistant should timely fill in the following items and specific observation items including:</w:t>
      </w:r>
    </w:p>
    <w:p w14:paraId="221654D0">
      <w:pPr>
        <w:adjustRightInd w:val="0"/>
        <w:snapToGrid w:val="0"/>
        <w:spacing w:line="360" w:lineRule="auto"/>
        <w:rPr>
          <w:rFonts w:eastAsia="微软雅黑"/>
          <w:sz w:val="24"/>
        </w:rPr>
      </w:pPr>
      <w:r>
        <w:rPr>
          <w:rFonts w:eastAsia="微软雅黑"/>
          <w:b/>
          <w:bCs/>
          <w:sz w:val="24"/>
        </w:rPr>
        <w:t xml:space="preserve">(1) Pathologic results: </w:t>
      </w:r>
      <w:r>
        <w:rPr>
          <w:rFonts w:eastAsia="微软雅黑"/>
          <w:sz w:val="24"/>
        </w:rPr>
        <w:t>Original lesion tissue typing, Distant metastasis, and parts, NIH Hazard grading, Radical surgery degree (R0/R1/R2)</w:t>
      </w:r>
    </w:p>
    <w:p w14:paraId="0B25B42A">
      <w:pPr>
        <w:adjustRightInd w:val="0"/>
        <w:snapToGrid w:val="0"/>
        <w:spacing w:line="360" w:lineRule="auto"/>
        <w:rPr>
          <w:rFonts w:eastAsia="微软雅黑"/>
          <w:sz w:val="22"/>
          <w:szCs w:val="22"/>
        </w:rPr>
      </w:pPr>
      <w:r>
        <w:rPr>
          <w:rFonts w:eastAsia="微软雅黑"/>
          <w:b/>
          <w:bCs/>
          <w:sz w:val="24"/>
        </w:rPr>
        <w:t xml:space="preserve">(2) Postoperative complications: </w:t>
      </w:r>
      <w:r>
        <w:rPr>
          <w:rFonts w:eastAsia="微软雅黑"/>
          <w:sz w:val="24"/>
        </w:rPr>
        <w:t>Postoperative complications are divided into and short-term complications after surgery and long-term complications after surgery. Short-term is defined as within 30 days of surgery or the first discharge if the hospital days &gt;30 days. Long-term is defined as the period from 30 days or more after the operation, or the first discharge (the hospital days after surgery &gt;30 days) to 3 years after the operation.</w:t>
      </w:r>
    </w:p>
    <w:tbl>
      <w:tblPr>
        <w:tblStyle w:val="13"/>
        <w:tblW w:w="9606" w:type="dxa"/>
        <w:tblInd w:w="-6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85"/>
        <w:gridCol w:w="6521"/>
      </w:tblGrid>
      <w:tr w14:paraId="415D0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267A1DFE">
            <w:pPr>
              <w:adjustRightInd w:val="0"/>
              <w:snapToGrid w:val="0"/>
              <w:spacing w:line="360" w:lineRule="auto"/>
              <w:jc w:val="center"/>
              <w:rPr>
                <w:rFonts w:eastAsia="微软雅黑"/>
                <w:sz w:val="22"/>
                <w:szCs w:val="22"/>
              </w:rPr>
            </w:pPr>
            <w:r>
              <w:rPr>
                <w:rFonts w:eastAsia="微软雅黑"/>
                <w:sz w:val="22"/>
                <w:szCs w:val="22"/>
              </w:rPr>
              <w:t>Classification and name of complication</w:t>
            </w:r>
          </w:p>
        </w:tc>
        <w:tc>
          <w:tcPr>
            <w:tcW w:w="6521" w:type="dxa"/>
            <w:vAlign w:val="center"/>
          </w:tcPr>
          <w:p w14:paraId="4F45BC4F">
            <w:pPr>
              <w:adjustRightInd w:val="0"/>
              <w:snapToGrid w:val="0"/>
              <w:spacing w:line="360" w:lineRule="auto"/>
              <w:jc w:val="center"/>
              <w:rPr>
                <w:rFonts w:eastAsia="微软雅黑"/>
                <w:sz w:val="22"/>
                <w:szCs w:val="22"/>
              </w:rPr>
            </w:pPr>
            <w:r>
              <w:rPr>
                <w:rFonts w:eastAsia="微软雅黑"/>
                <w:sz w:val="22"/>
                <w:szCs w:val="22"/>
              </w:rPr>
              <w:t>Diagnostic criteria</w:t>
            </w:r>
          </w:p>
        </w:tc>
      </w:tr>
      <w:tr w14:paraId="09089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5852F273">
            <w:pPr>
              <w:adjustRightInd w:val="0"/>
              <w:snapToGrid w:val="0"/>
              <w:spacing w:line="360" w:lineRule="auto"/>
              <w:rPr>
                <w:rFonts w:eastAsia="微软雅黑"/>
                <w:sz w:val="22"/>
                <w:szCs w:val="22"/>
              </w:rPr>
            </w:pPr>
            <w:r>
              <w:rPr>
                <w:rFonts w:eastAsia="微软雅黑"/>
                <w:sz w:val="22"/>
                <w:szCs w:val="22"/>
              </w:rPr>
              <w:t xml:space="preserve">  Abdominal bleeding</w:t>
            </w:r>
          </w:p>
        </w:tc>
        <w:tc>
          <w:tcPr>
            <w:tcW w:w="6521" w:type="dxa"/>
          </w:tcPr>
          <w:p w14:paraId="3946C94F">
            <w:pPr>
              <w:adjustRightInd w:val="0"/>
              <w:snapToGrid w:val="0"/>
              <w:spacing w:line="360" w:lineRule="auto"/>
              <w:rPr>
                <w:rFonts w:eastAsia="微软雅黑"/>
                <w:sz w:val="22"/>
                <w:szCs w:val="22"/>
              </w:rPr>
            </w:pPr>
            <w:r>
              <w:rPr>
                <w:rFonts w:eastAsia="微软雅黑"/>
                <w:sz w:val="22"/>
                <w:szCs w:val="22"/>
              </w:rPr>
              <w:t>Intra-abdominal hemorrhage requires blood transfusion, emergency endoscopy or surgical intervention to eliminate anastomotic bleeding</w:t>
            </w:r>
          </w:p>
        </w:tc>
      </w:tr>
      <w:tr w14:paraId="1DC81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71A52566">
            <w:pPr>
              <w:adjustRightInd w:val="0"/>
              <w:snapToGrid w:val="0"/>
              <w:spacing w:line="360" w:lineRule="auto"/>
              <w:rPr>
                <w:rFonts w:eastAsia="微软雅黑"/>
                <w:sz w:val="22"/>
                <w:szCs w:val="22"/>
              </w:rPr>
            </w:pPr>
            <w:r>
              <w:rPr>
                <w:rFonts w:eastAsia="微软雅黑"/>
                <w:sz w:val="22"/>
                <w:szCs w:val="22"/>
              </w:rPr>
              <w:t xml:space="preserve">  Anastomotic bleeding</w:t>
            </w:r>
          </w:p>
        </w:tc>
        <w:tc>
          <w:tcPr>
            <w:tcW w:w="6521" w:type="dxa"/>
          </w:tcPr>
          <w:p w14:paraId="1F4F1E1E">
            <w:pPr>
              <w:adjustRightInd w:val="0"/>
              <w:snapToGrid w:val="0"/>
              <w:spacing w:line="360" w:lineRule="auto"/>
              <w:rPr>
                <w:rFonts w:eastAsia="微软雅黑"/>
                <w:sz w:val="22"/>
                <w:szCs w:val="22"/>
              </w:rPr>
            </w:pPr>
            <w:r>
              <w:rPr>
                <w:rFonts w:eastAsia="微软雅黑"/>
                <w:sz w:val="22"/>
                <w:szCs w:val="22"/>
              </w:rPr>
              <w:t>The postoperative gastrointestinal decompression tube continued to have fresh red blood outflow; the hemoglobin drops more than 1g/dL</w:t>
            </w:r>
          </w:p>
        </w:tc>
      </w:tr>
      <w:tr w14:paraId="7644C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08D4B20D">
            <w:pPr>
              <w:adjustRightInd w:val="0"/>
              <w:snapToGrid w:val="0"/>
              <w:spacing w:line="360" w:lineRule="auto"/>
              <w:rPr>
                <w:rFonts w:eastAsia="微软雅黑"/>
                <w:sz w:val="22"/>
                <w:szCs w:val="22"/>
              </w:rPr>
            </w:pPr>
            <w:r>
              <w:rPr>
                <w:rFonts w:eastAsia="微软雅黑"/>
                <w:sz w:val="22"/>
                <w:szCs w:val="22"/>
              </w:rPr>
              <w:t xml:space="preserve">  Gastrointestinal anastomotic stoma fistula</w:t>
            </w:r>
          </w:p>
        </w:tc>
        <w:tc>
          <w:tcPr>
            <w:tcW w:w="6521" w:type="dxa"/>
          </w:tcPr>
          <w:p w14:paraId="52503854">
            <w:pPr>
              <w:adjustRightInd w:val="0"/>
              <w:snapToGrid w:val="0"/>
              <w:spacing w:line="360" w:lineRule="auto"/>
              <w:rPr>
                <w:rFonts w:eastAsia="微软雅黑"/>
                <w:sz w:val="22"/>
                <w:szCs w:val="22"/>
              </w:rPr>
            </w:pPr>
            <w:r>
              <w:rPr>
                <w:rFonts w:eastAsia="微软雅黑"/>
                <w:sz w:val="22"/>
                <w:szCs w:val="22"/>
              </w:rPr>
              <w:t>Using gastrointestinal angiography to see contrast agent leak out from the anastomosis, or the blue drainage outflow through tube after oral Methylene blue to eliminate the possibility duodenal stump fistula and intestinal fistula</w:t>
            </w:r>
          </w:p>
        </w:tc>
      </w:tr>
      <w:tr w14:paraId="752ED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151A4549">
            <w:pPr>
              <w:adjustRightInd w:val="0"/>
              <w:snapToGrid w:val="0"/>
              <w:spacing w:line="360" w:lineRule="auto"/>
              <w:rPr>
                <w:rFonts w:eastAsia="微软雅黑"/>
                <w:sz w:val="22"/>
                <w:szCs w:val="22"/>
              </w:rPr>
            </w:pPr>
            <w:r>
              <w:rPr>
                <w:rFonts w:eastAsia="微软雅黑"/>
                <w:sz w:val="22"/>
                <w:szCs w:val="22"/>
              </w:rPr>
              <w:t xml:space="preserve">  Duodenal stump fistula</w:t>
            </w:r>
          </w:p>
        </w:tc>
        <w:tc>
          <w:tcPr>
            <w:tcW w:w="6521" w:type="dxa"/>
          </w:tcPr>
          <w:p w14:paraId="6C3F0007">
            <w:pPr>
              <w:adjustRightInd w:val="0"/>
              <w:snapToGrid w:val="0"/>
              <w:spacing w:line="360" w:lineRule="auto"/>
              <w:rPr>
                <w:rFonts w:eastAsia="微软雅黑"/>
                <w:sz w:val="22"/>
                <w:szCs w:val="22"/>
              </w:rPr>
            </w:pPr>
            <w:r>
              <w:rPr>
                <w:rFonts w:eastAsia="微软雅黑"/>
                <w:sz w:val="22"/>
                <w:szCs w:val="22"/>
              </w:rPr>
              <w:t>Using gastrointestinal angiography to see contrast agent leak out from the duodenal stump to eliminate the anastomotic fistula or intestinal fistula</w:t>
            </w:r>
          </w:p>
        </w:tc>
      </w:tr>
      <w:tr w14:paraId="2130C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2D115572">
            <w:pPr>
              <w:adjustRightInd w:val="0"/>
              <w:snapToGrid w:val="0"/>
              <w:spacing w:line="360" w:lineRule="auto"/>
              <w:rPr>
                <w:rFonts w:eastAsia="微软雅黑"/>
                <w:sz w:val="22"/>
                <w:szCs w:val="22"/>
              </w:rPr>
            </w:pPr>
            <w:r>
              <w:rPr>
                <w:rFonts w:eastAsia="微软雅黑"/>
                <w:sz w:val="22"/>
                <w:szCs w:val="22"/>
              </w:rPr>
              <w:t xml:space="preserve">  Intestinal fistula</w:t>
            </w:r>
          </w:p>
        </w:tc>
        <w:tc>
          <w:tcPr>
            <w:tcW w:w="6521" w:type="dxa"/>
          </w:tcPr>
          <w:p w14:paraId="5CCB8826">
            <w:pPr>
              <w:adjustRightInd w:val="0"/>
              <w:snapToGrid w:val="0"/>
              <w:spacing w:line="360" w:lineRule="auto"/>
              <w:rPr>
                <w:rFonts w:eastAsia="微软雅黑"/>
                <w:sz w:val="22"/>
                <w:szCs w:val="22"/>
              </w:rPr>
            </w:pPr>
            <w:r>
              <w:rPr>
                <w:rFonts w:eastAsia="微软雅黑"/>
                <w:sz w:val="22"/>
                <w:szCs w:val="22"/>
              </w:rPr>
              <w:t>Using gastrointestinal angiography to see the blue drainage outflow through tube after oral Methylene blue to eliminate anastomotic fistula and duodenal stump fistula</w:t>
            </w:r>
          </w:p>
        </w:tc>
      </w:tr>
      <w:tr w14:paraId="6D781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152B3731">
            <w:pPr>
              <w:adjustRightInd w:val="0"/>
              <w:snapToGrid w:val="0"/>
              <w:spacing w:line="360" w:lineRule="auto"/>
              <w:rPr>
                <w:rFonts w:eastAsia="微软雅黑"/>
                <w:sz w:val="22"/>
                <w:szCs w:val="22"/>
              </w:rPr>
            </w:pPr>
            <w:r>
              <w:rPr>
                <w:rFonts w:eastAsia="微软雅黑"/>
                <w:sz w:val="22"/>
                <w:szCs w:val="22"/>
              </w:rPr>
              <w:t xml:space="preserve">  Stenosis of anastomosis</w:t>
            </w:r>
          </w:p>
        </w:tc>
        <w:tc>
          <w:tcPr>
            <w:tcW w:w="6521" w:type="dxa"/>
          </w:tcPr>
          <w:p w14:paraId="0CA0C638">
            <w:pPr>
              <w:adjustRightInd w:val="0"/>
              <w:snapToGrid w:val="0"/>
              <w:spacing w:line="360" w:lineRule="auto"/>
              <w:rPr>
                <w:rFonts w:eastAsia="微软雅黑"/>
                <w:sz w:val="22"/>
                <w:szCs w:val="22"/>
              </w:rPr>
            </w:pPr>
            <w:r>
              <w:rPr>
                <w:rFonts w:eastAsia="微软雅黑"/>
                <w:sz w:val="22"/>
                <w:szCs w:val="22"/>
              </w:rPr>
              <w:t>Endoscopic examination with a 9.2-mm endoscopy not passing through the anastomosis to eliminate recurrence of tumors</w:t>
            </w:r>
          </w:p>
        </w:tc>
      </w:tr>
      <w:tr w14:paraId="56788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283C9F02">
            <w:pPr>
              <w:adjustRightInd w:val="0"/>
              <w:snapToGrid w:val="0"/>
              <w:spacing w:line="360" w:lineRule="auto"/>
              <w:rPr>
                <w:rFonts w:eastAsia="微软雅黑"/>
                <w:sz w:val="22"/>
                <w:szCs w:val="22"/>
              </w:rPr>
            </w:pPr>
            <w:r>
              <w:rPr>
                <w:rFonts w:eastAsia="微软雅黑"/>
                <w:sz w:val="22"/>
                <w:szCs w:val="22"/>
              </w:rPr>
              <w:t xml:space="preserve">  Input jejunal loop obstruction </w:t>
            </w:r>
          </w:p>
        </w:tc>
        <w:tc>
          <w:tcPr>
            <w:tcW w:w="6521" w:type="dxa"/>
          </w:tcPr>
          <w:p w14:paraId="055A2B6D">
            <w:pPr>
              <w:adjustRightInd w:val="0"/>
              <w:snapToGrid w:val="0"/>
              <w:spacing w:line="360" w:lineRule="auto"/>
              <w:rPr>
                <w:rFonts w:eastAsia="微软雅黑"/>
                <w:sz w:val="22"/>
                <w:szCs w:val="22"/>
              </w:rPr>
            </w:pPr>
            <w:r>
              <w:rPr>
                <w:rFonts w:eastAsia="微软雅黑"/>
                <w:sz w:val="22"/>
                <w:szCs w:val="22"/>
              </w:rPr>
              <w:t>Abdominal pain, abdominal distension, vomiting and other symptoms. Abdominal flat to see the right upper abdomen expansion of the intestinal loop, and there is a liquid plane, or a visible input loop jejunum giant expansion by barium meal examination.</w:t>
            </w:r>
          </w:p>
        </w:tc>
      </w:tr>
      <w:tr w14:paraId="1A842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74521B29">
            <w:pPr>
              <w:adjustRightInd w:val="0"/>
              <w:snapToGrid w:val="0"/>
              <w:spacing w:line="360" w:lineRule="auto"/>
              <w:rPr>
                <w:rFonts w:eastAsia="微软雅黑"/>
                <w:sz w:val="22"/>
                <w:szCs w:val="22"/>
              </w:rPr>
            </w:pPr>
            <w:r>
              <w:rPr>
                <w:rFonts w:eastAsia="微软雅黑"/>
                <w:sz w:val="22"/>
                <w:szCs w:val="22"/>
              </w:rPr>
              <w:t xml:space="preserve">  Intestinal obstruction after operation </w:t>
            </w:r>
          </w:p>
        </w:tc>
        <w:tc>
          <w:tcPr>
            <w:tcW w:w="6521" w:type="dxa"/>
          </w:tcPr>
          <w:p w14:paraId="01073767">
            <w:pPr>
              <w:adjustRightInd w:val="0"/>
              <w:snapToGrid w:val="0"/>
              <w:spacing w:line="360" w:lineRule="auto"/>
              <w:rPr>
                <w:rFonts w:eastAsia="微软雅黑"/>
                <w:sz w:val="22"/>
                <w:szCs w:val="22"/>
              </w:rPr>
            </w:pPr>
            <w:r>
              <w:rPr>
                <w:rFonts w:eastAsia="微软雅黑"/>
                <w:sz w:val="22"/>
                <w:szCs w:val="22"/>
              </w:rPr>
              <w:t>Abdominal X-ray shows a plurality of liquid planes and the phenomenon of intestinal effusion with visible isolated, fixed, swelling of the intestinal loop. Total Abdominal CT showed edema, thickening, adhesion of intestinal wall, accumulation of gas in intestinal cavity, uniform expansion of bowel and intra-abdominal exudation.</w:t>
            </w:r>
          </w:p>
        </w:tc>
      </w:tr>
      <w:tr w14:paraId="74B18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01AB4857">
            <w:pPr>
              <w:adjustRightInd w:val="0"/>
              <w:snapToGrid w:val="0"/>
              <w:spacing w:line="360" w:lineRule="auto"/>
              <w:rPr>
                <w:rFonts w:eastAsia="微软雅黑"/>
                <w:sz w:val="22"/>
                <w:szCs w:val="22"/>
              </w:rPr>
            </w:pPr>
            <w:r>
              <w:rPr>
                <w:rFonts w:eastAsia="微软雅黑"/>
                <w:sz w:val="22"/>
                <w:szCs w:val="22"/>
              </w:rPr>
              <w:t xml:space="preserve">  Early dumping syndrome </w:t>
            </w:r>
          </w:p>
        </w:tc>
        <w:tc>
          <w:tcPr>
            <w:tcW w:w="6521" w:type="dxa"/>
          </w:tcPr>
          <w:p w14:paraId="0DFCD5C9">
            <w:pPr>
              <w:adjustRightInd w:val="0"/>
              <w:snapToGrid w:val="0"/>
              <w:spacing w:line="360" w:lineRule="auto"/>
              <w:rPr>
                <w:rFonts w:eastAsia="微软雅黑"/>
                <w:sz w:val="22"/>
                <w:szCs w:val="22"/>
              </w:rPr>
            </w:pPr>
            <w:r>
              <w:rPr>
                <w:rFonts w:eastAsia="微软雅黑"/>
                <w:sz w:val="22"/>
                <w:szCs w:val="22"/>
              </w:rPr>
              <w:t>Combined the symptoms of sweating, heat, weakness, dizziness, palpitations, heart swelling feeling, vomiting, abdominal colic or diarrhea with the signs of tachycardia, blood pressure micro-rise, breathing a little faster sign after meal 15-30 minutes, and solid phase radionuclide gastric emptying scanning tips stomach quickly emptying.</w:t>
            </w:r>
          </w:p>
        </w:tc>
      </w:tr>
      <w:tr w14:paraId="21CCB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377C01E0">
            <w:pPr>
              <w:adjustRightInd w:val="0"/>
              <w:snapToGrid w:val="0"/>
              <w:spacing w:line="360" w:lineRule="auto"/>
              <w:rPr>
                <w:rFonts w:eastAsia="微软雅黑"/>
                <w:sz w:val="22"/>
                <w:szCs w:val="22"/>
              </w:rPr>
            </w:pPr>
            <w:r>
              <w:rPr>
                <w:rFonts w:eastAsia="微软雅黑"/>
                <w:sz w:val="22"/>
                <w:szCs w:val="22"/>
              </w:rPr>
              <w:t xml:space="preserve">  Late dumping syndrome </w:t>
            </w:r>
          </w:p>
        </w:tc>
        <w:tc>
          <w:tcPr>
            <w:tcW w:w="6521" w:type="dxa"/>
          </w:tcPr>
          <w:p w14:paraId="0ABCBB58">
            <w:pPr>
              <w:adjustRightInd w:val="0"/>
              <w:snapToGrid w:val="0"/>
              <w:spacing w:line="360" w:lineRule="auto"/>
              <w:rPr>
                <w:rFonts w:eastAsia="微软雅黑"/>
                <w:sz w:val="22"/>
                <w:szCs w:val="22"/>
              </w:rPr>
            </w:pPr>
            <w:r>
              <w:rPr>
                <w:rFonts w:eastAsia="微软雅黑"/>
                <w:sz w:val="22"/>
                <w:szCs w:val="22"/>
              </w:rPr>
              <w:t>Feeling hungry, flustered, out of sweating 2-3 hours after the meal . Blood sugar is less than 2.9 mmol/L, excluding other diseases that cause hypoglycemia</w:t>
            </w:r>
          </w:p>
        </w:tc>
      </w:tr>
      <w:tr w14:paraId="53B6A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280DDFBB">
            <w:pPr>
              <w:adjustRightInd w:val="0"/>
              <w:snapToGrid w:val="0"/>
              <w:spacing w:line="360" w:lineRule="auto"/>
              <w:rPr>
                <w:rFonts w:eastAsia="微软雅黑"/>
                <w:sz w:val="22"/>
                <w:szCs w:val="22"/>
              </w:rPr>
            </w:pPr>
            <w:r>
              <w:rPr>
                <w:rFonts w:eastAsia="微软雅黑"/>
                <w:sz w:val="22"/>
                <w:szCs w:val="22"/>
              </w:rPr>
              <w:t xml:space="preserve">  Intestinal ischemia and necrosis</w:t>
            </w:r>
          </w:p>
        </w:tc>
        <w:tc>
          <w:tcPr>
            <w:tcW w:w="6521" w:type="dxa"/>
          </w:tcPr>
          <w:p w14:paraId="34B64DCE">
            <w:pPr>
              <w:adjustRightInd w:val="0"/>
              <w:snapToGrid w:val="0"/>
              <w:spacing w:line="360" w:lineRule="auto"/>
              <w:rPr>
                <w:rFonts w:eastAsia="微软雅黑"/>
                <w:sz w:val="22"/>
                <w:szCs w:val="22"/>
              </w:rPr>
            </w:pPr>
            <w:r>
              <w:rPr>
                <w:rFonts w:eastAsia="微软雅黑"/>
                <w:sz w:val="22"/>
                <w:szCs w:val="22"/>
              </w:rPr>
              <w:t>Under the digestive endoscopy, the intestinal mucosa congestion, edema, bruising, mucosal hemorrhage, the mucous membrane being dark red, the vascular network disappearing, can have part mucosal necrosis, following with mucosal shedding, ulcer formation with annular, longitudinal, snake and scattered in the ulcer erosion.</w:t>
            </w:r>
          </w:p>
        </w:tc>
      </w:tr>
      <w:tr w14:paraId="4866F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65A9FCDE">
            <w:pPr>
              <w:tabs>
                <w:tab w:val="left" w:pos="1365"/>
              </w:tabs>
              <w:adjustRightInd w:val="0"/>
              <w:snapToGrid w:val="0"/>
              <w:spacing w:line="360" w:lineRule="auto"/>
              <w:rPr>
                <w:rFonts w:eastAsia="微软雅黑"/>
                <w:sz w:val="22"/>
                <w:szCs w:val="22"/>
              </w:rPr>
            </w:pPr>
            <w:r>
              <w:rPr>
                <w:rFonts w:eastAsia="微软雅黑"/>
                <w:sz w:val="22"/>
                <w:szCs w:val="22"/>
              </w:rPr>
              <w:t xml:space="preserve">  Internal hernia</w:t>
            </w:r>
          </w:p>
        </w:tc>
        <w:tc>
          <w:tcPr>
            <w:tcW w:w="6521" w:type="dxa"/>
          </w:tcPr>
          <w:p w14:paraId="3EE8F7EB">
            <w:pPr>
              <w:adjustRightInd w:val="0"/>
              <w:snapToGrid w:val="0"/>
              <w:spacing w:line="360" w:lineRule="auto"/>
              <w:rPr>
                <w:rFonts w:eastAsia="微软雅黑"/>
                <w:sz w:val="22"/>
                <w:szCs w:val="22"/>
              </w:rPr>
            </w:pPr>
            <w:r>
              <w:rPr>
                <w:rFonts w:eastAsia="微软雅黑"/>
                <w:sz w:val="22"/>
                <w:szCs w:val="22"/>
              </w:rPr>
              <w:t>Postoperative CT findings of cystic or cystic and solid mass, and intestinal aggregation, stretching, translocation, abnormal mesenteric movement, and thickening of the blood vessel.</w:t>
            </w:r>
          </w:p>
        </w:tc>
      </w:tr>
      <w:tr w14:paraId="7991F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413B4700">
            <w:pPr>
              <w:adjustRightInd w:val="0"/>
              <w:snapToGrid w:val="0"/>
              <w:spacing w:line="360" w:lineRule="auto"/>
              <w:jc w:val="left"/>
              <w:rPr>
                <w:rFonts w:eastAsia="微软雅黑"/>
                <w:sz w:val="22"/>
                <w:szCs w:val="22"/>
              </w:rPr>
            </w:pPr>
            <w:r>
              <w:rPr>
                <w:rFonts w:eastAsia="微软雅黑"/>
                <w:sz w:val="22"/>
                <w:szCs w:val="22"/>
              </w:rPr>
              <w:t xml:space="preserve">  Alkaline reflux esophagitis</w:t>
            </w:r>
          </w:p>
        </w:tc>
        <w:tc>
          <w:tcPr>
            <w:tcW w:w="6521" w:type="dxa"/>
          </w:tcPr>
          <w:p w14:paraId="59C703AC">
            <w:pPr>
              <w:adjustRightInd w:val="0"/>
              <w:snapToGrid w:val="0"/>
              <w:spacing w:line="360" w:lineRule="auto"/>
              <w:rPr>
                <w:rFonts w:eastAsia="微软雅黑"/>
                <w:sz w:val="22"/>
                <w:szCs w:val="22"/>
              </w:rPr>
            </w:pPr>
            <w:r>
              <w:rPr>
                <w:rFonts w:eastAsia="微软雅黑"/>
                <w:sz w:val="22"/>
                <w:szCs w:val="22"/>
              </w:rPr>
              <w:t>1. Endoscopic examination and biopsy of the upper gastrointestinal tract showed evidence of inflammation of the mucous membranes and gastrointestinal metaplasia; 2. CT scan and gastrointestinal barium meal examination showed no expansion or obstruction of the input loop.</w:t>
            </w:r>
          </w:p>
        </w:tc>
      </w:tr>
      <w:tr w14:paraId="792F0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3BC89E47">
            <w:pPr>
              <w:adjustRightInd w:val="0"/>
              <w:snapToGrid w:val="0"/>
              <w:spacing w:line="360" w:lineRule="auto"/>
              <w:rPr>
                <w:rFonts w:eastAsia="微软雅黑"/>
                <w:sz w:val="22"/>
                <w:szCs w:val="22"/>
              </w:rPr>
            </w:pPr>
            <w:r>
              <w:rPr>
                <w:rFonts w:eastAsia="微软雅黑"/>
                <w:sz w:val="22"/>
                <w:szCs w:val="22"/>
              </w:rPr>
              <w:t xml:space="preserve">  Incision splitting</w:t>
            </w:r>
          </w:p>
        </w:tc>
        <w:tc>
          <w:tcPr>
            <w:tcW w:w="6521" w:type="dxa"/>
          </w:tcPr>
          <w:p w14:paraId="7E3E724C">
            <w:pPr>
              <w:adjustRightInd w:val="0"/>
              <w:snapToGrid w:val="0"/>
              <w:spacing w:line="360" w:lineRule="auto"/>
              <w:rPr>
                <w:rFonts w:eastAsia="微软雅黑"/>
                <w:sz w:val="22"/>
                <w:szCs w:val="22"/>
              </w:rPr>
            </w:pPr>
            <w:r>
              <w:rPr>
                <w:rFonts w:eastAsia="微软雅黑"/>
                <w:sz w:val="22"/>
                <w:szCs w:val="22"/>
              </w:rPr>
              <w:t>Including partial dehiscence of the incision and full-layer dehiscence</w:t>
            </w:r>
          </w:p>
        </w:tc>
      </w:tr>
      <w:tr w14:paraId="37558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1D5DC219">
            <w:pPr>
              <w:adjustRightInd w:val="0"/>
              <w:snapToGrid w:val="0"/>
              <w:spacing w:line="360" w:lineRule="auto"/>
              <w:rPr>
                <w:rFonts w:eastAsia="微软雅黑"/>
                <w:sz w:val="22"/>
                <w:szCs w:val="22"/>
              </w:rPr>
            </w:pPr>
            <w:r>
              <w:rPr>
                <w:rFonts w:eastAsia="微软雅黑"/>
                <w:sz w:val="22"/>
                <w:szCs w:val="22"/>
              </w:rPr>
              <w:t xml:space="preserve">  Incisional hernia of abdominal wall</w:t>
            </w:r>
          </w:p>
        </w:tc>
        <w:tc>
          <w:tcPr>
            <w:tcW w:w="6521" w:type="dxa"/>
          </w:tcPr>
          <w:p w14:paraId="7915CCE7">
            <w:pPr>
              <w:adjustRightInd w:val="0"/>
              <w:snapToGrid w:val="0"/>
              <w:spacing w:line="360" w:lineRule="auto"/>
              <w:rPr>
                <w:rFonts w:eastAsia="微软雅黑"/>
                <w:sz w:val="22"/>
                <w:szCs w:val="22"/>
              </w:rPr>
            </w:pPr>
            <w:r>
              <w:rPr>
                <w:rFonts w:eastAsia="微软雅黑"/>
                <w:sz w:val="22"/>
                <w:szCs w:val="22"/>
              </w:rPr>
              <w:t>The swelling tumor showing in the surgical scar area or abdominal wall swelling when standing or force. CT shows ventral wall continuity interruption and hernia content extravasation</w:t>
            </w:r>
          </w:p>
        </w:tc>
      </w:tr>
      <w:tr w14:paraId="7B45C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368B4684">
            <w:pPr>
              <w:adjustRightInd w:val="0"/>
              <w:snapToGrid w:val="0"/>
              <w:spacing w:line="360" w:lineRule="auto"/>
              <w:rPr>
                <w:rFonts w:eastAsia="微软雅黑"/>
                <w:szCs w:val="21"/>
              </w:rPr>
            </w:pPr>
            <w:r>
              <w:rPr>
                <w:rFonts w:eastAsia="微软雅黑"/>
                <w:sz w:val="22"/>
                <w:szCs w:val="22"/>
              </w:rPr>
              <w:t xml:space="preserve">  Incision infection</w:t>
            </w:r>
          </w:p>
        </w:tc>
        <w:tc>
          <w:tcPr>
            <w:tcW w:w="6521" w:type="dxa"/>
          </w:tcPr>
          <w:p w14:paraId="7A223355">
            <w:pPr>
              <w:adjustRightInd w:val="0"/>
              <w:snapToGrid w:val="0"/>
              <w:spacing w:line="360" w:lineRule="auto"/>
              <w:rPr>
                <w:rFonts w:eastAsia="微软雅黑"/>
                <w:sz w:val="22"/>
                <w:szCs w:val="22"/>
              </w:rPr>
            </w:pPr>
            <w:r>
              <w:rPr>
                <w:rFonts w:eastAsia="微软雅黑"/>
                <w:sz w:val="22"/>
                <w:szCs w:val="22"/>
              </w:rPr>
              <w:t>Thickening of the soft tissue at the incision, in or below the incision of gas, exudation, swelling of the incision or pus from the incision extrusion, or secretion culture of pathogenic bacteria.</w:t>
            </w:r>
          </w:p>
        </w:tc>
      </w:tr>
      <w:tr w14:paraId="72DDF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2E58F340">
            <w:pPr>
              <w:adjustRightInd w:val="0"/>
              <w:snapToGrid w:val="0"/>
              <w:spacing w:line="360" w:lineRule="auto"/>
              <w:ind w:firstLine="220" w:firstLineChars="100"/>
              <w:rPr>
                <w:rFonts w:eastAsia="微软雅黑"/>
                <w:szCs w:val="21"/>
              </w:rPr>
            </w:pPr>
            <w:r>
              <w:rPr>
                <w:bCs/>
                <w:sz w:val="22"/>
                <w:szCs w:val="22"/>
              </w:rPr>
              <w:t>Lymphatic leakage</w:t>
            </w:r>
          </w:p>
        </w:tc>
        <w:tc>
          <w:tcPr>
            <w:tcW w:w="6521" w:type="dxa"/>
          </w:tcPr>
          <w:p w14:paraId="510EE9BB">
            <w:pPr>
              <w:adjustRightInd w:val="0"/>
              <w:snapToGrid w:val="0"/>
              <w:spacing w:line="360" w:lineRule="auto"/>
              <w:rPr>
                <w:rFonts w:eastAsia="微软雅黑"/>
                <w:sz w:val="22"/>
                <w:szCs w:val="22"/>
              </w:rPr>
            </w:pPr>
            <w:r>
              <w:rPr>
                <w:rFonts w:eastAsia="微软雅黑"/>
                <w:sz w:val="22"/>
                <w:szCs w:val="22"/>
              </w:rPr>
              <w:t>A chyle test when abdominal drainage ﬂuid exceeded 300 ml/day for 5 consecutive days after postoperative day 3.</w:t>
            </w:r>
          </w:p>
        </w:tc>
      </w:tr>
      <w:tr w14:paraId="75D47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008BDC10">
            <w:pPr>
              <w:adjustRightInd w:val="0"/>
              <w:snapToGrid w:val="0"/>
              <w:spacing w:line="360" w:lineRule="auto"/>
              <w:ind w:firstLine="220" w:firstLineChars="100"/>
              <w:rPr>
                <w:rFonts w:eastAsia="微软雅黑"/>
                <w:sz w:val="22"/>
                <w:szCs w:val="22"/>
              </w:rPr>
            </w:pPr>
            <w:r>
              <w:rPr>
                <w:rFonts w:eastAsia="微软雅黑"/>
                <w:sz w:val="22"/>
                <w:szCs w:val="22"/>
              </w:rPr>
              <w:t>Pneumonia</w:t>
            </w:r>
          </w:p>
        </w:tc>
        <w:tc>
          <w:tcPr>
            <w:tcW w:w="6521" w:type="dxa"/>
          </w:tcPr>
          <w:p w14:paraId="0C91ADDB">
            <w:pPr>
              <w:adjustRightInd w:val="0"/>
              <w:snapToGrid w:val="0"/>
              <w:spacing w:line="360" w:lineRule="auto"/>
              <w:rPr>
                <w:rFonts w:eastAsia="微软雅黑"/>
                <w:sz w:val="22"/>
                <w:szCs w:val="22"/>
              </w:rPr>
            </w:pPr>
            <w:r>
              <w:rPr>
                <w:rFonts w:eastAsia="微软雅黑"/>
                <w:sz w:val="22"/>
                <w:szCs w:val="22"/>
              </w:rPr>
              <w:t xml:space="preserve">Complies with one of the following two diagnostic criteria: 1. Auscultation/percussion voiced + one of the following: fresh sputum or sputum character changes; blood culture (+); bronchoalveolar lavage fluid, anti-pollution sample brush, biopsy specimens cultured pathogenic bacteria. 2. Chest film hints of new or progressive infiltration + one of the following: fresh sputum or sputum character changes, blood culture (+), bronchoalveolar lavage fluid, anti-pollution sample brush, biopsy specimens cultured pathogenic bacteria; isolate virus or detect IgM, IgG (+) of respiratory viral </w:t>
            </w:r>
          </w:p>
        </w:tc>
      </w:tr>
      <w:tr w14:paraId="35417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0AD1799F">
            <w:pPr>
              <w:adjustRightInd w:val="0"/>
              <w:snapToGrid w:val="0"/>
              <w:spacing w:line="360" w:lineRule="auto"/>
              <w:rPr>
                <w:rFonts w:eastAsia="微软雅黑"/>
                <w:sz w:val="22"/>
                <w:szCs w:val="22"/>
              </w:rPr>
            </w:pPr>
            <w:r>
              <w:rPr>
                <w:rFonts w:eastAsia="微软雅黑"/>
                <w:sz w:val="22"/>
                <w:szCs w:val="22"/>
              </w:rPr>
              <w:t xml:space="preserve">  Acute pancreatitis</w:t>
            </w:r>
          </w:p>
        </w:tc>
        <w:tc>
          <w:tcPr>
            <w:tcW w:w="6521" w:type="dxa"/>
          </w:tcPr>
          <w:p w14:paraId="31DBE505">
            <w:pPr>
              <w:adjustRightInd w:val="0"/>
              <w:snapToGrid w:val="0"/>
              <w:spacing w:line="360" w:lineRule="auto"/>
              <w:rPr>
                <w:rFonts w:eastAsia="微软雅黑"/>
                <w:sz w:val="22"/>
                <w:szCs w:val="22"/>
              </w:rPr>
            </w:pPr>
            <w:r>
              <w:rPr>
                <w:rFonts w:eastAsia="微软雅黑"/>
                <w:sz w:val="22"/>
                <w:szCs w:val="22"/>
              </w:rPr>
              <w:t>Irritability, abdominal pain, anti-jumping pain, fever, leukocyte increase and blood amylase increased occuring and diagnosed by ultrasound or CT within 3 days after surgery.</w:t>
            </w:r>
          </w:p>
        </w:tc>
      </w:tr>
      <w:tr w14:paraId="249E1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452D7AEF">
            <w:pPr>
              <w:adjustRightInd w:val="0"/>
              <w:snapToGrid w:val="0"/>
              <w:spacing w:line="360" w:lineRule="auto"/>
              <w:rPr>
                <w:rFonts w:eastAsia="微软雅黑"/>
                <w:sz w:val="22"/>
                <w:szCs w:val="22"/>
              </w:rPr>
            </w:pPr>
            <w:r>
              <w:rPr>
                <w:rFonts w:eastAsia="微软雅黑"/>
                <w:sz w:val="22"/>
                <w:szCs w:val="22"/>
              </w:rPr>
              <w:t xml:space="preserve">  Acute cholecystitis</w:t>
            </w:r>
          </w:p>
        </w:tc>
        <w:tc>
          <w:tcPr>
            <w:tcW w:w="6521" w:type="dxa"/>
          </w:tcPr>
          <w:p w14:paraId="27BC381D">
            <w:pPr>
              <w:adjustRightInd w:val="0"/>
              <w:snapToGrid w:val="0"/>
              <w:spacing w:line="360" w:lineRule="auto"/>
              <w:rPr>
                <w:rFonts w:eastAsia="微软雅黑"/>
                <w:sz w:val="22"/>
                <w:szCs w:val="22"/>
              </w:rPr>
            </w:pPr>
            <w:r>
              <w:rPr>
                <w:rFonts w:eastAsia="微软雅黑"/>
                <w:sz w:val="22"/>
                <w:szCs w:val="22"/>
              </w:rPr>
              <w:t>Serum bilirubin exceeding 85μmol/l and ultrsound examination shows gallbladder enlargement, wall thickness, signal and sound shadow of gallbladder stone, bile internal sediment, gallbladder contraction bad etc.</w:t>
            </w:r>
          </w:p>
        </w:tc>
      </w:tr>
      <w:tr w14:paraId="7239C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24F38C54">
            <w:pPr>
              <w:adjustRightInd w:val="0"/>
              <w:snapToGrid w:val="0"/>
              <w:spacing w:line="360" w:lineRule="auto"/>
              <w:rPr>
                <w:rFonts w:eastAsia="微软雅黑"/>
                <w:sz w:val="22"/>
                <w:szCs w:val="22"/>
              </w:rPr>
            </w:pPr>
            <w:r>
              <w:rPr>
                <w:rFonts w:eastAsia="微软雅黑"/>
                <w:sz w:val="22"/>
                <w:szCs w:val="22"/>
              </w:rPr>
              <w:t xml:space="preserve">  Pleural effusion/infection</w:t>
            </w:r>
          </w:p>
        </w:tc>
        <w:tc>
          <w:tcPr>
            <w:tcW w:w="6521" w:type="dxa"/>
          </w:tcPr>
          <w:p w14:paraId="0B11939D">
            <w:pPr>
              <w:adjustRightInd w:val="0"/>
              <w:snapToGrid w:val="0"/>
              <w:spacing w:line="360" w:lineRule="auto"/>
              <w:rPr>
                <w:rFonts w:eastAsia="微软雅黑"/>
                <w:sz w:val="22"/>
                <w:szCs w:val="22"/>
              </w:rPr>
            </w:pPr>
            <w:r>
              <w:rPr>
                <w:rFonts w:eastAsia="微软雅黑"/>
                <w:sz w:val="22"/>
                <w:szCs w:val="22"/>
              </w:rPr>
              <w:t>CT scan showed the localized fluid low density area of thoracic cavity, which could accompany with gas, and culture pathogenic bacteria in thoracic endocrine.</w:t>
            </w:r>
          </w:p>
        </w:tc>
      </w:tr>
      <w:tr w14:paraId="30188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62F5826E">
            <w:pPr>
              <w:adjustRightInd w:val="0"/>
              <w:snapToGrid w:val="0"/>
              <w:spacing w:line="360" w:lineRule="auto"/>
              <w:rPr>
                <w:rFonts w:eastAsia="微软雅黑"/>
                <w:sz w:val="22"/>
                <w:szCs w:val="22"/>
              </w:rPr>
            </w:pPr>
            <w:r>
              <w:rPr>
                <w:rFonts w:eastAsia="微软雅黑"/>
                <w:sz w:val="22"/>
                <w:szCs w:val="22"/>
              </w:rPr>
              <w:t xml:space="preserve">  Abdominal infection</w:t>
            </w:r>
          </w:p>
        </w:tc>
        <w:tc>
          <w:tcPr>
            <w:tcW w:w="6521" w:type="dxa"/>
          </w:tcPr>
          <w:p w14:paraId="088ADEBB">
            <w:pPr>
              <w:adjustRightInd w:val="0"/>
              <w:snapToGrid w:val="0"/>
              <w:spacing w:line="360" w:lineRule="auto"/>
              <w:rPr>
                <w:rFonts w:eastAsia="微软雅黑"/>
                <w:sz w:val="22"/>
                <w:szCs w:val="22"/>
              </w:rPr>
            </w:pPr>
            <w:r>
              <w:rPr>
                <w:rFonts w:eastAsia="微软雅黑"/>
                <w:sz w:val="22"/>
                <w:szCs w:val="22"/>
              </w:rPr>
              <w:t>There is at least one of the following types of evidence in abdominal cavity within 30 days after operation: 1. discharge of pus, with/without microbiological examination; 2. bacterial culture positive; 3. diagnosed by detection, pathology, imaging findings.</w:t>
            </w:r>
          </w:p>
        </w:tc>
      </w:tr>
      <w:tr w14:paraId="59155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3996C403">
            <w:pPr>
              <w:adjustRightInd w:val="0"/>
              <w:snapToGrid w:val="0"/>
              <w:spacing w:line="360" w:lineRule="auto"/>
              <w:rPr>
                <w:rFonts w:eastAsia="微软雅黑"/>
                <w:sz w:val="22"/>
                <w:szCs w:val="22"/>
              </w:rPr>
            </w:pPr>
            <w:r>
              <w:rPr>
                <w:rFonts w:eastAsia="微软雅黑"/>
                <w:sz w:val="22"/>
                <w:szCs w:val="22"/>
              </w:rPr>
              <w:t xml:space="preserve">  Pelvic infection</w:t>
            </w:r>
          </w:p>
        </w:tc>
        <w:tc>
          <w:tcPr>
            <w:tcW w:w="6521" w:type="dxa"/>
          </w:tcPr>
          <w:p w14:paraId="4B8FFD12">
            <w:pPr>
              <w:adjustRightInd w:val="0"/>
              <w:snapToGrid w:val="0"/>
              <w:spacing w:line="360" w:lineRule="auto"/>
              <w:rPr>
                <w:rFonts w:eastAsia="微软雅黑"/>
                <w:sz w:val="22"/>
                <w:szCs w:val="22"/>
              </w:rPr>
            </w:pPr>
            <w:r>
              <w:rPr>
                <w:rFonts w:eastAsia="微软雅黑"/>
                <w:sz w:val="22"/>
                <w:szCs w:val="22"/>
              </w:rPr>
              <w:t>Symptoms of systemic infection or rectal irritation, combined with a rectal finger examination and touching tenderness, or a married woman with a posterior vault to extract pus-based fluid</w:t>
            </w:r>
          </w:p>
        </w:tc>
      </w:tr>
      <w:tr w14:paraId="3D69D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0624ABAC">
            <w:pPr>
              <w:adjustRightInd w:val="0"/>
              <w:snapToGrid w:val="0"/>
              <w:spacing w:line="360" w:lineRule="auto"/>
              <w:rPr>
                <w:rFonts w:eastAsia="微软雅黑"/>
                <w:sz w:val="22"/>
                <w:szCs w:val="22"/>
              </w:rPr>
            </w:pPr>
            <w:r>
              <w:rPr>
                <w:rFonts w:eastAsia="微软雅黑"/>
                <w:sz w:val="22"/>
                <w:szCs w:val="22"/>
              </w:rPr>
              <w:t xml:space="preserve">  Sepsis</w:t>
            </w:r>
          </w:p>
        </w:tc>
        <w:tc>
          <w:tcPr>
            <w:tcW w:w="6521" w:type="dxa"/>
          </w:tcPr>
          <w:p w14:paraId="2206B52E">
            <w:pPr>
              <w:adjustRightInd w:val="0"/>
              <w:snapToGrid w:val="0"/>
              <w:spacing w:line="360" w:lineRule="auto"/>
              <w:rPr>
                <w:rFonts w:eastAsia="微软雅黑"/>
                <w:sz w:val="22"/>
                <w:szCs w:val="22"/>
              </w:rPr>
            </w:pPr>
            <w:r>
              <w:rPr>
                <w:rFonts w:eastAsia="微软雅黑"/>
                <w:sz w:val="22"/>
                <w:szCs w:val="22"/>
              </w:rPr>
              <w:t>The following two conditions are available: 1. There is evidence of active bacterial infection, but the blood culture does not necessarily appear pathogenic bacteria; 2. meeting two of the following four items at the same time: (1). body temperature &gt;39.0℃ or &lt;35.5℃ for 3 consecutive days; (2). heart rate &gt; 120 times/min; (3). total white blood cells &gt;12.0×10</w:t>
            </w:r>
            <w:r>
              <w:rPr>
                <w:rFonts w:eastAsia="微软雅黑"/>
                <w:sz w:val="22"/>
                <w:szCs w:val="22"/>
                <w:vertAlign w:val="superscript"/>
              </w:rPr>
              <w:t>9</w:t>
            </w:r>
            <w:r>
              <w:rPr>
                <w:rFonts w:eastAsia="微软雅黑"/>
                <w:sz w:val="22"/>
                <w:szCs w:val="22"/>
              </w:rPr>
              <w:t>/L or &lt;4.0×10</w:t>
            </w:r>
            <w:r>
              <w:rPr>
                <w:rFonts w:eastAsia="微软雅黑"/>
                <w:sz w:val="22"/>
                <w:szCs w:val="22"/>
                <w:vertAlign w:val="superscript"/>
              </w:rPr>
              <w:t>9</w:t>
            </w:r>
            <w:r>
              <w:rPr>
                <w:rFonts w:eastAsia="微软雅黑"/>
                <w:sz w:val="22"/>
                <w:szCs w:val="22"/>
              </w:rPr>
              <w:t>/l, wherein neutrophils &gt;0.80, or naive granular cells &gt;0.10; (4). Respiratory frequency &gt;28 times/min.</w:t>
            </w:r>
          </w:p>
        </w:tc>
      </w:tr>
      <w:tr w14:paraId="1C065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406F2707">
            <w:pPr>
              <w:adjustRightInd w:val="0"/>
              <w:snapToGrid w:val="0"/>
              <w:spacing w:line="360" w:lineRule="auto"/>
              <w:rPr>
                <w:rFonts w:eastAsia="微软雅黑"/>
                <w:sz w:val="22"/>
                <w:szCs w:val="22"/>
              </w:rPr>
            </w:pPr>
            <w:r>
              <w:rPr>
                <w:rFonts w:eastAsia="微软雅黑"/>
                <w:sz w:val="22"/>
                <w:szCs w:val="22"/>
              </w:rPr>
              <w:t xml:space="preserve">  Urinary system infection</w:t>
            </w:r>
          </w:p>
        </w:tc>
        <w:tc>
          <w:tcPr>
            <w:tcW w:w="6521" w:type="dxa"/>
          </w:tcPr>
          <w:p w14:paraId="61AB76C4">
            <w:pPr>
              <w:adjustRightInd w:val="0"/>
              <w:snapToGrid w:val="0"/>
              <w:spacing w:line="360" w:lineRule="auto"/>
              <w:rPr>
                <w:rFonts w:eastAsia="微软雅黑"/>
                <w:sz w:val="22"/>
                <w:szCs w:val="22"/>
              </w:rPr>
            </w:pPr>
            <w:r>
              <w:rPr>
                <w:rFonts w:eastAsia="微软雅黑"/>
                <w:sz w:val="22"/>
                <w:szCs w:val="22"/>
              </w:rPr>
              <w:t>Symptoms of urine frequency, urgency and urine pain etc. and urine bacteria culture colony count 1000~10 million/ml in the absence of antibiotics; No symptoms of urine frequency, urgency and urine pain etc, urine bacterial culture colony count ≥ 100,000/ml</w:t>
            </w:r>
          </w:p>
        </w:tc>
      </w:tr>
      <w:tr w14:paraId="07F61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069D7862">
            <w:pPr>
              <w:adjustRightInd w:val="0"/>
              <w:snapToGrid w:val="0"/>
              <w:spacing w:line="360" w:lineRule="auto"/>
              <w:rPr>
                <w:rFonts w:eastAsia="微软雅黑"/>
                <w:sz w:val="22"/>
                <w:szCs w:val="22"/>
              </w:rPr>
            </w:pPr>
            <w:r>
              <w:rPr>
                <w:rFonts w:eastAsia="微软雅黑"/>
                <w:sz w:val="22"/>
                <w:szCs w:val="22"/>
              </w:rPr>
              <w:t xml:space="preserve">  Pancreatic fistula</w:t>
            </w:r>
          </w:p>
        </w:tc>
        <w:tc>
          <w:tcPr>
            <w:tcW w:w="6521" w:type="dxa"/>
          </w:tcPr>
          <w:p w14:paraId="57586A5F">
            <w:pPr>
              <w:adjustRightInd w:val="0"/>
              <w:snapToGrid w:val="0"/>
              <w:spacing w:line="360" w:lineRule="auto"/>
              <w:rPr>
                <w:rFonts w:eastAsia="微软雅黑"/>
                <w:sz w:val="22"/>
                <w:szCs w:val="22"/>
              </w:rPr>
            </w:pPr>
            <w:r>
              <w:rPr>
                <w:rFonts w:eastAsia="微软雅黑"/>
                <w:sz w:val="22"/>
                <w:szCs w:val="22"/>
              </w:rPr>
              <w:t>The level of amylase in the drainage fluid is three times than normal level.</w:t>
            </w:r>
          </w:p>
        </w:tc>
      </w:tr>
      <w:tr w14:paraId="7F9A0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420D3AB5">
            <w:pPr>
              <w:adjustRightInd w:val="0"/>
              <w:snapToGrid w:val="0"/>
              <w:spacing w:line="360" w:lineRule="auto"/>
              <w:rPr>
                <w:rFonts w:eastAsia="微软雅黑"/>
                <w:sz w:val="22"/>
                <w:szCs w:val="22"/>
              </w:rPr>
            </w:pPr>
            <w:r>
              <w:rPr>
                <w:rFonts w:eastAsia="微软雅黑"/>
                <w:sz w:val="22"/>
                <w:szCs w:val="22"/>
              </w:rPr>
              <w:t xml:space="preserve">  Bile fistula</w:t>
            </w:r>
          </w:p>
        </w:tc>
        <w:tc>
          <w:tcPr>
            <w:tcW w:w="6521" w:type="dxa"/>
          </w:tcPr>
          <w:p w14:paraId="206CD5EF">
            <w:pPr>
              <w:adjustRightInd w:val="0"/>
              <w:snapToGrid w:val="0"/>
              <w:spacing w:line="360" w:lineRule="auto"/>
              <w:rPr>
                <w:rFonts w:eastAsia="微软雅黑"/>
                <w:sz w:val="22"/>
                <w:szCs w:val="22"/>
              </w:rPr>
            </w:pPr>
            <w:r>
              <w:rPr>
                <w:rFonts w:eastAsia="微软雅黑"/>
                <w:sz w:val="22"/>
                <w:szCs w:val="22"/>
              </w:rPr>
              <w:t xml:space="preserve">Symptoms of abdominal distension, abdominal pain, tenderness, anti-jumping pain, muscle tension, abdominal puncture or drainage fluid for bile </w:t>
            </w:r>
          </w:p>
        </w:tc>
      </w:tr>
      <w:tr w14:paraId="0ABCA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0B747C4F">
            <w:pPr>
              <w:adjustRightInd w:val="0"/>
              <w:snapToGrid w:val="0"/>
              <w:spacing w:line="360" w:lineRule="auto"/>
              <w:rPr>
                <w:rFonts w:eastAsia="微软雅黑"/>
                <w:sz w:val="22"/>
                <w:szCs w:val="22"/>
              </w:rPr>
            </w:pPr>
            <w:r>
              <w:rPr>
                <w:rFonts w:eastAsia="微软雅黑"/>
                <w:sz w:val="22"/>
                <w:szCs w:val="22"/>
              </w:rPr>
              <w:t xml:space="preserve">  Celiac fistula</w:t>
            </w:r>
          </w:p>
        </w:tc>
        <w:tc>
          <w:tcPr>
            <w:tcW w:w="6521" w:type="dxa"/>
          </w:tcPr>
          <w:p w14:paraId="0875696D">
            <w:pPr>
              <w:adjustRightInd w:val="0"/>
              <w:snapToGrid w:val="0"/>
              <w:spacing w:line="360" w:lineRule="auto"/>
              <w:rPr>
                <w:rFonts w:eastAsia="微软雅黑"/>
                <w:sz w:val="22"/>
                <w:szCs w:val="22"/>
              </w:rPr>
            </w:pPr>
            <w:r>
              <w:rPr>
                <w:rFonts w:eastAsia="微软雅黑"/>
                <w:sz w:val="22"/>
                <w:szCs w:val="22"/>
              </w:rPr>
              <w:t>The drainage fluid is milky white, and more than 200 ml/d and and does not decrease for 48 hour, the celiac qualitative test is positive, and the level of triglyceride &gt;110 mg/dL at the same time.</w:t>
            </w:r>
          </w:p>
        </w:tc>
      </w:tr>
      <w:tr w14:paraId="0B1BE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27CA29CB">
            <w:pPr>
              <w:adjustRightInd w:val="0"/>
              <w:snapToGrid w:val="0"/>
              <w:spacing w:line="360" w:lineRule="auto"/>
              <w:rPr>
                <w:rFonts w:eastAsia="微软雅黑"/>
                <w:sz w:val="22"/>
                <w:szCs w:val="22"/>
              </w:rPr>
            </w:pPr>
            <w:r>
              <w:rPr>
                <w:rFonts w:eastAsia="微软雅黑"/>
                <w:sz w:val="22"/>
                <w:szCs w:val="22"/>
              </w:rPr>
              <w:t xml:space="preserve">  Nutritional disorder after gastrectomy</w:t>
            </w:r>
          </w:p>
        </w:tc>
        <w:tc>
          <w:tcPr>
            <w:tcW w:w="6521" w:type="dxa"/>
          </w:tcPr>
          <w:p w14:paraId="75A96AB9">
            <w:pPr>
              <w:adjustRightInd w:val="0"/>
              <w:snapToGrid w:val="0"/>
              <w:spacing w:line="360" w:lineRule="auto"/>
              <w:rPr>
                <w:rFonts w:eastAsia="微软雅黑"/>
                <w:sz w:val="22"/>
                <w:szCs w:val="22"/>
              </w:rPr>
            </w:pPr>
            <w:r>
              <w:rPr>
                <w:rFonts w:eastAsia="微软雅黑"/>
                <w:sz w:val="22"/>
                <w:szCs w:val="22"/>
              </w:rPr>
              <w:t>In the presence of weight loss, anemia, malnutrition bone disease, vitamin a deficiency and other symptoms, laboratory tests suggest that the intestinal absorption function test is abnormal, excluding other causes of nutritional disorders</w:t>
            </w:r>
          </w:p>
        </w:tc>
      </w:tr>
      <w:tr w14:paraId="5F84D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41357C8C">
            <w:pPr>
              <w:adjustRightInd w:val="0"/>
              <w:snapToGrid w:val="0"/>
              <w:spacing w:line="360" w:lineRule="auto"/>
              <w:rPr>
                <w:rFonts w:eastAsia="微软雅黑"/>
                <w:sz w:val="22"/>
                <w:szCs w:val="22"/>
              </w:rPr>
            </w:pPr>
            <w:r>
              <w:rPr>
                <w:rFonts w:eastAsia="微软雅黑"/>
                <w:sz w:val="22"/>
                <w:szCs w:val="22"/>
              </w:rPr>
              <w:t xml:space="preserve">  Bone disease after gastrectomy</w:t>
            </w:r>
          </w:p>
        </w:tc>
        <w:tc>
          <w:tcPr>
            <w:tcW w:w="6521" w:type="dxa"/>
          </w:tcPr>
          <w:p w14:paraId="284447FC">
            <w:pPr>
              <w:adjustRightInd w:val="0"/>
              <w:snapToGrid w:val="0"/>
              <w:spacing w:line="360" w:lineRule="auto"/>
              <w:rPr>
                <w:rFonts w:eastAsia="微软雅黑"/>
                <w:sz w:val="22"/>
                <w:szCs w:val="22"/>
              </w:rPr>
            </w:pPr>
            <w:r>
              <w:rPr>
                <w:rFonts w:eastAsia="微软雅黑"/>
                <w:sz w:val="22"/>
                <w:szCs w:val="22"/>
              </w:rPr>
              <w:t xml:space="preserve">Lumbar back pain, length shortening, kyphosis, bone fractures and other symptoms. Bone density decreased combining with elevated alkaline phosphatase and serum calcium reduction, the concentration of serum 25-(O1) D3 and 1,25-(O1) 2D3 increasing and the serum parathyroid hormone increasing. Exclusion of bone disease caused by other causes. </w:t>
            </w:r>
          </w:p>
        </w:tc>
      </w:tr>
      <w:tr w14:paraId="70B8F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4F7C0EE6">
            <w:pPr>
              <w:adjustRightInd w:val="0"/>
              <w:snapToGrid w:val="0"/>
              <w:spacing w:line="360" w:lineRule="auto"/>
              <w:rPr>
                <w:rFonts w:eastAsia="微软雅黑"/>
                <w:sz w:val="22"/>
                <w:szCs w:val="22"/>
              </w:rPr>
            </w:pPr>
            <w:r>
              <w:rPr>
                <w:rFonts w:eastAsia="微软雅黑"/>
                <w:sz w:val="22"/>
                <w:szCs w:val="22"/>
              </w:rPr>
              <w:t xml:space="preserve">  Subcutaneous emphysema</w:t>
            </w:r>
          </w:p>
        </w:tc>
        <w:tc>
          <w:tcPr>
            <w:tcW w:w="6521" w:type="dxa"/>
          </w:tcPr>
          <w:p w14:paraId="154937AD">
            <w:pPr>
              <w:adjustRightInd w:val="0"/>
              <w:snapToGrid w:val="0"/>
              <w:spacing w:line="360" w:lineRule="auto"/>
              <w:rPr>
                <w:rFonts w:eastAsia="微软雅黑"/>
                <w:sz w:val="22"/>
                <w:szCs w:val="22"/>
              </w:rPr>
            </w:pPr>
            <w:r>
              <w:rPr>
                <w:rFonts w:eastAsia="微软雅黑"/>
                <w:sz w:val="22"/>
                <w:szCs w:val="22"/>
              </w:rPr>
              <w:t>Visible the irregular speckle shadow under the skin in the horizontal flat sheet.</w:t>
            </w:r>
          </w:p>
        </w:tc>
      </w:tr>
      <w:tr w14:paraId="348D8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5044F759">
            <w:pPr>
              <w:adjustRightInd w:val="0"/>
              <w:snapToGrid w:val="0"/>
              <w:spacing w:line="360" w:lineRule="auto"/>
              <w:rPr>
                <w:rFonts w:eastAsia="微软雅黑"/>
                <w:sz w:val="22"/>
                <w:szCs w:val="22"/>
              </w:rPr>
            </w:pPr>
            <w:r>
              <w:rPr>
                <w:rFonts w:eastAsia="微软雅黑"/>
                <w:sz w:val="22"/>
                <w:szCs w:val="22"/>
              </w:rPr>
              <w:t xml:space="preserve">  Mediastinal emphysema</w:t>
            </w:r>
          </w:p>
        </w:tc>
        <w:tc>
          <w:tcPr>
            <w:tcW w:w="6521" w:type="dxa"/>
          </w:tcPr>
          <w:p w14:paraId="3A019A8E">
            <w:pPr>
              <w:adjustRightInd w:val="0"/>
              <w:snapToGrid w:val="0"/>
              <w:spacing w:line="360" w:lineRule="auto"/>
              <w:rPr>
                <w:rFonts w:eastAsia="微软雅黑"/>
                <w:sz w:val="22"/>
                <w:szCs w:val="22"/>
              </w:rPr>
            </w:pPr>
            <w:r>
              <w:rPr>
                <w:rFonts w:eastAsia="微软雅黑"/>
                <w:sz w:val="22"/>
                <w:szCs w:val="22"/>
              </w:rPr>
              <w:t>In the posterior and anterior flat fame, a long narrow gas shadow rises to the neck soft tissue along the mediastinal side, forming a thin-line dense shadow. In the lateral flat there was a visible and clear band between the heart and the sternum. The CT examination, if necessary, shows gas density line-like shadow around the mediastinal and mediastinal pleura closing to the direction of the lung field.</w:t>
            </w:r>
          </w:p>
        </w:tc>
      </w:tr>
      <w:tr w14:paraId="23A92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0D23AF7E">
            <w:pPr>
              <w:adjustRightInd w:val="0"/>
              <w:snapToGrid w:val="0"/>
              <w:spacing w:line="360" w:lineRule="auto"/>
              <w:ind w:firstLine="220" w:firstLineChars="100"/>
              <w:rPr>
                <w:rFonts w:eastAsia="微软雅黑"/>
                <w:sz w:val="22"/>
                <w:szCs w:val="22"/>
              </w:rPr>
            </w:pPr>
            <w:r>
              <w:rPr>
                <w:rFonts w:eastAsia="微软雅黑"/>
                <w:sz w:val="22"/>
                <w:szCs w:val="22"/>
              </w:rPr>
              <w:t>Postoperative hemorrhage</w:t>
            </w:r>
          </w:p>
        </w:tc>
        <w:tc>
          <w:tcPr>
            <w:tcW w:w="6521" w:type="dxa"/>
          </w:tcPr>
          <w:p w14:paraId="072232B5">
            <w:pPr>
              <w:adjustRightInd w:val="0"/>
              <w:snapToGrid w:val="0"/>
              <w:spacing w:line="360" w:lineRule="auto"/>
              <w:rPr>
                <w:rFonts w:eastAsia="微软雅黑"/>
                <w:sz w:val="22"/>
                <w:szCs w:val="22"/>
              </w:rPr>
            </w:pPr>
            <w:r>
              <w:rPr>
                <w:rFonts w:eastAsia="微软雅黑"/>
                <w:sz w:val="22"/>
                <w:szCs w:val="22"/>
              </w:rPr>
              <w:t>An amount of hemorrhage exceeding 300 ml.</w:t>
            </w:r>
          </w:p>
        </w:tc>
      </w:tr>
      <w:tr w14:paraId="5DB01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6061660E">
            <w:pPr>
              <w:adjustRightInd w:val="0"/>
              <w:snapToGrid w:val="0"/>
              <w:spacing w:line="360" w:lineRule="auto"/>
              <w:ind w:firstLine="220" w:firstLineChars="100"/>
              <w:rPr>
                <w:rFonts w:eastAsia="微软雅黑"/>
                <w:sz w:val="22"/>
                <w:szCs w:val="22"/>
              </w:rPr>
            </w:pPr>
            <w:r>
              <w:rPr>
                <w:rFonts w:eastAsia="微软雅黑"/>
                <w:sz w:val="22"/>
                <w:szCs w:val="22"/>
              </w:rPr>
              <w:t>Postoperative cardiac dysfunction</w:t>
            </w:r>
          </w:p>
        </w:tc>
        <w:tc>
          <w:tcPr>
            <w:tcW w:w="6521" w:type="dxa"/>
          </w:tcPr>
          <w:p w14:paraId="2F1FAA49">
            <w:pPr>
              <w:adjustRightInd w:val="0"/>
              <w:snapToGrid w:val="0"/>
              <w:spacing w:line="360" w:lineRule="auto"/>
              <w:rPr>
                <w:rFonts w:eastAsia="微软雅黑"/>
                <w:sz w:val="22"/>
                <w:szCs w:val="22"/>
              </w:rPr>
            </w:pPr>
            <w:r>
              <w:rPr>
                <w:rFonts w:eastAsia="微软雅黑"/>
                <w:sz w:val="22"/>
                <w:szCs w:val="22"/>
              </w:rPr>
              <w:t>The symptom of snus tachycardia, sinus bradycardia, supraventricular tachycardia, ventricular tachycardia, and other arrhythmias, or heart failure preoperatively none-existing and postoperatively appearing, and other causes of the above-mentioned manifestations are excluded.</w:t>
            </w:r>
          </w:p>
        </w:tc>
      </w:tr>
      <w:tr w14:paraId="2DEC2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57D9A3E9">
            <w:pPr>
              <w:adjustRightInd w:val="0"/>
              <w:snapToGrid w:val="0"/>
              <w:spacing w:line="360" w:lineRule="auto"/>
              <w:ind w:firstLine="220" w:firstLineChars="100"/>
              <w:rPr>
                <w:rFonts w:eastAsia="微软雅黑"/>
                <w:sz w:val="22"/>
                <w:szCs w:val="22"/>
              </w:rPr>
            </w:pPr>
            <w:r>
              <w:rPr>
                <w:rFonts w:eastAsia="微软雅黑"/>
                <w:sz w:val="22"/>
                <w:szCs w:val="22"/>
              </w:rPr>
              <w:t>Hepatic dysfunction</w:t>
            </w:r>
          </w:p>
        </w:tc>
        <w:tc>
          <w:tcPr>
            <w:tcW w:w="6521" w:type="dxa"/>
          </w:tcPr>
          <w:p w14:paraId="1E074F99">
            <w:pPr>
              <w:adjustRightInd w:val="0"/>
              <w:snapToGrid w:val="0"/>
              <w:spacing w:line="360" w:lineRule="auto"/>
              <w:rPr>
                <w:rFonts w:eastAsia="微软雅黑"/>
                <w:sz w:val="22"/>
                <w:szCs w:val="22"/>
              </w:rPr>
            </w:pPr>
            <w:r>
              <w:rPr>
                <w:rFonts w:eastAsia="微软雅黑"/>
                <w:sz w:val="22"/>
                <w:szCs w:val="22"/>
              </w:rPr>
              <w:t>Bilirubin increasing and the levels of AST and ALT &gt;5 times after operation and these symptoms no existing before surgery.</w:t>
            </w:r>
          </w:p>
        </w:tc>
      </w:tr>
      <w:tr w14:paraId="15D56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14274899">
            <w:pPr>
              <w:adjustRightInd w:val="0"/>
              <w:snapToGrid w:val="0"/>
              <w:spacing w:line="360" w:lineRule="auto"/>
              <w:ind w:firstLine="220" w:firstLineChars="100"/>
              <w:rPr>
                <w:rFonts w:eastAsia="微软雅黑"/>
                <w:sz w:val="22"/>
                <w:szCs w:val="22"/>
              </w:rPr>
            </w:pPr>
            <w:r>
              <w:rPr>
                <w:rFonts w:eastAsia="微软雅黑"/>
                <w:sz w:val="22"/>
                <w:szCs w:val="22"/>
              </w:rPr>
              <w:t>Kidney function failure</w:t>
            </w:r>
          </w:p>
        </w:tc>
        <w:tc>
          <w:tcPr>
            <w:tcW w:w="6521" w:type="dxa"/>
          </w:tcPr>
          <w:p w14:paraId="5A1E9D86">
            <w:pPr>
              <w:adjustRightInd w:val="0"/>
              <w:snapToGrid w:val="0"/>
              <w:spacing w:line="360" w:lineRule="auto"/>
              <w:rPr>
                <w:rFonts w:eastAsia="微软雅黑"/>
                <w:sz w:val="22"/>
                <w:szCs w:val="22"/>
              </w:rPr>
            </w:pPr>
            <w:r>
              <w:rPr>
                <w:rFonts w:eastAsia="微软雅黑"/>
                <w:sz w:val="22"/>
                <w:szCs w:val="22"/>
              </w:rPr>
              <w:t>Postoperative continuing renal function insufficiency, blood creatinine rising 2mg/dl, or acute renal failure needing dialysis treatment.</w:t>
            </w:r>
          </w:p>
        </w:tc>
      </w:tr>
      <w:tr w14:paraId="0BBCB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59076A11">
            <w:pPr>
              <w:adjustRightInd w:val="0"/>
              <w:snapToGrid w:val="0"/>
              <w:spacing w:line="360" w:lineRule="auto"/>
              <w:ind w:firstLine="220" w:firstLineChars="100"/>
              <w:rPr>
                <w:rFonts w:eastAsia="微软雅黑"/>
                <w:sz w:val="22"/>
                <w:szCs w:val="22"/>
              </w:rPr>
            </w:pPr>
            <w:r>
              <w:rPr>
                <w:rFonts w:eastAsia="微软雅黑"/>
                <w:sz w:val="22"/>
                <w:szCs w:val="22"/>
              </w:rPr>
              <w:t>Cerebral embolism</w:t>
            </w:r>
          </w:p>
        </w:tc>
        <w:tc>
          <w:tcPr>
            <w:tcW w:w="6521" w:type="dxa"/>
          </w:tcPr>
          <w:p w14:paraId="6F0FA678">
            <w:pPr>
              <w:adjustRightInd w:val="0"/>
              <w:snapToGrid w:val="0"/>
              <w:spacing w:line="360" w:lineRule="auto"/>
              <w:rPr>
                <w:rFonts w:eastAsia="微软雅黑"/>
                <w:sz w:val="22"/>
                <w:szCs w:val="22"/>
              </w:rPr>
            </w:pPr>
            <w:r>
              <w:rPr>
                <w:rFonts w:eastAsia="微软雅黑"/>
                <w:sz w:val="22"/>
                <w:szCs w:val="22"/>
              </w:rPr>
              <w:t>Acute onset, hemiplegia, aphasia and other focal neurological function deficits. Embolism site has low-density infarction, of which border is not clear and no obstruction performance within 24-48 hours after the onset.</w:t>
            </w:r>
          </w:p>
        </w:tc>
      </w:tr>
      <w:tr w14:paraId="5F9FF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6" w:hRule="atLeast"/>
        </w:trPr>
        <w:tc>
          <w:tcPr>
            <w:tcW w:w="3085" w:type="dxa"/>
          </w:tcPr>
          <w:p w14:paraId="29C3303C">
            <w:pPr>
              <w:adjustRightInd w:val="0"/>
              <w:snapToGrid w:val="0"/>
              <w:spacing w:line="360" w:lineRule="auto"/>
              <w:ind w:firstLine="220" w:firstLineChars="100"/>
              <w:rPr>
                <w:rFonts w:eastAsia="微软雅黑"/>
                <w:sz w:val="22"/>
                <w:szCs w:val="22"/>
              </w:rPr>
            </w:pPr>
            <w:r>
              <w:rPr>
                <w:rFonts w:eastAsia="微软雅黑"/>
                <w:sz w:val="22"/>
                <w:szCs w:val="22"/>
              </w:rPr>
              <w:t>Pulmonary embolism</w:t>
            </w:r>
          </w:p>
        </w:tc>
        <w:tc>
          <w:tcPr>
            <w:tcW w:w="6521" w:type="dxa"/>
          </w:tcPr>
          <w:p w14:paraId="192D9A26">
            <w:pPr>
              <w:adjustRightInd w:val="0"/>
              <w:snapToGrid w:val="0"/>
              <w:spacing w:line="360" w:lineRule="auto"/>
              <w:rPr>
                <w:rFonts w:eastAsia="微软雅黑"/>
                <w:sz w:val="22"/>
                <w:szCs w:val="22"/>
              </w:rPr>
            </w:pPr>
            <w:r>
              <w:rPr>
                <w:rFonts w:eastAsia="微软雅黑"/>
                <w:sz w:val="22"/>
                <w:szCs w:val="22"/>
              </w:rPr>
              <w:t>Characteristics of dyspnea, chest pain, syncope, shortness of breath, right ventricular insufficiency and hypotension, pulmonary angiography revealed a filling defect.</w:t>
            </w:r>
          </w:p>
        </w:tc>
      </w:tr>
      <w:tr w14:paraId="2BBA2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455C656A">
            <w:pPr>
              <w:adjustRightInd w:val="0"/>
              <w:snapToGrid w:val="0"/>
              <w:spacing w:line="360" w:lineRule="auto"/>
              <w:ind w:firstLine="220" w:firstLineChars="100"/>
              <w:rPr>
                <w:rFonts w:eastAsia="微软雅黑"/>
                <w:sz w:val="22"/>
                <w:szCs w:val="22"/>
              </w:rPr>
            </w:pPr>
            <w:r>
              <w:rPr>
                <w:rFonts w:eastAsia="微软雅黑"/>
                <w:sz w:val="22"/>
                <w:szCs w:val="22"/>
              </w:rPr>
              <w:t>Venous thrombosis of lower extremities</w:t>
            </w:r>
          </w:p>
        </w:tc>
        <w:tc>
          <w:tcPr>
            <w:tcW w:w="6521" w:type="dxa"/>
          </w:tcPr>
          <w:p w14:paraId="2E1BDF3C">
            <w:pPr>
              <w:adjustRightInd w:val="0"/>
              <w:snapToGrid w:val="0"/>
              <w:spacing w:line="360" w:lineRule="auto"/>
              <w:rPr>
                <w:rFonts w:eastAsia="微软雅黑"/>
                <w:sz w:val="22"/>
                <w:szCs w:val="22"/>
              </w:rPr>
            </w:pPr>
            <w:r>
              <w:rPr>
                <w:rFonts w:eastAsia="微软雅黑"/>
                <w:sz w:val="22"/>
                <w:szCs w:val="22"/>
              </w:rPr>
              <w:t>Local tenderness, swelling, purple skin color, combined with intravenous angiography to show the filling defect</w:t>
            </w:r>
          </w:p>
        </w:tc>
      </w:tr>
      <w:tr w14:paraId="3CD52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461ED6F2">
            <w:pPr>
              <w:adjustRightInd w:val="0"/>
              <w:snapToGrid w:val="0"/>
              <w:spacing w:line="360" w:lineRule="auto"/>
              <w:ind w:firstLine="220" w:firstLineChars="100"/>
              <w:jc w:val="left"/>
              <w:rPr>
                <w:rFonts w:eastAsia="微软雅黑"/>
                <w:sz w:val="22"/>
                <w:szCs w:val="22"/>
              </w:rPr>
            </w:pPr>
            <w:r>
              <w:rPr>
                <w:rFonts w:eastAsia="微软雅黑"/>
                <w:sz w:val="22"/>
                <w:szCs w:val="22"/>
              </w:rPr>
              <w:t>Mesenteric arterial embolization</w:t>
            </w:r>
          </w:p>
        </w:tc>
        <w:tc>
          <w:tcPr>
            <w:tcW w:w="6521" w:type="dxa"/>
          </w:tcPr>
          <w:p w14:paraId="6A7D37A7">
            <w:pPr>
              <w:adjustRightInd w:val="0"/>
              <w:snapToGrid w:val="0"/>
              <w:spacing w:line="360" w:lineRule="auto"/>
              <w:rPr>
                <w:rFonts w:eastAsia="微软雅黑"/>
                <w:sz w:val="22"/>
                <w:szCs w:val="22"/>
              </w:rPr>
            </w:pPr>
            <w:r>
              <w:rPr>
                <w:rFonts w:eastAsia="微软雅黑"/>
                <w:sz w:val="22"/>
                <w:szCs w:val="22"/>
              </w:rPr>
              <w:t>Patients with acute abdominal pain, vomiting, diarrhea, abdominal x-ray of intestinal tract filling with gas or existing liquid level, abdominal angiography revealed a filling defect.</w:t>
            </w:r>
          </w:p>
        </w:tc>
      </w:tr>
      <w:tr w14:paraId="43912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48E04627">
            <w:pPr>
              <w:adjustRightInd w:val="0"/>
              <w:snapToGrid w:val="0"/>
              <w:spacing w:line="360" w:lineRule="auto"/>
              <w:ind w:firstLine="220" w:firstLineChars="100"/>
              <w:rPr>
                <w:rFonts w:eastAsia="微软雅黑"/>
                <w:sz w:val="22"/>
                <w:szCs w:val="22"/>
              </w:rPr>
            </w:pPr>
            <w:r>
              <w:rPr>
                <w:rFonts w:eastAsia="微软雅黑"/>
                <w:sz w:val="22"/>
                <w:szCs w:val="22"/>
              </w:rPr>
              <w:t>DIC</w:t>
            </w:r>
          </w:p>
        </w:tc>
        <w:tc>
          <w:tcPr>
            <w:tcW w:w="6521" w:type="dxa"/>
          </w:tcPr>
          <w:p w14:paraId="03FC55E5">
            <w:pPr>
              <w:numPr>
                <w:ilvl w:val="0"/>
                <w:numId w:val="25"/>
              </w:numPr>
              <w:adjustRightInd w:val="0"/>
              <w:snapToGrid w:val="0"/>
              <w:spacing w:line="360" w:lineRule="auto"/>
              <w:rPr>
                <w:rFonts w:eastAsia="微软雅黑"/>
                <w:sz w:val="22"/>
                <w:szCs w:val="22"/>
              </w:rPr>
            </w:pPr>
            <w:r>
              <w:rPr>
                <w:rFonts w:eastAsia="微软雅黑"/>
                <w:sz w:val="22"/>
                <w:szCs w:val="22"/>
              </w:rPr>
              <w:t>There are basic diseases easily leading to DIC. 2. There are more than two clinical performances: (1) Severe or multiple bleeding tendencies; (2) Microcirculation disorder or shock cannot be explained by the original disease. (3) Extensive skin mucosal embolism, focal ischemic necrosis, shedding and ulcer formation, or unexplained lung, kidney, brain and another organ failure. (4) Anticoagulant treatment.is effective. 3. The laboratory meets the following conditions: (1) There are 3 or more experimental abnormalities: platelet count, prothrombin time, activated partial coagulation enzyme time, thrombin time, fibrinogen level, D-two poly, and (2) Difficult or special cases for special examination.</w:t>
            </w:r>
          </w:p>
        </w:tc>
      </w:tr>
      <w:tr w14:paraId="40658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5" w:type="dxa"/>
          </w:tcPr>
          <w:p w14:paraId="4581EE73">
            <w:pPr>
              <w:adjustRightInd w:val="0"/>
              <w:snapToGrid w:val="0"/>
              <w:spacing w:line="360" w:lineRule="auto"/>
              <w:ind w:firstLine="220" w:firstLineChars="100"/>
              <w:rPr>
                <w:rFonts w:eastAsia="微软雅黑"/>
                <w:sz w:val="22"/>
                <w:szCs w:val="22"/>
              </w:rPr>
            </w:pPr>
            <w:r>
              <w:rPr>
                <w:rFonts w:eastAsia="微软雅黑"/>
                <w:sz w:val="22"/>
                <w:szCs w:val="22"/>
              </w:rPr>
              <w:t>Other</w:t>
            </w:r>
          </w:p>
        </w:tc>
        <w:tc>
          <w:tcPr>
            <w:tcW w:w="6521" w:type="dxa"/>
          </w:tcPr>
          <w:p w14:paraId="0E655AB4">
            <w:pPr>
              <w:adjustRightInd w:val="0"/>
              <w:snapToGrid w:val="0"/>
              <w:spacing w:line="360" w:lineRule="auto"/>
              <w:rPr>
                <w:rFonts w:eastAsia="微软雅黑"/>
                <w:sz w:val="22"/>
                <w:szCs w:val="22"/>
              </w:rPr>
            </w:pPr>
            <w:r>
              <w:rPr>
                <w:rFonts w:eastAsia="微软雅黑"/>
                <w:sz w:val="22"/>
                <w:szCs w:val="22"/>
              </w:rPr>
              <w:t>Complications other than the above complications, which do not exist before surgery but appear after surgery</w:t>
            </w:r>
          </w:p>
        </w:tc>
      </w:tr>
    </w:tbl>
    <w:p w14:paraId="328A4C60">
      <w:pPr>
        <w:adjustRightInd w:val="0"/>
        <w:snapToGrid w:val="0"/>
        <w:spacing w:line="360" w:lineRule="auto"/>
        <w:rPr>
          <w:bCs/>
          <w:sz w:val="24"/>
        </w:rPr>
      </w:pPr>
      <w:r>
        <w:rPr>
          <w:rFonts w:eastAsia="微软雅黑"/>
          <w:sz w:val="22"/>
          <w:szCs w:val="22"/>
        </w:rPr>
        <w:t xml:space="preserve">Severity of complication is graded according to Clavien–Dindo complication scoring system, </w:t>
      </w:r>
      <w:r>
        <w:rPr>
          <w:bCs/>
          <w:sz w:val="24"/>
        </w:rPr>
        <w:fldChar w:fldCharType="begin"/>
      </w:r>
      <w:r>
        <w:rPr>
          <w:bCs/>
          <w:sz w:val="24"/>
        </w:rPr>
        <w:instrText xml:space="preserve"> ADDIN EN.CITE &lt;EndNote&gt;&lt;Cite&gt;&lt;Author&gt;Dindo&lt;/Author&gt;&lt;Year&gt;2004&lt;/Year&gt;&lt;RecNum&gt;125&lt;/RecNum&gt;&lt;DisplayText&gt;&lt;style face="superscript"&gt;31&lt;/style&gt;&lt;/DisplayText&gt;&lt;record&gt;&lt;rec-number&gt;125&lt;/rec-number&gt;&lt;foreign-keys&gt;&lt;key app="EN" db-id="xpzr0erzmxsa9se0rf4p20fqfa5wtvd0fxfr" timestamp="0"&gt;125&lt;/key&gt;&lt;/foreign-keys&gt;&lt;ref-type name="Journal Article"&gt;17&lt;/ref-type&gt;&lt;contributors&gt;&lt;authors&gt;&lt;author&gt;Dindo, D&lt;/author&gt;&lt;author&gt;Demartines, N&lt;/author&gt;&lt;author&gt;Clavien, P. A.&lt;/author&gt;&lt;/authors&gt;&lt;/contributors&gt;&lt;titles&gt;&lt;title&gt;Classification of surgical complications: a new proposal with evaluation in a cohort of 6336 patients and results of a survey&lt;/title&gt;&lt;secondary-title&gt;Annals of Surgery&lt;/secondary-title&gt;&lt;/titles&gt;&lt;periodical&gt;&lt;full-title&gt;Annals of Surgery&lt;/full-title&gt;&lt;/periodical&gt;&lt;pages&gt;205&lt;/pages&gt;&lt;volume&gt;240&lt;/volume&gt;&lt;number&gt;2&lt;/number&gt;&lt;dates&gt;&lt;year&gt;2004&lt;/year&gt;&lt;/dates&gt;&lt;urls&gt;&lt;/urls&gt;&lt;/record&gt;&lt;/Cite&gt;&lt;/EndNote&gt;</w:instrText>
      </w:r>
      <w:r>
        <w:rPr>
          <w:bCs/>
          <w:sz w:val="24"/>
        </w:rPr>
        <w:fldChar w:fldCharType="separate"/>
      </w:r>
      <w:r>
        <w:rPr>
          <w:bCs/>
          <w:sz w:val="24"/>
          <w:vertAlign w:val="superscript"/>
        </w:rPr>
        <w:t>3</w:t>
      </w:r>
      <w:r>
        <w:rPr>
          <w:bCs/>
          <w:sz w:val="24"/>
        </w:rPr>
        <w:fldChar w:fldCharType="end"/>
      </w:r>
      <w:r>
        <w:rPr>
          <w:bCs/>
          <w:sz w:val="24"/>
          <w:vertAlign w:val="superscript"/>
        </w:rPr>
        <w:t>4</w:t>
      </w:r>
    </w:p>
    <w:p w14:paraId="6671D351">
      <w:pPr>
        <w:adjustRightInd w:val="0"/>
        <w:snapToGrid w:val="0"/>
        <w:spacing w:line="360" w:lineRule="auto"/>
        <w:rPr>
          <w:rFonts w:eastAsia="微软雅黑"/>
          <w:sz w:val="22"/>
          <w:szCs w:val="22"/>
        </w:rPr>
      </w:pPr>
      <w:r>
        <w:rPr>
          <w:rFonts w:eastAsia="微软雅黑"/>
          <w:sz w:val="22"/>
          <w:szCs w:val="22"/>
        </w:rPr>
        <w:t xml:space="preserve">IIIA level and above are serious complication </w:t>
      </w:r>
    </w:p>
    <w:p w14:paraId="745A18B5">
      <w:pPr>
        <w:adjustRightInd w:val="0"/>
        <w:snapToGrid w:val="0"/>
        <w:spacing w:line="360" w:lineRule="auto"/>
        <w:rPr>
          <w:rFonts w:eastAsia="微软雅黑"/>
          <w:sz w:val="22"/>
          <w:szCs w:val="22"/>
        </w:rPr>
      </w:pPr>
      <w:r>
        <w:rPr>
          <w:rFonts w:eastAsia="微软雅黑"/>
          <w:sz w:val="22"/>
          <w:szCs w:val="22"/>
        </w:rPr>
        <w:t>Ⅰ: Any deviation from the normal postoperative course without the need for pharmacologic treatment or surgical, endoscopic, and radiologic interventions. Allowed therapeutic regimens are drugs as antiemetics, antipyretics, analgesics, and diuretics, and electrolytes and physiotherapy. This grade also includes wound infections opened at the bedside.</w:t>
      </w:r>
    </w:p>
    <w:p w14:paraId="6015DAB7">
      <w:pPr>
        <w:adjustRightInd w:val="0"/>
        <w:snapToGrid w:val="0"/>
        <w:spacing w:line="360" w:lineRule="auto"/>
        <w:rPr>
          <w:rFonts w:eastAsia="微软雅黑"/>
          <w:sz w:val="22"/>
          <w:szCs w:val="22"/>
        </w:rPr>
      </w:pPr>
      <w:r>
        <w:rPr>
          <w:rFonts w:eastAsia="微软雅黑"/>
          <w:sz w:val="22"/>
          <w:szCs w:val="22"/>
        </w:rPr>
        <w:t>Ⅱ: Requiring pharmacologic treatment with drugs other than such allowed for grade I complications. Blood transfusions and total parenteral nutrition are also included.</w:t>
      </w:r>
    </w:p>
    <w:p w14:paraId="33B7F391">
      <w:pPr>
        <w:adjustRightInd w:val="0"/>
        <w:snapToGrid w:val="0"/>
        <w:spacing w:line="360" w:lineRule="auto"/>
        <w:rPr>
          <w:rFonts w:eastAsia="微软雅黑"/>
          <w:sz w:val="22"/>
          <w:szCs w:val="22"/>
        </w:rPr>
      </w:pPr>
      <w:r>
        <w:rPr>
          <w:rFonts w:eastAsia="微软雅黑"/>
          <w:sz w:val="22"/>
          <w:szCs w:val="22"/>
        </w:rPr>
        <w:t>Ⅲ: Requiring surgical, endoscopic, or radiologic intervention</w:t>
      </w:r>
    </w:p>
    <w:p w14:paraId="66D1E418">
      <w:pPr>
        <w:adjustRightInd w:val="0"/>
        <w:snapToGrid w:val="0"/>
        <w:spacing w:line="360" w:lineRule="auto"/>
        <w:rPr>
          <w:rFonts w:eastAsia="微软雅黑"/>
          <w:sz w:val="22"/>
          <w:szCs w:val="22"/>
        </w:rPr>
      </w:pPr>
      <w:r>
        <w:rPr>
          <w:rFonts w:eastAsia="微软雅黑"/>
          <w:sz w:val="22"/>
          <w:szCs w:val="22"/>
        </w:rPr>
        <w:t>Ⅲa: Intervention not under general anesthesia</w:t>
      </w:r>
    </w:p>
    <w:p w14:paraId="70B4511F">
      <w:pPr>
        <w:adjustRightInd w:val="0"/>
        <w:snapToGrid w:val="0"/>
        <w:spacing w:line="360" w:lineRule="auto"/>
        <w:rPr>
          <w:rFonts w:eastAsia="微软雅黑"/>
          <w:sz w:val="22"/>
          <w:szCs w:val="22"/>
        </w:rPr>
      </w:pPr>
      <w:r>
        <w:rPr>
          <w:rFonts w:eastAsia="微软雅黑"/>
          <w:sz w:val="22"/>
          <w:szCs w:val="22"/>
        </w:rPr>
        <w:t>Ⅲb: Intervention under general anesthesia</w:t>
      </w:r>
    </w:p>
    <w:p w14:paraId="40E2FDFB">
      <w:pPr>
        <w:adjustRightInd w:val="0"/>
        <w:snapToGrid w:val="0"/>
        <w:spacing w:line="360" w:lineRule="auto"/>
        <w:rPr>
          <w:rFonts w:eastAsia="微软雅黑"/>
          <w:sz w:val="22"/>
          <w:szCs w:val="22"/>
        </w:rPr>
      </w:pPr>
      <w:r>
        <w:rPr>
          <w:rFonts w:eastAsia="微软雅黑"/>
          <w:sz w:val="22"/>
          <w:szCs w:val="22"/>
        </w:rPr>
        <w:t>Ⅳ: Life-threatening complication (including CNS complications) requiring IC (intermediate care)/ICU (intensive care unit)</w:t>
      </w:r>
      <w:r>
        <w:rPr>
          <w:rFonts w:eastAsia="微软雅黑"/>
          <w:sz w:val="22"/>
          <w:szCs w:val="22"/>
        </w:rPr>
        <w:br w:type="textWrapping"/>
      </w:r>
      <w:r>
        <w:rPr>
          <w:rFonts w:eastAsia="微软雅黑"/>
          <w:sz w:val="22"/>
          <w:szCs w:val="22"/>
        </w:rPr>
        <w:t>management</w:t>
      </w:r>
    </w:p>
    <w:p w14:paraId="173D9FA8">
      <w:pPr>
        <w:adjustRightInd w:val="0"/>
        <w:snapToGrid w:val="0"/>
        <w:spacing w:line="360" w:lineRule="auto"/>
        <w:rPr>
          <w:rFonts w:eastAsia="微软雅黑"/>
          <w:sz w:val="22"/>
          <w:szCs w:val="22"/>
        </w:rPr>
      </w:pPr>
      <w:r>
        <w:rPr>
          <w:rFonts w:eastAsia="微软雅黑"/>
          <w:sz w:val="22"/>
          <w:szCs w:val="22"/>
        </w:rPr>
        <w:t>Ⅳa: Single organ dysfunction (including dialysis)</w:t>
      </w:r>
    </w:p>
    <w:p w14:paraId="56835005">
      <w:pPr>
        <w:adjustRightInd w:val="0"/>
        <w:snapToGrid w:val="0"/>
        <w:spacing w:line="360" w:lineRule="auto"/>
        <w:rPr>
          <w:rFonts w:eastAsia="微软雅黑"/>
          <w:sz w:val="22"/>
          <w:szCs w:val="22"/>
        </w:rPr>
      </w:pPr>
      <w:r>
        <w:rPr>
          <w:rFonts w:eastAsia="微软雅黑"/>
          <w:sz w:val="22"/>
          <w:szCs w:val="22"/>
        </w:rPr>
        <w:t>Ⅳb: Multiple organ dysfunction</w:t>
      </w:r>
    </w:p>
    <w:p w14:paraId="3AEF30BA">
      <w:pPr>
        <w:adjustRightInd w:val="0"/>
        <w:snapToGrid w:val="0"/>
        <w:spacing w:line="360" w:lineRule="auto"/>
        <w:rPr>
          <w:rFonts w:eastAsia="微软雅黑"/>
          <w:sz w:val="24"/>
        </w:rPr>
      </w:pPr>
      <w:r>
        <w:rPr>
          <w:rFonts w:eastAsia="微软雅黑"/>
          <w:sz w:val="24"/>
        </w:rPr>
        <w:t>Ⅴ: Death as a result of complications</w:t>
      </w:r>
    </w:p>
    <w:p w14:paraId="22E13C0C">
      <w:pPr>
        <w:adjustRightInd w:val="0"/>
        <w:snapToGrid w:val="0"/>
        <w:spacing w:line="360" w:lineRule="auto"/>
        <w:rPr>
          <w:rFonts w:eastAsia="微软雅黑"/>
          <w:b/>
          <w:bCs/>
          <w:sz w:val="24"/>
        </w:rPr>
      </w:pPr>
      <w:r>
        <w:rPr>
          <w:rFonts w:eastAsia="微软雅黑"/>
          <w:b/>
          <w:bCs/>
          <w:sz w:val="24"/>
        </w:rPr>
        <w:t>(3) Blood test items (At postoperative day 1, 3, 5)</w:t>
      </w:r>
    </w:p>
    <w:p w14:paraId="13484163">
      <w:pPr>
        <w:spacing w:line="360" w:lineRule="auto"/>
        <w:ind w:firstLine="480" w:firstLineChars="200"/>
        <w:rPr>
          <w:rFonts w:eastAsia="微软雅黑"/>
          <w:sz w:val="24"/>
        </w:rPr>
      </w:pPr>
      <w:r>
        <w:rPr>
          <w:rFonts w:eastAsia="微软雅黑"/>
          <w:sz w:val="24"/>
        </w:rPr>
        <w:t>Peripheral blood routine assessment: Hb, RBC, WBC, LYM, NEU, NEU%, and PLT, MONO;</w:t>
      </w:r>
    </w:p>
    <w:p w14:paraId="4A49EEF8">
      <w:pPr>
        <w:spacing w:line="360" w:lineRule="auto"/>
        <w:ind w:firstLine="480" w:firstLineChars="200"/>
        <w:rPr>
          <w:rFonts w:eastAsia="微软雅黑"/>
          <w:sz w:val="24"/>
        </w:rPr>
      </w:pPr>
      <w:r>
        <w:rPr>
          <w:rFonts w:eastAsia="微软雅黑"/>
          <w:sz w:val="24"/>
        </w:rPr>
        <w:t xml:space="preserve">Blood biochemistry: Albumin, prealbumin, total bilirubin, AST, ALT, creatinine, urea nitrogen, fasting blood glucose, potassium, sodium, chlorine, calcium and CRP. </w:t>
      </w:r>
    </w:p>
    <w:p w14:paraId="62AC2D8E">
      <w:pPr>
        <w:numPr>
          <w:ilvl w:val="255"/>
          <w:numId w:val="0"/>
        </w:numPr>
        <w:adjustRightInd w:val="0"/>
        <w:snapToGrid w:val="0"/>
        <w:spacing w:line="360" w:lineRule="auto"/>
        <w:rPr>
          <w:rFonts w:eastAsia="微软雅黑"/>
          <w:b/>
          <w:bCs/>
          <w:sz w:val="24"/>
        </w:rPr>
      </w:pPr>
      <w:r>
        <w:rPr>
          <w:rFonts w:eastAsia="微软雅黑"/>
          <w:b/>
          <w:bCs/>
          <w:sz w:val="24"/>
        </w:rPr>
        <w:t>(4) Postoperative rehabilitation evaluation</w:t>
      </w:r>
    </w:p>
    <w:p w14:paraId="134FDFFB">
      <w:pPr>
        <w:adjustRightInd w:val="0"/>
        <w:snapToGrid w:val="0"/>
        <w:spacing w:line="360" w:lineRule="auto"/>
        <w:rPr>
          <w:rFonts w:eastAsia="微软雅黑"/>
          <w:sz w:val="24"/>
        </w:rPr>
      </w:pPr>
      <w:r>
        <w:rPr>
          <w:rFonts w:eastAsia="微软雅黑"/>
          <w:sz w:val="24"/>
        </w:rPr>
        <w:t xml:space="preserve">    Time to first ambulation (hours), time to first flatus (hour), time to liquid diet, time to semi-liquid diet (hour), daily body temperature maximum from surgery to out-patient (℃), time to removal of gastric tube (d), daily volume of gastric drainage (ml), time to removal of abdominal drainage tube (d), daily volume of drainage (ml). </w:t>
      </w:r>
    </w:p>
    <w:p w14:paraId="5A7F7E0B">
      <w:pPr>
        <w:adjustRightInd w:val="0"/>
        <w:snapToGrid w:val="0"/>
        <w:spacing w:line="360" w:lineRule="auto"/>
        <w:ind w:firstLine="480" w:firstLineChars="200"/>
        <w:rPr>
          <w:rFonts w:eastAsia="微软雅黑"/>
          <w:sz w:val="24"/>
        </w:rPr>
      </w:pPr>
      <w:r>
        <w:rPr>
          <w:rFonts w:eastAsia="微软雅黑"/>
          <w:sz w:val="24"/>
        </w:rPr>
        <w:t>Blood transfusion volume (ml) from the end of surgery to postoperative discharge: a transfusion event is defined as infusion of the red blood cell suspension (ml) or whole blood (ml)</w:t>
      </w:r>
    </w:p>
    <w:p w14:paraId="0152AFB4">
      <w:pPr>
        <w:adjustRightInd w:val="0"/>
        <w:snapToGrid w:val="0"/>
        <w:spacing w:line="360" w:lineRule="auto"/>
        <w:ind w:firstLine="480" w:firstLineChars="200"/>
        <w:rPr>
          <w:rFonts w:eastAsia="微软雅黑"/>
          <w:b/>
          <w:bCs/>
          <w:sz w:val="24"/>
        </w:rPr>
      </w:pPr>
      <w:r>
        <w:rPr>
          <w:rFonts w:eastAsia="微软雅黑"/>
          <w:sz w:val="24"/>
        </w:rPr>
        <w:t>Postoperative hospital stays (days): periods form surgery day to first discharge day</w:t>
      </w:r>
    </w:p>
    <w:p w14:paraId="7AC73098">
      <w:pPr>
        <w:adjustRightInd w:val="0"/>
        <w:snapToGrid w:val="0"/>
        <w:spacing w:line="360" w:lineRule="auto"/>
        <w:rPr>
          <w:rFonts w:eastAsia="微软雅黑"/>
          <w:sz w:val="24"/>
        </w:rPr>
      </w:pPr>
      <w:r>
        <w:rPr>
          <w:rFonts w:eastAsia="微软雅黑"/>
          <w:b/>
          <w:bCs/>
          <w:sz w:val="24"/>
        </w:rPr>
        <w:t>9.5 Follow-up</w:t>
      </w:r>
    </w:p>
    <w:p w14:paraId="05750279">
      <w:pPr>
        <w:adjustRightInd w:val="0"/>
        <w:snapToGrid w:val="0"/>
        <w:spacing w:line="360" w:lineRule="auto"/>
        <w:rPr>
          <w:rFonts w:eastAsia="微软雅黑"/>
          <w:b/>
          <w:sz w:val="24"/>
        </w:rPr>
      </w:pPr>
      <w:r>
        <w:rPr>
          <w:rFonts w:eastAsia="微软雅黑"/>
          <w:b/>
          <w:sz w:val="24"/>
        </w:rPr>
        <w:t>9.5.1 Follow-up period and strategy</w:t>
      </w:r>
    </w:p>
    <w:p w14:paraId="4D1798C9">
      <w:pPr>
        <w:adjustRightInd w:val="0"/>
        <w:snapToGrid w:val="0"/>
        <w:spacing w:line="360" w:lineRule="auto"/>
        <w:ind w:firstLine="480" w:firstLineChars="200"/>
        <w:rPr>
          <w:rFonts w:eastAsia="微软雅黑"/>
          <w:sz w:val="24"/>
        </w:rPr>
      </w:pPr>
      <w:r>
        <w:rPr>
          <w:rFonts w:eastAsia="微软雅黑"/>
          <w:sz w:val="24"/>
        </w:rPr>
        <w:t>Follow-up visits will be completed by special persons for all cases selected in this study. All patients are followed up with every 3 months during the first 2 years and then every 6 months beyond the third year (1, 3, 6, 9, 12, 15,18, 21, 24, 30 and 36 months after the operation). This study suggests that the above examinations should be conducted in the patient's primary surgical research center, but does not exclude outer court review. For outer court review, it recommended that visiting the hospital as a three-level hospital, and this information will be recorded by the follow-up specialist. The occurrence of tumor recurrence or metastasis and the survival status of all patients are evaluated and recorded according to the results of the various examinations. Patients who refuse to follow the protocol should be recorded as lost to follow-up, and at the end of the study, these cases should be analyzed together with cases lost to follow-up in line with the criteria of this study.</w:t>
      </w:r>
    </w:p>
    <w:p w14:paraId="40F15F62">
      <w:pPr>
        <w:adjustRightInd w:val="0"/>
        <w:snapToGrid w:val="0"/>
        <w:spacing w:line="360" w:lineRule="auto"/>
        <w:rPr>
          <w:rFonts w:eastAsia="微软雅黑"/>
          <w:b/>
          <w:sz w:val="24"/>
        </w:rPr>
      </w:pPr>
      <w:r>
        <w:rPr>
          <w:rFonts w:eastAsia="微软雅黑"/>
          <w:b/>
          <w:sz w:val="24"/>
        </w:rPr>
        <w:t>9.5.2 Assessment items during the follow-up</w:t>
      </w:r>
    </w:p>
    <w:p w14:paraId="59419954">
      <w:pPr>
        <w:adjustRightInd w:val="0"/>
        <w:snapToGrid w:val="0"/>
        <w:spacing w:line="360" w:lineRule="auto"/>
        <w:rPr>
          <w:rFonts w:eastAsia="微软雅黑"/>
          <w:sz w:val="24"/>
        </w:rPr>
      </w:pPr>
      <w:r>
        <w:rPr>
          <w:rFonts w:eastAsia="微软雅黑"/>
          <w:sz w:val="24"/>
        </w:rPr>
        <w:t xml:space="preserve">(1) Systematic physical examination: </w:t>
      </w:r>
    </w:p>
    <w:p w14:paraId="0B10BDA9">
      <w:pPr>
        <w:adjustRightInd w:val="0"/>
        <w:snapToGrid w:val="0"/>
        <w:spacing w:line="360" w:lineRule="auto"/>
        <w:ind w:firstLine="240" w:firstLineChars="100"/>
        <w:rPr>
          <w:rFonts w:eastAsia="微软雅黑"/>
          <w:sz w:val="24"/>
        </w:rPr>
      </w:pPr>
      <w:r>
        <w:rPr>
          <w:rFonts w:eastAsia="微软雅黑"/>
          <w:sz w:val="24"/>
        </w:rPr>
        <w:t>The doctor in charge will regularly conduct a systematic physical examination at the time of each follow-up, giving particular attention to superficial LNs, abdomen, and signs of metastases, among others.</w:t>
      </w:r>
    </w:p>
    <w:p w14:paraId="6747D3EF">
      <w:pPr>
        <w:adjustRightInd w:val="0"/>
        <w:snapToGrid w:val="0"/>
        <w:spacing w:line="360" w:lineRule="auto"/>
        <w:rPr>
          <w:rFonts w:eastAsia="微软雅黑"/>
          <w:sz w:val="24"/>
        </w:rPr>
      </w:pPr>
      <w:r>
        <w:rPr>
          <w:rFonts w:eastAsia="微软雅黑"/>
          <w:sz w:val="24"/>
        </w:rPr>
        <w:t>(2) Blood test items:</w:t>
      </w:r>
    </w:p>
    <w:p w14:paraId="1FBEA48E">
      <w:pPr>
        <w:adjustRightInd w:val="0"/>
        <w:snapToGrid w:val="0"/>
        <w:spacing w:line="360" w:lineRule="auto"/>
        <w:rPr>
          <w:rFonts w:eastAsia="微软雅黑"/>
          <w:sz w:val="24"/>
        </w:rPr>
      </w:pPr>
      <w:r>
        <w:rPr>
          <w:rFonts w:eastAsia="微软雅黑"/>
          <w:sz w:val="24"/>
        </w:rPr>
        <w:t> Peripheral blood routine assessment: Hb, RBC, WBC, LYM, NEU, NEU%, PLT, MONO.</w:t>
      </w:r>
    </w:p>
    <w:p w14:paraId="7DFF4689">
      <w:pPr>
        <w:adjustRightInd w:val="0"/>
        <w:snapToGrid w:val="0"/>
        <w:spacing w:line="360" w:lineRule="auto"/>
        <w:rPr>
          <w:rFonts w:eastAsia="微软雅黑"/>
          <w:sz w:val="24"/>
        </w:rPr>
      </w:pPr>
      <w:r>
        <w:rPr>
          <w:rFonts w:eastAsia="微软雅黑"/>
          <w:sz w:val="24"/>
        </w:rPr>
        <w:t> Biochemistry: albumin, pre-albumin, total bilirubin, indirect bilirubin, direct bilirubin, AST, ALT, creatinine, urea nitrogen, total cholesterol, triglycerides, fasting blood glucose, potassium, sodium, chlorine, calcium, serum tumor markers (CEA, CA19-9, CA72-4, CA12-5, AFP).</w:t>
      </w:r>
    </w:p>
    <w:p w14:paraId="374173C5">
      <w:pPr>
        <w:adjustRightInd w:val="0"/>
        <w:snapToGrid w:val="0"/>
        <w:spacing w:line="360" w:lineRule="auto"/>
        <w:rPr>
          <w:rFonts w:eastAsia="微软雅黑"/>
          <w:sz w:val="24"/>
        </w:rPr>
      </w:pPr>
      <w:r>
        <w:rPr>
          <w:rFonts w:eastAsia="微软雅黑"/>
          <w:sz w:val="24"/>
        </w:rPr>
        <w:t xml:space="preserve">(3) Imaging items: </w:t>
      </w:r>
    </w:p>
    <w:p w14:paraId="4AC8D609">
      <w:pPr>
        <w:adjustRightInd w:val="0"/>
        <w:snapToGrid w:val="0"/>
        <w:spacing w:line="360" w:lineRule="auto"/>
        <w:rPr>
          <w:rFonts w:eastAsia="微软雅黑"/>
          <w:sz w:val="24"/>
        </w:rPr>
      </w:pPr>
      <w:r>
        <w:rPr>
          <w:rFonts w:eastAsia="微软雅黑"/>
          <w:sz w:val="24"/>
        </w:rPr>
        <w:t> Whole abdomen (including cavity) CT (thickness of 10 mm or less, in case of contrast agent allergy, CT horizontal scanning is only allowable or conversion to MRI). Upper gastrointestinal endoscopy (histopathological biopsy, endoscopic ultrasonography when necessary). Chest X-ray (AP and lateral views): lung field condition. Other means of evaluation: gastrointestinal radiography, ultrasonography of other organs, whole body bone scanning, and PET-CT, among others used at physician’s discretion.</w:t>
      </w:r>
    </w:p>
    <w:p w14:paraId="5C86F318">
      <w:pPr>
        <w:adjustRightInd w:val="0"/>
        <w:snapToGrid w:val="0"/>
        <w:spacing w:line="360" w:lineRule="auto"/>
        <w:rPr>
          <w:rFonts w:eastAsia="微软雅黑"/>
          <w:b/>
          <w:sz w:val="24"/>
        </w:rPr>
      </w:pPr>
      <w:r>
        <w:rPr>
          <w:rFonts w:eastAsia="微软雅黑"/>
          <w:b/>
          <w:sz w:val="24"/>
        </w:rPr>
        <w:t>9.5.3 Follow-up process</w:t>
      </w:r>
    </w:p>
    <w:tbl>
      <w:tblPr>
        <w:tblStyle w:val="13"/>
        <w:tblW w:w="9251"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770"/>
        <w:gridCol w:w="769"/>
        <w:gridCol w:w="769"/>
        <w:gridCol w:w="769"/>
        <w:gridCol w:w="769"/>
        <w:gridCol w:w="769"/>
        <w:gridCol w:w="769"/>
        <w:gridCol w:w="769"/>
        <w:gridCol w:w="769"/>
        <w:gridCol w:w="769"/>
      </w:tblGrid>
      <w:tr w14:paraId="134B0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tcPr>
          <w:p w14:paraId="03C3A5F5">
            <w:pPr>
              <w:adjustRightInd w:val="0"/>
              <w:snapToGrid w:val="0"/>
              <w:spacing w:line="360" w:lineRule="auto"/>
              <w:rPr>
                <w:rFonts w:eastAsia="微软雅黑"/>
                <w:sz w:val="22"/>
                <w:szCs w:val="22"/>
              </w:rPr>
            </w:pPr>
            <w:r>
              <w:rPr>
                <w:rFonts w:eastAsia="微软雅黑"/>
              </w:rPr>
              <w:t>Postoperative</w:t>
            </w:r>
          </w:p>
        </w:tc>
        <w:tc>
          <w:tcPr>
            <w:tcW w:w="770" w:type="dxa"/>
          </w:tcPr>
          <w:p w14:paraId="3DA1E239">
            <w:pPr>
              <w:adjustRightInd w:val="0"/>
              <w:snapToGrid w:val="0"/>
              <w:spacing w:line="360" w:lineRule="auto"/>
              <w:jc w:val="center"/>
              <w:rPr>
                <w:rFonts w:eastAsia="微软雅黑"/>
                <w:szCs w:val="21"/>
              </w:rPr>
            </w:pPr>
            <w:r>
              <w:rPr>
                <w:rFonts w:eastAsia="微软雅黑"/>
                <w:szCs w:val="21"/>
              </w:rPr>
              <w:t>3 months</w:t>
            </w:r>
          </w:p>
        </w:tc>
        <w:tc>
          <w:tcPr>
            <w:tcW w:w="769" w:type="dxa"/>
          </w:tcPr>
          <w:p w14:paraId="709BE05D">
            <w:pPr>
              <w:adjustRightInd w:val="0"/>
              <w:snapToGrid w:val="0"/>
              <w:spacing w:line="360" w:lineRule="auto"/>
              <w:jc w:val="center"/>
              <w:rPr>
                <w:rFonts w:eastAsia="微软雅黑"/>
                <w:szCs w:val="21"/>
              </w:rPr>
            </w:pPr>
            <w:r>
              <w:rPr>
                <w:rFonts w:eastAsia="微软雅黑"/>
                <w:szCs w:val="21"/>
              </w:rPr>
              <w:t>6 months</w:t>
            </w:r>
          </w:p>
        </w:tc>
        <w:tc>
          <w:tcPr>
            <w:tcW w:w="769" w:type="dxa"/>
          </w:tcPr>
          <w:p w14:paraId="4C318275">
            <w:pPr>
              <w:adjustRightInd w:val="0"/>
              <w:snapToGrid w:val="0"/>
              <w:spacing w:line="360" w:lineRule="auto"/>
              <w:jc w:val="center"/>
              <w:rPr>
                <w:rFonts w:eastAsia="微软雅黑"/>
                <w:szCs w:val="21"/>
              </w:rPr>
            </w:pPr>
            <w:r>
              <w:rPr>
                <w:rFonts w:eastAsia="微软雅黑"/>
                <w:szCs w:val="21"/>
              </w:rPr>
              <w:t>9 months</w:t>
            </w:r>
          </w:p>
        </w:tc>
        <w:tc>
          <w:tcPr>
            <w:tcW w:w="769" w:type="dxa"/>
          </w:tcPr>
          <w:p w14:paraId="0E9A682F">
            <w:pPr>
              <w:adjustRightInd w:val="0"/>
              <w:snapToGrid w:val="0"/>
              <w:spacing w:line="360" w:lineRule="auto"/>
              <w:jc w:val="center"/>
              <w:rPr>
                <w:rFonts w:eastAsia="微软雅黑"/>
                <w:szCs w:val="21"/>
              </w:rPr>
            </w:pPr>
            <w:r>
              <w:rPr>
                <w:rFonts w:eastAsia="微软雅黑"/>
                <w:szCs w:val="21"/>
              </w:rPr>
              <w:t>12 months</w:t>
            </w:r>
          </w:p>
        </w:tc>
        <w:tc>
          <w:tcPr>
            <w:tcW w:w="769" w:type="dxa"/>
          </w:tcPr>
          <w:p w14:paraId="0B20A126">
            <w:pPr>
              <w:adjustRightInd w:val="0"/>
              <w:snapToGrid w:val="0"/>
              <w:spacing w:line="360" w:lineRule="auto"/>
              <w:jc w:val="center"/>
              <w:rPr>
                <w:rFonts w:eastAsia="微软雅黑"/>
                <w:szCs w:val="21"/>
              </w:rPr>
            </w:pPr>
            <w:r>
              <w:rPr>
                <w:rFonts w:eastAsia="微软雅黑"/>
                <w:szCs w:val="21"/>
              </w:rPr>
              <w:t>15 months</w:t>
            </w:r>
          </w:p>
        </w:tc>
        <w:tc>
          <w:tcPr>
            <w:tcW w:w="769" w:type="dxa"/>
          </w:tcPr>
          <w:p w14:paraId="0DB1E4B3">
            <w:pPr>
              <w:adjustRightInd w:val="0"/>
              <w:snapToGrid w:val="0"/>
              <w:spacing w:line="360" w:lineRule="auto"/>
              <w:jc w:val="center"/>
              <w:rPr>
                <w:rFonts w:eastAsia="微软雅黑"/>
                <w:szCs w:val="21"/>
              </w:rPr>
            </w:pPr>
            <w:r>
              <w:rPr>
                <w:rFonts w:eastAsia="微软雅黑"/>
                <w:szCs w:val="21"/>
              </w:rPr>
              <w:t>18 months</w:t>
            </w:r>
          </w:p>
        </w:tc>
        <w:tc>
          <w:tcPr>
            <w:tcW w:w="769" w:type="dxa"/>
          </w:tcPr>
          <w:p w14:paraId="13D87FC9">
            <w:pPr>
              <w:adjustRightInd w:val="0"/>
              <w:snapToGrid w:val="0"/>
              <w:spacing w:line="360" w:lineRule="auto"/>
              <w:jc w:val="center"/>
              <w:rPr>
                <w:rFonts w:eastAsia="微软雅黑"/>
                <w:szCs w:val="21"/>
              </w:rPr>
            </w:pPr>
            <w:r>
              <w:rPr>
                <w:rFonts w:eastAsia="微软雅黑"/>
                <w:szCs w:val="21"/>
              </w:rPr>
              <w:t>21 months</w:t>
            </w:r>
          </w:p>
        </w:tc>
        <w:tc>
          <w:tcPr>
            <w:tcW w:w="769" w:type="dxa"/>
          </w:tcPr>
          <w:p w14:paraId="736013D8">
            <w:pPr>
              <w:adjustRightInd w:val="0"/>
              <w:snapToGrid w:val="0"/>
              <w:spacing w:line="360" w:lineRule="auto"/>
              <w:jc w:val="center"/>
              <w:rPr>
                <w:rFonts w:eastAsia="微软雅黑"/>
                <w:szCs w:val="21"/>
              </w:rPr>
            </w:pPr>
            <w:r>
              <w:rPr>
                <w:rFonts w:eastAsia="微软雅黑"/>
                <w:szCs w:val="21"/>
              </w:rPr>
              <w:t>2 years</w:t>
            </w:r>
          </w:p>
        </w:tc>
        <w:tc>
          <w:tcPr>
            <w:tcW w:w="769" w:type="dxa"/>
          </w:tcPr>
          <w:p w14:paraId="65B637D9">
            <w:pPr>
              <w:adjustRightInd w:val="0"/>
              <w:snapToGrid w:val="0"/>
              <w:spacing w:line="360" w:lineRule="auto"/>
              <w:jc w:val="center"/>
              <w:rPr>
                <w:rFonts w:eastAsia="微软雅黑"/>
                <w:szCs w:val="21"/>
              </w:rPr>
            </w:pPr>
            <w:r>
              <w:rPr>
                <w:rFonts w:eastAsia="微软雅黑"/>
                <w:szCs w:val="21"/>
              </w:rPr>
              <w:t>2 years and a half</w:t>
            </w:r>
          </w:p>
        </w:tc>
        <w:tc>
          <w:tcPr>
            <w:tcW w:w="769" w:type="dxa"/>
          </w:tcPr>
          <w:p w14:paraId="14587B97">
            <w:pPr>
              <w:adjustRightInd w:val="0"/>
              <w:snapToGrid w:val="0"/>
              <w:spacing w:line="360" w:lineRule="auto"/>
              <w:jc w:val="center"/>
              <w:rPr>
                <w:rFonts w:eastAsia="微软雅黑"/>
                <w:szCs w:val="21"/>
              </w:rPr>
            </w:pPr>
            <w:r>
              <w:rPr>
                <w:rFonts w:eastAsia="微软雅黑"/>
                <w:szCs w:val="21"/>
              </w:rPr>
              <w:t>3 years</w:t>
            </w:r>
          </w:p>
        </w:tc>
      </w:tr>
      <w:tr w14:paraId="438F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tcPr>
          <w:p w14:paraId="26196860">
            <w:pPr>
              <w:adjustRightInd w:val="0"/>
              <w:snapToGrid w:val="0"/>
              <w:spacing w:line="360" w:lineRule="auto"/>
              <w:rPr>
                <w:rFonts w:eastAsia="微软雅黑"/>
                <w:szCs w:val="21"/>
              </w:rPr>
            </w:pPr>
            <w:r>
              <w:rPr>
                <w:rFonts w:eastAsia="微软雅黑"/>
                <w:szCs w:val="21"/>
              </w:rPr>
              <w:t>Date of actual visit</w:t>
            </w:r>
          </w:p>
        </w:tc>
        <w:tc>
          <w:tcPr>
            <w:tcW w:w="770" w:type="dxa"/>
          </w:tcPr>
          <w:p w14:paraId="1DC9203A">
            <w:pPr>
              <w:adjustRightInd w:val="0"/>
              <w:snapToGrid w:val="0"/>
              <w:spacing w:line="360" w:lineRule="auto"/>
              <w:rPr>
                <w:rFonts w:eastAsia="微软雅黑"/>
                <w:sz w:val="22"/>
                <w:szCs w:val="22"/>
              </w:rPr>
            </w:pPr>
            <w:r>
              <w:rPr>
                <w:rFonts w:eastAsia="微软雅黑"/>
              </w:rPr>
              <w:t xml:space="preserve"> </w:t>
            </w:r>
          </w:p>
        </w:tc>
        <w:tc>
          <w:tcPr>
            <w:tcW w:w="769" w:type="dxa"/>
          </w:tcPr>
          <w:p w14:paraId="19878A7B">
            <w:pPr>
              <w:adjustRightInd w:val="0"/>
              <w:snapToGrid w:val="0"/>
              <w:spacing w:line="360" w:lineRule="auto"/>
              <w:rPr>
                <w:rFonts w:eastAsia="微软雅黑"/>
                <w:sz w:val="22"/>
                <w:szCs w:val="22"/>
              </w:rPr>
            </w:pPr>
            <w:r>
              <w:rPr>
                <w:rFonts w:eastAsia="微软雅黑"/>
              </w:rPr>
              <w:t xml:space="preserve"> </w:t>
            </w:r>
          </w:p>
        </w:tc>
        <w:tc>
          <w:tcPr>
            <w:tcW w:w="769" w:type="dxa"/>
          </w:tcPr>
          <w:p w14:paraId="292919DE">
            <w:pPr>
              <w:adjustRightInd w:val="0"/>
              <w:snapToGrid w:val="0"/>
              <w:spacing w:line="360" w:lineRule="auto"/>
              <w:rPr>
                <w:rFonts w:eastAsia="微软雅黑"/>
                <w:sz w:val="22"/>
                <w:szCs w:val="22"/>
              </w:rPr>
            </w:pPr>
            <w:r>
              <w:rPr>
                <w:rFonts w:eastAsia="微软雅黑"/>
              </w:rPr>
              <w:t xml:space="preserve"> </w:t>
            </w:r>
          </w:p>
        </w:tc>
        <w:tc>
          <w:tcPr>
            <w:tcW w:w="769" w:type="dxa"/>
          </w:tcPr>
          <w:p w14:paraId="1DE9F8F6">
            <w:pPr>
              <w:adjustRightInd w:val="0"/>
              <w:snapToGrid w:val="0"/>
              <w:spacing w:line="360" w:lineRule="auto"/>
              <w:rPr>
                <w:rFonts w:eastAsia="微软雅黑"/>
                <w:sz w:val="22"/>
                <w:szCs w:val="22"/>
              </w:rPr>
            </w:pPr>
            <w:r>
              <w:rPr>
                <w:rFonts w:eastAsia="微软雅黑"/>
              </w:rPr>
              <w:t xml:space="preserve"> </w:t>
            </w:r>
          </w:p>
        </w:tc>
        <w:tc>
          <w:tcPr>
            <w:tcW w:w="769" w:type="dxa"/>
          </w:tcPr>
          <w:p w14:paraId="0A8CBFCF">
            <w:pPr>
              <w:adjustRightInd w:val="0"/>
              <w:snapToGrid w:val="0"/>
              <w:spacing w:line="360" w:lineRule="auto"/>
              <w:rPr>
                <w:rFonts w:eastAsia="微软雅黑"/>
                <w:sz w:val="22"/>
                <w:szCs w:val="22"/>
              </w:rPr>
            </w:pPr>
            <w:r>
              <w:rPr>
                <w:rFonts w:eastAsia="微软雅黑"/>
              </w:rPr>
              <w:t xml:space="preserve"> </w:t>
            </w:r>
          </w:p>
        </w:tc>
        <w:tc>
          <w:tcPr>
            <w:tcW w:w="769" w:type="dxa"/>
          </w:tcPr>
          <w:p w14:paraId="7F9F2E3E">
            <w:pPr>
              <w:adjustRightInd w:val="0"/>
              <w:snapToGrid w:val="0"/>
              <w:spacing w:line="360" w:lineRule="auto"/>
              <w:rPr>
                <w:rFonts w:eastAsia="微软雅黑"/>
                <w:sz w:val="22"/>
                <w:szCs w:val="22"/>
              </w:rPr>
            </w:pPr>
            <w:r>
              <w:rPr>
                <w:rFonts w:eastAsia="微软雅黑"/>
              </w:rPr>
              <w:t xml:space="preserve"> </w:t>
            </w:r>
          </w:p>
        </w:tc>
        <w:tc>
          <w:tcPr>
            <w:tcW w:w="769" w:type="dxa"/>
          </w:tcPr>
          <w:p w14:paraId="5761A2CA">
            <w:pPr>
              <w:adjustRightInd w:val="0"/>
              <w:snapToGrid w:val="0"/>
              <w:spacing w:line="360" w:lineRule="auto"/>
              <w:rPr>
                <w:rFonts w:eastAsia="微软雅黑"/>
                <w:sz w:val="22"/>
                <w:szCs w:val="22"/>
              </w:rPr>
            </w:pPr>
            <w:r>
              <w:rPr>
                <w:rFonts w:eastAsia="微软雅黑"/>
              </w:rPr>
              <w:t xml:space="preserve"> </w:t>
            </w:r>
          </w:p>
        </w:tc>
        <w:tc>
          <w:tcPr>
            <w:tcW w:w="769" w:type="dxa"/>
          </w:tcPr>
          <w:p w14:paraId="56F5C0C3">
            <w:pPr>
              <w:adjustRightInd w:val="0"/>
              <w:snapToGrid w:val="0"/>
              <w:spacing w:line="360" w:lineRule="auto"/>
              <w:rPr>
                <w:rFonts w:eastAsia="微软雅黑"/>
                <w:sz w:val="22"/>
                <w:szCs w:val="22"/>
              </w:rPr>
            </w:pPr>
            <w:r>
              <w:rPr>
                <w:rFonts w:eastAsia="微软雅黑"/>
              </w:rPr>
              <w:t xml:space="preserve"> </w:t>
            </w:r>
          </w:p>
        </w:tc>
        <w:tc>
          <w:tcPr>
            <w:tcW w:w="769" w:type="dxa"/>
          </w:tcPr>
          <w:p w14:paraId="14148FA0">
            <w:pPr>
              <w:adjustRightInd w:val="0"/>
              <w:snapToGrid w:val="0"/>
              <w:spacing w:line="360" w:lineRule="auto"/>
              <w:rPr>
                <w:rFonts w:eastAsia="微软雅黑"/>
                <w:sz w:val="22"/>
                <w:szCs w:val="22"/>
              </w:rPr>
            </w:pPr>
            <w:r>
              <w:rPr>
                <w:rFonts w:eastAsia="微软雅黑"/>
              </w:rPr>
              <w:t xml:space="preserve"> </w:t>
            </w:r>
          </w:p>
        </w:tc>
        <w:tc>
          <w:tcPr>
            <w:tcW w:w="769" w:type="dxa"/>
          </w:tcPr>
          <w:p w14:paraId="7D72F560">
            <w:pPr>
              <w:adjustRightInd w:val="0"/>
              <w:snapToGrid w:val="0"/>
              <w:spacing w:line="360" w:lineRule="auto"/>
              <w:rPr>
                <w:rFonts w:eastAsia="微软雅黑"/>
                <w:sz w:val="22"/>
                <w:szCs w:val="22"/>
              </w:rPr>
            </w:pPr>
            <w:r>
              <w:rPr>
                <w:rFonts w:eastAsia="微软雅黑"/>
              </w:rPr>
              <w:t xml:space="preserve"> </w:t>
            </w:r>
          </w:p>
        </w:tc>
      </w:tr>
      <w:tr w14:paraId="24771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tcPr>
          <w:p w14:paraId="1A71A47D">
            <w:pPr>
              <w:adjustRightInd w:val="0"/>
              <w:snapToGrid w:val="0"/>
              <w:spacing w:line="360" w:lineRule="auto"/>
              <w:rPr>
                <w:rFonts w:eastAsia="微软雅黑"/>
                <w:szCs w:val="21"/>
              </w:rPr>
            </w:pPr>
            <w:r>
              <w:rPr>
                <w:rFonts w:eastAsia="微软雅黑"/>
                <w:szCs w:val="21"/>
              </w:rPr>
              <w:t>Physical examination</w:t>
            </w:r>
          </w:p>
        </w:tc>
        <w:tc>
          <w:tcPr>
            <w:tcW w:w="770" w:type="dxa"/>
          </w:tcPr>
          <w:p w14:paraId="0DF31ABB">
            <w:pPr>
              <w:adjustRightInd w:val="0"/>
              <w:snapToGrid w:val="0"/>
              <w:spacing w:line="360" w:lineRule="auto"/>
              <w:rPr>
                <w:rFonts w:eastAsia="微软雅黑"/>
                <w:sz w:val="22"/>
                <w:szCs w:val="22"/>
              </w:rPr>
            </w:pPr>
            <w:r>
              <w:rPr>
                <w:rFonts w:eastAsia="微软雅黑"/>
              </w:rPr>
              <w:t xml:space="preserve"> </w:t>
            </w:r>
          </w:p>
        </w:tc>
        <w:tc>
          <w:tcPr>
            <w:tcW w:w="769" w:type="dxa"/>
          </w:tcPr>
          <w:p w14:paraId="57B4FD38">
            <w:pPr>
              <w:adjustRightInd w:val="0"/>
              <w:snapToGrid w:val="0"/>
              <w:spacing w:line="360" w:lineRule="auto"/>
              <w:rPr>
                <w:rFonts w:eastAsia="微软雅黑"/>
                <w:sz w:val="22"/>
                <w:szCs w:val="22"/>
              </w:rPr>
            </w:pPr>
            <w:r>
              <w:rPr>
                <w:rFonts w:eastAsia="微软雅黑"/>
              </w:rPr>
              <w:t xml:space="preserve"> </w:t>
            </w:r>
          </w:p>
        </w:tc>
        <w:tc>
          <w:tcPr>
            <w:tcW w:w="769" w:type="dxa"/>
          </w:tcPr>
          <w:p w14:paraId="28BB24F4">
            <w:pPr>
              <w:adjustRightInd w:val="0"/>
              <w:snapToGrid w:val="0"/>
              <w:spacing w:line="360" w:lineRule="auto"/>
              <w:rPr>
                <w:rFonts w:eastAsia="微软雅黑"/>
                <w:sz w:val="22"/>
                <w:szCs w:val="22"/>
              </w:rPr>
            </w:pPr>
            <w:r>
              <w:rPr>
                <w:rFonts w:eastAsia="微软雅黑"/>
              </w:rPr>
              <w:t xml:space="preserve"> </w:t>
            </w:r>
          </w:p>
        </w:tc>
        <w:tc>
          <w:tcPr>
            <w:tcW w:w="769" w:type="dxa"/>
          </w:tcPr>
          <w:p w14:paraId="15AB2D3E">
            <w:pPr>
              <w:adjustRightInd w:val="0"/>
              <w:snapToGrid w:val="0"/>
              <w:spacing w:line="360" w:lineRule="auto"/>
              <w:rPr>
                <w:rFonts w:eastAsia="微软雅黑"/>
                <w:sz w:val="22"/>
                <w:szCs w:val="22"/>
              </w:rPr>
            </w:pPr>
            <w:r>
              <w:rPr>
                <w:rFonts w:eastAsia="微软雅黑"/>
              </w:rPr>
              <w:t xml:space="preserve"> </w:t>
            </w:r>
          </w:p>
        </w:tc>
        <w:tc>
          <w:tcPr>
            <w:tcW w:w="769" w:type="dxa"/>
          </w:tcPr>
          <w:p w14:paraId="5169133C">
            <w:pPr>
              <w:adjustRightInd w:val="0"/>
              <w:snapToGrid w:val="0"/>
              <w:spacing w:line="360" w:lineRule="auto"/>
              <w:rPr>
                <w:rFonts w:eastAsia="微软雅黑"/>
                <w:sz w:val="22"/>
                <w:szCs w:val="22"/>
              </w:rPr>
            </w:pPr>
            <w:r>
              <w:rPr>
                <w:rFonts w:eastAsia="微软雅黑"/>
              </w:rPr>
              <w:t xml:space="preserve"> </w:t>
            </w:r>
          </w:p>
        </w:tc>
        <w:tc>
          <w:tcPr>
            <w:tcW w:w="769" w:type="dxa"/>
          </w:tcPr>
          <w:p w14:paraId="78B175EF">
            <w:pPr>
              <w:adjustRightInd w:val="0"/>
              <w:snapToGrid w:val="0"/>
              <w:spacing w:line="360" w:lineRule="auto"/>
              <w:rPr>
                <w:rFonts w:eastAsia="微软雅黑"/>
                <w:sz w:val="22"/>
                <w:szCs w:val="22"/>
              </w:rPr>
            </w:pPr>
            <w:r>
              <w:rPr>
                <w:rFonts w:eastAsia="微软雅黑"/>
              </w:rPr>
              <w:t xml:space="preserve"> </w:t>
            </w:r>
          </w:p>
        </w:tc>
        <w:tc>
          <w:tcPr>
            <w:tcW w:w="769" w:type="dxa"/>
          </w:tcPr>
          <w:p w14:paraId="374831EF">
            <w:pPr>
              <w:adjustRightInd w:val="0"/>
              <w:snapToGrid w:val="0"/>
              <w:spacing w:line="360" w:lineRule="auto"/>
              <w:rPr>
                <w:rFonts w:eastAsia="微软雅黑"/>
                <w:sz w:val="22"/>
                <w:szCs w:val="22"/>
              </w:rPr>
            </w:pPr>
            <w:r>
              <w:rPr>
                <w:rFonts w:eastAsia="微软雅黑"/>
              </w:rPr>
              <w:t xml:space="preserve"> </w:t>
            </w:r>
          </w:p>
        </w:tc>
        <w:tc>
          <w:tcPr>
            <w:tcW w:w="769" w:type="dxa"/>
          </w:tcPr>
          <w:p w14:paraId="7001C85C">
            <w:pPr>
              <w:adjustRightInd w:val="0"/>
              <w:snapToGrid w:val="0"/>
              <w:spacing w:line="360" w:lineRule="auto"/>
              <w:rPr>
                <w:rFonts w:eastAsia="微软雅黑"/>
                <w:sz w:val="22"/>
                <w:szCs w:val="22"/>
              </w:rPr>
            </w:pPr>
            <w:r>
              <w:rPr>
                <w:rFonts w:eastAsia="微软雅黑"/>
              </w:rPr>
              <w:t xml:space="preserve"> </w:t>
            </w:r>
          </w:p>
        </w:tc>
        <w:tc>
          <w:tcPr>
            <w:tcW w:w="769" w:type="dxa"/>
          </w:tcPr>
          <w:p w14:paraId="488AB5B4">
            <w:pPr>
              <w:adjustRightInd w:val="0"/>
              <w:snapToGrid w:val="0"/>
              <w:spacing w:line="360" w:lineRule="auto"/>
              <w:rPr>
                <w:rFonts w:eastAsia="微软雅黑"/>
                <w:sz w:val="22"/>
                <w:szCs w:val="22"/>
              </w:rPr>
            </w:pPr>
            <w:r>
              <w:rPr>
                <w:rFonts w:eastAsia="微软雅黑"/>
              </w:rPr>
              <w:t xml:space="preserve"> </w:t>
            </w:r>
          </w:p>
        </w:tc>
        <w:tc>
          <w:tcPr>
            <w:tcW w:w="769" w:type="dxa"/>
          </w:tcPr>
          <w:p w14:paraId="43360D59">
            <w:pPr>
              <w:adjustRightInd w:val="0"/>
              <w:snapToGrid w:val="0"/>
              <w:spacing w:line="360" w:lineRule="auto"/>
              <w:rPr>
                <w:rFonts w:eastAsia="微软雅黑"/>
                <w:sz w:val="22"/>
                <w:szCs w:val="22"/>
              </w:rPr>
            </w:pPr>
            <w:r>
              <w:rPr>
                <w:rFonts w:eastAsia="微软雅黑"/>
              </w:rPr>
              <w:t xml:space="preserve"> </w:t>
            </w:r>
          </w:p>
        </w:tc>
      </w:tr>
      <w:tr w14:paraId="64FCF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tcPr>
          <w:p w14:paraId="19B58950">
            <w:pPr>
              <w:adjustRightInd w:val="0"/>
              <w:snapToGrid w:val="0"/>
              <w:spacing w:line="360" w:lineRule="auto"/>
              <w:rPr>
                <w:rFonts w:eastAsia="微软雅黑"/>
                <w:szCs w:val="21"/>
              </w:rPr>
            </w:pPr>
            <w:r>
              <w:rPr>
                <w:rFonts w:eastAsia="微软雅黑"/>
                <w:szCs w:val="21"/>
              </w:rPr>
              <w:t>Blood Routine</w:t>
            </w:r>
          </w:p>
        </w:tc>
        <w:tc>
          <w:tcPr>
            <w:tcW w:w="770" w:type="dxa"/>
          </w:tcPr>
          <w:p w14:paraId="66A72D04">
            <w:pPr>
              <w:adjustRightInd w:val="0"/>
              <w:snapToGrid w:val="0"/>
              <w:spacing w:line="360" w:lineRule="auto"/>
              <w:rPr>
                <w:rFonts w:eastAsia="微软雅黑"/>
                <w:sz w:val="22"/>
                <w:szCs w:val="22"/>
              </w:rPr>
            </w:pPr>
            <w:r>
              <w:rPr>
                <w:rFonts w:eastAsia="微软雅黑"/>
              </w:rPr>
              <w:t xml:space="preserve"> </w:t>
            </w:r>
          </w:p>
        </w:tc>
        <w:tc>
          <w:tcPr>
            <w:tcW w:w="769" w:type="dxa"/>
          </w:tcPr>
          <w:p w14:paraId="0DFC2CB8">
            <w:pPr>
              <w:adjustRightInd w:val="0"/>
              <w:snapToGrid w:val="0"/>
              <w:spacing w:line="360" w:lineRule="auto"/>
              <w:rPr>
                <w:rFonts w:eastAsia="微软雅黑"/>
                <w:sz w:val="22"/>
                <w:szCs w:val="22"/>
              </w:rPr>
            </w:pPr>
            <w:r>
              <w:rPr>
                <w:rFonts w:eastAsia="微软雅黑"/>
              </w:rPr>
              <w:t xml:space="preserve"> </w:t>
            </w:r>
          </w:p>
        </w:tc>
        <w:tc>
          <w:tcPr>
            <w:tcW w:w="769" w:type="dxa"/>
          </w:tcPr>
          <w:p w14:paraId="7F9FDC21">
            <w:pPr>
              <w:adjustRightInd w:val="0"/>
              <w:snapToGrid w:val="0"/>
              <w:spacing w:line="360" w:lineRule="auto"/>
              <w:rPr>
                <w:rFonts w:eastAsia="微软雅黑"/>
                <w:sz w:val="22"/>
                <w:szCs w:val="22"/>
              </w:rPr>
            </w:pPr>
            <w:r>
              <w:rPr>
                <w:rFonts w:eastAsia="微软雅黑"/>
              </w:rPr>
              <w:t xml:space="preserve"> </w:t>
            </w:r>
          </w:p>
        </w:tc>
        <w:tc>
          <w:tcPr>
            <w:tcW w:w="769" w:type="dxa"/>
          </w:tcPr>
          <w:p w14:paraId="3D87C0C3">
            <w:pPr>
              <w:adjustRightInd w:val="0"/>
              <w:snapToGrid w:val="0"/>
              <w:spacing w:line="360" w:lineRule="auto"/>
              <w:rPr>
                <w:rFonts w:eastAsia="微软雅黑"/>
                <w:sz w:val="22"/>
                <w:szCs w:val="22"/>
              </w:rPr>
            </w:pPr>
            <w:r>
              <w:rPr>
                <w:rFonts w:eastAsia="微软雅黑"/>
              </w:rPr>
              <w:t xml:space="preserve"> </w:t>
            </w:r>
          </w:p>
        </w:tc>
        <w:tc>
          <w:tcPr>
            <w:tcW w:w="769" w:type="dxa"/>
          </w:tcPr>
          <w:p w14:paraId="56B7C82D">
            <w:pPr>
              <w:adjustRightInd w:val="0"/>
              <w:snapToGrid w:val="0"/>
              <w:spacing w:line="360" w:lineRule="auto"/>
              <w:rPr>
                <w:rFonts w:eastAsia="微软雅黑"/>
                <w:sz w:val="22"/>
                <w:szCs w:val="22"/>
              </w:rPr>
            </w:pPr>
            <w:r>
              <w:rPr>
                <w:rFonts w:eastAsia="微软雅黑"/>
              </w:rPr>
              <w:t xml:space="preserve"> </w:t>
            </w:r>
          </w:p>
        </w:tc>
        <w:tc>
          <w:tcPr>
            <w:tcW w:w="769" w:type="dxa"/>
          </w:tcPr>
          <w:p w14:paraId="296C04F0">
            <w:pPr>
              <w:adjustRightInd w:val="0"/>
              <w:snapToGrid w:val="0"/>
              <w:spacing w:line="360" w:lineRule="auto"/>
              <w:rPr>
                <w:rFonts w:eastAsia="微软雅黑"/>
                <w:sz w:val="22"/>
                <w:szCs w:val="22"/>
              </w:rPr>
            </w:pPr>
            <w:r>
              <w:rPr>
                <w:rFonts w:eastAsia="微软雅黑"/>
              </w:rPr>
              <w:t xml:space="preserve"> </w:t>
            </w:r>
          </w:p>
        </w:tc>
        <w:tc>
          <w:tcPr>
            <w:tcW w:w="769" w:type="dxa"/>
          </w:tcPr>
          <w:p w14:paraId="362020A4">
            <w:pPr>
              <w:adjustRightInd w:val="0"/>
              <w:snapToGrid w:val="0"/>
              <w:spacing w:line="360" w:lineRule="auto"/>
              <w:rPr>
                <w:rFonts w:eastAsia="微软雅黑"/>
                <w:sz w:val="22"/>
                <w:szCs w:val="22"/>
              </w:rPr>
            </w:pPr>
            <w:r>
              <w:rPr>
                <w:rFonts w:eastAsia="微软雅黑"/>
              </w:rPr>
              <w:t xml:space="preserve"> </w:t>
            </w:r>
          </w:p>
        </w:tc>
        <w:tc>
          <w:tcPr>
            <w:tcW w:w="769" w:type="dxa"/>
          </w:tcPr>
          <w:p w14:paraId="273E4D69">
            <w:pPr>
              <w:adjustRightInd w:val="0"/>
              <w:snapToGrid w:val="0"/>
              <w:spacing w:line="360" w:lineRule="auto"/>
              <w:rPr>
                <w:rFonts w:eastAsia="微软雅黑"/>
                <w:sz w:val="22"/>
                <w:szCs w:val="22"/>
              </w:rPr>
            </w:pPr>
            <w:r>
              <w:rPr>
                <w:rFonts w:eastAsia="微软雅黑"/>
              </w:rPr>
              <w:t xml:space="preserve"> </w:t>
            </w:r>
          </w:p>
        </w:tc>
        <w:tc>
          <w:tcPr>
            <w:tcW w:w="769" w:type="dxa"/>
          </w:tcPr>
          <w:p w14:paraId="6E24628E">
            <w:pPr>
              <w:adjustRightInd w:val="0"/>
              <w:snapToGrid w:val="0"/>
              <w:spacing w:line="360" w:lineRule="auto"/>
              <w:rPr>
                <w:rFonts w:eastAsia="微软雅黑"/>
                <w:sz w:val="22"/>
                <w:szCs w:val="22"/>
              </w:rPr>
            </w:pPr>
            <w:r>
              <w:rPr>
                <w:rFonts w:eastAsia="微软雅黑"/>
              </w:rPr>
              <w:t xml:space="preserve"> </w:t>
            </w:r>
          </w:p>
        </w:tc>
        <w:tc>
          <w:tcPr>
            <w:tcW w:w="769" w:type="dxa"/>
          </w:tcPr>
          <w:p w14:paraId="7F9665E7">
            <w:pPr>
              <w:adjustRightInd w:val="0"/>
              <w:snapToGrid w:val="0"/>
              <w:spacing w:line="360" w:lineRule="auto"/>
              <w:rPr>
                <w:rFonts w:eastAsia="微软雅黑"/>
                <w:sz w:val="22"/>
                <w:szCs w:val="22"/>
              </w:rPr>
            </w:pPr>
            <w:r>
              <w:rPr>
                <w:rFonts w:eastAsia="微软雅黑"/>
              </w:rPr>
              <w:t xml:space="preserve"> </w:t>
            </w:r>
          </w:p>
        </w:tc>
      </w:tr>
      <w:tr w14:paraId="1DCF0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tcPr>
          <w:p w14:paraId="72953C51">
            <w:pPr>
              <w:adjustRightInd w:val="0"/>
              <w:snapToGrid w:val="0"/>
              <w:spacing w:line="360" w:lineRule="auto"/>
              <w:rPr>
                <w:rFonts w:eastAsia="微软雅黑"/>
                <w:szCs w:val="21"/>
              </w:rPr>
            </w:pPr>
            <w:r>
              <w:rPr>
                <w:rFonts w:eastAsia="微软雅黑"/>
                <w:szCs w:val="21"/>
              </w:rPr>
              <w:t>Blood biochemistry</w:t>
            </w:r>
          </w:p>
        </w:tc>
        <w:tc>
          <w:tcPr>
            <w:tcW w:w="770" w:type="dxa"/>
          </w:tcPr>
          <w:p w14:paraId="2CD0CFAF">
            <w:pPr>
              <w:adjustRightInd w:val="0"/>
              <w:snapToGrid w:val="0"/>
              <w:spacing w:line="360" w:lineRule="auto"/>
              <w:rPr>
                <w:rFonts w:eastAsia="微软雅黑"/>
                <w:sz w:val="22"/>
                <w:szCs w:val="22"/>
              </w:rPr>
            </w:pPr>
            <w:r>
              <w:rPr>
                <w:rFonts w:eastAsia="微软雅黑"/>
              </w:rPr>
              <w:t xml:space="preserve"> </w:t>
            </w:r>
          </w:p>
        </w:tc>
        <w:tc>
          <w:tcPr>
            <w:tcW w:w="769" w:type="dxa"/>
          </w:tcPr>
          <w:p w14:paraId="57289A50">
            <w:pPr>
              <w:adjustRightInd w:val="0"/>
              <w:snapToGrid w:val="0"/>
              <w:spacing w:line="360" w:lineRule="auto"/>
              <w:rPr>
                <w:rFonts w:eastAsia="微软雅黑"/>
                <w:sz w:val="22"/>
                <w:szCs w:val="22"/>
              </w:rPr>
            </w:pPr>
            <w:r>
              <w:rPr>
                <w:rFonts w:eastAsia="微软雅黑"/>
              </w:rPr>
              <w:t xml:space="preserve"> </w:t>
            </w:r>
          </w:p>
        </w:tc>
        <w:tc>
          <w:tcPr>
            <w:tcW w:w="769" w:type="dxa"/>
          </w:tcPr>
          <w:p w14:paraId="72B16548">
            <w:pPr>
              <w:adjustRightInd w:val="0"/>
              <w:snapToGrid w:val="0"/>
              <w:spacing w:line="360" w:lineRule="auto"/>
              <w:rPr>
                <w:rFonts w:eastAsia="微软雅黑"/>
                <w:sz w:val="22"/>
                <w:szCs w:val="22"/>
              </w:rPr>
            </w:pPr>
            <w:r>
              <w:rPr>
                <w:rFonts w:eastAsia="微软雅黑"/>
              </w:rPr>
              <w:t xml:space="preserve"> </w:t>
            </w:r>
          </w:p>
        </w:tc>
        <w:tc>
          <w:tcPr>
            <w:tcW w:w="769" w:type="dxa"/>
          </w:tcPr>
          <w:p w14:paraId="61B7ACFC">
            <w:pPr>
              <w:adjustRightInd w:val="0"/>
              <w:snapToGrid w:val="0"/>
              <w:spacing w:line="360" w:lineRule="auto"/>
              <w:rPr>
                <w:rFonts w:eastAsia="微软雅黑"/>
                <w:sz w:val="22"/>
                <w:szCs w:val="22"/>
              </w:rPr>
            </w:pPr>
            <w:r>
              <w:rPr>
                <w:rFonts w:eastAsia="微软雅黑"/>
              </w:rPr>
              <w:t xml:space="preserve"> </w:t>
            </w:r>
          </w:p>
        </w:tc>
        <w:tc>
          <w:tcPr>
            <w:tcW w:w="769" w:type="dxa"/>
          </w:tcPr>
          <w:p w14:paraId="1F8D0DA6">
            <w:pPr>
              <w:adjustRightInd w:val="0"/>
              <w:snapToGrid w:val="0"/>
              <w:spacing w:line="360" w:lineRule="auto"/>
              <w:rPr>
                <w:rFonts w:eastAsia="微软雅黑"/>
                <w:sz w:val="22"/>
                <w:szCs w:val="22"/>
              </w:rPr>
            </w:pPr>
            <w:r>
              <w:rPr>
                <w:rFonts w:eastAsia="微软雅黑"/>
              </w:rPr>
              <w:t xml:space="preserve"> </w:t>
            </w:r>
          </w:p>
        </w:tc>
        <w:tc>
          <w:tcPr>
            <w:tcW w:w="769" w:type="dxa"/>
          </w:tcPr>
          <w:p w14:paraId="2BCC7A9E">
            <w:pPr>
              <w:adjustRightInd w:val="0"/>
              <w:snapToGrid w:val="0"/>
              <w:spacing w:line="360" w:lineRule="auto"/>
              <w:rPr>
                <w:rFonts w:eastAsia="微软雅黑"/>
                <w:sz w:val="22"/>
                <w:szCs w:val="22"/>
              </w:rPr>
            </w:pPr>
            <w:r>
              <w:rPr>
                <w:rFonts w:eastAsia="微软雅黑"/>
              </w:rPr>
              <w:t xml:space="preserve"> </w:t>
            </w:r>
          </w:p>
        </w:tc>
        <w:tc>
          <w:tcPr>
            <w:tcW w:w="769" w:type="dxa"/>
          </w:tcPr>
          <w:p w14:paraId="5603AD95">
            <w:pPr>
              <w:adjustRightInd w:val="0"/>
              <w:snapToGrid w:val="0"/>
              <w:spacing w:line="360" w:lineRule="auto"/>
              <w:rPr>
                <w:rFonts w:eastAsia="微软雅黑"/>
                <w:sz w:val="22"/>
                <w:szCs w:val="22"/>
              </w:rPr>
            </w:pPr>
            <w:r>
              <w:rPr>
                <w:rFonts w:eastAsia="微软雅黑"/>
              </w:rPr>
              <w:t xml:space="preserve"> </w:t>
            </w:r>
          </w:p>
        </w:tc>
        <w:tc>
          <w:tcPr>
            <w:tcW w:w="769" w:type="dxa"/>
          </w:tcPr>
          <w:p w14:paraId="3B883430">
            <w:pPr>
              <w:adjustRightInd w:val="0"/>
              <w:snapToGrid w:val="0"/>
              <w:spacing w:line="360" w:lineRule="auto"/>
              <w:rPr>
                <w:rFonts w:eastAsia="微软雅黑"/>
                <w:sz w:val="22"/>
                <w:szCs w:val="22"/>
              </w:rPr>
            </w:pPr>
            <w:r>
              <w:rPr>
                <w:rFonts w:eastAsia="微软雅黑"/>
              </w:rPr>
              <w:t xml:space="preserve"> </w:t>
            </w:r>
          </w:p>
        </w:tc>
        <w:tc>
          <w:tcPr>
            <w:tcW w:w="769" w:type="dxa"/>
          </w:tcPr>
          <w:p w14:paraId="31DC28AA">
            <w:pPr>
              <w:adjustRightInd w:val="0"/>
              <w:snapToGrid w:val="0"/>
              <w:spacing w:line="360" w:lineRule="auto"/>
              <w:rPr>
                <w:rFonts w:eastAsia="微软雅黑"/>
                <w:sz w:val="22"/>
                <w:szCs w:val="22"/>
              </w:rPr>
            </w:pPr>
            <w:r>
              <w:rPr>
                <w:rFonts w:eastAsia="微软雅黑"/>
              </w:rPr>
              <w:t xml:space="preserve"> </w:t>
            </w:r>
          </w:p>
        </w:tc>
        <w:tc>
          <w:tcPr>
            <w:tcW w:w="769" w:type="dxa"/>
          </w:tcPr>
          <w:p w14:paraId="5A27B1BE">
            <w:pPr>
              <w:adjustRightInd w:val="0"/>
              <w:snapToGrid w:val="0"/>
              <w:spacing w:line="360" w:lineRule="auto"/>
              <w:rPr>
                <w:rFonts w:eastAsia="微软雅黑"/>
                <w:sz w:val="22"/>
                <w:szCs w:val="22"/>
              </w:rPr>
            </w:pPr>
            <w:r>
              <w:rPr>
                <w:rFonts w:eastAsia="微软雅黑"/>
              </w:rPr>
              <w:t xml:space="preserve"> </w:t>
            </w:r>
          </w:p>
        </w:tc>
      </w:tr>
      <w:tr w14:paraId="50733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tcPr>
          <w:p w14:paraId="22CA234A">
            <w:pPr>
              <w:adjustRightInd w:val="0"/>
              <w:snapToGrid w:val="0"/>
              <w:spacing w:line="360" w:lineRule="auto"/>
              <w:rPr>
                <w:rFonts w:eastAsia="微软雅黑"/>
                <w:szCs w:val="21"/>
              </w:rPr>
            </w:pPr>
            <w:r>
              <w:rPr>
                <w:rFonts w:eastAsia="微软雅黑"/>
                <w:szCs w:val="21"/>
              </w:rPr>
              <w:t>Tumor Markers</w:t>
            </w:r>
          </w:p>
        </w:tc>
        <w:tc>
          <w:tcPr>
            <w:tcW w:w="770" w:type="dxa"/>
          </w:tcPr>
          <w:p w14:paraId="036E831E">
            <w:pPr>
              <w:adjustRightInd w:val="0"/>
              <w:snapToGrid w:val="0"/>
              <w:spacing w:line="360" w:lineRule="auto"/>
              <w:rPr>
                <w:rFonts w:eastAsia="微软雅黑"/>
                <w:sz w:val="22"/>
                <w:szCs w:val="22"/>
              </w:rPr>
            </w:pPr>
            <w:r>
              <w:rPr>
                <w:rFonts w:eastAsia="微软雅黑"/>
              </w:rPr>
              <w:t xml:space="preserve"> </w:t>
            </w:r>
          </w:p>
        </w:tc>
        <w:tc>
          <w:tcPr>
            <w:tcW w:w="769" w:type="dxa"/>
          </w:tcPr>
          <w:p w14:paraId="46B51E75">
            <w:pPr>
              <w:adjustRightInd w:val="0"/>
              <w:snapToGrid w:val="0"/>
              <w:spacing w:line="360" w:lineRule="auto"/>
              <w:rPr>
                <w:rFonts w:eastAsia="微软雅黑"/>
                <w:sz w:val="22"/>
                <w:szCs w:val="22"/>
              </w:rPr>
            </w:pPr>
            <w:r>
              <w:rPr>
                <w:rFonts w:eastAsia="微软雅黑"/>
              </w:rPr>
              <w:t xml:space="preserve"> </w:t>
            </w:r>
          </w:p>
        </w:tc>
        <w:tc>
          <w:tcPr>
            <w:tcW w:w="769" w:type="dxa"/>
          </w:tcPr>
          <w:p w14:paraId="299FB1E1">
            <w:pPr>
              <w:adjustRightInd w:val="0"/>
              <w:snapToGrid w:val="0"/>
              <w:spacing w:line="360" w:lineRule="auto"/>
              <w:rPr>
                <w:rFonts w:eastAsia="微软雅黑"/>
                <w:sz w:val="22"/>
                <w:szCs w:val="22"/>
              </w:rPr>
            </w:pPr>
            <w:r>
              <w:rPr>
                <w:rFonts w:eastAsia="微软雅黑"/>
              </w:rPr>
              <w:t xml:space="preserve"> </w:t>
            </w:r>
          </w:p>
        </w:tc>
        <w:tc>
          <w:tcPr>
            <w:tcW w:w="769" w:type="dxa"/>
          </w:tcPr>
          <w:p w14:paraId="1D7C1835">
            <w:pPr>
              <w:adjustRightInd w:val="0"/>
              <w:snapToGrid w:val="0"/>
              <w:spacing w:line="360" w:lineRule="auto"/>
              <w:rPr>
                <w:rFonts w:eastAsia="微软雅黑"/>
                <w:sz w:val="22"/>
                <w:szCs w:val="22"/>
              </w:rPr>
            </w:pPr>
            <w:r>
              <w:rPr>
                <w:rFonts w:eastAsia="微软雅黑"/>
              </w:rPr>
              <w:t xml:space="preserve"> </w:t>
            </w:r>
          </w:p>
        </w:tc>
        <w:tc>
          <w:tcPr>
            <w:tcW w:w="769" w:type="dxa"/>
          </w:tcPr>
          <w:p w14:paraId="78536191">
            <w:pPr>
              <w:adjustRightInd w:val="0"/>
              <w:snapToGrid w:val="0"/>
              <w:spacing w:line="360" w:lineRule="auto"/>
              <w:rPr>
                <w:rFonts w:eastAsia="微软雅黑"/>
                <w:sz w:val="22"/>
                <w:szCs w:val="22"/>
              </w:rPr>
            </w:pPr>
            <w:r>
              <w:rPr>
                <w:rFonts w:eastAsia="微软雅黑"/>
              </w:rPr>
              <w:t xml:space="preserve"> </w:t>
            </w:r>
          </w:p>
        </w:tc>
        <w:tc>
          <w:tcPr>
            <w:tcW w:w="769" w:type="dxa"/>
          </w:tcPr>
          <w:p w14:paraId="4260E448">
            <w:pPr>
              <w:adjustRightInd w:val="0"/>
              <w:snapToGrid w:val="0"/>
              <w:spacing w:line="360" w:lineRule="auto"/>
              <w:rPr>
                <w:rFonts w:eastAsia="微软雅黑"/>
                <w:sz w:val="22"/>
                <w:szCs w:val="22"/>
              </w:rPr>
            </w:pPr>
            <w:r>
              <w:rPr>
                <w:rFonts w:eastAsia="微软雅黑"/>
              </w:rPr>
              <w:t xml:space="preserve"> </w:t>
            </w:r>
          </w:p>
        </w:tc>
        <w:tc>
          <w:tcPr>
            <w:tcW w:w="769" w:type="dxa"/>
          </w:tcPr>
          <w:p w14:paraId="3ACD0097">
            <w:pPr>
              <w:adjustRightInd w:val="0"/>
              <w:snapToGrid w:val="0"/>
              <w:spacing w:line="360" w:lineRule="auto"/>
              <w:rPr>
                <w:rFonts w:eastAsia="微软雅黑"/>
                <w:sz w:val="22"/>
                <w:szCs w:val="22"/>
              </w:rPr>
            </w:pPr>
            <w:r>
              <w:rPr>
                <w:rFonts w:eastAsia="微软雅黑"/>
              </w:rPr>
              <w:t xml:space="preserve"> </w:t>
            </w:r>
          </w:p>
        </w:tc>
        <w:tc>
          <w:tcPr>
            <w:tcW w:w="769" w:type="dxa"/>
          </w:tcPr>
          <w:p w14:paraId="6B914D0C">
            <w:pPr>
              <w:adjustRightInd w:val="0"/>
              <w:snapToGrid w:val="0"/>
              <w:spacing w:line="360" w:lineRule="auto"/>
              <w:rPr>
                <w:rFonts w:eastAsia="微软雅黑"/>
                <w:sz w:val="22"/>
                <w:szCs w:val="22"/>
              </w:rPr>
            </w:pPr>
            <w:r>
              <w:rPr>
                <w:rFonts w:eastAsia="微软雅黑"/>
              </w:rPr>
              <w:t xml:space="preserve"> </w:t>
            </w:r>
          </w:p>
        </w:tc>
        <w:tc>
          <w:tcPr>
            <w:tcW w:w="769" w:type="dxa"/>
          </w:tcPr>
          <w:p w14:paraId="5C70344D">
            <w:pPr>
              <w:adjustRightInd w:val="0"/>
              <w:snapToGrid w:val="0"/>
              <w:spacing w:line="360" w:lineRule="auto"/>
              <w:rPr>
                <w:rFonts w:eastAsia="微软雅黑"/>
                <w:sz w:val="22"/>
                <w:szCs w:val="22"/>
              </w:rPr>
            </w:pPr>
            <w:r>
              <w:rPr>
                <w:rFonts w:eastAsia="微软雅黑"/>
              </w:rPr>
              <w:t xml:space="preserve"> </w:t>
            </w:r>
          </w:p>
        </w:tc>
        <w:tc>
          <w:tcPr>
            <w:tcW w:w="769" w:type="dxa"/>
          </w:tcPr>
          <w:p w14:paraId="0265C05F">
            <w:pPr>
              <w:adjustRightInd w:val="0"/>
              <w:snapToGrid w:val="0"/>
              <w:spacing w:line="360" w:lineRule="auto"/>
              <w:rPr>
                <w:rFonts w:eastAsia="微软雅黑"/>
                <w:sz w:val="22"/>
                <w:szCs w:val="22"/>
              </w:rPr>
            </w:pPr>
            <w:r>
              <w:rPr>
                <w:rFonts w:eastAsia="微软雅黑"/>
              </w:rPr>
              <w:t xml:space="preserve"> </w:t>
            </w:r>
          </w:p>
        </w:tc>
      </w:tr>
      <w:tr w14:paraId="1E4E4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tcPr>
          <w:p w14:paraId="750D9EDE">
            <w:pPr>
              <w:adjustRightInd w:val="0"/>
              <w:snapToGrid w:val="0"/>
              <w:spacing w:line="360" w:lineRule="auto"/>
              <w:rPr>
                <w:rFonts w:eastAsia="微软雅黑"/>
                <w:szCs w:val="21"/>
              </w:rPr>
            </w:pPr>
            <w:r>
              <w:rPr>
                <w:rFonts w:eastAsia="微软雅黑"/>
                <w:szCs w:val="21"/>
              </w:rPr>
              <w:t>Chest slices</w:t>
            </w:r>
          </w:p>
        </w:tc>
        <w:tc>
          <w:tcPr>
            <w:tcW w:w="770" w:type="dxa"/>
          </w:tcPr>
          <w:p w14:paraId="5D100AB9">
            <w:pPr>
              <w:adjustRightInd w:val="0"/>
              <w:snapToGrid w:val="0"/>
              <w:spacing w:line="360" w:lineRule="auto"/>
              <w:rPr>
                <w:rFonts w:eastAsia="微软雅黑"/>
                <w:sz w:val="22"/>
                <w:szCs w:val="22"/>
              </w:rPr>
            </w:pPr>
            <w:r>
              <w:rPr>
                <w:rFonts w:eastAsia="微软雅黑"/>
              </w:rPr>
              <w:t xml:space="preserve"> </w:t>
            </w:r>
          </w:p>
        </w:tc>
        <w:tc>
          <w:tcPr>
            <w:tcW w:w="769" w:type="dxa"/>
          </w:tcPr>
          <w:p w14:paraId="4189DB57">
            <w:pPr>
              <w:adjustRightInd w:val="0"/>
              <w:snapToGrid w:val="0"/>
              <w:spacing w:line="360" w:lineRule="auto"/>
              <w:rPr>
                <w:rFonts w:eastAsia="微软雅黑"/>
                <w:sz w:val="22"/>
                <w:szCs w:val="22"/>
              </w:rPr>
            </w:pPr>
            <w:r>
              <w:rPr>
                <w:rFonts w:eastAsia="微软雅黑"/>
              </w:rPr>
              <w:t xml:space="preserve"> </w:t>
            </w:r>
          </w:p>
        </w:tc>
        <w:tc>
          <w:tcPr>
            <w:tcW w:w="769" w:type="dxa"/>
          </w:tcPr>
          <w:p w14:paraId="46AE085C">
            <w:pPr>
              <w:adjustRightInd w:val="0"/>
              <w:snapToGrid w:val="0"/>
              <w:spacing w:line="360" w:lineRule="auto"/>
              <w:rPr>
                <w:rFonts w:eastAsia="微软雅黑"/>
                <w:sz w:val="22"/>
                <w:szCs w:val="22"/>
              </w:rPr>
            </w:pPr>
            <w:r>
              <w:rPr>
                <w:rFonts w:eastAsia="微软雅黑"/>
              </w:rPr>
              <w:t xml:space="preserve"> </w:t>
            </w:r>
          </w:p>
        </w:tc>
        <w:tc>
          <w:tcPr>
            <w:tcW w:w="769" w:type="dxa"/>
          </w:tcPr>
          <w:p w14:paraId="20A9D31E">
            <w:pPr>
              <w:adjustRightInd w:val="0"/>
              <w:snapToGrid w:val="0"/>
              <w:spacing w:line="360" w:lineRule="auto"/>
              <w:rPr>
                <w:rFonts w:eastAsia="微软雅黑"/>
                <w:sz w:val="22"/>
                <w:szCs w:val="22"/>
              </w:rPr>
            </w:pPr>
            <w:r>
              <w:rPr>
                <w:rFonts w:eastAsia="微软雅黑"/>
              </w:rPr>
              <w:t xml:space="preserve"> </w:t>
            </w:r>
          </w:p>
        </w:tc>
        <w:tc>
          <w:tcPr>
            <w:tcW w:w="769" w:type="dxa"/>
          </w:tcPr>
          <w:p w14:paraId="2BF2B686">
            <w:pPr>
              <w:adjustRightInd w:val="0"/>
              <w:snapToGrid w:val="0"/>
              <w:spacing w:line="360" w:lineRule="auto"/>
              <w:rPr>
                <w:rFonts w:eastAsia="微软雅黑"/>
                <w:sz w:val="22"/>
                <w:szCs w:val="22"/>
              </w:rPr>
            </w:pPr>
            <w:r>
              <w:rPr>
                <w:rFonts w:eastAsia="微软雅黑"/>
              </w:rPr>
              <w:t xml:space="preserve"> </w:t>
            </w:r>
          </w:p>
        </w:tc>
        <w:tc>
          <w:tcPr>
            <w:tcW w:w="769" w:type="dxa"/>
          </w:tcPr>
          <w:p w14:paraId="3131050A">
            <w:pPr>
              <w:adjustRightInd w:val="0"/>
              <w:snapToGrid w:val="0"/>
              <w:spacing w:line="360" w:lineRule="auto"/>
              <w:rPr>
                <w:rFonts w:eastAsia="微软雅黑"/>
                <w:sz w:val="22"/>
                <w:szCs w:val="22"/>
              </w:rPr>
            </w:pPr>
            <w:r>
              <w:rPr>
                <w:rFonts w:eastAsia="微软雅黑"/>
              </w:rPr>
              <w:t xml:space="preserve"> </w:t>
            </w:r>
          </w:p>
        </w:tc>
        <w:tc>
          <w:tcPr>
            <w:tcW w:w="769" w:type="dxa"/>
          </w:tcPr>
          <w:p w14:paraId="4223655C">
            <w:pPr>
              <w:adjustRightInd w:val="0"/>
              <w:snapToGrid w:val="0"/>
              <w:spacing w:line="360" w:lineRule="auto"/>
              <w:rPr>
                <w:rFonts w:eastAsia="微软雅黑"/>
                <w:sz w:val="22"/>
                <w:szCs w:val="22"/>
              </w:rPr>
            </w:pPr>
            <w:r>
              <w:rPr>
                <w:rFonts w:eastAsia="微软雅黑"/>
              </w:rPr>
              <w:t xml:space="preserve"> </w:t>
            </w:r>
          </w:p>
        </w:tc>
        <w:tc>
          <w:tcPr>
            <w:tcW w:w="769" w:type="dxa"/>
          </w:tcPr>
          <w:p w14:paraId="1CEC8C35">
            <w:pPr>
              <w:adjustRightInd w:val="0"/>
              <w:snapToGrid w:val="0"/>
              <w:spacing w:line="360" w:lineRule="auto"/>
              <w:rPr>
                <w:rFonts w:eastAsia="微软雅黑"/>
                <w:sz w:val="22"/>
                <w:szCs w:val="22"/>
              </w:rPr>
            </w:pPr>
            <w:r>
              <w:rPr>
                <w:rFonts w:eastAsia="微软雅黑"/>
              </w:rPr>
              <w:t xml:space="preserve"> </w:t>
            </w:r>
          </w:p>
        </w:tc>
        <w:tc>
          <w:tcPr>
            <w:tcW w:w="769" w:type="dxa"/>
          </w:tcPr>
          <w:p w14:paraId="310E0883">
            <w:pPr>
              <w:adjustRightInd w:val="0"/>
              <w:snapToGrid w:val="0"/>
              <w:spacing w:line="360" w:lineRule="auto"/>
              <w:rPr>
                <w:rFonts w:eastAsia="微软雅黑"/>
                <w:sz w:val="22"/>
                <w:szCs w:val="22"/>
              </w:rPr>
            </w:pPr>
            <w:r>
              <w:rPr>
                <w:rFonts w:eastAsia="微软雅黑"/>
              </w:rPr>
              <w:t xml:space="preserve"> </w:t>
            </w:r>
          </w:p>
        </w:tc>
        <w:tc>
          <w:tcPr>
            <w:tcW w:w="769" w:type="dxa"/>
          </w:tcPr>
          <w:p w14:paraId="44882BCB">
            <w:pPr>
              <w:adjustRightInd w:val="0"/>
              <w:snapToGrid w:val="0"/>
              <w:spacing w:line="360" w:lineRule="auto"/>
              <w:rPr>
                <w:rFonts w:eastAsia="微软雅黑"/>
                <w:sz w:val="22"/>
                <w:szCs w:val="22"/>
              </w:rPr>
            </w:pPr>
            <w:r>
              <w:rPr>
                <w:rFonts w:eastAsia="微软雅黑"/>
              </w:rPr>
              <w:t xml:space="preserve"> </w:t>
            </w:r>
          </w:p>
        </w:tc>
      </w:tr>
      <w:tr w14:paraId="46C3A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tcPr>
          <w:p w14:paraId="02AD1751">
            <w:pPr>
              <w:adjustRightInd w:val="0"/>
              <w:snapToGrid w:val="0"/>
              <w:spacing w:line="360" w:lineRule="auto"/>
              <w:rPr>
                <w:rFonts w:eastAsia="微软雅黑"/>
                <w:szCs w:val="21"/>
              </w:rPr>
            </w:pPr>
            <w:r>
              <w:rPr>
                <w:rFonts w:eastAsia="微软雅黑"/>
                <w:szCs w:val="21"/>
              </w:rPr>
              <w:t>Upper digestive tract endoscopy</w:t>
            </w:r>
          </w:p>
        </w:tc>
        <w:tc>
          <w:tcPr>
            <w:tcW w:w="770" w:type="dxa"/>
            <w:tcBorders>
              <w:tl2br w:val="single" w:color="auto" w:sz="4" w:space="0"/>
            </w:tcBorders>
          </w:tcPr>
          <w:p w14:paraId="00AF9597">
            <w:pPr>
              <w:adjustRightInd w:val="0"/>
              <w:snapToGrid w:val="0"/>
              <w:spacing w:line="360" w:lineRule="auto"/>
              <w:rPr>
                <w:rFonts w:eastAsia="微软雅黑"/>
                <w:sz w:val="22"/>
                <w:szCs w:val="22"/>
              </w:rPr>
            </w:pPr>
            <w:r>
              <w:rPr>
                <w:rFonts w:eastAsia="微软雅黑"/>
              </w:rPr>
              <w:t xml:space="preserve"> </w:t>
            </w:r>
          </w:p>
        </w:tc>
        <w:tc>
          <w:tcPr>
            <w:tcW w:w="769" w:type="dxa"/>
            <w:tcBorders>
              <w:tl2br w:val="single" w:color="auto" w:sz="4" w:space="0"/>
            </w:tcBorders>
          </w:tcPr>
          <w:p w14:paraId="2AB573D0">
            <w:pPr>
              <w:adjustRightInd w:val="0"/>
              <w:snapToGrid w:val="0"/>
              <w:spacing w:line="360" w:lineRule="auto"/>
              <w:rPr>
                <w:rFonts w:eastAsia="微软雅黑"/>
                <w:sz w:val="22"/>
                <w:szCs w:val="22"/>
              </w:rPr>
            </w:pPr>
            <w:r>
              <w:rPr>
                <w:rFonts w:eastAsia="微软雅黑"/>
              </w:rPr>
              <w:t xml:space="preserve"> </w:t>
            </w:r>
          </w:p>
        </w:tc>
        <w:tc>
          <w:tcPr>
            <w:tcW w:w="769" w:type="dxa"/>
            <w:tcBorders>
              <w:tl2br w:val="single" w:color="auto" w:sz="4" w:space="0"/>
            </w:tcBorders>
          </w:tcPr>
          <w:p w14:paraId="3384A6D9">
            <w:pPr>
              <w:adjustRightInd w:val="0"/>
              <w:snapToGrid w:val="0"/>
              <w:spacing w:line="360" w:lineRule="auto"/>
              <w:rPr>
                <w:rFonts w:eastAsia="微软雅黑"/>
                <w:sz w:val="22"/>
                <w:szCs w:val="22"/>
              </w:rPr>
            </w:pPr>
            <w:r>
              <w:rPr>
                <w:rFonts w:eastAsia="微软雅黑"/>
              </w:rPr>
              <w:t xml:space="preserve"> </w:t>
            </w:r>
          </w:p>
        </w:tc>
        <w:tc>
          <w:tcPr>
            <w:tcW w:w="769" w:type="dxa"/>
          </w:tcPr>
          <w:p w14:paraId="6C812007">
            <w:pPr>
              <w:adjustRightInd w:val="0"/>
              <w:snapToGrid w:val="0"/>
              <w:spacing w:line="360" w:lineRule="auto"/>
              <w:rPr>
                <w:rFonts w:eastAsia="微软雅黑"/>
                <w:sz w:val="22"/>
                <w:szCs w:val="22"/>
              </w:rPr>
            </w:pPr>
            <w:r>
              <w:rPr>
                <w:rFonts w:eastAsia="微软雅黑"/>
              </w:rPr>
              <w:t xml:space="preserve"> </w:t>
            </w:r>
          </w:p>
        </w:tc>
        <w:tc>
          <w:tcPr>
            <w:tcW w:w="769" w:type="dxa"/>
            <w:tcBorders>
              <w:tl2br w:val="single" w:color="auto" w:sz="4" w:space="0"/>
            </w:tcBorders>
          </w:tcPr>
          <w:p w14:paraId="00F82737">
            <w:pPr>
              <w:adjustRightInd w:val="0"/>
              <w:snapToGrid w:val="0"/>
              <w:spacing w:line="360" w:lineRule="auto"/>
              <w:rPr>
                <w:rFonts w:eastAsia="微软雅黑"/>
                <w:sz w:val="22"/>
                <w:szCs w:val="22"/>
              </w:rPr>
            </w:pPr>
            <w:r>
              <w:rPr>
                <w:rFonts w:eastAsia="微软雅黑"/>
              </w:rPr>
              <w:t xml:space="preserve"> </w:t>
            </w:r>
          </w:p>
        </w:tc>
        <w:tc>
          <w:tcPr>
            <w:tcW w:w="769" w:type="dxa"/>
            <w:tcBorders>
              <w:tl2br w:val="single" w:color="auto" w:sz="4" w:space="0"/>
            </w:tcBorders>
          </w:tcPr>
          <w:p w14:paraId="3B4DBB90">
            <w:pPr>
              <w:adjustRightInd w:val="0"/>
              <w:snapToGrid w:val="0"/>
              <w:spacing w:line="360" w:lineRule="auto"/>
              <w:rPr>
                <w:rFonts w:eastAsia="微软雅黑"/>
                <w:sz w:val="22"/>
                <w:szCs w:val="22"/>
              </w:rPr>
            </w:pPr>
            <w:r>
              <w:rPr>
                <w:rFonts w:eastAsia="微软雅黑"/>
              </w:rPr>
              <w:t xml:space="preserve"> </w:t>
            </w:r>
          </w:p>
        </w:tc>
        <w:tc>
          <w:tcPr>
            <w:tcW w:w="769" w:type="dxa"/>
            <w:tcBorders>
              <w:tl2br w:val="single" w:color="auto" w:sz="4" w:space="0"/>
            </w:tcBorders>
          </w:tcPr>
          <w:p w14:paraId="1C1E77EB">
            <w:pPr>
              <w:adjustRightInd w:val="0"/>
              <w:snapToGrid w:val="0"/>
              <w:spacing w:line="360" w:lineRule="auto"/>
              <w:rPr>
                <w:rFonts w:eastAsia="微软雅黑"/>
                <w:sz w:val="22"/>
                <w:szCs w:val="22"/>
              </w:rPr>
            </w:pPr>
            <w:r>
              <w:rPr>
                <w:rFonts w:eastAsia="微软雅黑"/>
              </w:rPr>
              <w:t xml:space="preserve"> </w:t>
            </w:r>
          </w:p>
        </w:tc>
        <w:tc>
          <w:tcPr>
            <w:tcW w:w="769" w:type="dxa"/>
          </w:tcPr>
          <w:p w14:paraId="201509F1">
            <w:pPr>
              <w:adjustRightInd w:val="0"/>
              <w:snapToGrid w:val="0"/>
              <w:spacing w:line="360" w:lineRule="auto"/>
              <w:rPr>
                <w:rFonts w:eastAsia="微软雅黑"/>
                <w:sz w:val="22"/>
                <w:szCs w:val="22"/>
              </w:rPr>
            </w:pPr>
            <w:r>
              <w:rPr>
                <w:rFonts w:eastAsia="微软雅黑"/>
              </w:rPr>
              <w:t xml:space="preserve"> </w:t>
            </w:r>
          </w:p>
        </w:tc>
        <w:tc>
          <w:tcPr>
            <w:tcW w:w="769" w:type="dxa"/>
            <w:tcBorders>
              <w:tl2br w:val="single" w:color="auto" w:sz="4" w:space="0"/>
            </w:tcBorders>
          </w:tcPr>
          <w:p w14:paraId="4CBE3CC4">
            <w:pPr>
              <w:adjustRightInd w:val="0"/>
              <w:snapToGrid w:val="0"/>
              <w:spacing w:line="360" w:lineRule="auto"/>
              <w:rPr>
                <w:rFonts w:eastAsia="微软雅黑"/>
                <w:sz w:val="22"/>
                <w:szCs w:val="22"/>
              </w:rPr>
            </w:pPr>
            <w:r>
              <w:rPr>
                <w:rFonts w:eastAsia="微软雅黑"/>
              </w:rPr>
              <w:t xml:space="preserve"> </w:t>
            </w:r>
          </w:p>
        </w:tc>
        <w:tc>
          <w:tcPr>
            <w:tcW w:w="769" w:type="dxa"/>
          </w:tcPr>
          <w:p w14:paraId="28C4AA17">
            <w:pPr>
              <w:adjustRightInd w:val="0"/>
              <w:snapToGrid w:val="0"/>
              <w:spacing w:line="360" w:lineRule="auto"/>
              <w:rPr>
                <w:rFonts w:eastAsia="微软雅黑"/>
                <w:sz w:val="22"/>
                <w:szCs w:val="22"/>
              </w:rPr>
            </w:pPr>
            <w:r>
              <w:rPr>
                <w:rFonts w:eastAsia="微软雅黑"/>
              </w:rPr>
              <w:t xml:space="preserve"> </w:t>
            </w:r>
          </w:p>
        </w:tc>
      </w:tr>
      <w:tr w14:paraId="428C4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tcPr>
          <w:p w14:paraId="0BA925E4">
            <w:pPr>
              <w:adjustRightInd w:val="0"/>
              <w:snapToGrid w:val="0"/>
              <w:spacing w:line="360" w:lineRule="auto"/>
              <w:jc w:val="left"/>
              <w:rPr>
                <w:rFonts w:eastAsia="微软雅黑"/>
                <w:szCs w:val="21"/>
              </w:rPr>
            </w:pPr>
            <w:r>
              <w:rPr>
                <w:rFonts w:eastAsia="微软雅黑"/>
                <w:szCs w:val="21"/>
              </w:rPr>
              <w:t>Abdominal CT</w:t>
            </w:r>
          </w:p>
        </w:tc>
        <w:tc>
          <w:tcPr>
            <w:tcW w:w="770" w:type="dxa"/>
            <w:tcBorders>
              <w:tl2br w:val="single" w:color="auto" w:sz="4" w:space="0"/>
            </w:tcBorders>
          </w:tcPr>
          <w:p w14:paraId="457A3BCA">
            <w:pPr>
              <w:adjustRightInd w:val="0"/>
              <w:snapToGrid w:val="0"/>
              <w:spacing w:line="360" w:lineRule="auto"/>
              <w:rPr>
                <w:rFonts w:eastAsia="微软雅黑"/>
                <w:sz w:val="22"/>
                <w:szCs w:val="22"/>
              </w:rPr>
            </w:pPr>
            <w:r>
              <w:rPr>
                <w:rFonts w:eastAsia="微软雅黑"/>
              </w:rPr>
              <w:t xml:space="preserve"> </w:t>
            </w:r>
          </w:p>
        </w:tc>
        <w:tc>
          <w:tcPr>
            <w:tcW w:w="769" w:type="dxa"/>
            <w:tcBorders>
              <w:bottom w:val="single" w:color="auto" w:sz="4" w:space="0"/>
            </w:tcBorders>
          </w:tcPr>
          <w:p w14:paraId="7CA91263">
            <w:pPr>
              <w:adjustRightInd w:val="0"/>
              <w:snapToGrid w:val="0"/>
              <w:spacing w:line="360" w:lineRule="auto"/>
              <w:rPr>
                <w:rFonts w:eastAsia="微软雅黑"/>
                <w:sz w:val="22"/>
                <w:szCs w:val="22"/>
              </w:rPr>
            </w:pPr>
            <w:r>
              <w:rPr>
                <w:rFonts w:eastAsia="微软雅黑"/>
              </w:rPr>
              <w:t xml:space="preserve"> </w:t>
            </w:r>
          </w:p>
        </w:tc>
        <w:tc>
          <w:tcPr>
            <w:tcW w:w="769" w:type="dxa"/>
            <w:tcBorders>
              <w:tl2br w:val="single" w:color="auto" w:sz="4" w:space="0"/>
            </w:tcBorders>
          </w:tcPr>
          <w:p w14:paraId="6340AB53">
            <w:pPr>
              <w:adjustRightInd w:val="0"/>
              <w:snapToGrid w:val="0"/>
              <w:spacing w:line="360" w:lineRule="auto"/>
              <w:rPr>
                <w:rFonts w:eastAsia="微软雅黑"/>
                <w:sz w:val="22"/>
                <w:szCs w:val="22"/>
              </w:rPr>
            </w:pPr>
            <w:r>
              <w:rPr>
                <w:rFonts w:eastAsia="微软雅黑"/>
              </w:rPr>
              <w:t xml:space="preserve"> </w:t>
            </w:r>
          </w:p>
        </w:tc>
        <w:tc>
          <w:tcPr>
            <w:tcW w:w="769" w:type="dxa"/>
          </w:tcPr>
          <w:p w14:paraId="1A382C07">
            <w:pPr>
              <w:adjustRightInd w:val="0"/>
              <w:snapToGrid w:val="0"/>
              <w:spacing w:line="360" w:lineRule="auto"/>
              <w:rPr>
                <w:rFonts w:eastAsia="微软雅黑"/>
                <w:sz w:val="22"/>
                <w:szCs w:val="22"/>
              </w:rPr>
            </w:pPr>
            <w:r>
              <w:rPr>
                <w:rFonts w:eastAsia="微软雅黑"/>
              </w:rPr>
              <w:t xml:space="preserve"> </w:t>
            </w:r>
          </w:p>
        </w:tc>
        <w:tc>
          <w:tcPr>
            <w:tcW w:w="769" w:type="dxa"/>
            <w:tcBorders>
              <w:tl2br w:val="single" w:color="auto" w:sz="4" w:space="0"/>
            </w:tcBorders>
          </w:tcPr>
          <w:p w14:paraId="3A76EF4B">
            <w:pPr>
              <w:adjustRightInd w:val="0"/>
              <w:snapToGrid w:val="0"/>
              <w:spacing w:line="360" w:lineRule="auto"/>
              <w:rPr>
                <w:rFonts w:eastAsia="微软雅黑"/>
                <w:sz w:val="22"/>
                <w:szCs w:val="22"/>
              </w:rPr>
            </w:pPr>
            <w:r>
              <w:rPr>
                <w:rFonts w:eastAsia="微软雅黑"/>
              </w:rPr>
              <w:t xml:space="preserve"> </w:t>
            </w:r>
          </w:p>
        </w:tc>
        <w:tc>
          <w:tcPr>
            <w:tcW w:w="769" w:type="dxa"/>
          </w:tcPr>
          <w:p w14:paraId="7F29F134">
            <w:pPr>
              <w:adjustRightInd w:val="0"/>
              <w:snapToGrid w:val="0"/>
              <w:spacing w:line="360" w:lineRule="auto"/>
              <w:rPr>
                <w:rFonts w:eastAsia="微软雅黑"/>
                <w:sz w:val="22"/>
                <w:szCs w:val="22"/>
              </w:rPr>
            </w:pPr>
            <w:r>
              <w:rPr>
                <w:rFonts w:eastAsia="微软雅黑"/>
              </w:rPr>
              <w:t xml:space="preserve"> </w:t>
            </w:r>
          </w:p>
        </w:tc>
        <w:tc>
          <w:tcPr>
            <w:tcW w:w="769" w:type="dxa"/>
            <w:tcBorders>
              <w:tl2br w:val="single" w:color="auto" w:sz="4" w:space="0"/>
            </w:tcBorders>
          </w:tcPr>
          <w:p w14:paraId="239D87E9">
            <w:pPr>
              <w:adjustRightInd w:val="0"/>
              <w:snapToGrid w:val="0"/>
              <w:spacing w:line="360" w:lineRule="auto"/>
              <w:rPr>
                <w:rFonts w:eastAsia="微软雅黑"/>
                <w:sz w:val="22"/>
                <w:szCs w:val="22"/>
              </w:rPr>
            </w:pPr>
            <w:r>
              <w:rPr>
                <w:rFonts w:eastAsia="微软雅黑"/>
              </w:rPr>
              <w:t xml:space="preserve"> </w:t>
            </w:r>
          </w:p>
        </w:tc>
        <w:tc>
          <w:tcPr>
            <w:tcW w:w="769" w:type="dxa"/>
          </w:tcPr>
          <w:p w14:paraId="3260BE76">
            <w:pPr>
              <w:adjustRightInd w:val="0"/>
              <w:snapToGrid w:val="0"/>
              <w:spacing w:line="360" w:lineRule="auto"/>
              <w:rPr>
                <w:rFonts w:eastAsia="微软雅黑"/>
                <w:sz w:val="22"/>
                <w:szCs w:val="22"/>
              </w:rPr>
            </w:pPr>
            <w:r>
              <w:rPr>
                <w:rFonts w:eastAsia="微软雅黑"/>
              </w:rPr>
              <w:t xml:space="preserve"> </w:t>
            </w:r>
          </w:p>
        </w:tc>
        <w:tc>
          <w:tcPr>
            <w:tcW w:w="769" w:type="dxa"/>
          </w:tcPr>
          <w:p w14:paraId="26D1A062">
            <w:pPr>
              <w:adjustRightInd w:val="0"/>
              <w:snapToGrid w:val="0"/>
              <w:spacing w:line="360" w:lineRule="auto"/>
              <w:rPr>
                <w:rFonts w:eastAsia="微软雅黑"/>
                <w:sz w:val="22"/>
                <w:szCs w:val="22"/>
              </w:rPr>
            </w:pPr>
            <w:r>
              <w:rPr>
                <w:rFonts w:eastAsia="微软雅黑"/>
              </w:rPr>
              <w:t xml:space="preserve"> </w:t>
            </w:r>
          </w:p>
        </w:tc>
        <w:tc>
          <w:tcPr>
            <w:tcW w:w="769" w:type="dxa"/>
          </w:tcPr>
          <w:p w14:paraId="4B1DE053">
            <w:pPr>
              <w:adjustRightInd w:val="0"/>
              <w:snapToGrid w:val="0"/>
              <w:spacing w:line="360" w:lineRule="auto"/>
              <w:rPr>
                <w:rFonts w:eastAsia="微软雅黑"/>
                <w:sz w:val="22"/>
                <w:szCs w:val="22"/>
              </w:rPr>
            </w:pPr>
            <w:r>
              <w:rPr>
                <w:rFonts w:eastAsia="微软雅黑"/>
              </w:rPr>
              <w:t xml:space="preserve"> </w:t>
            </w:r>
          </w:p>
        </w:tc>
      </w:tr>
      <w:tr w14:paraId="5D733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tcPr>
          <w:p w14:paraId="06BE2E74">
            <w:pPr>
              <w:adjustRightInd w:val="0"/>
              <w:snapToGrid w:val="0"/>
              <w:spacing w:line="360" w:lineRule="auto"/>
              <w:ind w:left="420" w:hanging="420" w:hangingChars="200"/>
              <w:jc w:val="left"/>
              <w:rPr>
                <w:rFonts w:eastAsia="微软雅黑"/>
                <w:szCs w:val="21"/>
              </w:rPr>
            </w:pPr>
            <w:r>
              <w:rPr>
                <w:rFonts w:eastAsia="微软雅黑"/>
                <w:szCs w:val="21"/>
              </w:rPr>
              <w:t>Full abdominal ultrasound</w:t>
            </w:r>
          </w:p>
        </w:tc>
        <w:tc>
          <w:tcPr>
            <w:tcW w:w="770" w:type="dxa"/>
          </w:tcPr>
          <w:p w14:paraId="7D6DEBC9">
            <w:pPr>
              <w:adjustRightInd w:val="0"/>
              <w:snapToGrid w:val="0"/>
              <w:spacing w:line="360" w:lineRule="auto"/>
              <w:rPr>
                <w:rFonts w:eastAsia="微软雅黑"/>
              </w:rPr>
            </w:pPr>
          </w:p>
        </w:tc>
        <w:tc>
          <w:tcPr>
            <w:tcW w:w="769" w:type="dxa"/>
            <w:tcBorders>
              <w:bottom w:val="single" w:color="auto" w:sz="4" w:space="0"/>
              <w:tl2br w:val="single" w:color="auto" w:sz="4" w:space="0"/>
            </w:tcBorders>
          </w:tcPr>
          <w:p w14:paraId="0E42B5FB">
            <w:pPr>
              <w:adjustRightInd w:val="0"/>
              <w:snapToGrid w:val="0"/>
              <w:spacing w:line="360" w:lineRule="auto"/>
              <w:rPr>
                <w:rFonts w:eastAsia="微软雅黑"/>
              </w:rPr>
            </w:pPr>
          </w:p>
        </w:tc>
        <w:tc>
          <w:tcPr>
            <w:tcW w:w="769" w:type="dxa"/>
          </w:tcPr>
          <w:p w14:paraId="5519F98C">
            <w:pPr>
              <w:adjustRightInd w:val="0"/>
              <w:snapToGrid w:val="0"/>
              <w:spacing w:line="360" w:lineRule="auto"/>
              <w:rPr>
                <w:rFonts w:eastAsia="微软雅黑"/>
              </w:rPr>
            </w:pPr>
          </w:p>
        </w:tc>
        <w:tc>
          <w:tcPr>
            <w:tcW w:w="769" w:type="dxa"/>
            <w:tcBorders>
              <w:tl2br w:val="single" w:color="auto" w:sz="4" w:space="0"/>
            </w:tcBorders>
          </w:tcPr>
          <w:p w14:paraId="393C9C0A">
            <w:pPr>
              <w:adjustRightInd w:val="0"/>
              <w:snapToGrid w:val="0"/>
              <w:spacing w:line="360" w:lineRule="auto"/>
              <w:rPr>
                <w:rFonts w:eastAsia="微软雅黑"/>
              </w:rPr>
            </w:pPr>
          </w:p>
        </w:tc>
        <w:tc>
          <w:tcPr>
            <w:tcW w:w="769" w:type="dxa"/>
          </w:tcPr>
          <w:p w14:paraId="53E9F2C2">
            <w:pPr>
              <w:adjustRightInd w:val="0"/>
              <w:snapToGrid w:val="0"/>
              <w:spacing w:line="360" w:lineRule="auto"/>
              <w:rPr>
                <w:rFonts w:eastAsia="微软雅黑"/>
              </w:rPr>
            </w:pPr>
          </w:p>
        </w:tc>
        <w:tc>
          <w:tcPr>
            <w:tcW w:w="769" w:type="dxa"/>
            <w:tcBorders>
              <w:tl2br w:val="single" w:color="auto" w:sz="4" w:space="0"/>
            </w:tcBorders>
          </w:tcPr>
          <w:p w14:paraId="77115B04">
            <w:pPr>
              <w:adjustRightInd w:val="0"/>
              <w:snapToGrid w:val="0"/>
              <w:spacing w:line="360" w:lineRule="auto"/>
              <w:rPr>
                <w:rFonts w:eastAsia="微软雅黑"/>
              </w:rPr>
            </w:pPr>
          </w:p>
        </w:tc>
        <w:tc>
          <w:tcPr>
            <w:tcW w:w="769" w:type="dxa"/>
          </w:tcPr>
          <w:p w14:paraId="6D43D431">
            <w:pPr>
              <w:adjustRightInd w:val="0"/>
              <w:snapToGrid w:val="0"/>
              <w:spacing w:line="360" w:lineRule="auto"/>
              <w:rPr>
                <w:rFonts w:eastAsia="微软雅黑"/>
              </w:rPr>
            </w:pPr>
          </w:p>
        </w:tc>
        <w:tc>
          <w:tcPr>
            <w:tcW w:w="769" w:type="dxa"/>
            <w:tcBorders>
              <w:tl2br w:val="single" w:color="auto" w:sz="4" w:space="0"/>
            </w:tcBorders>
          </w:tcPr>
          <w:p w14:paraId="17BB3126">
            <w:pPr>
              <w:adjustRightInd w:val="0"/>
              <w:snapToGrid w:val="0"/>
              <w:spacing w:line="360" w:lineRule="auto"/>
              <w:rPr>
                <w:rFonts w:eastAsia="微软雅黑"/>
              </w:rPr>
            </w:pPr>
          </w:p>
        </w:tc>
        <w:tc>
          <w:tcPr>
            <w:tcW w:w="769" w:type="dxa"/>
            <w:tcBorders>
              <w:tl2br w:val="single" w:color="auto" w:sz="4" w:space="0"/>
            </w:tcBorders>
          </w:tcPr>
          <w:p w14:paraId="65B092FA">
            <w:pPr>
              <w:adjustRightInd w:val="0"/>
              <w:snapToGrid w:val="0"/>
              <w:spacing w:line="360" w:lineRule="auto"/>
              <w:rPr>
                <w:rFonts w:eastAsia="微软雅黑"/>
              </w:rPr>
            </w:pPr>
          </w:p>
        </w:tc>
        <w:tc>
          <w:tcPr>
            <w:tcW w:w="769" w:type="dxa"/>
            <w:tcBorders>
              <w:tl2br w:val="single" w:color="auto" w:sz="4" w:space="0"/>
            </w:tcBorders>
          </w:tcPr>
          <w:p w14:paraId="7195BF34">
            <w:pPr>
              <w:adjustRightInd w:val="0"/>
              <w:snapToGrid w:val="0"/>
              <w:spacing w:line="360" w:lineRule="auto"/>
              <w:rPr>
                <w:rFonts w:eastAsia="微软雅黑"/>
              </w:rPr>
            </w:pPr>
          </w:p>
        </w:tc>
      </w:tr>
      <w:tr w14:paraId="64835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560" w:type="dxa"/>
          </w:tcPr>
          <w:p w14:paraId="74647A79">
            <w:pPr>
              <w:adjustRightInd w:val="0"/>
              <w:snapToGrid w:val="0"/>
              <w:spacing w:line="360" w:lineRule="auto"/>
              <w:jc w:val="left"/>
              <w:rPr>
                <w:rFonts w:eastAsia="微软雅黑"/>
                <w:szCs w:val="21"/>
              </w:rPr>
            </w:pPr>
            <w:r>
              <w:rPr>
                <w:rFonts w:eastAsia="微软雅黑"/>
                <w:szCs w:val="21"/>
              </w:rPr>
              <w:t>Other (if necessary)</w:t>
            </w:r>
          </w:p>
        </w:tc>
        <w:tc>
          <w:tcPr>
            <w:tcW w:w="770" w:type="dxa"/>
          </w:tcPr>
          <w:p w14:paraId="6B496C29">
            <w:pPr>
              <w:adjustRightInd w:val="0"/>
              <w:snapToGrid w:val="0"/>
              <w:spacing w:line="360" w:lineRule="auto"/>
              <w:rPr>
                <w:rFonts w:eastAsia="微软雅黑"/>
              </w:rPr>
            </w:pPr>
          </w:p>
        </w:tc>
        <w:tc>
          <w:tcPr>
            <w:tcW w:w="769" w:type="dxa"/>
            <w:tcBorders>
              <w:top w:val="single" w:color="auto" w:sz="4" w:space="0"/>
            </w:tcBorders>
          </w:tcPr>
          <w:p w14:paraId="4CE1F9CA">
            <w:pPr>
              <w:adjustRightInd w:val="0"/>
              <w:snapToGrid w:val="0"/>
              <w:spacing w:line="360" w:lineRule="auto"/>
              <w:rPr>
                <w:rFonts w:eastAsia="微软雅黑"/>
              </w:rPr>
            </w:pPr>
          </w:p>
        </w:tc>
        <w:tc>
          <w:tcPr>
            <w:tcW w:w="769" w:type="dxa"/>
          </w:tcPr>
          <w:p w14:paraId="56E2228A">
            <w:pPr>
              <w:adjustRightInd w:val="0"/>
              <w:snapToGrid w:val="0"/>
              <w:spacing w:line="360" w:lineRule="auto"/>
              <w:rPr>
                <w:rFonts w:eastAsia="微软雅黑"/>
              </w:rPr>
            </w:pPr>
          </w:p>
        </w:tc>
        <w:tc>
          <w:tcPr>
            <w:tcW w:w="769" w:type="dxa"/>
          </w:tcPr>
          <w:p w14:paraId="42F50364">
            <w:pPr>
              <w:adjustRightInd w:val="0"/>
              <w:snapToGrid w:val="0"/>
              <w:spacing w:line="360" w:lineRule="auto"/>
              <w:rPr>
                <w:rFonts w:eastAsia="微软雅黑"/>
              </w:rPr>
            </w:pPr>
          </w:p>
        </w:tc>
        <w:tc>
          <w:tcPr>
            <w:tcW w:w="769" w:type="dxa"/>
          </w:tcPr>
          <w:p w14:paraId="16733D58">
            <w:pPr>
              <w:adjustRightInd w:val="0"/>
              <w:snapToGrid w:val="0"/>
              <w:spacing w:line="360" w:lineRule="auto"/>
              <w:rPr>
                <w:rFonts w:eastAsia="微软雅黑"/>
              </w:rPr>
            </w:pPr>
          </w:p>
        </w:tc>
        <w:tc>
          <w:tcPr>
            <w:tcW w:w="769" w:type="dxa"/>
          </w:tcPr>
          <w:p w14:paraId="7AAAEC55">
            <w:pPr>
              <w:adjustRightInd w:val="0"/>
              <w:snapToGrid w:val="0"/>
              <w:spacing w:line="360" w:lineRule="auto"/>
              <w:rPr>
                <w:rFonts w:eastAsia="微软雅黑"/>
              </w:rPr>
            </w:pPr>
          </w:p>
        </w:tc>
        <w:tc>
          <w:tcPr>
            <w:tcW w:w="769" w:type="dxa"/>
          </w:tcPr>
          <w:p w14:paraId="3842B544">
            <w:pPr>
              <w:adjustRightInd w:val="0"/>
              <w:snapToGrid w:val="0"/>
              <w:spacing w:line="360" w:lineRule="auto"/>
              <w:rPr>
                <w:rFonts w:eastAsia="微软雅黑"/>
              </w:rPr>
            </w:pPr>
          </w:p>
        </w:tc>
        <w:tc>
          <w:tcPr>
            <w:tcW w:w="769" w:type="dxa"/>
          </w:tcPr>
          <w:p w14:paraId="0A515997">
            <w:pPr>
              <w:adjustRightInd w:val="0"/>
              <w:snapToGrid w:val="0"/>
              <w:spacing w:line="360" w:lineRule="auto"/>
              <w:rPr>
                <w:rFonts w:eastAsia="微软雅黑"/>
              </w:rPr>
            </w:pPr>
          </w:p>
        </w:tc>
        <w:tc>
          <w:tcPr>
            <w:tcW w:w="769" w:type="dxa"/>
          </w:tcPr>
          <w:p w14:paraId="00960CB0">
            <w:pPr>
              <w:adjustRightInd w:val="0"/>
              <w:snapToGrid w:val="0"/>
              <w:spacing w:line="360" w:lineRule="auto"/>
              <w:rPr>
                <w:rFonts w:eastAsia="微软雅黑"/>
              </w:rPr>
            </w:pPr>
          </w:p>
        </w:tc>
        <w:tc>
          <w:tcPr>
            <w:tcW w:w="769" w:type="dxa"/>
          </w:tcPr>
          <w:p w14:paraId="20B9216C">
            <w:pPr>
              <w:adjustRightInd w:val="0"/>
              <w:snapToGrid w:val="0"/>
              <w:spacing w:line="360" w:lineRule="auto"/>
              <w:rPr>
                <w:rFonts w:eastAsia="微软雅黑"/>
              </w:rPr>
            </w:pPr>
          </w:p>
        </w:tc>
      </w:tr>
    </w:tbl>
    <w:p w14:paraId="6A3ECE5C">
      <w:pPr>
        <w:adjustRightInd w:val="0"/>
        <w:snapToGrid w:val="0"/>
        <w:spacing w:line="360" w:lineRule="auto"/>
        <w:jc w:val="center"/>
        <w:rPr>
          <w:rFonts w:eastAsia="微软雅黑"/>
          <w:szCs w:val="21"/>
        </w:rPr>
      </w:pPr>
    </w:p>
    <w:p w14:paraId="6DF6EECA">
      <w:pPr>
        <w:adjustRightInd w:val="0"/>
        <w:snapToGrid w:val="0"/>
        <w:spacing w:line="360" w:lineRule="auto"/>
        <w:jc w:val="left"/>
        <w:rPr>
          <w:rFonts w:eastAsia="微软雅黑"/>
          <w:b/>
          <w:sz w:val="24"/>
        </w:rPr>
      </w:pPr>
      <w:r>
        <w:rPr>
          <w:rFonts w:eastAsia="微软雅黑"/>
          <w:b/>
          <w:sz w:val="24"/>
        </w:rPr>
        <w:t>9.5.4 Other items on follow-up process</w:t>
      </w:r>
    </w:p>
    <w:p w14:paraId="258700B7">
      <w:pPr>
        <w:numPr>
          <w:ilvl w:val="0"/>
          <w:numId w:val="26"/>
        </w:numPr>
        <w:adjustRightInd w:val="0"/>
        <w:snapToGrid w:val="0"/>
        <w:spacing w:line="360" w:lineRule="auto"/>
        <w:jc w:val="left"/>
        <w:rPr>
          <w:rFonts w:eastAsia="微软雅黑"/>
          <w:bCs/>
          <w:sz w:val="24"/>
        </w:rPr>
      </w:pPr>
      <w:r>
        <w:rPr>
          <w:rFonts w:eastAsia="微软雅黑"/>
          <w:bCs/>
          <w:sz w:val="24"/>
        </w:rPr>
        <w:t xml:space="preserve">Requirement for the retention follow-up call was recommended, to contact patients for consultation information  </w:t>
      </w:r>
    </w:p>
    <w:p w14:paraId="15D17A8D">
      <w:pPr>
        <w:numPr>
          <w:ilvl w:val="0"/>
          <w:numId w:val="26"/>
        </w:numPr>
        <w:adjustRightInd w:val="0"/>
        <w:snapToGrid w:val="0"/>
        <w:spacing w:line="360" w:lineRule="auto"/>
        <w:jc w:val="left"/>
        <w:rPr>
          <w:rFonts w:eastAsia="微软雅黑"/>
          <w:bCs/>
          <w:sz w:val="24"/>
        </w:rPr>
      </w:pPr>
      <w:r>
        <w:rPr>
          <w:rFonts w:eastAsia="微软雅黑"/>
          <w:bCs/>
          <w:sz w:val="24"/>
        </w:rPr>
        <w:t>Telephone follow-up procedures were added to the protocol for visits unable to be conducted due to COVID-19. Missed clinic visits were to be reported as such and considered protocol deviations.</w:t>
      </w:r>
    </w:p>
    <w:p w14:paraId="2246905F">
      <w:pPr>
        <w:numPr>
          <w:ilvl w:val="255"/>
          <w:numId w:val="0"/>
        </w:numPr>
        <w:adjustRightInd w:val="0"/>
        <w:snapToGrid w:val="0"/>
        <w:spacing w:line="360" w:lineRule="auto"/>
        <w:jc w:val="left"/>
        <w:rPr>
          <w:rFonts w:eastAsia="微软雅黑"/>
          <w:bCs/>
          <w:sz w:val="24"/>
        </w:rPr>
      </w:pPr>
    </w:p>
    <w:p w14:paraId="56F49AA4">
      <w:pPr>
        <w:adjustRightInd w:val="0"/>
        <w:snapToGrid w:val="0"/>
        <w:spacing w:line="360" w:lineRule="auto"/>
        <w:rPr>
          <w:rFonts w:eastAsia="微软雅黑"/>
          <w:b/>
          <w:sz w:val="28"/>
          <w:szCs w:val="28"/>
        </w:rPr>
      </w:pPr>
      <w:r>
        <w:rPr>
          <w:rFonts w:eastAsia="微软雅黑"/>
          <w:b/>
          <w:sz w:val="28"/>
          <w:szCs w:val="28"/>
        </w:rPr>
        <w:t>9.6 Post-operative adjuvant therapy</w:t>
      </w:r>
    </w:p>
    <w:p w14:paraId="58D769C2">
      <w:pPr>
        <w:spacing w:line="360" w:lineRule="auto"/>
        <w:rPr>
          <w:rFonts w:eastAsia="微软雅黑"/>
          <w:b/>
          <w:sz w:val="24"/>
        </w:rPr>
      </w:pPr>
      <w:r>
        <w:rPr>
          <w:rFonts w:eastAsia="微软雅黑"/>
          <w:b/>
          <w:sz w:val="24"/>
        </w:rPr>
        <w:t>9.6.1 Indications for postoperative adjuvant chemotherapy</w:t>
      </w:r>
    </w:p>
    <w:p w14:paraId="49EAD418">
      <w:pPr>
        <w:spacing w:line="360" w:lineRule="auto"/>
        <w:rPr>
          <w:rFonts w:eastAsia="微软雅黑"/>
          <w:sz w:val="24"/>
        </w:rPr>
      </w:pPr>
      <w:r>
        <w:rPr>
          <w:rFonts w:eastAsia="Wingdings 2"/>
          <w:sz w:val="24"/>
        </w:rPr>
        <w:t></w:t>
      </w:r>
      <w:r>
        <w:rPr>
          <w:rFonts w:eastAsia="微软雅黑"/>
          <w:sz w:val="24"/>
        </w:rPr>
        <w:t>After completion of the surgical treatment, according to the postoperative pathological results, subjects among the R0 resection cases that are stage II and above are administered postoperative adjuvant chemotherapy according to the provisions of this program.</w:t>
      </w:r>
    </w:p>
    <w:p w14:paraId="7C71FB08">
      <w:pPr>
        <w:spacing w:line="360" w:lineRule="auto"/>
        <w:rPr>
          <w:rFonts w:eastAsia="微软雅黑"/>
          <w:sz w:val="24"/>
        </w:rPr>
      </w:pPr>
      <w:r>
        <w:rPr>
          <w:rFonts w:eastAsia="Wingdings 2"/>
          <w:sz w:val="24"/>
        </w:rPr>
        <w:t></w:t>
      </w:r>
      <w:r>
        <w:rPr>
          <w:rFonts w:eastAsia="微软雅黑"/>
          <w:sz w:val="24"/>
        </w:rPr>
        <w:t xml:space="preserve">For cases of non-R0 resection or recurrence after R0 resection, this study does not stipulate the follow-up treatment plan; </w:t>
      </w:r>
      <w:r>
        <w:rPr>
          <w:rFonts w:hint="eastAsia" w:eastAsia="微软雅黑"/>
          <w:sz w:val="24"/>
          <w:lang w:val="en-US" w:eastAsia="zh-CN"/>
        </w:rPr>
        <w:t xml:space="preserve">the doctors can </w:t>
      </w:r>
      <w:r>
        <w:rPr>
          <w:rFonts w:eastAsia="微软雅黑"/>
          <w:sz w:val="24"/>
        </w:rPr>
        <w:t>decide on the action to be taken according to the clinical treatment routine.</w:t>
      </w:r>
    </w:p>
    <w:p w14:paraId="669C9B99">
      <w:pPr>
        <w:spacing w:line="360" w:lineRule="auto"/>
        <w:outlineLvl w:val="0"/>
        <w:rPr>
          <w:rFonts w:eastAsia="微软雅黑"/>
          <w:b/>
          <w:sz w:val="24"/>
        </w:rPr>
      </w:pPr>
      <w:bookmarkStart w:id="122" w:name="_Toc32103"/>
      <w:r>
        <w:rPr>
          <w:rFonts w:eastAsia="微软雅黑"/>
          <w:b/>
          <w:sz w:val="24"/>
        </w:rPr>
        <w:t>9.6.2 Postoperative adjuvant chemotherapy</w:t>
      </w:r>
      <w:bookmarkEnd w:id="122"/>
    </w:p>
    <w:p w14:paraId="6D204B88">
      <w:pPr>
        <w:spacing w:line="360" w:lineRule="auto"/>
        <w:outlineLvl w:val="0"/>
        <w:rPr>
          <w:rFonts w:eastAsia="微软雅黑"/>
          <w:b/>
          <w:sz w:val="24"/>
        </w:rPr>
      </w:pPr>
      <w:r>
        <w:rPr>
          <w:rFonts w:eastAsia="微软雅黑"/>
          <w:b/>
          <w:sz w:val="24"/>
        </w:rPr>
        <w:t xml:space="preserve">   </w:t>
      </w:r>
      <w:r>
        <w:rPr>
          <w:rFonts w:eastAsia="微软雅黑"/>
          <w:sz w:val="24"/>
        </w:rPr>
        <w:t>The chemotherapy treating oncologists were unaware of the intervention received by the patients.</w:t>
      </w:r>
    </w:p>
    <w:p w14:paraId="50730B3F">
      <w:pPr>
        <w:spacing w:line="360" w:lineRule="auto"/>
        <w:rPr>
          <w:rFonts w:eastAsia="微软雅黑"/>
          <w:sz w:val="24"/>
        </w:rPr>
      </w:pPr>
      <w:r>
        <w:rPr>
          <w:rFonts w:eastAsia="Wingdings 2"/>
          <w:sz w:val="24"/>
        </w:rPr>
        <w:t></w:t>
      </w:r>
      <w:r>
        <w:rPr>
          <w:rFonts w:eastAsia="微软雅黑"/>
          <w:sz w:val="24"/>
        </w:rPr>
        <w:t>This study uses a combination of chemotherapy based on 5-FU (5-fluorouracil) and recommends the SOX regimen.</w:t>
      </w:r>
    </w:p>
    <w:p w14:paraId="44CCD35C">
      <w:pPr>
        <w:spacing w:line="360" w:lineRule="auto"/>
        <w:rPr>
          <w:rFonts w:eastAsia="微软雅黑"/>
          <w:sz w:val="24"/>
        </w:rPr>
      </w:pPr>
      <w:r>
        <w:rPr>
          <w:rFonts w:eastAsia="Wingdings 2"/>
          <w:sz w:val="24"/>
        </w:rPr>
        <w:t></w:t>
      </w:r>
      <w:r>
        <w:rPr>
          <w:rFonts w:eastAsia="微软雅黑"/>
          <w:sz w:val="24"/>
        </w:rPr>
        <w:t>The adjuvant chemotherapy cycle is half a year (6 months postoperatively).</w:t>
      </w:r>
    </w:p>
    <w:p w14:paraId="3F9F938D">
      <w:pPr>
        <w:spacing w:line="360" w:lineRule="auto"/>
        <w:rPr>
          <w:rFonts w:eastAsia="微软雅黑"/>
          <w:sz w:val="24"/>
        </w:rPr>
      </w:pPr>
      <w:r>
        <w:rPr>
          <w:rFonts w:eastAsia="Wingdings 2"/>
          <w:sz w:val="24"/>
        </w:rPr>
        <w:t></w:t>
      </w:r>
      <w:r>
        <w:rPr>
          <w:rFonts w:eastAsia="微软雅黑"/>
          <w:sz w:val="24"/>
        </w:rPr>
        <w:t>In cases of good physical and tolerable conditions, chemotherapy is first started within 8 weeks after surgery and then according to the regularity of the chemotherapy cycle.</w:t>
      </w:r>
    </w:p>
    <w:p w14:paraId="18F34E53">
      <w:pPr>
        <w:spacing w:line="360" w:lineRule="auto"/>
        <w:rPr>
          <w:rFonts w:eastAsia="微软雅黑"/>
          <w:sz w:val="24"/>
        </w:rPr>
      </w:pPr>
      <w:r>
        <w:rPr>
          <w:rFonts w:eastAsia="Wingdings 2"/>
          <w:sz w:val="24"/>
        </w:rPr>
        <w:t></w:t>
      </w:r>
      <w:r>
        <w:rPr>
          <w:rFonts w:eastAsia="微软雅黑"/>
          <w:sz w:val="24"/>
        </w:rPr>
        <w:t>During the chemotherapy period, tumor recurrence should be assessed according to the follow-up plan.</w:t>
      </w:r>
    </w:p>
    <w:p w14:paraId="3E6CCC45">
      <w:pPr>
        <w:spacing w:line="360" w:lineRule="auto"/>
        <w:rPr>
          <w:rFonts w:eastAsia="微软雅黑"/>
          <w:sz w:val="24"/>
        </w:rPr>
      </w:pPr>
      <w:r>
        <w:rPr>
          <w:rFonts w:eastAsia="Wingdings 2"/>
          <w:sz w:val="24"/>
        </w:rPr>
        <w:t></w:t>
      </w:r>
      <w:r>
        <w:rPr>
          <w:rFonts w:eastAsia="微软雅黑"/>
          <w:sz w:val="24"/>
        </w:rPr>
        <w:t>When tumor recurrence occurs during chemotherapy, the adjuvant chemotherapy regimen of this study is discontinued. The follow-up treatment is decided according to the clinical treatment routine. This study does not make regulations, but the cause and follow-up treatment plan should be recorded in the CRF.</w:t>
      </w:r>
    </w:p>
    <w:p w14:paraId="690E7D53">
      <w:pPr>
        <w:spacing w:line="360" w:lineRule="auto"/>
        <w:rPr>
          <w:rFonts w:eastAsia="微软雅黑"/>
          <w:sz w:val="24"/>
        </w:rPr>
      </w:pPr>
      <w:r>
        <w:rPr>
          <w:rFonts w:eastAsia="Wingdings 2"/>
          <w:sz w:val="24"/>
        </w:rPr>
        <w:t></w:t>
      </w:r>
      <w:r>
        <w:rPr>
          <w:rFonts w:eastAsia="微软雅黑"/>
          <w:sz w:val="24"/>
        </w:rPr>
        <w:t>If there is no recurrence during chemotherapy, adjuvant chemotherapy is terminated after 6 months, and the follow-up plan continues.</w:t>
      </w:r>
    </w:p>
    <w:p w14:paraId="1B4570D6">
      <w:pPr>
        <w:spacing w:line="360" w:lineRule="auto"/>
        <w:rPr>
          <w:rFonts w:eastAsia="微软雅黑"/>
          <w:sz w:val="24"/>
        </w:rPr>
      </w:pPr>
      <w:r>
        <w:rPr>
          <w:rFonts w:eastAsia="Wingdings 2"/>
          <w:sz w:val="24"/>
        </w:rPr>
        <w:t></w:t>
      </w:r>
      <w:r>
        <w:rPr>
          <w:rFonts w:eastAsia="微软雅黑"/>
          <w:sz w:val="24"/>
        </w:rPr>
        <w:t>Adjuvant chemotherapy requires written approval from the patient.</w:t>
      </w:r>
    </w:p>
    <w:p w14:paraId="596D161F">
      <w:pPr>
        <w:spacing w:line="360" w:lineRule="auto"/>
        <w:rPr>
          <w:rFonts w:eastAsia="微软雅黑"/>
          <w:sz w:val="24"/>
        </w:rPr>
      </w:pPr>
      <w:r>
        <w:rPr>
          <w:rFonts w:eastAsia="Wingdings 2"/>
          <w:sz w:val="24"/>
        </w:rPr>
        <w:t></w:t>
      </w:r>
      <w:r>
        <w:rPr>
          <w:rFonts w:eastAsia="微软雅黑"/>
          <w:sz w:val="24"/>
        </w:rPr>
        <w:t>Subjects that refuse postoperative adjuvant chemotherapy or do not complete the adjuvant chemotherapy are not excluded from this study, but the cause is marked and recorded in the CRF.</w:t>
      </w:r>
    </w:p>
    <w:p w14:paraId="53636599">
      <w:pPr>
        <w:spacing w:line="360" w:lineRule="auto"/>
        <w:rPr>
          <w:rFonts w:eastAsia="微软雅黑"/>
          <w:sz w:val="24"/>
        </w:rPr>
      </w:pPr>
      <w:r>
        <w:rPr>
          <w:rFonts w:eastAsia="Wingdings 2"/>
          <w:sz w:val="24"/>
        </w:rPr>
        <w:t></w:t>
      </w:r>
      <w:r>
        <w:rPr>
          <w:rFonts w:eastAsia="微软雅黑"/>
          <w:sz w:val="24"/>
        </w:rPr>
        <w:t xml:space="preserve">For elderly patients (70 years and older), considering differences in the physical fitness of the elderly and ensuring the safety of patients, </w:t>
      </w:r>
      <w:r>
        <w:rPr>
          <w:rFonts w:hint="eastAsia" w:eastAsia="微软雅黑"/>
          <w:sz w:val="24"/>
          <w:lang w:val="en-US" w:eastAsia="zh-CN"/>
        </w:rPr>
        <w:t xml:space="preserve">the doctors can </w:t>
      </w:r>
      <w:r>
        <w:rPr>
          <w:rFonts w:eastAsia="微软雅黑"/>
          <w:sz w:val="24"/>
        </w:rPr>
        <w:t xml:space="preserve">decide according to the clinical treatment routine. This study does not recommend or stipulate any chemotherapy regimen for patients of this age. </w:t>
      </w:r>
    </w:p>
    <w:p w14:paraId="1F4BBE5C">
      <w:pPr>
        <w:spacing w:line="360" w:lineRule="auto"/>
        <w:rPr>
          <w:rFonts w:eastAsia="微软雅黑"/>
          <w:sz w:val="24"/>
        </w:rPr>
      </w:pPr>
      <w:r>
        <w:rPr>
          <w:rFonts w:eastAsia="Wingdings 2"/>
          <w:sz w:val="24"/>
        </w:rPr>
        <w:t></w:t>
      </w:r>
      <w:r>
        <w:rPr>
          <w:rFonts w:eastAsia="微软雅黑"/>
          <w:sz w:val="24"/>
        </w:rPr>
        <w:t>Patients who choose adjuvant chemotherapy, irregular chemotherapy, or a nonfirst-line regimen are not excluded from the study, but the Efficacy and Safety Evaluation Committee is obliged to monitor patient safety during follow-up. The patient's chemotherapy medication must be recorded in the CRF.</w:t>
      </w:r>
    </w:p>
    <w:p w14:paraId="5991337B">
      <w:pPr>
        <w:spacing w:line="360" w:lineRule="auto"/>
        <w:rPr>
          <w:rFonts w:eastAsia="微软雅黑"/>
          <w:sz w:val="24"/>
        </w:rPr>
      </w:pPr>
      <w:r>
        <w:rPr>
          <w:rFonts w:eastAsia="Wingdings 2"/>
          <w:sz w:val="24"/>
        </w:rPr>
        <w:t></w:t>
      </w:r>
      <w:r>
        <w:rPr>
          <w:rFonts w:eastAsia="微软雅黑"/>
          <w:sz w:val="24"/>
        </w:rPr>
        <w:t>The principles of processing in terms of the method of administration of adjuvant chemotherapy, toxic reactions, and dose adjustment with intolerance are implemented according to the original literature on drug toxicity and dose adjustment for each chemotherapy regimen. This study does not regulate these principles.</w:t>
      </w:r>
    </w:p>
    <w:p w14:paraId="4AB64145">
      <w:pPr>
        <w:spacing w:line="360" w:lineRule="auto"/>
        <w:rPr>
          <w:rFonts w:eastAsia="微软雅黑"/>
          <w:b/>
          <w:sz w:val="24"/>
        </w:rPr>
      </w:pPr>
      <w:r>
        <w:rPr>
          <w:rFonts w:eastAsia="微软雅黑"/>
          <w:b/>
          <w:sz w:val="24"/>
        </w:rPr>
        <w:t xml:space="preserve">9.6.3 Safety Evaluation Indicators of Postoperative Adjuvant Chemotherapy </w:t>
      </w:r>
    </w:p>
    <w:p w14:paraId="01D36F50">
      <w:pPr>
        <w:spacing w:line="360" w:lineRule="auto"/>
        <w:ind w:firstLine="480" w:firstLineChars="200"/>
        <w:rPr>
          <w:rFonts w:eastAsia="微软雅黑"/>
          <w:sz w:val="24"/>
        </w:rPr>
      </w:pPr>
      <w:r>
        <w:rPr>
          <w:rFonts w:eastAsia="微软雅黑"/>
          <w:sz w:val="24"/>
        </w:rPr>
        <w:t xml:space="preserve">The safety evaluation indicators for patients enrolled in the study should be immediately filled out by the investigators before and after each postoperative adjuvant chemotherapy cycle, with specific items including the following: </w:t>
      </w:r>
    </w:p>
    <w:p w14:paraId="576D2386">
      <w:pPr>
        <w:numPr>
          <w:ilvl w:val="255"/>
          <w:numId w:val="0"/>
        </w:numPr>
        <w:spacing w:line="360" w:lineRule="auto"/>
        <w:rPr>
          <w:rFonts w:eastAsia="微软雅黑"/>
          <w:bCs/>
          <w:sz w:val="24"/>
        </w:rPr>
      </w:pPr>
      <w:r>
        <w:rPr>
          <w:rFonts w:eastAsia="微软雅黑"/>
          <w:bCs/>
          <w:sz w:val="24"/>
        </w:rPr>
        <w:t xml:space="preserve">(1) Performance Status (ECOG) </w:t>
      </w:r>
    </w:p>
    <w:p w14:paraId="4BCD3F28">
      <w:pPr>
        <w:numPr>
          <w:ilvl w:val="255"/>
          <w:numId w:val="0"/>
        </w:numPr>
        <w:spacing w:line="360" w:lineRule="auto"/>
        <w:rPr>
          <w:rFonts w:eastAsia="微软雅黑"/>
          <w:bCs/>
          <w:sz w:val="24"/>
        </w:rPr>
      </w:pPr>
      <w:r>
        <w:rPr>
          <w:rFonts w:eastAsia="微软雅黑"/>
          <w:bCs/>
          <w:sz w:val="24"/>
        </w:rPr>
        <w:t xml:space="preserve">(2) Subjective and objective status (according to the records of CTCAE v3.0 Short Name) </w:t>
      </w:r>
    </w:p>
    <w:p w14:paraId="6E8D3639">
      <w:pPr>
        <w:spacing w:line="360" w:lineRule="auto"/>
        <w:rPr>
          <w:rFonts w:eastAsia="微软雅黑"/>
          <w:bCs/>
          <w:sz w:val="24"/>
        </w:rPr>
      </w:pPr>
      <w:r>
        <w:rPr>
          <w:rFonts w:eastAsia="微软雅黑"/>
          <w:bCs/>
          <w:sz w:val="24"/>
        </w:rPr>
        <w:t xml:space="preserve">(3) Blood tests: </w:t>
      </w:r>
    </w:p>
    <w:p w14:paraId="658B3464">
      <w:pPr>
        <w:spacing w:line="360" w:lineRule="auto"/>
        <w:rPr>
          <w:rFonts w:eastAsia="微软雅黑"/>
          <w:sz w:val="24"/>
        </w:rPr>
      </w:pPr>
      <w:r>
        <w:rPr>
          <w:rFonts w:eastAsia="Wingdings 2"/>
          <w:sz w:val="24"/>
        </w:rPr>
        <w:t></w:t>
      </w:r>
      <w:r>
        <w:rPr>
          <w:rFonts w:eastAsia="微软雅黑"/>
          <w:sz w:val="24"/>
        </w:rPr>
        <w:t>Peripheral venous blood assessment: Hb, RBC, WBC, LYM, NEU, NEU%, PLT, MONO.</w:t>
      </w:r>
    </w:p>
    <w:p w14:paraId="0362B35C">
      <w:pPr>
        <w:spacing w:line="360" w:lineRule="auto"/>
        <w:rPr>
          <w:rFonts w:eastAsia="微软雅黑"/>
          <w:sz w:val="24"/>
        </w:rPr>
      </w:pPr>
      <w:r>
        <w:rPr>
          <w:rFonts w:eastAsia="Wingdings 2"/>
          <w:sz w:val="24"/>
        </w:rPr>
        <w:t></w:t>
      </w:r>
      <w:r>
        <w:rPr>
          <w:rFonts w:eastAsia="微软雅黑"/>
          <w:sz w:val="24"/>
        </w:rPr>
        <w:t>Blood biochemistry: albumin, prealbumin, total bilirubin, AST, ALT, creatinine, urea nitrogen, fasting blood glucose, serum tumor markers (CEA, CA19-9, CA72-4, CA12-5, AFP)</w:t>
      </w:r>
    </w:p>
    <w:p w14:paraId="486B8F3D">
      <w:pPr>
        <w:spacing w:line="360" w:lineRule="auto"/>
        <w:rPr>
          <w:rFonts w:eastAsia="微软雅黑"/>
          <w:sz w:val="24"/>
        </w:rPr>
      </w:pPr>
      <w:r>
        <w:rPr>
          <w:rFonts w:eastAsia="微软雅黑"/>
          <w:bCs/>
          <w:sz w:val="24"/>
        </w:rPr>
        <w:t>(4) Safety evaluation items to be implemented during chemotherapy when necessary (refer to CTCAE v3.0):</w:t>
      </w:r>
      <w:r>
        <w:rPr>
          <w:rFonts w:eastAsia="微软雅黑"/>
          <w:sz w:val="24"/>
        </w:rPr>
        <w:t xml:space="preserve"> </w:t>
      </w:r>
    </w:p>
    <w:p w14:paraId="71357591">
      <w:pPr>
        <w:numPr>
          <w:ilvl w:val="0"/>
          <w:numId w:val="27"/>
        </w:numPr>
        <w:spacing w:line="360" w:lineRule="auto"/>
        <w:outlineLvl w:val="0"/>
        <w:rPr>
          <w:rFonts w:eastAsia="微软雅黑"/>
          <w:sz w:val="24"/>
        </w:rPr>
      </w:pPr>
      <w:bookmarkStart w:id="123" w:name="_Toc10850"/>
      <w:r>
        <w:rPr>
          <w:rFonts w:eastAsia="微软雅黑"/>
          <w:sz w:val="24"/>
        </w:rPr>
        <w:t>Neurotoxicity:</w:t>
      </w:r>
      <w:bookmarkEnd w:id="123"/>
    </w:p>
    <w:p w14:paraId="66A8F4E1">
      <w:pPr>
        <w:numPr>
          <w:ilvl w:val="0"/>
          <w:numId w:val="27"/>
        </w:numPr>
        <w:spacing w:line="360" w:lineRule="auto"/>
        <w:rPr>
          <w:rFonts w:eastAsia="微软雅黑"/>
          <w:sz w:val="24"/>
        </w:rPr>
      </w:pPr>
      <w:r>
        <w:rPr>
          <w:rFonts w:eastAsia="微软雅黑"/>
          <w:sz w:val="24"/>
        </w:rPr>
        <w:t xml:space="preserve">Cardiovascular system (cardiac toxicity, ischemic heart disease, etc.) </w:t>
      </w:r>
    </w:p>
    <w:p w14:paraId="737375BA">
      <w:pPr>
        <w:numPr>
          <w:ilvl w:val="0"/>
          <w:numId w:val="27"/>
        </w:numPr>
        <w:spacing w:line="360" w:lineRule="auto"/>
        <w:rPr>
          <w:rFonts w:eastAsia="微软雅黑"/>
          <w:sz w:val="24"/>
        </w:rPr>
      </w:pPr>
      <w:r>
        <w:rPr>
          <w:rFonts w:eastAsia="微软雅黑"/>
          <w:sz w:val="24"/>
        </w:rPr>
        <w:t xml:space="preserve">Bone marrow suppression and infections due to immune dysfunction </w:t>
      </w:r>
    </w:p>
    <w:p w14:paraId="5B945F9A">
      <w:pPr>
        <w:numPr>
          <w:ilvl w:val="0"/>
          <w:numId w:val="27"/>
        </w:numPr>
        <w:spacing w:line="360" w:lineRule="auto"/>
        <w:outlineLvl w:val="0"/>
        <w:rPr>
          <w:rFonts w:eastAsia="微软雅黑"/>
          <w:sz w:val="24"/>
        </w:rPr>
      </w:pPr>
      <w:bookmarkStart w:id="124" w:name="_Toc1346"/>
      <w:r>
        <w:rPr>
          <w:rFonts w:eastAsia="微软雅黑"/>
          <w:sz w:val="24"/>
        </w:rPr>
        <w:t>Others</w:t>
      </w:r>
      <w:bookmarkEnd w:id="124"/>
      <w:r>
        <w:rPr>
          <w:rFonts w:eastAsia="微软雅黑"/>
          <w:sz w:val="24"/>
        </w:rPr>
        <w:t xml:space="preserve"> </w:t>
      </w:r>
    </w:p>
    <w:p w14:paraId="12600FAA">
      <w:pPr>
        <w:spacing w:line="360" w:lineRule="auto"/>
        <w:outlineLvl w:val="0"/>
        <w:rPr>
          <w:rFonts w:eastAsia="微软雅黑"/>
          <w:b/>
          <w:sz w:val="24"/>
        </w:rPr>
      </w:pPr>
      <w:bookmarkStart w:id="125" w:name="_Toc1244"/>
      <w:r>
        <w:rPr>
          <w:rFonts w:eastAsia="微软雅黑"/>
          <w:b/>
          <w:sz w:val="24"/>
        </w:rPr>
        <w:t>9.7 Study calendar</w:t>
      </w:r>
      <w:bookmarkEnd w:id="125"/>
    </w:p>
    <w:tbl>
      <w:tblPr>
        <w:tblStyle w:val="13"/>
        <w:tblW w:w="10066" w:type="dxa"/>
        <w:tblInd w:w="-8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8"/>
        <w:gridCol w:w="1296"/>
        <w:gridCol w:w="587"/>
        <w:gridCol w:w="587"/>
        <w:gridCol w:w="587"/>
        <w:gridCol w:w="588"/>
        <w:gridCol w:w="587"/>
        <w:gridCol w:w="587"/>
        <w:gridCol w:w="588"/>
        <w:gridCol w:w="587"/>
        <w:gridCol w:w="587"/>
        <w:gridCol w:w="587"/>
        <w:gridCol w:w="588"/>
        <w:gridCol w:w="587"/>
        <w:gridCol w:w="587"/>
        <w:gridCol w:w="588"/>
      </w:tblGrid>
      <w:tr w14:paraId="67ED8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91" w:hRule="atLeast"/>
        </w:trPr>
        <w:tc>
          <w:tcPr>
            <w:tcW w:w="1844" w:type="dxa"/>
            <w:gridSpan w:val="2"/>
          </w:tcPr>
          <w:p w14:paraId="60A0F31B">
            <w:pPr>
              <w:spacing w:line="360" w:lineRule="auto"/>
              <w:rPr>
                <w:sz w:val="20"/>
                <w:szCs w:val="21"/>
              </w:rPr>
            </w:pPr>
            <w:r>
              <w:rPr>
                <w:sz w:val="20"/>
                <w:szCs w:val="21"/>
              </w:rPr>
              <w:t xml:space="preserve">Observation </w:t>
            </w:r>
          </w:p>
          <w:p w14:paraId="2FAE4EA5">
            <w:pPr>
              <w:spacing w:line="360" w:lineRule="auto"/>
              <w:rPr>
                <w:sz w:val="20"/>
                <w:szCs w:val="21"/>
              </w:rPr>
            </w:pPr>
            <w:r>
              <w:rPr>
                <w:sz w:val="20"/>
                <w:szCs w:val="21"/>
              </w:rPr>
              <w:t xml:space="preserve">Stage </w:t>
            </w:r>
          </w:p>
        </w:tc>
        <w:tc>
          <w:tcPr>
            <w:tcW w:w="587" w:type="dxa"/>
            <w:textDirection w:val="tbRl"/>
          </w:tcPr>
          <w:p w14:paraId="0E080B7D">
            <w:pPr>
              <w:spacing w:line="360" w:lineRule="auto"/>
              <w:ind w:left="113" w:right="113"/>
              <w:rPr>
                <w:sz w:val="20"/>
                <w:szCs w:val="21"/>
              </w:rPr>
            </w:pPr>
            <w:r>
              <w:rPr>
                <w:sz w:val="20"/>
                <w:szCs w:val="21"/>
              </w:rPr>
              <w:t>Performance Status</w:t>
            </w:r>
          </w:p>
        </w:tc>
        <w:tc>
          <w:tcPr>
            <w:tcW w:w="587" w:type="dxa"/>
            <w:textDirection w:val="tbRl"/>
          </w:tcPr>
          <w:p w14:paraId="7B4500E2">
            <w:pPr>
              <w:spacing w:line="360" w:lineRule="auto"/>
              <w:ind w:left="113" w:right="113"/>
              <w:rPr>
                <w:sz w:val="20"/>
                <w:szCs w:val="21"/>
              </w:rPr>
            </w:pPr>
            <w:r>
              <w:rPr>
                <w:sz w:val="20"/>
                <w:szCs w:val="21"/>
              </w:rPr>
              <w:t>Blood biochemistry</w:t>
            </w:r>
          </w:p>
        </w:tc>
        <w:tc>
          <w:tcPr>
            <w:tcW w:w="587" w:type="dxa"/>
            <w:textDirection w:val="tbRl"/>
          </w:tcPr>
          <w:p w14:paraId="7C41936C">
            <w:pPr>
              <w:spacing w:line="360" w:lineRule="auto"/>
              <w:ind w:left="113" w:right="113"/>
              <w:rPr>
                <w:sz w:val="20"/>
                <w:szCs w:val="21"/>
              </w:rPr>
            </w:pPr>
            <w:r>
              <w:rPr>
                <w:sz w:val="20"/>
                <w:szCs w:val="21"/>
              </w:rPr>
              <w:t>Tumor markers</w:t>
            </w:r>
          </w:p>
        </w:tc>
        <w:tc>
          <w:tcPr>
            <w:tcW w:w="588" w:type="dxa"/>
            <w:textDirection w:val="tbRl"/>
          </w:tcPr>
          <w:p w14:paraId="019BE9A1">
            <w:pPr>
              <w:spacing w:line="360" w:lineRule="auto"/>
              <w:ind w:left="113" w:right="113"/>
              <w:rPr>
                <w:sz w:val="20"/>
                <w:szCs w:val="21"/>
              </w:rPr>
            </w:pPr>
            <w:r>
              <w:rPr>
                <w:sz w:val="20"/>
                <w:szCs w:val="21"/>
              </w:rPr>
              <w:t>Electrocardiogram, respiratory function</w:t>
            </w:r>
          </w:p>
        </w:tc>
        <w:tc>
          <w:tcPr>
            <w:tcW w:w="587" w:type="dxa"/>
            <w:textDirection w:val="tbRl"/>
          </w:tcPr>
          <w:p w14:paraId="23A8403C">
            <w:pPr>
              <w:spacing w:line="360" w:lineRule="auto"/>
              <w:ind w:left="113" w:right="113"/>
              <w:rPr>
                <w:sz w:val="20"/>
                <w:szCs w:val="21"/>
              </w:rPr>
            </w:pPr>
            <w:r>
              <w:rPr>
                <w:sz w:val="20"/>
                <w:szCs w:val="21"/>
              </w:rPr>
              <w:t xml:space="preserve">Upper gastrointestinal endoscopy </w:t>
            </w:r>
          </w:p>
        </w:tc>
        <w:tc>
          <w:tcPr>
            <w:tcW w:w="587" w:type="dxa"/>
            <w:textDirection w:val="tbRl"/>
          </w:tcPr>
          <w:p w14:paraId="178DCC3E">
            <w:pPr>
              <w:spacing w:line="360" w:lineRule="auto"/>
              <w:ind w:left="113" w:right="113"/>
              <w:rPr>
                <w:sz w:val="20"/>
                <w:szCs w:val="21"/>
              </w:rPr>
            </w:pPr>
            <w:r>
              <w:rPr>
                <w:sz w:val="20"/>
                <w:szCs w:val="21"/>
              </w:rPr>
              <w:t xml:space="preserve">Chest X-ray, full abdominal CT Or ultrasound </w:t>
            </w:r>
          </w:p>
        </w:tc>
        <w:tc>
          <w:tcPr>
            <w:tcW w:w="588" w:type="dxa"/>
            <w:textDirection w:val="tbRl"/>
          </w:tcPr>
          <w:p w14:paraId="40BFB3D4">
            <w:pPr>
              <w:spacing w:line="360" w:lineRule="auto"/>
              <w:ind w:left="113" w:right="113"/>
              <w:rPr>
                <w:sz w:val="20"/>
                <w:szCs w:val="21"/>
              </w:rPr>
            </w:pPr>
            <w:r>
              <w:rPr>
                <w:sz w:val="20"/>
                <w:szCs w:val="21"/>
              </w:rPr>
              <w:t xml:space="preserve">Eligibility confirmation notice </w:t>
            </w:r>
          </w:p>
        </w:tc>
        <w:tc>
          <w:tcPr>
            <w:tcW w:w="587" w:type="dxa"/>
            <w:textDirection w:val="tbRl"/>
          </w:tcPr>
          <w:p w14:paraId="2E1C914B">
            <w:pPr>
              <w:spacing w:line="360" w:lineRule="auto"/>
              <w:ind w:left="113" w:right="113"/>
              <w:rPr>
                <w:sz w:val="20"/>
                <w:szCs w:val="21"/>
              </w:rPr>
            </w:pPr>
            <w:r>
              <w:rPr>
                <w:sz w:val="20"/>
                <w:szCs w:val="21"/>
              </w:rPr>
              <w:t xml:space="preserve">Preoperative, postoperative complications </w:t>
            </w:r>
          </w:p>
        </w:tc>
        <w:tc>
          <w:tcPr>
            <w:tcW w:w="587" w:type="dxa"/>
            <w:textDirection w:val="tbRl"/>
          </w:tcPr>
          <w:p w14:paraId="1336FA02">
            <w:pPr>
              <w:spacing w:line="360" w:lineRule="auto"/>
              <w:ind w:left="113" w:right="113"/>
              <w:rPr>
                <w:sz w:val="20"/>
                <w:szCs w:val="21"/>
              </w:rPr>
            </w:pPr>
            <w:r>
              <w:rPr>
                <w:sz w:val="20"/>
                <w:szCs w:val="21"/>
              </w:rPr>
              <w:t xml:space="preserve">Adverse chemotherapy events </w:t>
            </w:r>
          </w:p>
        </w:tc>
        <w:tc>
          <w:tcPr>
            <w:tcW w:w="587" w:type="dxa"/>
            <w:textDirection w:val="tbRl"/>
          </w:tcPr>
          <w:p w14:paraId="44EB0381">
            <w:pPr>
              <w:spacing w:line="360" w:lineRule="auto"/>
              <w:ind w:left="113" w:right="113"/>
              <w:rPr>
                <w:sz w:val="20"/>
                <w:szCs w:val="21"/>
              </w:rPr>
            </w:pPr>
            <w:r>
              <w:rPr>
                <w:sz w:val="20"/>
                <w:szCs w:val="21"/>
              </w:rPr>
              <w:t xml:space="preserve">CRF- Preoperative </w:t>
            </w:r>
          </w:p>
        </w:tc>
        <w:tc>
          <w:tcPr>
            <w:tcW w:w="588" w:type="dxa"/>
            <w:textDirection w:val="tbRl"/>
          </w:tcPr>
          <w:p w14:paraId="407AAB21">
            <w:pPr>
              <w:spacing w:line="360" w:lineRule="auto"/>
              <w:ind w:left="113" w:right="113"/>
              <w:rPr>
                <w:sz w:val="20"/>
                <w:szCs w:val="21"/>
              </w:rPr>
            </w:pPr>
            <w:r>
              <w:rPr>
                <w:sz w:val="20"/>
                <w:szCs w:val="21"/>
              </w:rPr>
              <w:t xml:space="preserve">CRF-Intraoperative </w:t>
            </w:r>
          </w:p>
        </w:tc>
        <w:tc>
          <w:tcPr>
            <w:tcW w:w="587" w:type="dxa"/>
            <w:textDirection w:val="tbRl"/>
          </w:tcPr>
          <w:p w14:paraId="1A078B5E">
            <w:pPr>
              <w:spacing w:line="360" w:lineRule="auto"/>
              <w:ind w:left="113" w:right="113"/>
              <w:rPr>
                <w:sz w:val="20"/>
                <w:szCs w:val="21"/>
              </w:rPr>
            </w:pPr>
            <w:r>
              <w:rPr>
                <w:sz w:val="20"/>
                <w:szCs w:val="21"/>
              </w:rPr>
              <w:t>CRF- Postoperative</w:t>
            </w:r>
          </w:p>
        </w:tc>
        <w:tc>
          <w:tcPr>
            <w:tcW w:w="587" w:type="dxa"/>
            <w:textDirection w:val="tbRl"/>
          </w:tcPr>
          <w:p w14:paraId="22D42C4E">
            <w:pPr>
              <w:spacing w:line="360" w:lineRule="auto"/>
              <w:ind w:left="113" w:right="113"/>
              <w:rPr>
                <w:sz w:val="20"/>
                <w:szCs w:val="21"/>
              </w:rPr>
            </w:pPr>
            <w:r>
              <w:rPr>
                <w:sz w:val="20"/>
                <w:szCs w:val="21"/>
              </w:rPr>
              <w:t xml:space="preserve">CRF- treatment end </w:t>
            </w:r>
          </w:p>
          <w:p w14:paraId="1225BB56">
            <w:pPr>
              <w:spacing w:line="360" w:lineRule="auto"/>
              <w:ind w:left="113" w:right="113"/>
              <w:rPr>
                <w:sz w:val="20"/>
                <w:szCs w:val="21"/>
              </w:rPr>
            </w:pPr>
            <w:r>
              <w:rPr>
                <w:sz w:val="20"/>
                <w:szCs w:val="21"/>
              </w:rPr>
              <w:t xml:space="preserve">report </w:t>
            </w:r>
          </w:p>
        </w:tc>
        <w:tc>
          <w:tcPr>
            <w:tcW w:w="588" w:type="dxa"/>
            <w:textDirection w:val="tbRl"/>
          </w:tcPr>
          <w:p w14:paraId="1E998FD5">
            <w:pPr>
              <w:spacing w:line="360" w:lineRule="auto"/>
              <w:ind w:left="113" w:right="113"/>
              <w:rPr>
                <w:sz w:val="20"/>
                <w:szCs w:val="21"/>
              </w:rPr>
            </w:pPr>
            <w:r>
              <w:rPr>
                <w:sz w:val="20"/>
                <w:szCs w:val="21"/>
              </w:rPr>
              <w:t xml:space="preserve">CRF- follow-up observation surgery </w:t>
            </w:r>
          </w:p>
        </w:tc>
      </w:tr>
      <w:tr w14:paraId="5750F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gridSpan w:val="2"/>
          </w:tcPr>
          <w:p w14:paraId="18711EB7">
            <w:pPr>
              <w:jc w:val="left"/>
              <w:rPr>
                <w:sz w:val="20"/>
                <w:szCs w:val="21"/>
              </w:rPr>
            </w:pPr>
            <w:r>
              <w:rPr>
                <w:sz w:val="20"/>
                <w:szCs w:val="21"/>
              </w:rPr>
              <w:t>Selection Application</w:t>
            </w:r>
          </w:p>
        </w:tc>
        <w:tc>
          <w:tcPr>
            <w:tcW w:w="587" w:type="dxa"/>
          </w:tcPr>
          <w:p w14:paraId="38BB5245">
            <w:pPr>
              <w:spacing w:line="360" w:lineRule="auto"/>
              <w:rPr>
                <w:sz w:val="20"/>
                <w:szCs w:val="21"/>
              </w:rPr>
            </w:pPr>
            <w:r>
              <w:rPr>
                <w:rFonts w:eastAsia="Calibri"/>
                <w:sz w:val="20"/>
                <w:szCs w:val="21"/>
              </w:rPr>
              <w:t>○</w:t>
            </w:r>
          </w:p>
        </w:tc>
        <w:tc>
          <w:tcPr>
            <w:tcW w:w="587" w:type="dxa"/>
          </w:tcPr>
          <w:p w14:paraId="3640703B">
            <w:pPr>
              <w:spacing w:line="360" w:lineRule="auto"/>
              <w:rPr>
                <w:sz w:val="20"/>
                <w:szCs w:val="21"/>
              </w:rPr>
            </w:pPr>
            <w:r>
              <w:rPr>
                <w:rFonts w:eastAsia="Calibri"/>
                <w:sz w:val="20"/>
                <w:szCs w:val="21"/>
              </w:rPr>
              <w:t>○</w:t>
            </w:r>
          </w:p>
        </w:tc>
        <w:tc>
          <w:tcPr>
            <w:tcW w:w="587" w:type="dxa"/>
          </w:tcPr>
          <w:p w14:paraId="59CB9093">
            <w:pPr>
              <w:spacing w:line="360" w:lineRule="auto"/>
              <w:rPr>
                <w:sz w:val="20"/>
                <w:szCs w:val="21"/>
              </w:rPr>
            </w:pPr>
            <w:r>
              <w:rPr>
                <w:rFonts w:eastAsia="Calibri"/>
                <w:sz w:val="20"/>
                <w:szCs w:val="21"/>
              </w:rPr>
              <w:t>○</w:t>
            </w:r>
          </w:p>
        </w:tc>
        <w:tc>
          <w:tcPr>
            <w:tcW w:w="588" w:type="dxa"/>
          </w:tcPr>
          <w:p w14:paraId="571A399F">
            <w:pPr>
              <w:spacing w:line="360" w:lineRule="auto"/>
              <w:rPr>
                <w:sz w:val="20"/>
                <w:szCs w:val="21"/>
              </w:rPr>
            </w:pPr>
            <w:r>
              <w:rPr>
                <w:rFonts w:eastAsia="Calibri"/>
                <w:sz w:val="20"/>
                <w:szCs w:val="21"/>
              </w:rPr>
              <w:t>○</w:t>
            </w:r>
          </w:p>
        </w:tc>
        <w:tc>
          <w:tcPr>
            <w:tcW w:w="587" w:type="dxa"/>
          </w:tcPr>
          <w:p w14:paraId="3D39DCCF">
            <w:pPr>
              <w:spacing w:line="360" w:lineRule="auto"/>
              <w:rPr>
                <w:sz w:val="20"/>
                <w:szCs w:val="21"/>
              </w:rPr>
            </w:pPr>
            <w:r>
              <w:rPr>
                <w:rFonts w:eastAsia="Calibri"/>
                <w:sz w:val="20"/>
                <w:szCs w:val="21"/>
              </w:rPr>
              <w:t>○</w:t>
            </w:r>
          </w:p>
        </w:tc>
        <w:tc>
          <w:tcPr>
            <w:tcW w:w="587" w:type="dxa"/>
          </w:tcPr>
          <w:p w14:paraId="2F676B2E">
            <w:pPr>
              <w:spacing w:line="360" w:lineRule="auto"/>
              <w:rPr>
                <w:sz w:val="20"/>
                <w:szCs w:val="21"/>
              </w:rPr>
            </w:pPr>
            <w:r>
              <w:rPr>
                <w:rFonts w:eastAsia="Calibri"/>
                <w:sz w:val="20"/>
                <w:szCs w:val="21"/>
              </w:rPr>
              <w:t>○</w:t>
            </w:r>
          </w:p>
        </w:tc>
        <w:tc>
          <w:tcPr>
            <w:tcW w:w="588" w:type="dxa"/>
          </w:tcPr>
          <w:p w14:paraId="21B69408">
            <w:pPr>
              <w:spacing w:line="360" w:lineRule="auto"/>
              <w:rPr>
                <w:sz w:val="20"/>
                <w:szCs w:val="21"/>
              </w:rPr>
            </w:pPr>
          </w:p>
        </w:tc>
        <w:tc>
          <w:tcPr>
            <w:tcW w:w="587" w:type="dxa"/>
          </w:tcPr>
          <w:p w14:paraId="32470A58">
            <w:pPr>
              <w:spacing w:line="360" w:lineRule="auto"/>
              <w:rPr>
                <w:sz w:val="20"/>
                <w:szCs w:val="21"/>
              </w:rPr>
            </w:pPr>
          </w:p>
        </w:tc>
        <w:tc>
          <w:tcPr>
            <w:tcW w:w="587" w:type="dxa"/>
          </w:tcPr>
          <w:p w14:paraId="1674433E">
            <w:pPr>
              <w:spacing w:line="360" w:lineRule="auto"/>
              <w:rPr>
                <w:sz w:val="20"/>
                <w:szCs w:val="21"/>
              </w:rPr>
            </w:pPr>
          </w:p>
        </w:tc>
        <w:tc>
          <w:tcPr>
            <w:tcW w:w="587" w:type="dxa"/>
          </w:tcPr>
          <w:p w14:paraId="4CD16B8A">
            <w:pPr>
              <w:spacing w:line="360" w:lineRule="auto"/>
              <w:rPr>
                <w:sz w:val="20"/>
                <w:szCs w:val="21"/>
              </w:rPr>
            </w:pPr>
          </w:p>
        </w:tc>
        <w:tc>
          <w:tcPr>
            <w:tcW w:w="588" w:type="dxa"/>
          </w:tcPr>
          <w:p w14:paraId="02F5D9CC">
            <w:pPr>
              <w:spacing w:line="360" w:lineRule="auto"/>
              <w:rPr>
                <w:sz w:val="20"/>
                <w:szCs w:val="21"/>
              </w:rPr>
            </w:pPr>
          </w:p>
        </w:tc>
        <w:tc>
          <w:tcPr>
            <w:tcW w:w="587" w:type="dxa"/>
          </w:tcPr>
          <w:p w14:paraId="301BAD95">
            <w:pPr>
              <w:spacing w:line="360" w:lineRule="auto"/>
              <w:rPr>
                <w:sz w:val="20"/>
                <w:szCs w:val="21"/>
              </w:rPr>
            </w:pPr>
          </w:p>
        </w:tc>
        <w:tc>
          <w:tcPr>
            <w:tcW w:w="587" w:type="dxa"/>
          </w:tcPr>
          <w:p w14:paraId="171938DD">
            <w:pPr>
              <w:spacing w:line="360" w:lineRule="auto"/>
              <w:rPr>
                <w:sz w:val="20"/>
                <w:szCs w:val="21"/>
              </w:rPr>
            </w:pPr>
          </w:p>
        </w:tc>
        <w:tc>
          <w:tcPr>
            <w:tcW w:w="588" w:type="dxa"/>
          </w:tcPr>
          <w:p w14:paraId="3560878F">
            <w:pPr>
              <w:spacing w:line="360" w:lineRule="auto"/>
              <w:rPr>
                <w:sz w:val="20"/>
                <w:szCs w:val="21"/>
              </w:rPr>
            </w:pPr>
          </w:p>
        </w:tc>
      </w:tr>
      <w:tr w14:paraId="26B3E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gridSpan w:val="2"/>
          </w:tcPr>
          <w:p w14:paraId="5821DA73">
            <w:pPr>
              <w:jc w:val="left"/>
              <w:rPr>
                <w:sz w:val="20"/>
                <w:szCs w:val="21"/>
              </w:rPr>
            </w:pPr>
            <w:r>
              <w:rPr>
                <w:sz w:val="20"/>
                <w:szCs w:val="21"/>
              </w:rPr>
              <w:t xml:space="preserve">After selection and prior to surgery </w:t>
            </w:r>
          </w:p>
        </w:tc>
        <w:tc>
          <w:tcPr>
            <w:tcW w:w="587" w:type="dxa"/>
          </w:tcPr>
          <w:p w14:paraId="27F91E56">
            <w:pPr>
              <w:spacing w:line="360" w:lineRule="auto"/>
              <w:rPr>
                <w:sz w:val="20"/>
                <w:szCs w:val="21"/>
              </w:rPr>
            </w:pPr>
          </w:p>
        </w:tc>
        <w:tc>
          <w:tcPr>
            <w:tcW w:w="587" w:type="dxa"/>
          </w:tcPr>
          <w:p w14:paraId="301558CE">
            <w:pPr>
              <w:spacing w:line="360" w:lineRule="auto"/>
              <w:rPr>
                <w:sz w:val="20"/>
                <w:szCs w:val="21"/>
              </w:rPr>
            </w:pPr>
          </w:p>
        </w:tc>
        <w:tc>
          <w:tcPr>
            <w:tcW w:w="587" w:type="dxa"/>
          </w:tcPr>
          <w:p w14:paraId="4AF110FA">
            <w:pPr>
              <w:spacing w:line="360" w:lineRule="auto"/>
              <w:rPr>
                <w:sz w:val="20"/>
                <w:szCs w:val="21"/>
              </w:rPr>
            </w:pPr>
          </w:p>
        </w:tc>
        <w:tc>
          <w:tcPr>
            <w:tcW w:w="588" w:type="dxa"/>
          </w:tcPr>
          <w:p w14:paraId="71B68148">
            <w:pPr>
              <w:spacing w:line="360" w:lineRule="auto"/>
              <w:rPr>
                <w:sz w:val="20"/>
                <w:szCs w:val="21"/>
              </w:rPr>
            </w:pPr>
          </w:p>
        </w:tc>
        <w:tc>
          <w:tcPr>
            <w:tcW w:w="587" w:type="dxa"/>
          </w:tcPr>
          <w:p w14:paraId="70E6745C">
            <w:pPr>
              <w:spacing w:line="360" w:lineRule="auto"/>
              <w:rPr>
                <w:sz w:val="20"/>
                <w:szCs w:val="21"/>
              </w:rPr>
            </w:pPr>
          </w:p>
        </w:tc>
        <w:tc>
          <w:tcPr>
            <w:tcW w:w="587" w:type="dxa"/>
          </w:tcPr>
          <w:p w14:paraId="2326079C">
            <w:pPr>
              <w:spacing w:line="360" w:lineRule="auto"/>
              <w:rPr>
                <w:sz w:val="20"/>
                <w:szCs w:val="21"/>
              </w:rPr>
            </w:pPr>
          </w:p>
        </w:tc>
        <w:tc>
          <w:tcPr>
            <w:tcW w:w="588" w:type="dxa"/>
          </w:tcPr>
          <w:p w14:paraId="2496BAC0">
            <w:pPr>
              <w:spacing w:line="360" w:lineRule="auto"/>
              <w:rPr>
                <w:sz w:val="20"/>
                <w:szCs w:val="21"/>
              </w:rPr>
            </w:pPr>
            <w:r>
              <w:rPr>
                <w:rFonts w:eastAsia="Calibri"/>
                <w:sz w:val="20"/>
                <w:szCs w:val="21"/>
              </w:rPr>
              <w:t>○</w:t>
            </w:r>
          </w:p>
        </w:tc>
        <w:tc>
          <w:tcPr>
            <w:tcW w:w="587" w:type="dxa"/>
          </w:tcPr>
          <w:p w14:paraId="31D905DA">
            <w:pPr>
              <w:spacing w:line="360" w:lineRule="auto"/>
              <w:rPr>
                <w:sz w:val="20"/>
                <w:szCs w:val="21"/>
              </w:rPr>
            </w:pPr>
          </w:p>
        </w:tc>
        <w:tc>
          <w:tcPr>
            <w:tcW w:w="587" w:type="dxa"/>
          </w:tcPr>
          <w:p w14:paraId="7E98BB60">
            <w:pPr>
              <w:spacing w:line="360" w:lineRule="auto"/>
              <w:rPr>
                <w:sz w:val="20"/>
                <w:szCs w:val="21"/>
              </w:rPr>
            </w:pPr>
          </w:p>
        </w:tc>
        <w:tc>
          <w:tcPr>
            <w:tcW w:w="587" w:type="dxa"/>
          </w:tcPr>
          <w:p w14:paraId="73D9E095">
            <w:pPr>
              <w:spacing w:line="360" w:lineRule="auto"/>
              <w:rPr>
                <w:sz w:val="20"/>
                <w:szCs w:val="21"/>
              </w:rPr>
            </w:pPr>
            <w:r>
              <w:rPr>
                <w:rFonts w:eastAsia="Calibri"/>
                <w:sz w:val="20"/>
                <w:szCs w:val="21"/>
              </w:rPr>
              <w:t>○</w:t>
            </w:r>
          </w:p>
        </w:tc>
        <w:tc>
          <w:tcPr>
            <w:tcW w:w="588" w:type="dxa"/>
          </w:tcPr>
          <w:p w14:paraId="0FA92AC7">
            <w:pPr>
              <w:spacing w:line="360" w:lineRule="auto"/>
              <w:rPr>
                <w:sz w:val="20"/>
                <w:szCs w:val="21"/>
              </w:rPr>
            </w:pPr>
          </w:p>
        </w:tc>
        <w:tc>
          <w:tcPr>
            <w:tcW w:w="587" w:type="dxa"/>
          </w:tcPr>
          <w:p w14:paraId="5D429E8F">
            <w:pPr>
              <w:spacing w:line="360" w:lineRule="auto"/>
              <w:rPr>
                <w:sz w:val="20"/>
                <w:szCs w:val="21"/>
              </w:rPr>
            </w:pPr>
          </w:p>
        </w:tc>
        <w:tc>
          <w:tcPr>
            <w:tcW w:w="587" w:type="dxa"/>
          </w:tcPr>
          <w:p w14:paraId="0893A03F">
            <w:pPr>
              <w:spacing w:line="360" w:lineRule="auto"/>
              <w:rPr>
                <w:sz w:val="20"/>
                <w:szCs w:val="21"/>
              </w:rPr>
            </w:pPr>
          </w:p>
        </w:tc>
        <w:tc>
          <w:tcPr>
            <w:tcW w:w="588" w:type="dxa"/>
          </w:tcPr>
          <w:p w14:paraId="3BDF2816">
            <w:pPr>
              <w:spacing w:line="360" w:lineRule="auto"/>
              <w:rPr>
                <w:sz w:val="20"/>
                <w:szCs w:val="21"/>
              </w:rPr>
            </w:pPr>
          </w:p>
        </w:tc>
      </w:tr>
      <w:tr w14:paraId="5B186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gridSpan w:val="2"/>
          </w:tcPr>
          <w:p w14:paraId="4C7AB3AD">
            <w:pPr>
              <w:jc w:val="left"/>
              <w:rPr>
                <w:sz w:val="20"/>
                <w:szCs w:val="21"/>
              </w:rPr>
            </w:pPr>
            <w:r>
              <w:rPr>
                <w:sz w:val="20"/>
                <w:szCs w:val="21"/>
              </w:rPr>
              <w:t xml:space="preserve">Intraoperative period </w:t>
            </w:r>
          </w:p>
        </w:tc>
        <w:tc>
          <w:tcPr>
            <w:tcW w:w="587" w:type="dxa"/>
          </w:tcPr>
          <w:p w14:paraId="436395A1">
            <w:pPr>
              <w:spacing w:line="360" w:lineRule="auto"/>
              <w:rPr>
                <w:sz w:val="20"/>
                <w:szCs w:val="21"/>
              </w:rPr>
            </w:pPr>
          </w:p>
        </w:tc>
        <w:tc>
          <w:tcPr>
            <w:tcW w:w="587" w:type="dxa"/>
          </w:tcPr>
          <w:p w14:paraId="60FD3B71">
            <w:pPr>
              <w:spacing w:line="360" w:lineRule="auto"/>
              <w:rPr>
                <w:sz w:val="20"/>
                <w:szCs w:val="21"/>
              </w:rPr>
            </w:pPr>
          </w:p>
        </w:tc>
        <w:tc>
          <w:tcPr>
            <w:tcW w:w="587" w:type="dxa"/>
          </w:tcPr>
          <w:p w14:paraId="36B3C470">
            <w:pPr>
              <w:spacing w:line="360" w:lineRule="auto"/>
              <w:rPr>
                <w:sz w:val="20"/>
                <w:szCs w:val="21"/>
              </w:rPr>
            </w:pPr>
          </w:p>
        </w:tc>
        <w:tc>
          <w:tcPr>
            <w:tcW w:w="588" w:type="dxa"/>
          </w:tcPr>
          <w:p w14:paraId="75B44569">
            <w:pPr>
              <w:spacing w:line="360" w:lineRule="auto"/>
              <w:rPr>
                <w:sz w:val="20"/>
                <w:szCs w:val="21"/>
              </w:rPr>
            </w:pPr>
          </w:p>
        </w:tc>
        <w:tc>
          <w:tcPr>
            <w:tcW w:w="587" w:type="dxa"/>
          </w:tcPr>
          <w:p w14:paraId="3191815A">
            <w:pPr>
              <w:spacing w:line="360" w:lineRule="auto"/>
              <w:rPr>
                <w:sz w:val="20"/>
                <w:szCs w:val="21"/>
              </w:rPr>
            </w:pPr>
          </w:p>
        </w:tc>
        <w:tc>
          <w:tcPr>
            <w:tcW w:w="587" w:type="dxa"/>
          </w:tcPr>
          <w:p w14:paraId="3A7ED9ED">
            <w:pPr>
              <w:spacing w:line="360" w:lineRule="auto"/>
              <w:rPr>
                <w:sz w:val="20"/>
                <w:szCs w:val="21"/>
              </w:rPr>
            </w:pPr>
          </w:p>
        </w:tc>
        <w:tc>
          <w:tcPr>
            <w:tcW w:w="588" w:type="dxa"/>
          </w:tcPr>
          <w:p w14:paraId="3D2F4AC1">
            <w:pPr>
              <w:spacing w:line="360" w:lineRule="auto"/>
              <w:rPr>
                <w:sz w:val="20"/>
                <w:szCs w:val="21"/>
              </w:rPr>
            </w:pPr>
          </w:p>
        </w:tc>
        <w:tc>
          <w:tcPr>
            <w:tcW w:w="587" w:type="dxa"/>
          </w:tcPr>
          <w:p w14:paraId="2E3D3653">
            <w:pPr>
              <w:spacing w:line="360" w:lineRule="auto"/>
              <w:rPr>
                <w:sz w:val="20"/>
                <w:szCs w:val="21"/>
              </w:rPr>
            </w:pPr>
            <w:r>
              <w:rPr>
                <w:rFonts w:eastAsia="Calibri"/>
                <w:sz w:val="20"/>
                <w:szCs w:val="21"/>
              </w:rPr>
              <w:t>○</w:t>
            </w:r>
          </w:p>
        </w:tc>
        <w:tc>
          <w:tcPr>
            <w:tcW w:w="587" w:type="dxa"/>
          </w:tcPr>
          <w:p w14:paraId="066AC36A">
            <w:pPr>
              <w:spacing w:line="360" w:lineRule="auto"/>
              <w:rPr>
                <w:sz w:val="20"/>
                <w:szCs w:val="21"/>
              </w:rPr>
            </w:pPr>
          </w:p>
        </w:tc>
        <w:tc>
          <w:tcPr>
            <w:tcW w:w="587" w:type="dxa"/>
          </w:tcPr>
          <w:p w14:paraId="7248D554">
            <w:pPr>
              <w:spacing w:line="360" w:lineRule="auto"/>
              <w:rPr>
                <w:sz w:val="20"/>
                <w:szCs w:val="21"/>
              </w:rPr>
            </w:pPr>
          </w:p>
        </w:tc>
        <w:tc>
          <w:tcPr>
            <w:tcW w:w="588" w:type="dxa"/>
          </w:tcPr>
          <w:p w14:paraId="7B8E4E5C">
            <w:pPr>
              <w:spacing w:line="360" w:lineRule="auto"/>
              <w:rPr>
                <w:sz w:val="20"/>
                <w:szCs w:val="21"/>
              </w:rPr>
            </w:pPr>
            <w:r>
              <w:rPr>
                <w:rFonts w:eastAsia="Calibri"/>
                <w:sz w:val="20"/>
                <w:szCs w:val="21"/>
              </w:rPr>
              <w:t>○</w:t>
            </w:r>
          </w:p>
        </w:tc>
        <w:tc>
          <w:tcPr>
            <w:tcW w:w="587" w:type="dxa"/>
          </w:tcPr>
          <w:p w14:paraId="55CE636D">
            <w:pPr>
              <w:spacing w:line="360" w:lineRule="auto"/>
              <w:rPr>
                <w:sz w:val="20"/>
                <w:szCs w:val="21"/>
              </w:rPr>
            </w:pPr>
          </w:p>
        </w:tc>
        <w:tc>
          <w:tcPr>
            <w:tcW w:w="587" w:type="dxa"/>
          </w:tcPr>
          <w:p w14:paraId="145144DA">
            <w:pPr>
              <w:spacing w:line="360" w:lineRule="auto"/>
              <w:rPr>
                <w:sz w:val="20"/>
                <w:szCs w:val="21"/>
              </w:rPr>
            </w:pPr>
          </w:p>
        </w:tc>
        <w:tc>
          <w:tcPr>
            <w:tcW w:w="588" w:type="dxa"/>
          </w:tcPr>
          <w:p w14:paraId="2E1D75DA">
            <w:pPr>
              <w:spacing w:line="360" w:lineRule="auto"/>
              <w:rPr>
                <w:sz w:val="20"/>
                <w:szCs w:val="21"/>
              </w:rPr>
            </w:pPr>
          </w:p>
        </w:tc>
      </w:tr>
      <w:tr w14:paraId="0EFF1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gridSpan w:val="2"/>
          </w:tcPr>
          <w:p w14:paraId="4B2870C1">
            <w:pPr>
              <w:jc w:val="left"/>
              <w:rPr>
                <w:sz w:val="20"/>
                <w:szCs w:val="21"/>
              </w:rPr>
            </w:pPr>
            <w:r>
              <w:rPr>
                <w:sz w:val="20"/>
                <w:szCs w:val="21"/>
              </w:rPr>
              <w:t xml:space="preserve">Early postoperative period </w:t>
            </w:r>
          </w:p>
        </w:tc>
        <w:tc>
          <w:tcPr>
            <w:tcW w:w="587" w:type="dxa"/>
          </w:tcPr>
          <w:p w14:paraId="6711C4D2">
            <w:pPr>
              <w:spacing w:line="360" w:lineRule="auto"/>
              <w:rPr>
                <w:sz w:val="20"/>
                <w:szCs w:val="21"/>
              </w:rPr>
            </w:pPr>
          </w:p>
        </w:tc>
        <w:tc>
          <w:tcPr>
            <w:tcW w:w="587" w:type="dxa"/>
          </w:tcPr>
          <w:p w14:paraId="016C4B45">
            <w:pPr>
              <w:spacing w:line="360" w:lineRule="auto"/>
              <w:rPr>
                <w:sz w:val="20"/>
                <w:szCs w:val="21"/>
              </w:rPr>
            </w:pPr>
          </w:p>
        </w:tc>
        <w:tc>
          <w:tcPr>
            <w:tcW w:w="587" w:type="dxa"/>
          </w:tcPr>
          <w:p w14:paraId="72D6D2C9">
            <w:pPr>
              <w:spacing w:line="360" w:lineRule="auto"/>
              <w:rPr>
                <w:sz w:val="20"/>
                <w:szCs w:val="21"/>
              </w:rPr>
            </w:pPr>
          </w:p>
        </w:tc>
        <w:tc>
          <w:tcPr>
            <w:tcW w:w="588" w:type="dxa"/>
          </w:tcPr>
          <w:p w14:paraId="24CEC9CE">
            <w:pPr>
              <w:spacing w:line="360" w:lineRule="auto"/>
              <w:rPr>
                <w:sz w:val="20"/>
                <w:szCs w:val="21"/>
              </w:rPr>
            </w:pPr>
          </w:p>
        </w:tc>
        <w:tc>
          <w:tcPr>
            <w:tcW w:w="587" w:type="dxa"/>
          </w:tcPr>
          <w:p w14:paraId="3BB7B18F">
            <w:pPr>
              <w:spacing w:line="360" w:lineRule="auto"/>
              <w:rPr>
                <w:sz w:val="20"/>
                <w:szCs w:val="21"/>
              </w:rPr>
            </w:pPr>
          </w:p>
        </w:tc>
        <w:tc>
          <w:tcPr>
            <w:tcW w:w="587" w:type="dxa"/>
          </w:tcPr>
          <w:p w14:paraId="6AF22D6F">
            <w:pPr>
              <w:spacing w:line="360" w:lineRule="auto"/>
              <w:rPr>
                <w:sz w:val="20"/>
                <w:szCs w:val="21"/>
              </w:rPr>
            </w:pPr>
          </w:p>
        </w:tc>
        <w:tc>
          <w:tcPr>
            <w:tcW w:w="588" w:type="dxa"/>
          </w:tcPr>
          <w:p w14:paraId="6F96AEDF">
            <w:pPr>
              <w:spacing w:line="360" w:lineRule="auto"/>
              <w:rPr>
                <w:sz w:val="20"/>
                <w:szCs w:val="21"/>
              </w:rPr>
            </w:pPr>
          </w:p>
        </w:tc>
        <w:tc>
          <w:tcPr>
            <w:tcW w:w="587" w:type="dxa"/>
          </w:tcPr>
          <w:p w14:paraId="43CB1B00">
            <w:pPr>
              <w:spacing w:line="360" w:lineRule="auto"/>
              <w:rPr>
                <w:sz w:val="20"/>
                <w:szCs w:val="21"/>
              </w:rPr>
            </w:pPr>
            <w:r>
              <w:rPr>
                <w:rFonts w:eastAsia="Calibri"/>
                <w:sz w:val="20"/>
                <w:szCs w:val="21"/>
              </w:rPr>
              <w:t>○</w:t>
            </w:r>
          </w:p>
        </w:tc>
        <w:tc>
          <w:tcPr>
            <w:tcW w:w="587" w:type="dxa"/>
          </w:tcPr>
          <w:p w14:paraId="676EE514">
            <w:pPr>
              <w:spacing w:line="360" w:lineRule="auto"/>
              <w:rPr>
                <w:sz w:val="20"/>
                <w:szCs w:val="21"/>
              </w:rPr>
            </w:pPr>
          </w:p>
        </w:tc>
        <w:tc>
          <w:tcPr>
            <w:tcW w:w="587" w:type="dxa"/>
          </w:tcPr>
          <w:p w14:paraId="7A60710C">
            <w:pPr>
              <w:spacing w:line="360" w:lineRule="auto"/>
              <w:rPr>
                <w:sz w:val="20"/>
                <w:szCs w:val="21"/>
              </w:rPr>
            </w:pPr>
          </w:p>
        </w:tc>
        <w:tc>
          <w:tcPr>
            <w:tcW w:w="588" w:type="dxa"/>
          </w:tcPr>
          <w:p w14:paraId="49AE837C">
            <w:pPr>
              <w:spacing w:line="360" w:lineRule="auto"/>
              <w:rPr>
                <w:sz w:val="20"/>
                <w:szCs w:val="21"/>
              </w:rPr>
            </w:pPr>
          </w:p>
        </w:tc>
        <w:tc>
          <w:tcPr>
            <w:tcW w:w="587" w:type="dxa"/>
          </w:tcPr>
          <w:p w14:paraId="0C141221">
            <w:pPr>
              <w:spacing w:line="360" w:lineRule="auto"/>
              <w:rPr>
                <w:sz w:val="20"/>
                <w:szCs w:val="21"/>
              </w:rPr>
            </w:pPr>
            <w:r>
              <w:rPr>
                <w:rFonts w:eastAsia="Calibri"/>
                <w:sz w:val="20"/>
                <w:szCs w:val="21"/>
              </w:rPr>
              <w:t>○</w:t>
            </w:r>
          </w:p>
        </w:tc>
        <w:tc>
          <w:tcPr>
            <w:tcW w:w="587" w:type="dxa"/>
          </w:tcPr>
          <w:p w14:paraId="68C6E7AD">
            <w:pPr>
              <w:spacing w:line="360" w:lineRule="auto"/>
              <w:rPr>
                <w:sz w:val="20"/>
                <w:szCs w:val="21"/>
              </w:rPr>
            </w:pPr>
            <w:r>
              <w:rPr>
                <w:rFonts w:eastAsia="Calibri"/>
                <w:sz w:val="20"/>
                <w:szCs w:val="21"/>
              </w:rPr>
              <w:t>○</w:t>
            </w:r>
          </w:p>
        </w:tc>
        <w:tc>
          <w:tcPr>
            <w:tcW w:w="588" w:type="dxa"/>
          </w:tcPr>
          <w:p w14:paraId="3164C85E">
            <w:pPr>
              <w:spacing w:line="360" w:lineRule="auto"/>
              <w:rPr>
                <w:sz w:val="20"/>
                <w:szCs w:val="21"/>
              </w:rPr>
            </w:pPr>
          </w:p>
        </w:tc>
      </w:tr>
      <w:tr w14:paraId="0ACC3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gridSpan w:val="2"/>
          </w:tcPr>
          <w:p w14:paraId="5C5A7198">
            <w:pPr>
              <w:jc w:val="left"/>
              <w:rPr>
                <w:sz w:val="20"/>
                <w:szCs w:val="21"/>
              </w:rPr>
            </w:pPr>
            <w:r>
              <w:rPr>
                <w:sz w:val="20"/>
                <w:szCs w:val="21"/>
              </w:rPr>
              <w:t xml:space="preserve">Before postoperative first chemotherapy </w:t>
            </w:r>
          </w:p>
        </w:tc>
        <w:tc>
          <w:tcPr>
            <w:tcW w:w="587" w:type="dxa"/>
          </w:tcPr>
          <w:p w14:paraId="7E4238E4">
            <w:pPr>
              <w:spacing w:line="360" w:lineRule="auto"/>
              <w:rPr>
                <w:sz w:val="20"/>
                <w:szCs w:val="21"/>
              </w:rPr>
            </w:pPr>
            <w:r>
              <w:rPr>
                <w:rFonts w:eastAsia="Calibri"/>
                <w:sz w:val="20"/>
                <w:szCs w:val="21"/>
              </w:rPr>
              <w:t>○</w:t>
            </w:r>
          </w:p>
        </w:tc>
        <w:tc>
          <w:tcPr>
            <w:tcW w:w="587" w:type="dxa"/>
          </w:tcPr>
          <w:p w14:paraId="62FCFC84">
            <w:pPr>
              <w:spacing w:line="360" w:lineRule="auto"/>
              <w:rPr>
                <w:sz w:val="20"/>
                <w:szCs w:val="21"/>
              </w:rPr>
            </w:pPr>
            <w:r>
              <w:rPr>
                <w:rFonts w:eastAsia="Calibri"/>
                <w:sz w:val="20"/>
                <w:szCs w:val="21"/>
              </w:rPr>
              <w:t>○</w:t>
            </w:r>
          </w:p>
        </w:tc>
        <w:tc>
          <w:tcPr>
            <w:tcW w:w="587" w:type="dxa"/>
          </w:tcPr>
          <w:p w14:paraId="54AFE89B">
            <w:pPr>
              <w:spacing w:line="360" w:lineRule="auto"/>
              <w:rPr>
                <w:sz w:val="20"/>
                <w:szCs w:val="21"/>
              </w:rPr>
            </w:pPr>
            <w:r>
              <w:rPr>
                <w:rFonts w:eastAsia="Calibri"/>
                <w:sz w:val="20"/>
                <w:szCs w:val="21"/>
              </w:rPr>
              <w:t>○</w:t>
            </w:r>
          </w:p>
        </w:tc>
        <w:tc>
          <w:tcPr>
            <w:tcW w:w="588" w:type="dxa"/>
          </w:tcPr>
          <w:p w14:paraId="706E0E72">
            <w:pPr>
              <w:spacing w:line="360" w:lineRule="auto"/>
              <w:rPr>
                <w:sz w:val="20"/>
                <w:szCs w:val="21"/>
              </w:rPr>
            </w:pPr>
          </w:p>
        </w:tc>
        <w:tc>
          <w:tcPr>
            <w:tcW w:w="587" w:type="dxa"/>
          </w:tcPr>
          <w:p w14:paraId="48761919">
            <w:pPr>
              <w:spacing w:line="360" w:lineRule="auto"/>
              <w:rPr>
                <w:sz w:val="20"/>
                <w:szCs w:val="21"/>
              </w:rPr>
            </w:pPr>
          </w:p>
        </w:tc>
        <w:tc>
          <w:tcPr>
            <w:tcW w:w="587" w:type="dxa"/>
          </w:tcPr>
          <w:p w14:paraId="1D7852BE">
            <w:pPr>
              <w:spacing w:line="360" w:lineRule="auto"/>
              <w:rPr>
                <w:sz w:val="20"/>
                <w:szCs w:val="21"/>
              </w:rPr>
            </w:pPr>
            <w:r>
              <w:rPr>
                <w:rFonts w:eastAsia="Calibri"/>
                <w:sz w:val="20"/>
                <w:szCs w:val="21"/>
              </w:rPr>
              <w:t>○</w:t>
            </w:r>
          </w:p>
        </w:tc>
        <w:tc>
          <w:tcPr>
            <w:tcW w:w="588" w:type="dxa"/>
          </w:tcPr>
          <w:p w14:paraId="061DA2B3">
            <w:pPr>
              <w:spacing w:line="360" w:lineRule="auto"/>
              <w:rPr>
                <w:sz w:val="20"/>
                <w:szCs w:val="21"/>
              </w:rPr>
            </w:pPr>
          </w:p>
        </w:tc>
        <w:tc>
          <w:tcPr>
            <w:tcW w:w="587" w:type="dxa"/>
          </w:tcPr>
          <w:p w14:paraId="088E09C5">
            <w:pPr>
              <w:spacing w:line="360" w:lineRule="auto"/>
              <w:rPr>
                <w:sz w:val="20"/>
                <w:szCs w:val="21"/>
              </w:rPr>
            </w:pPr>
          </w:p>
        </w:tc>
        <w:tc>
          <w:tcPr>
            <w:tcW w:w="587" w:type="dxa"/>
          </w:tcPr>
          <w:p w14:paraId="18B2C3D9">
            <w:pPr>
              <w:spacing w:line="360" w:lineRule="auto"/>
              <w:rPr>
                <w:sz w:val="20"/>
                <w:szCs w:val="21"/>
              </w:rPr>
            </w:pPr>
          </w:p>
        </w:tc>
        <w:tc>
          <w:tcPr>
            <w:tcW w:w="587" w:type="dxa"/>
          </w:tcPr>
          <w:p w14:paraId="12AC5466">
            <w:pPr>
              <w:spacing w:line="360" w:lineRule="auto"/>
              <w:rPr>
                <w:sz w:val="20"/>
                <w:szCs w:val="21"/>
              </w:rPr>
            </w:pPr>
          </w:p>
        </w:tc>
        <w:tc>
          <w:tcPr>
            <w:tcW w:w="588" w:type="dxa"/>
          </w:tcPr>
          <w:p w14:paraId="72B2915B">
            <w:pPr>
              <w:spacing w:line="360" w:lineRule="auto"/>
              <w:rPr>
                <w:sz w:val="20"/>
                <w:szCs w:val="21"/>
              </w:rPr>
            </w:pPr>
          </w:p>
        </w:tc>
        <w:tc>
          <w:tcPr>
            <w:tcW w:w="587" w:type="dxa"/>
          </w:tcPr>
          <w:p w14:paraId="587B0788">
            <w:pPr>
              <w:spacing w:line="360" w:lineRule="auto"/>
              <w:rPr>
                <w:sz w:val="20"/>
                <w:szCs w:val="21"/>
              </w:rPr>
            </w:pPr>
          </w:p>
        </w:tc>
        <w:tc>
          <w:tcPr>
            <w:tcW w:w="587" w:type="dxa"/>
          </w:tcPr>
          <w:p w14:paraId="05073F43">
            <w:pPr>
              <w:spacing w:line="360" w:lineRule="auto"/>
              <w:rPr>
                <w:sz w:val="20"/>
                <w:szCs w:val="21"/>
              </w:rPr>
            </w:pPr>
          </w:p>
        </w:tc>
        <w:tc>
          <w:tcPr>
            <w:tcW w:w="588" w:type="dxa"/>
          </w:tcPr>
          <w:p w14:paraId="609CCB4F">
            <w:pPr>
              <w:spacing w:line="360" w:lineRule="auto"/>
              <w:rPr>
                <w:sz w:val="20"/>
                <w:szCs w:val="21"/>
              </w:rPr>
            </w:pPr>
          </w:p>
        </w:tc>
      </w:tr>
      <w:tr w14:paraId="672B4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4" w:type="dxa"/>
            <w:gridSpan w:val="2"/>
          </w:tcPr>
          <w:p w14:paraId="7CEC2C79">
            <w:pPr>
              <w:jc w:val="left"/>
              <w:rPr>
                <w:sz w:val="20"/>
                <w:szCs w:val="21"/>
              </w:rPr>
            </w:pPr>
            <w:r>
              <w:rPr>
                <w:sz w:val="20"/>
                <w:szCs w:val="21"/>
              </w:rPr>
              <w:t xml:space="preserve">Regular chemotherapy </w:t>
            </w:r>
          </w:p>
        </w:tc>
        <w:tc>
          <w:tcPr>
            <w:tcW w:w="587" w:type="dxa"/>
          </w:tcPr>
          <w:p w14:paraId="5C18E8FD">
            <w:pPr>
              <w:spacing w:line="360" w:lineRule="auto"/>
              <w:rPr>
                <w:sz w:val="20"/>
                <w:szCs w:val="21"/>
              </w:rPr>
            </w:pPr>
            <w:r>
              <w:rPr>
                <w:rFonts w:eastAsia="Calibri"/>
                <w:sz w:val="20"/>
                <w:szCs w:val="21"/>
              </w:rPr>
              <w:t>○</w:t>
            </w:r>
          </w:p>
        </w:tc>
        <w:tc>
          <w:tcPr>
            <w:tcW w:w="587" w:type="dxa"/>
          </w:tcPr>
          <w:p w14:paraId="77801648">
            <w:pPr>
              <w:spacing w:line="360" w:lineRule="auto"/>
              <w:rPr>
                <w:sz w:val="20"/>
                <w:szCs w:val="21"/>
              </w:rPr>
            </w:pPr>
            <w:r>
              <w:rPr>
                <w:rFonts w:eastAsia="Calibri"/>
                <w:sz w:val="20"/>
                <w:szCs w:val="21"/>
              </w:rPr>
              <w:t>○</w:t>
            </w:r>
          </w:p>
        </w:tc>
        <w:tc>
          <w:tcPr>
            <w:tcW w:w="587" w:type="dxa"/>
          </w:tcPr>
          <w:p w14:paraId="15658D58">
            <w:pPr>
              <w:spacing w:line="360" w:lineRule="auto"/>
              <w:rPr>
                <w:sz w:val="20"/>
                <w:szCs w:val="21"/>
              </w:rPr>
            </w:pPr>
            <w:r>
              <w:rPr>
                <w:rFonts w:eastAsia="Calibri"/>
                <w:sz w:val="20"/>
                <w:szCs w:val="21"/>
              </w:rPr>
              <w:t>○</w:t>
            </w:r>
          </w:p>
        </w:tc>
        <w:tc>
          <w:tcPr>
            <w:tcW w:w="588" w:type="dxa"/>
          </w:tcPr>
          <w:p w14:paraId="2348776A">
            <w:pPr>
              <w:spacing w:line="360" w:lineRule="auto"/>
              <w:rPr>
                <w:sz w:val="20"/>
                <w:szCs w:val="21"/>
              </w:rPr>
            </w:pPr>
          </w:p>
        </w:tc>
        <w:tc>
          <w:tcPr>
            <w:tcW w:w="587" w:type="dxa"/>
          </w:tcPr>
          <w:p w14:paraId="016EE1EB">
            <w:pPr>
              <w:spacing w:line="360" w:lineRule="auto"/>
              <w:rPr>
                <w:sz w:val="20"/>
                <w:szCs w:val="21"/>
              </w:rPr>
            </w:pPr>
          </w:p>
        </w:tc>
        <w:tc>
          <w:tcPr>
            <w:tcW w:w="587" w:type="dxa"/>
          </w:tcPr>
          <w:p w14:paraId="7B267719">
            <w:pPr>
              <w:spacing w:line="360" w:lineRule="auto"/>
              <w:rPr>
                <w:sz w:val="20"/>
                <w:szCs w:val="21"/>
              </w:rPr>
            </w:pPr>
          </w:p>
        </w:tc>
        <w:tc>
          <w:tcPr>
            <w:tcW w:w="588" w:type="dxa"/>
          </w:tcPr>
          <w:p w14:paraId="1A7079A0">
            <w:pPr>
              <w:spacing w:line="360" w:lineRule="auto"/>
              <w:rPr>
                <w:sz w:val="20"/>
                <w:szCs w:val="21"/>
              </w:rPr>
            </w:pPr>
          </w:p>
        </w:tc>
        <w:tc>
          <w:tcPr>
            <w:tcW w:w="587" w:type="dxa"/>
          </w:tcPr>
          <w:p w14:paraId="112E68D4">
            <w:pPr>
              <w:spacing w:line="360" w:lineRule="auto"/>
              <w:rPr>
                <w:sz w:val="20"/>
                <w:szCs w:val="21"/>
              </w:rPr>
            </w:pPr>
          </w:p>
        </w:tc>
        <w:tc>
          <w:tcPr>
            <w:tcW w:w="587" w:type="dxa"/>
          </w:tcPr>
          <w:p w14:paraId="3426BD2B">
            <w:pPr>
              <w:spacing w:line="360" w:lineRule="auto"/>
              <w:rPr>
                <w:sz w:val="20"/>
                <w:szCs w:val="21"/>
              </w:rPr>
            </w:pPr>
            <w:r>
              <w:rPr>
                <w:rFonts w:eastAsia="Calibri"/>
                <w:sz w:val="20"/>
                <w:szCs w:val="21"/>
              </w:rPr>
              <w:t>○</w:t>
            </w:r>
          </w:p>
        </w:tc>
        <w:tc>
          <w:tcPr>
            <w:tcW w:w="587" w:type="dxa"/>
          </w:tcPr>
          <w:p w14:paraId="54DC6766">
            <w:pPr>
              <w:spacing w:line="360" w:lineRule="auto"/>
              <w:rPr>
                <w:sz w:val="20"/>
                <w:szCs w:val="21"/>
              </w:rPr>
            </w:pPr>
          </w:p>
        </w:tc>
        <w:tc>
          <w:tcPr>
            <w:tcW w:w="588" w:type="dxa"/>
          </w:tcPr>
          <w:p w14:paraId="30D70112">
            <w:pPr>
              <w:spacing w:line="360" w:lineRule="auto"/>
              <w:rPr>
                <w:sz w:val="20"/>
                <w:szCs w:val="21"/>
              </w:rPr>
            </w:pPr>
          </w:p>
        </w:tc>
        <w:tc>
          <w:tcPr>
            <w:tcW w:w="587" w:type="dxa"/>
          </w:tcPr>
          <w:p w14:paraId="65228C32">
            <w:pPr>
              <w:spacing w:line="360" w:lineRule="auto"/>
              <w:rPr>
                <w:sz w:val="20"/>
                <w:szCs w:val="21"/>
              </w:rPr>
            </w:pPr>
          </w:p>
        </w:tc>
        <w:tc>
          <w:tcPr>
            <w:tcW w:w="587" w:type="dxa"/>
          </w:tcPr>
          <w:p w14:paraId="78542851">
            <w:pPr>
              <w:spacing w:line="360" w:lineRule="auto"/>
              <w:rPr>
                <w:sz w:val="20"/>
                <w:szCs w:val="21"/>
              </w:rPr>
            </w:pPr>
          </w:p>
        </w:tc>
        <w:tc>
          <w:tcPr>
            <w:tcW w:w="588" w:type="dxa"/>
          </w:tcPr>
          <w:p w14:paraId="516F6CAA">
            <w:pPr>
              <w:spacing w:line="360" w:lineRule="auto"/>
              <w:rPr>
                <w:sz w:val="20"/>
                <w:szCs w:val="21"/>
              </w:rPr>
            </w:pPr>
          </w:p>
        </w:tc>
      </w:tr>
      <w:tr w14:paraId="3096B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dxa"/>
            <w:vMerge w:val="restart"/>
            <w:textDirection w:val="tbRl"/>
          </w:tcPr>
          <w:p w14:paraId="6E2F6456">
            <w:pPr>
              <w:ind w:left="113" w:right="113"/>
              <w:jc w:val="center"/>
              <w:rPr>
                <w:sz w:val="20"/>
                <w:szCs w:val="21"/>
              </w:rPr>
            </w:pPr>
            <w:r>
              <w:rPr>
                <w:sz w:val="20"/>
                <w:szCs w:val="21"/>
              </w:rPr>
              <w:t>Follow-up period Postoperative advanced stage</w:t>
            </w:r>
          </w:p>
        </w:tc>
        <w:tc>
          <w:tcPr>
            <w:tcW w:w="1296" w:type="dxa"/>
          </w:tcPr>
          <w:p w14:paraId="1CF060B3">
            <w:pPr>
              <w:jc w:val="left"/>
              <w:rPr>
                <w:sz w:val="20"/>
                <w:szCs w:val="21"/>
              </w:rPr>
            </w:pPr>
            <w:r>
              <w:rPr>
                <w:sz w:val="20"/>
                <w:szCs w:val="21"/>
              </w:rPr>
              <w:t xml:space="preserve">At </w:t>
            </w:r>
          </w:p>
          <w:p w14:paraId="3D3472D2">
            <w:pPr>
              <w:jc w:val="left"/>
              <w:rPr>
                <w:sz w:val="20"/>
                <w:szCs w:val="21"/>
              </w:rPr>
            </w:pPr>
            <w:r>
              <w:rPr>
                <w:sz w:val="20"/>
                <w:szCs w:val="21"/>
              </w:rPr>
              <w:t>postoperative 1 month (</w:t>
            </w:r>
            <w:r>
              <w:rPr>
                <w:rFonts w:eastAsia="Helvetica"/>
                <w:sz w:val="20"/>
                <w:szCs w:val="21"/>
              </w:rPr>
              <w:t>±</w:t>
            </w:r>
            <w:r>
              <w:rPr>
                <w:sz w:val="20"/>
                <w:szCs w:val="21"/>
              </w:rPr>
              <w:t>7 days)</w:t>
            </w:r>
          </w:p>
        </w:tc>
        <w:tc>
          <w:tcPr>
            <w:tcW w:w="587" w:type="dxa"/>
          </w:tcPr>
          <w:p w14:paraId="3D451AE1">
            <w:pPr>
              <w:spacing w:line="360" w:lineRule="auto"/>
              <w:rPr>
                <w:sz w:val="20"/>
                <w:szCs w:val="21"/>
              </w:rPr>
            </w:pPr>
            <w:r>
              <w:rPr>
                <w:rFonts w:eastAsia="Calibri"/>
                <w:sz w:val="20"/>
                <w:szCs w:val="21"/>
              </w:rPr>
              <w:t>○</w:t>
            </w:r>
          </w:p>
        </w:tc>
        <w:tc>
          <w:tcPr>
            <w:tcW w:w="587" w:type="dxa"/>
          </w:tcPr>
          <w:p w14:paraId="41ABC271">
            <w:pPr>
              <w:spacing w:line="360" w:lineRule="auto"/>
              <w:rPr>
                <w:sz w:val="20"/>
                <w:szCs w:val="21"/>
              </w:rPr>
            </w:pPr>
            <w:r>
              <w:rPr>
                <w:rFonts w:eastAsia="Calibri"/>
                <w:sz w:val="20"/>
                <w:szCs w:val="21"/>
              </w:rPr>
              <w:t>○</w:t>
            </w:r>
          </w:p>
        </w:tc>
        <w:tc>
          <w:tcPr>
            <w:tcW w:w="587" w:type="dxa"/>
          </w:tcPr>
          <w:p w14:paraId="3FC4E8ED">
            <w:pPr>
              <w:spacing w:line="360" w:lineRule="auto"/>
              <w:rPr>
                <w:sz w:val="20"/>
                <w:szCs w:val="21"/>
              </w:rPr>
            </w:pPr>
            <w:r>
              <w:rPr>
                <w:rFonts w:eastAsia="Calibri"/>
                <w:sz w:val="20"/>
                <w:szCs w:val="21"/>
              </w:rPr>
              <w:t>○</w:t>
            </w:r>
          </w:p>
        </w:tc>
        <w:tc>
          <w:tcPr>
            <w:tcW w:w="588" w:type="dxa"/>
          </w:tcPr>
          <w:p w14:paraId="731819C0">
            <w:pPr>
              <w:spacing w:line="360" w:lineRule="auto"/>
              <w:rPr>
                <w:sz w:val="20"/>
                <w:szCs w:val="21"/>
              </w:rPr>
            </w:pPr>
          </w:p>
        </w:tc>
        <w:tc>
          <w:tcPr>
            <w:tcW w:w="587" w:type="dxa"/>
          </w:tcPr>
          <w:p w14:paraId="51259543">
            <w:pPr>
              <w:spacing w:line="360" w:lineRule="auto"/>
              <w:rPr>
                <w:sz w:val="20"/>
                <w:szCs w:val="21"/>
              </w:rPr>
            </w:pPr>
          </w:p>
        </w:tc>
        <w:tc>
          <w:tcPr>
            <w:tcW w:w="587" w:type="dxa"/>
          </w:tcPr>
          <w:p w14:paraId="2E481569">
            <w:pPr>
              <w:spacing w:line="360" w:lineRule="auto"/>
              <w:rPr>
                <w:sz w:val="20"/>
                <w:szCs w:val="21"/>
              </w:rPr>
            </w:pPr>
            <w:r>
              <w:rPr>
                <w:rFonts w:eastAsia="Calibri"/>
                <w:sz w:val="20"/>
                <w:szCs w:val="21"/>
              </w:rPr>
              <w:t>○</w:t>
            </w:r>
          </w:p>
        </w:tc>
        <w:tc>
          <w:tcPr>
            <w:tcW w:w="588" w:type="dxa"/>
          </w:tcPr>
          <w:p w14:paraId="00AC4BB4">
            <w:pPr>
              <w:spacing w:line="360" w:lineRule="auto"/>
              <w:rPr>
                <w:sz w:val="20"/>
                <w:szCs w:val="21"/>
              </w:rPr>
            </w:pPr>
          </w:p>
        </w:tc>
        <w:tc>
          <w:tcPr>
            <w:tcW w:w="587" w:type="dxa"/>
          </w:tcPr>
          <w:p w14:paraId="708E30ED">
            <w:pPr>
              <w:spacing w:line="360" w:lineRule="auto"/>
              <w:rPr>
                <w:sz w:val="20"/>
                <w:szCs w:val="21"/>
              </w:rPr>
            </w:pPr>
            <w:r>
              <w:rPr>
                <w:rFonts w:eastAsia="Calibri"/>
                <w:sz w:val="20"/>
                <w:szCs w:val="21"/>
              </w:rPr>
              <w:t>○</w:t>
            </w:r>
          </w:p>
        </w:tc>
        <w:tc>
          <w:tcPr>
            <w:tcW w:w="587" w:type="dxa"/>
          </w:tcPr>
          <w:p w14:paraId="50FC7D94">
            <w:pPr>
              <w:spacing w:line="360" w:lineRule="auto"/>
              <w:rPr>
                <w:sz w:val="20"/>
                <w:szCs w:val="21"/>
              </w:rPr>
            </w:pPr>
          </w:p>
        </w:tc>
        <w:tc>
          <w:tcPr>
            <w:tcW w:w="587" w:type="dxa"/>
          </w:tcPr>
          <w:p w14:paraId="66EA1DAF">
            <w:pPr>
              <w:spacing w:line="360" w:lineRule="auto"/>
              <w:rPr>
                <w:sz w:val="20"/>
                <w:szCs w:val="21"/>
              </w:rPr>
            </w:pPr>
          </w:p>
        </w:tc>
        <w:tc>
          <w:tcPr>
            <w:tcW w:w="588" w:type="dxa"/>
          </w:tcPr>
          <w:p w14:paraId="3274634D">
            <w:pPr>
              <w:spacing w:line="360" w:lineRule="auto"/>
              <w:rPr>
                <w:sz w:val="20"/>
                <w:szCs w:val="21"/>
              </w:rPr>
            </w:pPr>
          </w:p>
        </w:tc>
        <w:tc>
          <w:tcPr>
            <w:tcW w:w="587" w:type="dxa"/>
          </w:tcPr>
          <w:p w14:paraId="0EA22418">
            <w:pPr>
              <w:spacing w:line="360" w:lineRule="auto"/>
              <w:rPr>
                <w:sz w:val="20"/>
                <w:szCs w:val="21"/>
              </w:rPr>
            </w:pPr>
          </w:p>
        </w:tc>
        <w:tc>
          <w:tcPr>
            <w:tcW w:w="587" w:type="dxa"/>
          </w:tcPr>
          <w:p w14:paraId="15AE1ADB">
            <w:pPr>
              <w:spacing w:line="360" w:lineRule="auto"/>
              <w:rPr>
                <w:sz w:val="20"/>
                <w:szCs w:val="21"/>
              </w:rPr>
            </w:pPr>
          </w:p>
        </w:tc>
        <w:tc>
          <w:tcPr>
            <w:tcW w:w="588" w:type="dxa"/>
          </w:tcPr>
          <w:p w14:paraId="668EB2CC">
            <w:pPr>
              <w:spacing w:line="360" w:lineRule="auto"/>
              <w:rPr>
                <w:sz w:val="20"/>
                <w:szCs w:val="21"/>
              </w:rPr>
            </w:pPr>
            <w:r>
              <w:rPr>
                <w:rFonts w:eastAsia="Calibri"/>
                <w:sz w:val="20"/>
                <w:szCs w:val="21"/>
              </w:rPr>
              <w:t>○</w:t>
            </w:r>
          </w:p>
        </w:tc>
      </w:tr>
      <w:tr w14:paraId="61154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dxa"/>
            <w:vMerge w:val="continue"/>
          </w:tcPr>
          <w:p w14:paraId="0E7B0C3C">
            <w:pPr>
              <w:rPr>
                <w:sz w:val="20"/>
                <w:szCs w:val="21"/>
              </w:rPr>
            </w:pPr>
          </w:p>
        </w:tc>
        <w:tc>
          <w:tcPr>
            <w:tcW w:w="1296" w:type="dxa"/>
          </w:tcPr>
          <w:p w14:paraId="6C34C6E7">
            <w:pPr>
              <w:jc w:val="left"/>
              <w:rPr>
                <w:sz w:val="20"/>
                <w:szCs w:val="21"/>
              </w:rPr>
            </w:pPr>
            <w:r>
              <w:rPr>
                <w:sz w:val="20"/>
                <w:szCs w:val="21"/>
              </w:rPr>
              <w:t>At</w:t>
            </w:r>
          </w:p>
          <w:p w14:paraId="2F9F05DB">
            <w:pPr>
              <w:rPr>
                <w:sz w:val="20"/>
                <w:szCs w:val="21"/>
              </w:rPr>
            </w:pPr>
            <w:r>
              <w:rPr>
                <w:sz w:val="20"/>
                <w:szCs w:val="21"/>
              </w:rPr>
              <w:t>postoperative 3 months (</w:t>
            </w:r>
            <w:r>
              <w:rPr>
                <w:rFonts w:eastAsia="Helvetica"/>
                <w:sz w:val="20"/>
                <w:szCs w:val="21"/>
              </w:rPr>
              <w:t>±</w:t>
            </w:r>
            <w:r>
              <w:rPr>
                <w:sz w:val="20"/>
                <w:szCs w:val="21"/>
              </w:rPr>
              <w:t>15 days)</w:t>
            </w:r>
          </w:p>
        </w:tc>
        <w:tc>
          <w:tcPr>
            <w:tcW w:w="587" w:type="dxa"/>
          </w:tcPr>
          <w:p w14:paraId="01FBE259">
            <w:pPr>
              <w:spacing w:line="360" w:lineRule="auto"/>
              <w:rPr>
                <w:sz w:val="20"/>
                <w:szCs w:val="21"/>
              </w:rPr>
            </w:pPr>
            <w:r>
              <w:rPr>
                <w:rFonts w:eastAsia="Calibri"/>
                <w:sz w:val="20"/>
                <w:szCs w:val="21"/>
              </w:rPr>
              <w:t>○</w:t>
            </w:r>
          </w:p>
        </w:tc>
        <w:tc>
          <w:tcPr>
            <w:tcW w:w="587" w:type="dxa"/>
          </w:tcPr>
          <w:p w14:paraId="19808448">
            <w:pPr>
              <w:spacing w:line="360" w:lineRule="auto"/>
              <w:rPr>
                <w:sz w:val="20"/>
                <w:szCs w:val="21"/>
              </w:rPr>
            </w:pPr>
            <w:r>
              <w:rPr>
                <w:rFonts w:eastAsia="Calibri"/>
                <w:sz w:val="20"/>
                <w:szCs w:val="21"/>
              </w:rPr>
              <w:t>○</w:t>
            </w:r>
          </w:p>
        </w:tc>
        <w:tc>
          <w:tcPr>
            <w:tcW w:w="587" w:type="dxa"/>
          </w:tcPr>
          <w:p w14:paraId="30B83206">
            <w:pPr>
              <w:spacing w:line="360" w:lineRule="auto"/>
              <w:rPr>
                <w:sz w:val="20"/>
                <w:szCs w:val="21"/>
              </w:rPr>
            </w:pPr>
            <w:r>
              <w:rPr>
                <w:rFonts w:eastAsia="Calibri"/>
                <w:sz w:val="20"/>
                <w:szCs w:val="21"/>
              </w:rPr>
              <w:t>○</w:t>
            </w:r>
          </w:p>
        </w:tc>
        <w:tc>
          <w:tcPr>
            <w:tcW w:w="588" w:type="dxa"/>
          </w:tcPr>
          <w:p w14:paraId="08974218">
            <w:pPr>
              <w:spacing w:line="360" w:lineRule="auto"/>
              <w:rPr>
                <w:sz w:val="20"/>
                <w:szCs w:val="21"/>
              </w:rPr>
            </w:pPr>
          </w:p>
        </w:tc>
        <w:tc>
          <w:tcPr>
            <w:tcW w:w="587" w:type="dxa"/>
          </w:tcPr>
          <w:p w14:paraId="768FCD15">
            <w:pPr>
              <w:spacing w:line="360" w:lineRule="auto"/>
              <w:rPr>
                <w:sz w:val="20"/>
                <w:szCs w:val="21"/>
              </w:rPr>
            </w:pPr>
          </w:p>
        </w:tc>
        <w:tc>
          <w:tcPr>
            <w:tcW w:w="587" w:type="dxa"/>
          </w:tcPr>
          <w:p w14:paraId="48BE499E">
            <w:pPr>
              <w:spacing w:line="360" w:lineRule="auto"/>
              <w:rPr>
                <w:sz w:val="20"/>
                <w:szCs w:val="21"/>
              </w:rPr>
            </w:pPr>
          </w:p>
        </w:tc>
        <w:tc>
          <w:tcPr>
            <w:tcW w:w="588" w:type="dxa"/>
          </w:tcPr>
          <w:p w14:paraId="1FA04D5C">
            <w:pPr>
              <w:spacing w:line="360" w:lineRule="auto"/>
              <w:rPr>
                <w:sz w:val="20"/>
                <w:szCs w:val="21"/>
              </w:rPr>
            </w:pPr>
          </w:p>
        </w:tc>
        <w:tc>
          <w:tcPr>
            <w:tcW w:w="587" w:type="dxa"/>
          </w:tcPr>
          <w:p w14:paraId="1F738A69">
            <w:pPr>
              <w:spacing w:line="360" w:lineRule="auto"/>
              <w:rPr>
                <w:sz w:val="20"/>
                <w:szCs w:val="21"/>
              </w:rPr>
            </w:pPr>
            <w:r>
              <w:rPr>
                <w:rFonts w:eastAsia="Calibri"/>
                <w:sz w:val="20"/>
                <w:szCs w:val="21"/>
              </w:rPr>
              <w:t>○</w:t>
            </w:r>
          </w:p>
        </w:tc>
        <w:tc>
          <w:tcPr>
            <w:tcW w:w="587" w:type="dxa"/>
          </w:tcPr>
          <w:p w14:paraId="12559246">
            <w:pPr>
              <w:spacing w:line="360" w:lineRule="auto"/>
              <w:rPr>
                <w:sz w:val="20"/>
                <w:szCs w:val="21"/>
              </w:rPr>
            </w:pPr>
          </w:p>
        </w:tc>
        <w:tc>
          <w:tcPr>
            <w:tcW w:w="587" w:type="dxa"/>
          </w:tcPr>
          <w:p w14:paraId="5A091808">
            <w:pPr>
              <w:spacing w:line="360" w:lineRule="auto"/>
              <w:rPr>
                <w:sz w:val="20"/>
                <w:szCs w:val="21"/>
              </w:rPr>
            </w:pPr>
          </w:p>
        </w:tc>
        <w:tc>
          <w:tcPr>
            <w:tcW w:w="588" w:type="dxa"/>
          </w:tcPr>
          <w:p w14:paraId="23240CF1">
            <w:pPr>
              <w:spacing w:line="360" w:lineRule="auto"/>
              <w:rPr>
                <w:sz w:val="20"/>
                <w:szCs w:val="21"/>
              </w:rPr>
            </w:pPr>
          </w:p>
        </w:tc>
        <w:tc>
          <w:tcPr>
            <w:tcW w:w="587" w:type="dxa"/>
          </w:tcPr>
          <w:p w14:paraId="462C7537">
            <w:pPr>
              <w:spacing w:line="360" w:lineRule="auto"/>
              <w:rPr>
                <w:sz w:val="20"/>
                <w:szCs w:val="21"/>
              </w:rPr>
            </w:pPr>
          </w:p>
        </w:tc>
        <w:tc>
          <w:tcPr>
            <w:tcW w:w="587" w:type="dxa"/>
          </w:tcPr>
          <w:p w14:paraId="72AE7803">
            <w:pPr>
              <w:spacing w:line="360" w:lineRule="auto"/>
              <w:rPr>
                <w:sz w:val="20"/>
                <w:szCs w:val="21"/>
              </w:rPr>
            </w:pPr>
          </w:p>
        </w:tc>
        <w:tc>
          <w:tcPr>
            <w:tcW w:w="588" w:type="dxa"/>
          </w:tcPr>
          <w:p w14:paraId="50C6CB29">
            <w:pPr>
              <w:spacing w:line="360" w:lineRule="auto"/>
              <w:rPr>
                <w:sz w:val="20"/>
                <w:szCs w:val="21"/>
              </w:rPr>
            </w:pPr>
            <w:r>
              <w:rPr>
                <w:rFonts w:eastAsia="Calibri"/>
                <w:sz w:val="20"/>
                <w:szCs w:val="21"/>
              </w:rPr>
              <w:t>○</w:t>
            </w:r>
          </w:p>
        </w:tc>
      </w:tr>
      <w:tr w14:paraId="1BAB0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dxa"/>
            <w:vMerge w:val="continue"/>
          </w:tcPr>
          <w:p w14:paraId="2E94CB6C">
            <w:pPr>
              <w:rPr>
                <w:sz w:val="20"/>
                <w:szCs w:val="21"/>
              </w:rPr>
            </w:pPr>
          </w:p>
        </w:tc>
        <w:tc>
          <w:tcPr>
            <w:tcW w:w="1296" w:type="dxa"/>
          </w:tcPr>
          <w:p w14:paraId="0BAB15FA">
            <w:pPr>
              <w:jc w:val="left"/>
              <w:rPr>
                <w:sz w:val="20"/>
                <w:szCs w:val="21"/>
              </w:rPr>
            </w:pPr>
            <w:r>
              <w:rPr>
                <w:sz w:val="20"/>
                <w:szCs w:val="21"/>
              </w:rPr>
              <w:t>At</w:t>
            </w:r>
          </w:p>
          <w:p w14:paraId="4004D55B">
            <w:pPr>
              <w:rPr>
                <w:sz w:val="20"/>
                <w:szCs w:val="21"/>
              </w:rPr>
            </w:pPr>
            <w:r>
              <w:rPr>
                <w:sz w:val="20"/>
                <w:szCs w:val="21"/>
              </w:rPr>
              <w:t>postoperative 6 months (</w:t>
            </w:r>
            <w:r>
              <w:rPr>
                <w:rFonts w:eastAsia="Helvetica"/>
                <w:sz w:val="20"/>
                <w:szCs w:val="21"/>
              </w:rPr>
              <w:t>±</w:t>
            </w:r>
            <w:r>
              <w:rPr>
                <w:sz w:val="20"/>
                <w:szCs w:val="21"/>
              </w:rPr>
              <w:t>15 days)</w:t>
            </w:r>
          </w:p>
        </w:tc>
        <w:tc>
          <w:tcPr>
            <w:tcW w:w="587" w:type="dxa"/>
          </w:tcPr>
          <w:p w14:paraId="6A51AC1B">
            <w:pPr>
              <w:spacing w:line="360" w:lineRule="auto"/>
              <w:rPr>
                <w:sz w:val="20"/>
                <w:szCs w:val="21"/>
              </w:rPr>
            </w:pPr>
            <w:r>
              <w:rPr>
                <w:rFonts w:eastAsia="Calibri"/>
                <w:sz w:val="20"/>
                <w:szCs w:val="21"/>
              </w:rPr>
              <w:t>○</w:t>
            </w:r>
          </w:p>
        </w:tc>
        <w:tc>
          <w:tcPr>
            <w:tcW w:w="587" w:type="dxa"/>
          </w:tcPr>
          <w:p w14:paraId="0BBAB13A">
            <w:pPr>
              <w:spacing w:line="360" w:lineRule="auto"/>
              <w:rPr>
                <w:sz w:val="20"/>
                <w:szCs w:val="21"/>
              </w:rPr>
            </w:pPr>
            <w:r>
              <w:rPr>
                <w:rFonts w:eastAsia="Calibri"/>
                <w:sz w:val="20"/>
                <w:szCs w:val="21"/>
              </w:rPr>
              <w:t>○</w:t>
            </w:r>
          </w:p>
        </w:tc>
        <w:tc>
          <w:tcPr>
            <w:tcW w:w="587" w:type="dxa"/>
          </w:tcPr>
          <w:p w14:paraId="134B0F4A">
            <w:pPr>
              <w:spacing w:line="360" w:lineRule="auto"/>
              <w:rPr>
                <w:sz w:val="20"/>
                <w:szCs w:val="21"/>
              </w:rPr>
            </w:pPr>
            <w:r>
              <w:rPr>
                <w:rFonts w:eastAsia="Calibri"/>
                <w:sz w:val="20"/>
                <w:szCs w:val="21"/>
              </w:rPr>
              <w:t>○</w:t>
            </w:r>
          </w:p>
        </w:tc>
        <w:tc>
          <w:tcPr>
            <w:tcW w:w="588" w:type="dxa"/>
          </w:tcPr>
          <w:p w14:paraId="0F6F4EF9">
            <w:pPr>
              <w:spacing w:line="360" w:lineRule="auto"/>
              <w:rPr>
                <w:sz w:val="20"/>
                <w:szCs w:val="21"/>
              </w:rPr>
            </w:pPr>
          </w:p>
        </w:tc>
        <w:tc>
          <w:tcPr>
            <w:tcW w:w="587" w:type="dxa"/>
          </w:tcPr>
          <w:p w14:paraId="38498BF9">
            <w:pPr>
              <w:spacing w:line="360" w:lineRule="auto"/>
              <w:rPr>
                <w:sz w:val="20"/>
                <w:szCs w:val="21"/>
              </w:rPr>
            </w:pPr>
          </w:p>
        </w:tc>
        <w:tc>
          <w:tcPr>
            <w:tcW w:w="587" w:type="dxa"/>
          </w:tcPr>
          <w:p w14:paraId="48A6BEC4">
            <w:pPr>
              <w:spacing w:line="360" w:lineRule="auto"/>
              <w:rPr>
                <w:sz w:val="20"/>
                <w:szCs w:val="21"/>
              </w:rPr>
            </w:pPr>
            <w:r>
              <w:rPr>
                <w:rFonts w:eastAsia="Calibri"/>
                <w:sz w:val="20"/>
                <w:szCs w:val="21"/>
              </w:rPr>
              <w:t>○</w:t>
            </w:r>
          </w:p>
        </w:tc>
        <w:tc>
          <w:tcPr>
            <w:tcW w:w="588" w:type="dxa"/>
          </w:tcPr>
          <w:p w14:paraId="165634FA">
            <w:pPr>
              <w:spacing w:line="360" w:lineRule="auto"/>
              <w:rPr>
                <w:sz w:val="20"/>
                <w:szCs w:val="21"/>
              </w:rPr>
            </w:pPr>
          </w:p>
        </w:tc>
        <w:tc>
          <w:tcPr>
            <w:tcW w:w="587" w:type="dxa"/>
          </w:tcPr>
          <w:p w14:paraId="5904A680">
            <w:pPr>
              <w:spacing w:line="360" w:lineRule="auto"/>
              <w:rPr>
                <w:sz w:val="20"/>
                <w:szCs w:val="21"/>
              </w:rPr>
            </w:pPr>
            <w:r>
              <w:rPr>
                <w:rFonts w:eastAsia="Calibri"/>
                <w:sz w:val="20"/>
                <w:szCs w:val="21"/>
              </w:rPr>
              <w:t>○</w:t>
            </w:r>
          </w:p>
        </w:tc>
        <w:tc>
          <w:tcPr>
            <w:tcW w:w="587" w:type="dxa"/>
          </w:tcPr>
          <w:p w14:paraId="1B7E3088">
            <w:pPr>
              <w:spacing w:line="360" w:lineRule="auto"/>
              <w:rPr>
                <w:sz w:val="20"/>
                <w:szCs w:val="21"/>
              </w:rPr>
            </w:pPr>
          </w:p>
        </w:tc>
        <w:tc>
          <w:tcPr>
            <w:tcW w:w="587" w:type="dxa"/>
          </w:tcPr>
          <w:p w14:paraId="412E1EF5">
            <w:pPr>
              <w:spacing w:line="360" w:lineRule="auto"/>
              <w:rPr>
                <w:sz w:val="20"/>
                <w:szCs w:val="21"/>
              </w:rPr>
            </w:pPr>
          </w:p>
        </w:tc>
        <w:tc>
          <w:tcPr>
            <w:tcW w:w="588" w:type="dxa"/>
          </w:tcPr>
          <w:p w14:paraId="37CFF441">
            <w:pPr>
              <w:spacing w:line="360" w:lineRule="auto"/>
              <w:rPr>
                <w:sz w:val="20"/>
                <w:szCs w:val="21"/>
              </w:rPr>
            </w:pPr>
          </w:p>
        </w:tc>
        <w:tc>
          <w:tcPr>
            <w:tcW w:w="587" w:type="dxa"/>
          </w:tcPr>
          <w:p w14:paraId="55B09459">
            <w:pPr>
              <w:spacing w:line="360" w:lineRule="auto"/>
              <w:rPr>
                <w:sz w:val="20"/>
                <w:szCs w:val="21"/>
              </w:rPr>
            </w:pPr>
          </w:p>
        </w:tc>
        <w:tc>
          <w:tcPr>
            <w:tcW w:w="587" w:type="dxa"/>
          </w:tcPr>
          <w:p w14:paraId="468D8670">
            <w:pPr>
              <w:spacing w:line="360" w:lineRule="auto"/>
              <w:rPr>
                <w:sz w:val="20"/>
                <w:szCs w:val="21"/>
              </w:rPr>
            </w:pPr>
          </w:p>
        </w:tc>
        <w:tc>
          <w:tcPr>
            <w:tcW w:w="588" w:type="dxa"/>
          </w:tcPr>
          <w:p w14:paraId="345677E0">
            <w:pPr>
              <w:spacing w:line="360" w:lineRule="auto"/>
              <w:rPr>
                <w:sz w:val="20"/>
                <w:szCs w:val="21"/>
              </w:rPr>
            </w:pPr>
            <w:r>
              <w:rPr>
                <w:rFonts w:eastAsia="Calibri"/>
                <w:sz w:val="20"/>
                <w:szCs w:val="21"/>
              </w:rPr>
              <w:t>○</w:t>
            </w:r>
          </w:p>
        </w:tc>
      </w:tr>
      <w:tr w14:paraId="30258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dxa"/>
            <w:vMerge w:val="continue"/>
          </w:tcPr>
          <w:p w14:paraId="445A440B">
            <w:pPr>
              <w:rPr>
                <w:sz w:val="20"/>
                <w:szCs w:val="21"/>
              </w:rPr>
            </w:pPr>
          </w:p>
        </w:tc>
        <w:tc>
          <w:tcPr>
            <w:tcW w:w="1296" w:type="dxa"/>
          </w:tcPr>
          <w:p w14:paraId="1ADC324F">
            <w:pPr>
              <w:jc w:val="left"/>
              <w:rPr>
                <w:sz w:val="20"/>
                <w:szCs w:val="21"/>
              </w:rPr>
            </w:pPr>
            <w:r>
              <w:rPr>
                <w:sz w:val="20"/>
                <w:szCs w:val="21"/>
              </w:rPr>
              <w:t>At</w:t>
            </w:r>
          </w:p>
          <w:p w14:paraId="4F09C7E7">
            <w:pPr>
              <w:rPr>
                <w:sz w:val="20"/>
                <w:szCs w:val="21"/>
              </w:rPr>
            </w:pPr>
            <w:r>
              <w:rPr>
                <w:sz w:val="20"/>
                <w:szCs w:val="21"/>
              </w:rPr>
              <w:t>postoperative 9 months (</w:t>
            </w:r>
            <w:r>
              <w:rPr>
                <w:rFonts w:eastAsia="Helvetica"/>
                <w:sz w:val="20"/>
                <w:szCs w:val="21"/>
              </w:rPr>
              <w:t>±</w:t>
            </w:r>
            <w:r>
              <w:rPr>
                <w:sz w:val="20"/>
                <w:szCs w:val="21"/>
              </w:rPr>
              <w:t>15 days)</w:t>
            </w:r>
          </w:p>
        </w:tc>
        <w:tc>
          <w:tcPr>
            <w:tcW w:w="587" w:type="dxa"/>
          </w:tcPr>
          <w:p w14:paraId="7A424E0C">
            <w:pPr>
              <w:spacing w:line="360" w:lineRule="auto"/>
              <w:rPr>
                <w:sz w:val="20"/>
                <w:szCs w:val="21"/>
              </w:rPr>
            </w:pPr>
            <w:r>
              <w:rPr>
                <w:rFonts w:eastAsia="Calibri"/>
                <w:sz w:val="20"/>
                <w:szCs w:val="21"/>
              </w:rPr>
              <w:t>○</w:t>
            </w:r>
          </w:p>
        </w:tc>
        <w:tc>
          <w:tcPr>
            <w:tcW w:w="587" w:type="dxa"/>
          </w:tcPr>
          <w:p w14:paraId="1CA7EB72">
            <w:pPr>
              <w:spacing w:line="360" w:lineRule="auto"/>
              <w:rPr>
                <w:sz w:val="20"/>
                <w:szCs w:val="21"/>
              </w:rPr>
            </w:pPr>
            <w:r>
              <w:rPr>
                <w:rFonts w:eastAsia="Calibri"/>
                <w:sz w:val="20"/>
                <w:szCs w:val="21"/>
              </w:rPr>
              <w:t>○</w:t>
            </w:r>
          </w:p>
        </w:tc>
        <w:tc>
          <w:tcPr>
            <w:tcW w:w="587" w:type="dxa"/>
          </w:tcPr>
          <w:p w14:paraId="4583AF1E">
            <w:pPr>
              <w:spacing w:line="360" w:lineRule="auto"/>
              <w:rPr>
                <w:sz w:val="20"/>
                <w:szCs w:val="21"/>
              </w:rPr>
            </w:pPr>
            <w:r>
              <w:rPr>
                <w:rFonts w:eastAsia="Calibri"/>
                <w:sz w:val="20"/>
                <w:szCs w:val="21"/>
              </w:rPr>
              <w:t>○</w:t>
            </w:r>
          </w:p>
        </w:tc>
        <w:tc>
          <w:tcPr>
            <w:tcW w:w="588" w:type="dxa"/>
          </w:tcPr>
          <w:p w14:paraId="3F4B89B5">
            <w:pPr>
              <w:spacing w:line="360" w:lineRule="auto"/>
              <w:rPr>
                <w:sz w:val="20"/>
                <w:szCs w:val="21"/>
              </w:rPr>
            </w:pPr>
          </w:p>
        </w:tc>
        <w:tc>
          <w:tcPr>
            <w:tcW w:w="587" w:type="dxa"/>
          </w:tcPr>
          <w:p w14:paraId="25D8425C">
            <w:pPr>
              <w:spacing w:line="360" w:lineRule="auto"/>
              <w:rPr>
                <w:sz w:val="20"/>
                <w:szCs w:val="21"/>
              </w:rPr>
            </w:pPr>
          </w:p>
        </w:tc>
        <w:tc>
          <w:tcPr>
            <w:tcW w:w="587" w:type="dxa"/>
          </w:tcPr>
          <w:p w14:paraId="375A5B08">
            <w:pPr>
              <w:spacing w:line="360" w:lineRule="auto"/>
              <w:rPr>
                <w:sz w:val="20"/>
                <w:szCs w:val="21"/>
              </w:rPr>
            </w:pPr>
          </w:p>
        </w:tc>
        <w:tc>
          <w:tcPr>
            <w:tcW w:w="588" w:type="dxa"/>
          </w:tcPr>
          <w:p w14:paraId="595F210D">
            <w:pPr>
              <w:spacing w:line="360" w:lineRule="auto"/>
              <w:rPr>
                <w:sz w:val="20"/>
                <w:szCs w:val="21"/>
              </w:rPr>
            </w:pPr>
          </w:p>
        </w:tc>
        <w:tc>
          <w:tcPr>
            <w:tcW w:w="587" w:type="dxa"/>
          </w:tcPr>
          <w:p w14:paraId="750FBCBC">
            <w:pPr>
              <w:spacing w:line="360" w:lineRule="auto"/>
              <w:rPr>
                <w:sz w:val="20"/>
                <w:szCs w:val="21"/>
              </w:rPr>
            </w:pPr>
            <w:r>
              <w:rPr>
                <w:rFonts w:eastAsia="Calibri"/>
                <w:sz w:val="20"/>
                <w:szCs w:val="21"/>
              </w:rPr>
              <w:t>○</w:t>
            </w:r>
          </w:p>
        </w:tc>
        <w:tc>
          <w:tcPr>
            <w:tcW w:w="587" w:type="dxa"/>
          </w:tcPr>
          <w:p w14:paraId="20A53BE3">
            <w:pPr>
              <w:spacing w:line="360" w:lineRule="auto"/>
              <w:rPr>
                <w:sz w:val="20"/>
                <w:szCs w:val="21"/>
              </w:rPr>
            </w:pPr>
          </w:p>
        </w:tc>
        <w:tc>
          <w:tcPr>
            <w:tcW w:w="587" w:type="dxa"/>
          </w:tcPr>
          <w:p w14:paraId="512DEC82">
            <w:pPr>
              <w:spacing w:line="360" w:lineRule="auto"/>
              <w:rPr>
                <w:sz w:val="20"/>
                <w:szCs w:val="21"/>
              </w:rPr>
            </w:pPr>
          </w:p>
        </w:tc>
        <w:tc>
          <w:tcPr>
            <w:tcW w:w="588" w:type="dxa"/>
          </w:tcPr>
          <w:p w14:paraId="757A4C09">
            <w:pPr>
              <w:spacing w:line="360" w:lineRule="auto"/>
              <w:rPr>
                <w:sz w:val="20"/>
                <w:szCs w:val="21"/>
              </w:rPr>
            </w:pPr>
          </w:p>
        </w:tc>
        <w:tc>
          <w:tcPr>
            <w:tcW w:w="587" w:type="dxa"/>
          </w:tcPr>
          <w:p w14:paraId="5041EFFA">
            <w:pPr>
              <w:spacing w:line="360" w:lineRule="auto"/>
              <w:rPr>
                <w:sz w:val="20"/>
                <w:szCs w:val="21"/>
              </w:rPr>
            </w:pPr>
          </w:p>
        </w:tc>
        <w:tc>
          <w:tcPr>
            <w:tcW w:w="587" w:type="dxa"/>
          </w:tcPr>
          <w:p w14:paraId="46EBAC8A">
            <w:pPr>
              <w:spacing w:line="360" w:lineRule="auto"/>
              <w:rPr>
                <w:sz w:val="20"/>
                <w:szCs w:val="21"/>
              </w:rPr>
            </w:pPr>
          </w:p>
        </w:tc>
        <w:tc>
          <w:tcPr>
            <w:tcW w:w="588" w:type="dxa"/>
          </w:tcPr>
          <w:p w14:paraId="072F45D3">
            <w:pPr>
              <w:spacing w:line="360" w:lineRule="auto"/>
              <w:rPr>
                <w:sz w:val="20"/>
                <w:szCs w:val="21"/>
              </w:rPr>
            </w:pPr>
            <w:r>
              <w:rPr>
                <w:rFonts w:eastAsia="Calibri"/>
                <w:sz w:val="20"/>
                <w:szCs w:val="21"/>
              </w:rPr>
              <w:t>○</w:t>
            </w:r>
          </w:p>
        </w:tc>
      </w:tr>
      <w:tr w14:paraId="61BC4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dxa"/>
            <w:vMerge w:val="continue"/>
          </w:tcPr>
          <w:p w14:paraId="11BF0346">
            <w:pPr>
              <w:rPr>
                <w:sz w:val="20"/>
                <w:szCs w:val="21"/>
              </w:rPr>
            </w:pPr>
          </w:p>
        </w:tc>
        <w:tc>
          <w:tcPr>
            <w:tcW w:w="1296" w:type="dxa"/>
          </w:tcPr>
          <w:p w14:paraId="27DE6864">
            <w:pPr>
              <w:jc w:val="left"/>
              <w:rPr>
                <w:sz w:val="20"/>
                <w:szCs w:val="21"/>
              </w:rPr>
            </w:pPr>
            <w:r>
              <w:rPr>
                <w:sz w:val="20"/>
                <w:szCs w:val="21"/>
              </w:rPr>
              <w:t>At</w:t>
            </w:r>
          </w:p>
          <w:p w14:paraId="118C7FE5">
            <w:pPr>
              <w:rPr>
                <w:sz w:val="20"/>
                <w:szCs w:val="21"/>
              </w:rPr>
            </w:pPr>
            <w:r>
              <w:rPr>
                <w:sz w:val="20"/>
                <w:szCs w:val="21"/>
              </w:rPr>
              <w:t>postoperative 1 year (</w:t>
            </w:r>
            <w:r>
              <w:rPr>
                <w:rFonts w:eastAsia="Helvetica"/>
                <w:sz w:val="20"/>
                <w:szCs w:val="21"/>
              </w:rPr>
              <w:t>±</w:t>
            </w:r>
            <w:r>
              <w:rPr>
                <w:sz w:val="20"/>
                <w:szCs w:val="21"/>
              </w:rPr>
              <w:t>15 days)</w:t>
            </w:r>
          </w:p>
        </w:tc>
        <w:tc>
          <w:tcPr>
            <w:tcW w:w="587" w:type="dxa"/>
          </w:tcPr>
          <w:p w14:paraId="20FFC8F9">
            <w:pPr>
              <w:spacing w:line="360" w:lineRule="auto"/>
              <w:rPr>
                <w:sz w:val="20"/>
                <w:szCs w:val="21"/>
              </w:rPr>
            </w:pPr>
            <w:r>
              <w:rPr>
                <w:rFonts w:eastAsia="Calibri"/>
                <w:sz w:val="20"/>
                <w:szCs w:val="21"/>
              </w:rPr>
              <w:t>○</w:t>
            </w:r>
          </w:p>
        </w:tc>
        <w:tc>
          <w:tcPr>
            <w:tcW w:w="587" w:type="dxa"/>
          </w:tcPr>
          <w:p w14:paraId="0977D612">
            <w:pPr>
              <w:spacing w:line="360" w:lineRule="auto"/>
              <w:rPr>
                <w:sz w:val="20"/>
                <w:szCs w:val="21"/>
              </w:rPr>
            </w:pPr>
            <w:r>
              <w:rPr>
                <w:rFonts w:eastAsia="Calibri"/>
                <w:sz w:val="20"/>
                <w:szCs w:val="21"/>
              </w:rPr>
              <w:t>○</w:t>
            </w:r>
          </w:p>
        </w:tc>
        <w:tc>
          <w:tcPr>
            <w:tcW w:w="587" w:type="dxa"/>
          </w:tcPr>
          <w:p w14:paraId="3211014A">
            <w:pPr>
              <w:spacing w:line="360" w:lineRule="auto"/>
              <w:rPr>
                <w:sz w:val="20"/>
                <w:szCs w:val="21"/>
              </w:rPr>
            </w:pPr>
            <w:r>
              <w:rPr>
                <w:rFonts w:eastAsia="Calibri"/>
                <w:sz w:val="20"/>
                <w:szCs w:val="21"/>
              </w:rPr>
              <w:t>○</w:t>
            </w:r>
          </w:p>
        </w:tc>
        <w:tc>
          <w:tcPr>
            <w:tcW w:w="588" w:type="dxa"/>
          </w:tcPr>
          <w:p w14:paraId="34D7DDF1">
            <w:pPr>
              <w:spacing w:line="360" w:lineRule="auto"/>
              <w:rPr>
                <w:sz w:val="20"/>
                <w:szCs w:val="21"/>
              </w:rPr>
            </w:pPr>
          </w:p>
        </w:tc>
        <w:tc>
          <w:tcPr>
            <w:tcW w:w="587" w:type="dxa"/>
          </w:tcPr>
          <w:p w14:paraId="17969D45">
            <w:pPr>
              <w:spacing w:line="360" w:lineRule="auto"/>
              <w:rPr>
                <w:sz w:val="20"/>
                <w:szCs w:val="21"/>
              </w:rPr>
            </w:pPr>
          </w:p>
        </w:tc>
        <w:tc>
          <w:tcPr>
            <w:tcW w:w="587" w:type="dxa"/>
          </w:tcPr>
          <w:p w14:paraId="3A8B0190">
            <w:pPr>
              <w:spacing w:line="360" w:lineRule="auto"/>
              <w:rPr>
                <w:sz w:val="20"/>
                <w:szCs w:val="21"/>
              </w:rPr>
            </w:pPr>
            <w:r>
              <w:rPr>
                <w:rFonts w:eastAsia="Calibri"/>
                <w:sz w:val="20"/>
                <w:szCs w:val="21"/>
              </w:rPr>
              <w:t>○</w:t>
            </w:r>
          </w:p>
        </w:tc>
        <w:tc>
          <w:tcPr>
            <w:tcW w:w="588" w:type="dxa"/>
          </w:tcPr>
          <w:p w14:paraId="20E410B1">
            <w:pPr>
              <w:spacing w:line="360" w:lineRule="auto"/>
              <w:rPr>
                <w:sz w:val="20"/>
                <w:szCs w:val="21"/>
              </w:rPr>
            </w:pPr>
          </w:p>
        </w:tc>
        <w:tc>
          <w:tcPr>
            <w:tcW w:w="587" w:type="dxa"/>
          </w:tcPr>
          <w:p w14:paraId="2F17EC76">
            <w:pPr>
              <w:spacing w:line="360" w:lineRule="auto"/>
              <w:rPr>
                <w:sz w:val="20"/>
                <w:szCs w:val="21"/>
              </w:rPr>
            </w:pPr>
            <w:r>
              <w:rPr>
                <w:rFonts w:eastAsia="Calibri"/>
                <w:sz w:val="20"/>
                <w:szCs w:val="21"/>
              </w:rPr>
              <w:t>○</w:t>
            </w:r>
          </w:p>
        </w:tc>
        <w:tc>
          <w:tcPr>
            <w:tcW w:w="587" w:type="dxa"/>
          </w:tcPr>
          <w:p w14:paraId="2469A182">
            <w:pPr>
              <w:spacing w:line="360" w:lineRule="auto"/>
              <w:rPr>
                <w:sz w:val="20"/>
                <w:szCs w:val="21"/>
              </w:rPr>
            </w:pPr>
          </w:p>
        </w:tc>
        <w:tc>
          <w:tcPr>
            <w:tcW w:w="587" w:type="dxa"/>
          </w:tcPr>
          <w:p w14:paraId="1F2A4E97">
            <w:pPr>
              <w:spacing w:line="360" w:lineRule="auto"/>
              <w:rPr>
                <w:sz w:val="20"/>
                <w:szCs w:val="21"/>
              </w:rPr>
            </w:pPr>
          </w:p>
        </w:tc>
        <w:tc>
          <w:tcPr>
            <w:tcW w:w="588" w:type="dxa"/>
          </w:tcPr>
          <w:p w14:paraId="098E40D3">
            <w:pPr>
              <w:spacing w:line="360" w:lineRule="auto"/>
              <w:rPr>
                <w:sz w:val="20"/>
                <w:szCs w:val="21"/>
              </w:rPr>
            </w:pPr>
          </w:p>
        </w:tc>
        <w:tc>
          <w:tcPr>
            <w:tcW w:w="587" w:type="dxa"/>
          </w:tcPr>
          <w:p w14:paraId="7CB90A1C">
            <w:pPr>
              <w:spacing w:line="360" w:lineRule="auto"/>
              <w:rPr>
                <w:sz w:val="20"/>
                <w:szCs w:val="21"/>
              </w:rPr>
            </w:pPr>
          </w:p>
        </w:tc>
        <w:tc>
          <w:tcPr>
            <w:tcW w:w="587" w:type="dxa"/>
          </w:tcPr>
          <w:p w14:paraId="0A940D91">
            <w:pPr>
              <w:spacing w:line="360" w:lineRule="auto"/>
              <w:rPr>
                <w:sz w:val="20"/>
                <w:szCs w:val="21"/>
              </w:rPr>
            </w:pPr>
          </w:p>
        </w:tc>
        <w:tc>
          <w:tcPr>
            <w:tcW w:w="588" w:type="dxa"/>
          </w:tcPr>
          <w:p w14:paraId="27B039D3">
            <w:pPr>
              <w:spacing w:line="360" w:lineRule="auto"/>
              <w:rPr>
                <w:sz w:val="20"/>
                <w:szCs w:val="21"/>
              </w:rPr>
            </w:pPr>
            <w:r>
              <w:rPr>
                <w:rFonts w:eastAsia="Calibri"/>
                <w:sz w:val="20"/>
                <w:szCs w:val="21"/>
              </w:rPr>
              <w:t>○</w:t>
            </w:r>
          </w:p>
        </w:tc>
      </w:tr>
      <w:tr w14:paraId="643CC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dxa"/>
            <w:vMerge w:val="continue"/>
          </w:tcPr>
          <w:p w14:paraId="6A4C3232">
            <w:pPr>
              <w:rPr>
                <w:sz w:val="20"/>
                <w:szCs w:val="21"/>
              </w:rPr>
            </w:pPr>
          </w:p>
        </w:tc>
        <w:tc>
          <w:tcPr>
            <w:tcW w:w="1296" w:type="dxa"/>
          </w:tcPr>
          <w:p w14:paraId="2625BDDB">
            <w:pPr>
              <w:jc w:val="left"/>
              <w:rPr>
                <w:sz w:val="20"/>
                <w:szCs w:val="21"/>
              </w:rPr>
            </w:pPr>
            <w:r>
              <w:rPr>
                <w:sz w:val="20"/>
                <w:szCs w:val="21"/>
              </w:rPr>
              <w:t>At</w:t>
            </w:r>
          </w:p>
          <w:p w14:paraId="76B54F3A">
            <w:pPr>
              <w:rPr>
                <w:sz w:val="20"/>
                <w:szCs w:val="21"/>
              </w:rPr>
            </w:pPr>
            <w:r>
              <w:rPr>
                <w:sz w:val="20"/>
                <w:szCs w:val="21"/>
              </w:rPr>
              <w:t>postoperative 15 months (</w:t>
            </w:r>
            <w:r>
              <w:rPr>
                <w:rFonts w:eastAsia="Helvetica"/>
                <w:sz w:val="20"/>
                <w:szCs w:val="21"/>
              </w:rPr>
              <w:t>±</w:t>
            </w:r>
            <w:r>
              <w:rPr>
                <w:sz w:val="20"/>
                <w:szCs w:val="21"/>
              </w:rPr>
              <w:t>15 days)</w:t>
            </w:r>
          </w:p>
        </w:tc>
        <w:tc>
          <w:tcPr>
            <w:tcW w:w="587" w:type="dxa"/>
          </w:tcPr>
          <w:p w14:paraId="57464A82">
            <w:pPr>
              <w:spacing w:line="360" w:lineRule="auto"/>
              <w:rPr>
                <w:sz w:val="20"/>
                <w:szCs w:val="21"/>
              </w:rPr>
            </w:pPr>
            <w:r>
              <w:rPr>
                <w:rFonts w:eastAsia="Calibri"/>
                <w:sz w:val="20"/>
                <w:szCs w:val="21"/>
              </w:rPr>
              <w:t>○</w:t>
            </w:r>
          </w:p>
        </w:tc>
        <w:tc>
          <w:tcPr>
            <w:tcW w:w="587" w:type="dxa"/>
          </w:tcPr>
          <w:p w14:paraId="58306759">
            <w:pPr>
              <w:spacing w:line="360" w:lineRule="auto"/>
              <w:rPr>
                <w:sz w:val="20"/>
                <w:szCs w:val="21"/>
              </w:rPr>
            </w:pPr>
            <w:r>
              <w:rPr>
                <w:rFonts w:eastAsia="Calibri"/>
                <w:sz w:val="20"/>
                <w:szCs w:val="21"/>
              </w:rPr>
              <w:t>○</w:t>
            </w:r>
          </w:p>
        </w:tc>
        <w:tc>
          <w:tcPr>
            <w:tcW w:w="587" w:type="dxa"/>
          </w:tcPr>
          <w:p w14:paraId="789E1BB8">
            <w:pPr>
              <w:spacing w:line="360" w:lineRule="auto"/>
              <w:rPr>
                <w:sz w:val="20"/>
                <w:szCs w:val="21"/>
              </w:rPr>
            </w:pPr>
            <w:r>
              <w:rPr>
                <w:rFonts w:eastAsia="Calibri"/>
                <w:sz w:val="20"/>
                <w:szCs w:val="21"/>
              </w:rPr>
              <w:t>○</w:t>
            </w:r>
          </w:p>
        </w:tc>
        <w:tc>
          <w:tcPr>
            <w:tcW w:w="588" w:type="dxa"/>
          </w:tcPr>
          <w:p w14:paraId="67EA7D13">
            <w:pPr>
              <w:spacing w:line="360" w:lineRule="auto"/>
              <w:rPr>
                <w:sz w:val="20"/>
                <w:szCs w:val="21"/>
              </w:rPr>
            </w:pPr>
          </w:p>
        </w:tc>
        <w:tc>
          <w:tcPr>
            <w:tcW w:w="587" w:type="dxa"/>
          </w:tcPr>
          <w:p w14:paraId="7AFDA74E">
            <w:pPr>
              <w:spacing w:line="360" w:lineRule="auto"/>
              <w:rPr>
                <w:sz w:val="20"/>
                <w:szCs w:val="21"/>
              </w:rPr>
            </w:pPr>
          </w:p>
        </w:tc>
        <w:tc>
          <w:tcPr>
            <w:tcW w:w="587" w:type="dxa"/>
          </w:tcPr>
          <w:p w14:paraId="22D7D2C9">
            <w:pPr>
              <w:spacing w:line="360" w:lineRule="auto"/>
              <w:rPr>
                <w:sz w:val="20"/>
                <w:szCs w:val="21"/>
              </w:rPr>
            </w:pPr>
          </w:p>
        </w:tc>
        <w:tc>
          <w:tcPr>
            <w:tcW w:w="588" w:type="dxa"/>
          </w:tcPr>
          <w:p w14:paraId="71BBE200">
            <w:pPr>
              <w:spacing w:line="360" w:lineRule="auto"/>
              <w:rPr>
                <w:sz w:val="20"/>
                <w:szCs w:val="21"/>
              </w:rPr>
            </w:pPr>
          </w:p>
        </w:tc>
        <w:tc>
          <w:tcPr>
            <w:tcW w:w="587" w:type="dxa"/>
          </w:tcPr>
          <w:p w14:paraId="5139407F">
            <w:pPr>
              <w:spacing w:line="360" w:lineRule="auto"/>
              <w:rPr>
                <w:sz w:val="20"/>
                <w:szCs w:val="21"/>
              </w:rPr>
            </w:pPr>
            <w:r>
              <w:rPr>
                <w:rFonts w:eastAsia="Calibri"/>
                <w:sz w:val="20"/>
                <w:szCs w:val="21"/>
              </w:rPr>
              <w:t>○</w:t>
            </w:r>
          </w:p>
        </w:tc>
        <w:tc>
          <w:tcPr>
            <w:tcW w:w="587" w:type="dxa"/>
          </w:tcPr>
          <w:p w14:paraId="739803BB">
            <w:pPr>
              <w:spacing w:line="360" w:lineRule="auto"/>
              <w:rPr>
                <w:sz w:val="20"/>
                <w:szCs w:val="21"/>
              </w:rPr>
            </w:pPr>
          </w:p>
        </w:tc>
        <w:tc>
          <w:tcPr>
            <w:tcW w:w="587" w:type="dxa"/>
          </w:tcPr>
          <w:p w14:paraId="63FEC75F">
            <w:pPr>
              <w:spacing w:line="360" w:lineRule="auto"/>
              <w:rPr>
                <w:sz w:val="20"/>
                <w:szCs w:val="21"/>
              </w:rPr>
            </w:pPr>
          </w:p>
        </w:tc>
        <w:tc>
          <w:tcPr>
            <w:tcW w:w="588" w:type="dxa"/>
          </w:tcPr>
          <w:p w14:paraId="18541713">
            <w:pPr>
              <w:spacing w:line="360" w:lineRule="auto"/>
              <w:rPr>
                <w:sz w:val="20"/>
                <w:szCs w:val="21"/>
              </w:rPr>
            </w:pPr>
          </w:p>
        </w:tc>
        <w:tc>
          <w:tcPr>
            <w:tcW w:w="587" w:type="dxa"/>
          </w:tcPr>
          <w:p w14:paraId="0059B18E">
            <w:pPr>
              <w:spacing w:line="360" w:lineRule="auto"/>
              <w:rPr>
                <w:sz w:val="20"/>
                <w:szCs w:val="21"/>
              </w:rPr>
            </w:pPr>
          </w:p>
        </w:tc>
        <w:tc>
          <w:tcPr>
            <w:tcW w:w="587" w:type="dxa"/>
          </w:tcPr>
          <w:p w14:paraId="08E947A1">
            <w:pPr>
              <w:spacing w:line="360" w:lineRule="auto"/>
              <w:rPr>
                <w:sz w:val="20"/>
                <w:szCs w:val="21"/>
              </w:rPr>
            </w:pPr>
          </w:p>
        </w:tc>
        <w:tc>
          <w:tcPr>
            <w:tcW w:w="588" w:type="dxa"/>
          </w:tcPr>
          <w:p w14:paraId="49E89183">
            <w:pPr>
              <w:spacing w:line="360" w:lineRule="auto"/>
              <w:rPr>
                <w:sz w:val="20"/>
                <w:szCs w:val="21"/>
              </w:rPr>
            </w:pPr>
            <w:r>
              <w:rPr>
                <w:rFonts w:eastAsia="Calibri"/>
                <w:sz w:val="20"/>
                <w:szCs w:val="21"/>
              </w:rPr>
              <w:t>○</w:t>
            </w:r>
          </w:p>
        </w:tc>
      </w:tr>
      <w:tr w14:paraId="221B7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dxa"/>
            <w:vMerge w:val="continue"/>
          </w:tcPr>
          <w:p w14:paraId="7CCA7C18">
            <w:pPr>
              <w:rPr>
                <w:sz w:val="20"/>
                <w:szCs w:val="21"/>
              </w:rPr>
            </w:pPr>
          </w:p>
        </w:tc>
        <w:tc>
          <w:tcPr>
            <w:tcW w:w="1296" w:type="dxa"/>
          </w:tcPr>
          <w:p w14:paraId="6725DE55">
            <w:pPr>
              <w:jc w:val="left"/>
              <w:rPr>
                <w:sz w:val="20"/>
                <w:szCs w:val="21"/>
              </w:rPr>
            </w:pPr>
            <w:r>
              <w:rPr>
                <w:sz w:val="20"/>
                <w:szCs w:val="21"/>
              </w:rPr>
              <w:t>At</w:t>
            </w:r>
          </w:p>
          <w:p w14:paraId="2C17499A">
            <w:pPr>
              <w:rPr>
                <w:sz w:val="20"/>
                <w:szCs w:val="21"/>
              </w:rPr>
            </w:pPr>
            <w:r>
              <w:rPr>
                <w:sz w:val="20"/>
                <w:szCs w:val="21"/>
              </w:rPr>
              <w:t>postoperative 18 months (</w:t>
            </w:r>
            <w:r>
              <w:rPr>
                <w:rFonts w:eastAsia="Helvetica"/>
                <w:sz w:val="20"/>
                <w:szCs w:val="21"/>
              </w:rPr>
              <w:t>±</w:t>
            </w:r>
            <w:r>
              <w:rPr>
                <w:sz w:val="20"/>
                <w:szCs w:val="21"/>
              </w:rPr>
              <w:t>15 days)</w:t>
            </w:r>
          </w:p>
        </w:tc>
        <w:tc>
          <w:tcPr>
            <w:tcW w:w="587" w:type="dxa"/>
          </w:tcPr>
          <w:p w14:paraId="27AD8488">
            <w:pPr>
              <w:spacing w:line="360" w:lineRule="auto"/>
              <w:rPr>
                <w:sz w:val="20"/>
                <w:szCs w:val="21"/>
              </w:rPr>
            </w:pPr>
            <w:r>
              <w:rPr>
                <w:rFonts w:eastAsia="Calibri"/>
                <w:sz w:val="20"/>
                <w:szCs w:val="21"/>
              </w:rPr>
              <w:t>○</w:t>
            </w:r>
          </w:p>
        </w:tc>
        <w:tc>
          <w:tcPr>
            <w:tcW w:w="587" w:type="dxa"/>
          </w:tcPr>
          <w:p w14:paraId="0FD39BDB">
            <w:pPr>
              <w:spacing w:line="360" w:lineRule="auto"/>
              <w:rPr>
                <w:sz w:val="20"/>
                <w:szCs w:val="21"/>
              </w:rPr>
            </w:pPr>
            <w:r>
              <w:rPr>
                <w:rFonts w:eastAsia="Calibri"/>
                <w:sz w:val="20"/>
                <w:szCs w:val="21"/>
              </w:rPr>
              <w:t>○</w:t>
            </w:r>
          </w:p>
        </w:tc>
        <w:tc>
          <w:tcPr>
            <w:tcW w:w="587" w:type="dxa"/>
          </w:tcPr>
          <w:p w14:paraId="3E1FDAB9">
            <w:pPr>
              <w:spacing w:line="360" w:lineRule="auto"/>
              <w:rPr>
                <w:sz w:val="20"/>
                <w:szCs w:val="21"/>
              </w:rPr>
            </w:pPr>
            <w:r>
              <w:rPr>
                <w:rFonts w:eastAsia="Calibri"/>
                <w:sz w:val="20"/>
                <w:szCs w:val="21"/>
              </w:rPr>
              <w:t>○</w:t>
            </w:r>
          </w:p>
        </w:tc>
        <w:tc>
          <w:tcPr>
            <w:tcW w:w="588" w:type="dxa"/>
          </w:tcPr>
          <w:p w14:paraId="35766801">
            <w:pPr>
              <w:spacing w:line="360" w:lineRule="auto"/>
              <w:rPr>
                <w:sz w:val="20"/>
                <w:szCs w:val="21"/>
              </w:rPr>
            </w:pPr>
          </w:p>
        </w:tc>
        <w:tc>
          <w:tcPr>
            <w:tcW w:w="587" w:type="dxa"/>
          </w:tcPr>
          <w:p w14:paraId="057F7598">
            <w:pPr>
              <w:spacing w:line="360" w:lineRule="auto"/>
              <w:rPr>
                <w:sz w:val="20"/>
                <w:szCs w:val="21"/>
              </w:rPr>
            </w:pPr>
          </w:p>
        </w:tc>
        <w:tc>
          <w:tcPr>
            <w:tcW w:w="587" w:type="dxa"/>
          </w:tcPr>
          <w:p w14:paraId="6E9EB982">
            <w:pPr>
              <w:spacing w:line="360" w:lineRule="auto"/>
              <w:rPr>
                <w:sz w:val="20"/>
                <w:szCs w:val="21"/>
              </w:rPr>
            </w:pPr>
            <w:r>
              <w:rPr>
                <w:rFonts w:eastAsia="Calibri"/>
                <w:sz w:val="20"/>
                <w:szCs w:val="21"/>
              </w:rPr>
              <w:t>○</w:t>
            </w:r>
          </w:p>
        </w:tc>
        <w:tc>
          <w:tcPr>
            <w:tcW w:w="588" w:type="dxa"/>
          </w:tcPr>
          <w:p w14:paraId="43E20EC9">
            <w:pPr>
              <w:spacing w:line="360" w:lineRule="auto"/>
              <w:rPr>
                <w:sz w:val="20"/>
                <w:szCs w:val="21"/>
              </w:rPr>
            </w:pPr>
          </w:p>
        </w:tc>
        <w:tc>
          <w:tcPr>
            <w:tcW w:w="587" w:type="dxa"/>
          </w:tcPr>
          <w:p w14:paraId="1CEAA7DC">
            <w:pPr>
              <w:spacing w:line="360" w:lineRule="auto"/>
              <w:rPr>
                <w:sz w:val="20"/>
                <w:szCs w:val="21"/>
              </w:rPr>
            </w:pPr>
            <w:r>
              <w:rPr>
                <w:rFonts w:eastAsia="Calibri"/>
                <w:sz w:val="20"/>
                <w:szCs w:val="21"/>
              </w:rPr>
              <w:t>○</w:t>
            </w:r>
          </w:p>
        </w:tc>
        <w:tc>
          <w:tcPr>
            <w:tcW w:w="587" w:type="dxa"/>
          </w:tcPr>
          <w:p w14:paraId="5490ED2B">
            <w:pPr>
              <w:spacing w:line="360" w:lineRule="auto"/>
              <w:rPr>
                <w:sz w:val="20"/>
                <w:szCs w:val="21"/>
              </w:rPr>
            </w:pPr>
          </w:p>
        </w:tc>
        <w:tc>
          <w:tcPr>
            <w:tcW w:w="587" w:type="dxa"/>
          </w:tcPr>
          <w:p w14:paraId="717195A8">
            <w:pPr>
              <w:spacing w:line="360" w:lineRule="auto"/>
              <w:rPr>
                <w:sz w:val="20"/>
                <w:szCs w:val="21"/>
              </w:rPr>
            </w:pPr>
          </w:p>
        </w:tc>
        <w:tc>
          <w:tcPr>
            <w:tcW w:w="588" w:type="dxa"/>
          </w:tcPr>
          <w:p w14:paraId="776E1802">
            <w:pPr>
              <w:spacing w:line="360" w:lineRule="auto"/>
              <w:rPr>
                <w:sz w:val="20"/>
                <w:szCs w:val="21"/>
              </w:rPr>
            </w:pPr>
          </w:p>
        </w:tc>
        <w:tc>
          <w:tcPr>
            <w:tcW w:w="587" w:type="dxa"/>
          </w:tcPr>
          <w:p w14:paraId="65EFD56A">
            <w:pPr>
              <w:spacing w:line="360" w:lineRule="auto"/>
              <w:rPr>
                <w:sz w:val="20"/>
                <w:szCs w:val="21"/>
              </w:rPr>
            </w:pPr>
          </w:p>
        </w:tc>
        <w:tc>
          <w:tcPr>
            <w:tcW w:w="587" w:type="dxa"/>
          </w:tcPr>
          <w:p w14:paraId="674753C8">
            <w:pPr>
              <w:spacing w:line="360" w:lineRule="auto"/>
              <w:rPr>
                <w:sz w:val="20"/>
                <w:szCs w:val="21"/>
              </w:rPr>
            </w:pPr>
          </w:p>
        </w:tc>
        <w:tc>
          <w:tcPr>
            <w:tcW w:w="588" w:type="dxa"/>
          </w:tcPr>
          <w:p w14:paraId="0541BB4F">
            <w:pPr>
              <w:spacing w:line="360" w:lineRule="auto"/>
              <w:rPr>
                <w:sz w:val="20"/>
                <w:szCs w:val="21"/>
              </w:rPr>
            </w:pPr>
            <w:r>
              <w:rPr>
                <w:rFonts w:eastAsia="Calibri"/>
                <w:sz w:val="20"/>
                <w:szCs w:val="21"/>
              </w:rPr>
              <w:t>○</w:t>
            </w:r>
          </w:p>
        </w:tc>
      </w:tr>
      <w:tr w14:paraId="2E813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dxa"/>
            <w:vMerge w:val="continue"/>
          </w:tcPr>
          <w:p w14:paraId="1E5833AA">
            <w:pPr>
              <w:rPr>
                <w:sz w:val="20"/>
                <w:szCs w:val="21"/>
              </w:rPr>
            </w:pPr>
          </w:p>
        </w:tc>
        <w:tc>
          <w:tcPr>
            <w:tcW w:w="1296" w:type="dxa"/>
          </w:tcPr>
          <w:p w14:paraId="62764C71">
            <w:pPr>
              <w:jc w:val="left"/>
              <w:rPr>
                <w:sz w:val="20"/>
                <w:szCs w:val="21"/>
              </w:rPr>
            </w:pPr>
            <w:r>
              <w:rPr>
                <w:sz w:val="20"/>
                <w:szCs w:val="21"/>
              </w:rPr>
              <w:t>At</w:t>
            </w:r>
          </w:p>
          <w:p w14:paraId="54C5C8B5">
            <w:pPr>
              <w:rPr>
                <w:sz w:val="20"/>
                <w:szCs w:val="21"/>
              </w:rPr>
            </w:pPr>
            <w:r>
              <w:rPr>
                <w:sz w:val="20"/>
                <w:szCs w:val="21"/>
              </w:rPr>
              <w:t>postoperative 21 months (</w:t>
            </w:r>
            <w:r>
              <w:rPr>
                <w:rFonts w:eastAsia="Helvetica"/>
                <w:sz w:val="20"/>
                <w:szCs w:val="21"/>
              </w:rPr>
              <w:t>±</w:t>
            </w:r>
            <w:r>
              <w:rPr>
                <w:sz w:val="20"/>
                <w:szCs w:val="21"/>
              </w:rPr>
              <w:t>15 days)</w:t>
            </w:r>
          </w:p>
        </w:tc>
        <w:tc>
          <w:tcPr>
            <w:tcW w:w="587" w:type="dxa"/>
          </w:tcPr>
          <w:p w14:paraId="7B8C8B00">
            <w:pPr>
              <w:spacing w:line="360" w:lineRule="auto"/>
              <w:rPr>
                <w:sz w:val="20"/>
                <w:szCs w:val="21"/>
              </w:rPr>
            </w:pPr>
            <w:r>
              <w:rPr>
                <w:rFonts w:eastAsia="Calibri"/>
                <w:sz w:val="20"/>
                <w:szCs w:val="21"/>
              </w:rPr>
              <w:t>○</w:t>
            </w:r>
          </w:p>
        </w:tc>
        <w:tc>
          <w:tcPr>
            <w:tcW w:w="587" w:type="dxa"/>
          </w:tcPr>
          <w:p w14:paraId="714DBCE0">
            <w:pPr>
              <w:spacing w:line="360" w:lineRule="auto"/>
              <w:rPr>
                <w:sz w:val="20"/>
                <w:szCs w:val="21"/>
              </w:rPr>
            </w:pPr>
            <w:r>
              <w:rPr>
                <w:rFonts w:eastAsia="Calibri"/>
                <w:sz w:val="20"/>
                <w:szCs w:val="21"/>
              </w:rPr>
              <w:t>○</w:t>
            </w:r>
          </w:p>
        </w:tc>
        <w:tc>
          <w:tcPr>
            <w:tcW w:w="587" w:type="dxa"/>
          </w:tcPr>
          <w:p w14:paraId="4FEEC1F1">
            <w:pPr>
              <w:spacing w:line="360" w:lineRule="auto"/>
              <w:rPr>
                <w:sz w:val="20"/>
                <w:szCs w:val="21"/>
              </w:rPr>
            </w:pPr>
            <w:r>
              <w:rPr>
                <w:rFonts w:eastAsia="Calibri"/>
                <w:sz w:val="20"/>
                <w:szCs w:val="21"/>
              </w:rPr>
              <w:t>○</w:t>
            </w:r>
          </w:p>
        </w:tc>
        <w:tc>
          <w:tcPr>
            <w:tcW w:w="588" w:type="dxa"/>
          </w:tcPr>
          <w:p w14:paraId="42F2ED69">
            <w:pPr>
              <w:spacing w:line="360" w:lineRule="auto"/>
              <w:rPr>
                <w:sz w:val="20"/>
                <w:szCs w:val="21"/>
              </w:rPr>
            </w:pPr>
          </w:p>
        </w:tc>
        <w:tc>
          <w:tcPr>
            <w:tcW w:w="587" w:type="dxa"/>
          </w:tcPr>
          <w:p w14:paraId="1BDA2D2D">
            <w:pPr>
              <w:spacing w:line="360" w:lineRule="auto"/>
              <w:rPr>
                <w:sz w:val="20"/>
                <w:szCs w:val="21"/>
              </w:rPr>
            </w:pPr>
          </w:p>
        </w:tc>
        <w:tc>
          <w:tcPr>
            <w:tcW w:w="587" w:type="dxa"/>
          </w:tcPr>
          <w:p w14:paraId="15A6C361">
            <w:pPr>
              <w:spacing w:line="360" w:lineRule="auto"/>
              <w:rPr>
                <w:sz w:val="20"/>
                <w:szCs w:val="21"/>
              </w:rPr>
            </w:pPr>
          </w:p>
        </w:tc>
        <w:tc>
          <w:tcPr>
            <w:tcW w:w="588" w:type="dxa"/>
          </w:tcPr>
          <w:p w14:paraId="158CC35C">
            <w:pPr>
              <w:spacing w:line="360" w:lineRule="auto"/>
              <w:rPr>
                <w:sz w:val="20"/>
                <w:szCs w:val="21"/>
              </w:rPr>
            </w:pPr>
          </w:p>
        </w:tc>
        <w:tc>
          <w:tcPr>
            <w:tcW w:w="587" w:type="dxa"/>
          </w:tcPr>
          <w:p w14:paraId="2C53F272">
            <w:pPr>
              <w:spacing w:line="360" w:lineRule="auto"/>
              <w:rPr>
                <w:sz w:val="20"/>
                <w:szCs w:val="21"/>
              </w:rPr>
            </w:pPr>
            <w:r>
              <w:rPr>
                <w:rFonts w:eastAsia="Calibri"/>
                <w:sz w:val="20"/>
                <w:szCs w:val="21"/>
              </w:rPr>
              <w:t>○</w:t>
            </w:r>
          </w:p>
        </w:tc>
        <w:tc>
          <w:tcPr>
            <w:tcW w:w="587" w:type="dxa"/>
          </w:tcPr>
          <w:p w14:paraId="2995860F">
            <w:pPr>
              <w:spacing w:line="360" w:lineRule="auto"/>
              <w:rPr>
                <w:sz w:val="20"/>
                <w:szCs w:val="21"/>
              </w:rPr>
            </w:pPr>
          </w:p>
        </w:tc>
        <w:tc>
          <w:tcPr>
            <w:tcW w:w="587" w:type="dxa"/>
          </w:tcPr>
          <w:p w14:paraId="10F0D257">
            <w:pPr>
              <w:spacing w:line="360" w:lineRule="auto"/>
              <w:rPr>
                <w:sz w:val="20"/>
                <w:szCs w:val="21"/>
              </w:rPr>
            </w:pPr>
          </w:p>
        </w:tc>
        <w:tc>
          <w:tcPr>
            <w:tcW w:w="588" w:type="dxa"/>
          </w:tcPr>
          <w:p w14:paraId="78E8862F">
            <w:pPr>
              <w:spacing w:line="360" w:lineRule="auto"/>
              <w:rPr>
                <w:sz w:val="20"/>
                <w:szCs w:val="21"/>
              </w:rPr>
            </w:pPr>
          </w:p>
        </w:tc>
        <w:tc>
          <w:tcPr>
            <w:tcW w:w="587" w:type="dxa"/>
          </w:tcPr>
          <w:p w14:paraId="7EC8476E">
            <w:pPr>
              <w:spacing w:line="360" w:lineRule="auto"/>
              <w:rPr>
                <w:sz w:val="20"/>
                <w:szCs w:val="21"/>
              </w:rPr>
            </w:pPr>
          </w:p>
        </w:tc>
        <w:tc>
          <w:tcPr>
            <w:tcW w:w="587" w:type="dxa"/>
          </w:tcPr>
          <w:p w14:paraId="5BE90F9C">
            <w:pPr>
              <w:spacing w:line="360" w:lineRule="auto"/>
              <w:rPr>
                <w:sz w:val="20"/>
                <w:szCs w:val="21"/>
              </w:rPr>
            </w:pPr>
          </w:p>
        </w:tc>
        <w:tc>
          <w:tcPr>
            <w:tcW w:w="588" w:type="dxa"/>
          </w:tcPr>
          <w:p w14:paraId="590CD0FA">
            <w:pPr>
              <w:spacing w:line="360" w:lineRule="auto"/>
              <w:rPr>
                <w:sz w:val="20"/>
                <w:szCs w:val="21"/>
              </w:rPr>
            </w:pPr>
            <w:r>
              <w:rPr>
                <w:rFonts w:eastAsia="Calibri"/>
                <w:sz w:val="20"/>
                <w:szCs w:val="21"/>
              </w:rPr>
              <w:t>○</w:t>
            </w:r>
          </w:p>
        </w:tc>
      </w:tr>
      <w:tr w14:paraId="687EE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dxa"/>
            <w:vMerge w:val="continue"/>
          </w:tcPr>
          <w:p w14:paraId="256BED3D">
            <w:pPr>
              <w:rPr>
                <w:sz w:val="20"/>
                <w:szCs w:val="21"/>
              </w:rPr>
            </w:pPr>
          </w:p>
        </w:tc>
        <w:tc>
          <w:tcPr>
            <w:tcW w:w="1296" w:type="dxa"/>
          </w:tcPr>
          <w:p w14:paraId="2B8BD08D">
            <w:pPr>
              <w:jc w:val="left"/>
              <w:rPr>
                <w:sz w:val="20"/>
                <w:szCs w:val="21"/>
              </w:rPr>
            </w:pPr>
            <w:r>
              <w:rPr>
                <w:sz w:val="20"/>
                <w:szCs w:val="21"/>
              </w:rPr>
              <w:t>At</w:t>
            </w:r>
          </w:p>
          <w:p w14:paraId="5F278F2F">
            <w:pPr>
              <w:rPr>
                <w:sz w:val="20"/>
                <w:szCs w:val="21"/>
              </w:rPr>
            </w:pPr>
            <w:r>
              <w:rPr>
                <w:sz w:val="20"/>
                <w:szCs w:val="21"/>
              </w:rPr>
              <w:t>postoperative 2 years (</w:t>
            </w:r>
            <w:r>
              <w:rPr>
                <w:rFonts w:eastAsia="Helvetica"/>
                <w:sz w:val="20"/>
                <w:szCs w:val="21"/>
              </w:rPr>
              <w:t>±</w:t>
            </w:r>
            <w:r>
              <w:rPr>
                <w:sz w:val="20"/>
                <w:szCs w:val="21"/>
              </w:rPr>
              <w:t>15 days)</w:t>
            </w:r>
          </w:p>
        </w:tc>
        <w:tc>
          <w:tcPr>
            <w:tcW w:w="587" w:type="dxa"/>
          </w:tcPr>
          <w:p w14:paraId="794CE439">
            <w:pPr>
              <w:spacing w:line="360" w:lineRule="auto"/>
              <w:rPr>
                <w:sz w:val="20"/>
                <w:szCs w:val="21"/>
              </w:rPr>
            </w:pPr>
            <w:r>
              <w:rPr>
                <w:rFonts w:eastAsia="Calibri"/>
                <w:sz w:val="20"/>
                <w:szCs w:val="21"/>
              </w:rPr>
              <w:t>○</w:t>
            </w:r>
          </w:p>
        </w:tc>
        <w:tc>
          <w:tcPr>
            <w:tcW w:w="587" w:type="dxa"/>
          </w:tcPr>
          <w:p w14:paraId="14281F56">
            <w:pPr>
              <w:spacing w:line="360" w:lineRule="auto"/>
              <w:rPr>
                <w:sz w:val="20"/>
                <w:szCs w:val="21"/>
              </w:rPr>
            </w:pPr>
            <w:r>
              <w:rPr>
                <w:rFonts w:eastAsia="Calibri"/>
                <w:sz w:val="20"/>
                <w:szCs w:val="21"/>
              </w:rPr>
              <w:t>○</w:t>
            </w:r>
          </w:p>
        </w:tc>
        <w:tc>
          <w:tcPr>
            <w:tcW w:w="587" w:type="dxa"/>
          </w:tcPr>
          <w:p w14:paraId="425F8683">
            <w:pPr>
              <w:spacing w:line="360" w:lineRule="auto"/>
              <w:rPr>
                <w:sz w:val="20"/>
                <w:szCs w:val="21"/>
              </w:rPr>
            </w:pPr>
            <w:r>
              <w:rPr>
                <w:rFonts w:eastAsia="Calibri"/>
                <w:sz w:val="20"/>
                <w:szCs w:val="21"/>
              </w:rPr>
              <w:t>○</w:t>
            </w:r>
          </w:p>
        </w:tc>
        <w:tc>
          <w:tcPr>
            <w:tcW w:w="588" w:type="dxa"/>
          </w:tcPr>
          <w:p w14:paraId="701D31F6">
            <w:pPr>
              <w:spacing w:line="360" w:lineRule="auto"/>
              <w:rPr>
                <w:sz w:val="20"/>
                <w:szCs w:val="21"/>
              </w:rPr>
            </w:pPr>
          </w:p>
        </w:tc>
        <w:tc>
          <w:tcPr>
            <w:tcW w:w="587" w:type="dxa"/>
          </w:tcPr>
          <w:p w14:paraId="0B02BCCC">
            <w:pPr>
              <w:spacing w:line="360" w:lineRule="auto"/>
              <w:rPr>
                <w:sz w:val="20"/>
                <w:szCs w:val="21"/>
              </w:rPr>
            </w:pPr>
          </w:p>
        </w:tc>
        <w:tc>
          <w:tcPr>
            <w:tcW w:w="587" w:type="dxa"/>
          </w:tcPr>
          <w:p w14:paraId="53B74824">
            <w:pPr>
              <w:spacing w:line="360" w:lineRule="auto"/>
              <w:rPr>
                <w:sz w:val="20"/>
                <w:szCs w:val="21"/>
              </w:rPr>
            </w:pPr>
          </w:p>
        </w:tc>
        <w:tc>
          <w:tcPr>
            <w:tcW w:w="588" w:type="dxa"/>
          </w:tcPr>
          <w:p w14:paraId="48D15C84">
            <w:pPr>
              <w:spacing w:line="360" w:lineRule="auto"/>
              <w:rPr>
                <w:sz w:val="20"/>
                <w:szCs w:val="21"/>
              </w:rPr>
            </w:pPr>
            <w:r>
              <w:rPr>
                <w:rFonts w:eastAsia="Calibri"/>
                <w:sz w:val="20"/>
                <w:szCs w:val="21"/>
              </w:rPr>
              <w:t>○</w:t>
            </w:r>
          </w:p>
        </w:tc>
        <w:tc>
          <w:tcPr>
            <w:tcW w:w="587" w:type="dxa"/>
          </w:tcPr>
          <w:p w14:paraId="7B4B5CC6">
            <w:pPr>
              <w:spacing w:line="360" w:lineRule="auto"/>
              <w:rPr>
                <w:sz w:val="20"/>
                <w:szCs w:val="21"/>
              </w:rPr>
            </w:pPr>
            <w:r>
              <w:rPr>
                <w:rFonts w:eastAsia="Calibri"/>
                <w:sz w:val="20"/>
                <w:szCs w:val="21"/>
              </w:rPr>
              <w:t>○</w:t>
            </w:r>
          </w:p>
        </w:tc>
        <w:tc>
          <w:tcPr>
            <w:tcW w:w="587" w:type="dxa"/>
          </w:tcPr>
          <w:p w14:paraId="3475DA4D">
            <w:pPr>
              <w:spacing w:line="360" w:lineRule="auto"/>
              <w:rPr>
                <w:sz w:val="20"/>
                <w:szCs w:val="21"/>
              </w:rPr>
            </w:pPr>
          </w:p>
        </w:tc>
        <w:tc>
          <w:tcPr>
            <w:tcW w:w="587" w:type="dxa"/>
          </w:tcPr>
          <w:p w14:paraId="4B2FA232">
            <w:pPr>
              <w:spacing w:line="360" w:lineRule="auto"/>
              <w:rPr>
                <w:sz w:val="20"/>
                <w:szCs w:val="21"/>
              </w:rPr>
            </w:pPr>
          </w:p>
        </w:tc>
        <w:tc>
          <w:tcPr>
            <w:tcW w:w="588" w:type="dxa"/>
          </w:tcPr>
          <w:p w14:paraId="6AACF269">
            <w:pPr>
              <w:spacing w:line="360" w:lineRule="auto"/>
              <w:rPr>
                <w:sz w:val="20"/>
                <w:szCs w:val="21"/>
              </w:rPr>
            </w:pPr>
          </w:p>
        </w:tc>
        <w:tc>
          <w:tcPr>
            <w:tcW w:w="587" w:type="dxa"/>
          </w:tcPr>
          <w:p w14:paraId="79E2584A">
            <w:pPr>
              <w:spacing w:line="360" w:lineRule="auto"/>
              <w:rPr>
                <w:sz w:val="20"/>
                <w:szCs w:val="21"/>
              </w:rPr>
            </w:pPr>
          </w:p>
        </w:tc>
        <w:tc>
          <w:tcPr>
            <w:tcW w:w="587" w:type="dxa"/>
          </w:tcPr>
          <w:p w14:paraId="43D64E08">
            <w:pPr>
              <w:spacing w:line="360" w:lineRule="auto"/>
              <w:rPr>
                <w:sz w:val="20"/>
                <w:szCs w:val="21"/>
              </w:rPr>
            </w:pPr>
          </w:p>
        </w:tc>
        <w:tc>
          <w:tcPr>
            <w:tcW w:w="588" w:type="dxa"/>
          </w:tcPr>
          <w:p w14:paraId="12C5A79E">
            <w:pPr>
              <w:spacing w:line="360" w:lineRule="auto"/>
              <w:rPr>
                <w:sz w:val="20"/>
                <w:szCs w:val="21"/>
              </w:rPr>
            </w:pPr>
            <w:r>
              <w:rPr>
                <w:rFonts w:eastAsia="Calibri"/>
                <w:sz w:val="20"/>
                <w:szCs w:val="21"/>
              </w:rPr>
              <w:t>○</w:t>
            </w:r>
          </w:p>
        </w:tc>
      </w:tr>
      <w:tr w14:paraId="70BF9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dxa"/>
            <w:vMerge w:val="continue"/>
          </w:tcPr>
          <w:p w14:paraId="46F17490">
            <w:pPr>
              <w:rPr>
                <w:sz w:val="20"/>
                <w:szCs w:val="21"/>
              </w:rPr>
            </w:pPr>
          </w:p>
        </w:tc>
        <w:tc>
          <w:tcPr>
            <w:tcW w:w="1296" w:type="dxa"/>
          </w:tcPr>
          <w:p w14:paraId="258BF73F">
            <w:pPr>
              <w:jc w:val="left"/>
              <w:rPr>
                <w:sz w:val="20"/>
                <w:szCs w:val="21"/>
              </w:rPr>
            </w:pPr>
            <w:r>
              <w:rPr>
                <w:sz w:val="20"/>
                <w:szCs w:val="21"/>
              </w:rPr>
              <w:t>At</w:t>
            </w:r>
          </w:p>
          <w:p w14:paraId="24D8EF05">
            <w:pPr>
              <w:rPr>
                <w:sz w:val="20"/>
                <w:szCs w:val="21"/>
              </w:rPr>
            </w:pPr>
            <w:r>
              <w:rPr>
                <w:sz w:val="20"/>
                <w:szCs w:val="21"/>
              </w:rPr>
              <w:t>postoperative 2 years (</w:t>
            </w:r>
            <w:r>
              <w:rPr>
                <w:rFonts w:eastAsia="Helvetica"/>
                <w:sz w:val="20"/>
                <w:szCs w:val="21"/>
              </w:rPr>
              <w:t>±</w:t>
            </w:r>
            <w:r>
              <w:rPr>
                <w:sz w:val="20"/>
                <w:szCs w:val="21"/>
              </w:rPr>
              <w:t>15 days)</w:t>
            </w:r>
          </w:p>
        </w:tc>
        <w:tc>
          <w:tcPr>
            <w:tcW w:w="587" w:type="dxa"/>
          </w:tcPr>
          <w:p w14:paraId="7421AA03">
            <w:pPr>
              <w:spacing w:line="360" w:lineRule="auto"/>
              <w:rPr>
                <w:sz w:val="20"/>
                <w:szCs w:val="21"/>
              </w:rPr>
            </w:pPr>
            <w:r>
              <w:rPr>
                <w:rFonts w:eastAsia="Calibri"/>
                <w:sz w:val="20"/>
                <w:szCs w:val="21"/>
              </w:rPr>
              <w:t>○</w:t>
            </w:r>
          </w:p>
        </w:tc>
        <w:tc>
          <w:tcPr>
            <w:tcW w:w="587" w:type="dxa"/>
          </w:tcPr>
          <w:p w14:paraId="17B33375">
            <w:pPr>
              <w:spacing w:line="360" w:lineRule="auto"/>
              <w:rPr>
                <w:sz w:val="20"/>
                <w:szCs w:val="21"/>
              </w:rPr>
            </w:pPr>
            <w:r>
              <w:rPr>
                <w:rFonts w:eastAsia="Calibri"/>
                <w:sz w:val="20"/>
                <w:szCs w:val="21"/>
              </w:rPr>
              <w:t>○</w:t>
            </w:r>
          </w:p>
        </w:tc>
        <w:tc>
          <w:tcPr>
            <w:tcW w:w="587" w:type="dxa"/>
          </w:tcPr>
          <w:p w14:paraId="521E5FAE">
            <w:pPr>
              <w:spacing w:line="360" w:lineRule="auto"/>
              <w:rPr>
                <w:sz w:val="20"/>
                <w:szCs w:val="21"/>
              </w:rPr>
            </w:pPr>
            <w:r>
              <w:rPr>
                <w:rFonts w:eastAsia="Calibri"/>
                <w:sz w:val="20"/>
                <w:szCs w:val="21"/>
              </w:rPr>
              <w:t>○</w:t>
            </w:r>
          </w:p>
        </w:tc>
        <w:tc>
          <w:tcPr>
            <w:tcW w:w="588" w:type="dxa"/>
          </w:tcPr>
          <w:p w14:paraId="72C1C5EE">
            <w:pPr>
              <w:spacing w:line="360" w:lineRule="auto"/>
              <w:rPr>
                <w:sz w:val="20"/>
                <w:szCs w:val="21"/>
              </w:rPr>
            </w:pPr>
          </w:p>
        </w:tc>
        <w:tc>
          <w:tcPr>
            <w:tcW w:w="587" w:type="dxa"/>
          </w:tcPr>
          <w:p w14:paraId="19314AA5">
            <w:pPr>
              <w:spacing w:line="360" w:lineRule="auto"/>
              <w:rPr>
                <w:sz w:val="20"/>
                <w:szCs w:val="21"/>
              </w:rPr>
            </w:pPr>
          </w:p>
        </w:tc>
        <w:tc>
          <w:tcPr>
            <w:tcW w:w="587" w:type="dxa"/>
          </w:tcPr>
          <w:p w14:paraId="33B50093">
            <w:pPr>
              <w:spacing w:line="360" w:lineRule="auto"/>
              <w:rPr>
                <w:sz w:val="20"/>
                <w:szCs w:val="21"/>
              </w:rPr>
            </w:pPr>
          </w:p>
        </w:tc>
        <w:tc>
          <w:tcPr>
            <w:tcW w:w="588" w:type="dxa"/>
          </w:tcPr>
          <w:p w14:paraId="0FC0E2B9">
            <w:pPr>
              <w:spacing w:line="360" w:lineRule="auto"/>
              <w:rPr>
                <w:sz w:val="20"/>
                <w:szCs w:val="21"/>
              </w:rPr>
            </w:pPr>
            <w:r>
              <w:rPr>
                <w:rFonts w:eastAsia="Calibri"/>
                <w:sz w:val="20"/>
                <w:szCs w:val="21"/>
              </w:rPr>
              <w:t>○</w:t>
            </w:r>
          </w:p>
        </w:tc>
        <w:tc>
          <w:tcPr>
            <w:tcW w:w="587" w:type="dxa"/>
          </w:tcPr>
          <w:p w14:paraId="74187147">
            <w:pPr>
              <w:spacing w:line="360" w:lineRule="auto"/>
              <w:rPr>
                <w:sz w:val="20"/>
                <w:szCs w:val="21"/>
              </w:rPr>
            </w:pPr>
            <w:r>
              <w:rPr>
                <w:rFonts w:eastAsia="Calibri"/>
                <w:sz w:val="20"/>
                <w:szCs w:val="21"/>
              </w:rPr>
              <w:t>○</w:t>
            </w:r>
          </w:p>
        </w:tc>
        <w:tc>
          <w:tcPr>
            <w:tcW w:w="587" w:type="dxa"/>
          </w:tcPr>
          <w:p w14:paraId="2119B2D6">
            <w:pPr>
              <w:spacing w:line="360" w:lineRule="auto"/>
              <w:rPr>
                <w:sz w:val="20"/>
                <w:szCs w:val="21"/>
              </w:rPr>
            </w:pPr>
          </w:p>
        </w:tc>
        <w:tc>
          <w:tcPr>
            <w:tcW w:w="587" w:type="dxa"/>
          </w:tcPr>
          <w:p w14:paraId="7D2F3691">
            <w:pPr>
              <w:spacing w:line="360" w:lineRule="auto"/>
              <w:rPr>
                <w:sz w:val="20"/>
                <w:szCs w:val="21"/>
              </w:rPr>
            </w:pPr>
          </w:p>
        </w:tc>
        <w:tc>
          <w:tcPr>
            <w:tcW w:w="588" w:type="dxa"/>
          </w:tcPr>
          <w:p w14:paraId="4785ED03">
            <w:pPr>
              <w:spacing w:line="360" w:lineRule="auto"/>
              <w:rPr>
                <w:sz w:val="20"/>
                <w:szCs w:val="21"/>
              </w:rPr>
            </w:pPr>
          </w:p>
        </w:tc>
        <w:tc>
          <w:tcPr>
            <w:tcW w:w="587" w:type="dxa"/>
          </w:tcPr>
          <w:p w14:paraId="0D13AEFF">
            <w:pPr>
              <w:spacing w:line="360" w:lineRule="auto"/>
              <w:rPr>
                <w:sz w:val="20"/>
                <w:szCs w:val="21"/>
              </w:rPr>
            </w:pPr>
          </w:p>
        </w:tc>
        <w:tc>
          <w:tcPr>
            <w:tcW w:w="587" w:type="dxa"/>
          </w:tcPr>
          <w:p w14:paraId="00EC35ED">
            <w:pPr>
              <w:spacing w:line="360" w:lineRule="auto"/>
              <w:rPr>
                <w:sz w:val="20"/>
                <w:szCs w:val="21"/>
              </w:rPr>
            </w:pPr>
          </w:p>
        </w:tc>
        <w:tc>
          <w:tcPr>
            <w:tcW w:w="588" w:type="dxa"/>
          </w:tcPr>
          <w:p w14:paraId="28110CAE">
            <w:pPr>
              <w:spacing w:line="360" w:lineRule="auto"/>
              <w:rPr>
                <w:sz w:val="20"/>
                <w:szCs w:val="21"/>
              </w:rPr>
            </w:pPr>
            <w:r>
              <w:rPr>
                <w:rFonts w:eastAsia="Calibri"/>
                <w:sz w:val="20"/>
                <w:szCs w:val="21"/>
              </w:rPr>
              <w:t>○</w:t>
            </w:r>
          </w:p>
        </w:tc>
      </w:tr>
      <w:tr w14:paraId="3FD8D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8" w:type="dxa"/>
            <w:vMerge w:val="continue"/>
          </w:tcPr>
          <w:p w14:paraId="581759FC">
            <w:pPr>
              <w:rPr>
                <w:sz w:val="20"/>
                <w:szCs w:val="21"/>
              </w:rPr>
            </w:pPr>
          </w:p>
        </w:tc>
        <w:tc>
          <w:tcPr>
            <w:tcW w:w="1296" w:type="dxa"/>
          </w:tcPr>
          <w:p w14:paraId="61925F3B">
            <w:pPr>
              <w:jc w:val="left"/>
              <w:rPr>
                <w:sz w:val="20"/>
                <w:szCs w:val="21"/>
              </w:rPr>
            </w:pPr>
            <w:r>
              <w:rPr>
                <w:sz w:val="20"/>
                <w:szCs w:val="21"/>
              </w:rPr>
              <w:t>At postoperative 3 years (</w:t>
            </w:r>
            <w:r>
              <w:rPr>
                <w:rFonts w:eastAsia="Helvetica"/>
                <w:sz w:val="20"/>
                <w:szCs w:val="21"/>
              </w:rPr>
              <w:t>±</w:t>
            </w:r>
            <w:r>
              <w:rPr>
                <w:sz w:val="20"/>
                <w:szCs w:val="21"/>
              </w:rPr>
              <w:t>15 days)</w:t>
            </w:r>
          </w:p>
        </w:tc>
        <w:tc>
          <w:tcPr>
            <w:tcW w:w="587" w:type="dxa"/>
          </w:tcPr>
          <w:p w14:paraId="10B8E47C">
            <w:pPr>
              <w:spacing w:line="360" w:lineRule="auto"/>
              <w:rPr>
                <w:sz w:val="20"/>
                <w:szCs w:val="21"/>
              </w:rPr>
            </w:pPr>
            <w:r>
              <w:rPr>
                <w:rFonts w:eastAsia="Calibri"/>
                <w:sz w:val="20"/>
                <w:szCs w:val="21"/>
              </w:rPr>
              <w:t>○</w:t>
            </w:r>
          </w:p>
        </w:tc>
        <w:tc>
          <w:tcPr>
            <w:tcW w:w="587" w:type="dxa"/>
          </w:tcPr>
          <w:p w14:paraId="0EDB5F6B">
            <w:pPr>
              <w:spacing w:line="360" w:lineRule="auto"/>
              <w:rPr>
                <w:sz w:val="20"/>
                <w:szCs w:val="21"/>
              </w:rPr>
            </w:pPr>
            <w:r>
              <w:rPr>
                <w:rFonts w:eastAsia="Calibri"/>
                <w:sz w:val="20"/>
                <w:szCs w:val="21"/>
              </w:rPr>
              <w:t>○</w:t>
            </w:r>
          </w:p>
        </w:tc>
        <w:tc>
          <w:tcPr>
            <w:tcW w:w="587" w:type="dxa"/>
          </w:tcPr>
          <w:p w14:paraId="535D4268">
            <w:pPr>
              <w:spacing w:line="360" w:lineRule="auto"/>
              <w:rPr>
                <w:sz w:val="20"/>
                <w:szCs w:val="21"/>
              </w:rPr>
            </w:pPr>
            <w:r>
              <w:rPr>
                <w:rFonts w:eastAsia="Calibri"/>
                <w:sz w:val="20"/>
                <w:szCs w:val="21"/>
              </w:rPr>
              <w:t>○</w:t>
            </w:r>
          </w:p>
        </w:tc>
        <w:tc>
          <w:tcPr>
            <w:tcW w:w="588" w:type="dxa"/>
          </w:tcPr>
          <w:p w14:paraId="6354D39E">
            <w:pPr>
              <w:spacing w:line="360" w:lineRule="auto"/>
              <w:rPr>
                <w:sz w:val="20"/>
                <w:szCs w:val="21"/>
              </w:rPr>
            </w:pPr>
          </w:p>
        </w:tc>
        <w:tc>
          <w:tcPr>
            <w:tcW w:w="587" w:type="dxa"/>
          </w:tcPr>
          <w:p w14:paraId="703D6647">
            <w:pPr>
              <w:spacing w:line="360" w:lineRule="auto"/>
              <w:rPr>
                <w:sz w:val="20"/>
                <w:szCs w:val="21"/>
              </w:rPr>
            </w:pPr>
          </w:p>
        </w:tc>
        <w:tc>
          <w:tcPr>
            <w:tcW w:w="587" w:type="dxa"/>
          </w:tcPr>
          <w:p w14:paraId="6E16BCCA">
            <w:pPr>
              <w:spacing w:line="360" w:lineRule="auto"/>
              <w:rPr>
                <w:sz w:val="20"/>
                <w:szCs w:val="21"/>
              </w:rPr>
            </w:pPr>
          </w:p>
        </w:tc>
        <w:tc>
          <w:tcPr>
            <w:tcW w:w="588" w:type="dxa"/>
          </w:tcPr>
          <w:p w14:paraId="57670154">
            <w:pPr>
              <w:spacing w:line="360" w:lineRule="auto"/>
              <w:rPr>
                <w:sz w:val="20"/>
                <w:szCs w:val="21"/>
              </w:rPr>
            </w:pPr>
            <w:r>
              <w:rPr>
                <w:rFonts w:eastAsia="Calibri"/>
                <w:sz w:val="20"/>
                <w:szCs w:val="21"/>
              </w:rPr>
              <w:t>○</w:t>
            </w:r>
          </w:p>
        </w:tc>
        <w:tc>
          <w:tcPr>
            <w:tcW w:w="587" w:type="dxa"/>
          </w:tcPr>
          <w:p w14:paraId="058A300C">
            <w:pPr>
              <w:spacing w:line="360" w:lineRule="auto"/>
              <w:rPr>
                <w:sz w:val="20"/>
                <w:szCs w:val="21"/>
              </w:rPr>
            </w:pPr>
            <w:r>
              <w:rPr>
                <w:rFonts w:eastAsia="Calibri"/>
                <w:sz w:val="20"/>
                <w:szCs w:val="21"/>
              </w:rPr>
              <w:t>○</w:t>
            </w:r>
          </w:p>
        </w:tc>
        <w:tc>
          <w:tcPr>
            <w:tcW w:w="587" w:type="dxa"/>
          </w:tcPr>
          <w:p w14:paraId="2269D425">
            <w:pPr>
              <w:spacing w:line="360" w:lineRule="auto"/>
              <w:rPr>
                <w:sz w:val="20"/>
                <w:szCs w:val="21"/>
              </w:rPr>
            </w:pPr>
          </w:p>
        </w:tc>
        <w:tc>
          <w:tcPr>
            <w:tcW w:w="587" w:type="dxa"/>
          </w:tcPr>
          <w:p w14:paraId="6829DB00">
            <w:pPr>
              <w:spacing w:line="360" w:lineRule="auto"/>
              <w:rPr>
                <w:sz w:val="20"/>
                <w:szCs w:val="21"/>
              </w:rPr>
            </w:pPr>
          </w:p>
        </w:tc>
        <w:tc>
          <w:tcPr>
            <w:tcW w:w="588" w:type="dxa"/>
          </w:tcPr>
          <w:p w14:paraId="3BE7766C">
            <w:pPr>
              <w:spacing w:line="360" w:lineRule="auto"/>
              <w:rPr>
                <w:sz w:val="20"/>
                <w:szCs w:val="21"/>
              </w:rPr>
            </w:pPr>
          </w:p>
        </w:tc>
        <w:tc>
          <w:tcPr>
            <w:tcW w:w="587" w:type="dxa"/>
          </w:tcPr>
          <w:p w14:paraId="67ED9A55">
            <w:pPr>
              <w:spacing w:line="360" w:lineRule="auto"/>
              <w:rPr>
                <w:sz w:val="20"/>
                <w:szCs w:val="21"/>
              </w:rPr>
            </w:pPr>
          </w:p>
        </w:tc>
        <w:tc>
          <w:tcPr>
            <w:tcW w:w="587" w:type="dxa"/>
          </w:tcPr>
          <w:p w14:paraId="2ED00086">
            <w:pPr>
              <w:spacing w:line="360" w:lineRule="auto"/>
              <w:rPr>
                <w:sz w:val="20"/>
                <w:szCs w:val="21"/>
              </w:rPr>
            </w:pPr>
          </w:p>
        </w:tc>
        <w:tc>
          <w:tcPr>
            <w:tcW w:w="588" w:type="dxa"/>
          </w:tcPr>
          <w:p w14:paraId="1D9A50E1">
            <w:pPr>
              <w:spacing w:line="360" w:lineRule="auto"/>
              <w:rPr>
                <w:sz w:val="20"/>
                <w:szCs w:val="21"/>
              </w:rPr>
            </w:pPr>
            <w:r>
              <w:rPr>
                <w:rFonts w:eastAsia="Calibri"/>
                <w:sz w:val="20"/>
                <w:szCs w:val="21"/>
              </w:rPr>
              <w:t>○</w:t>
            </w:r>
          </w:p>
        </w:tc>
      </w:tr>
    </w:tbl>
    <w:p w14:paraId="75D8A6A8">
      <w:pPr>
        <w:spacing w:line="360" w:lineRule="auto"/>
        <w:rPr>
          <w:rFonts w:eastAsia="MS Mincho"/>
          <w:szCs w:val="21"/>
        </w:rPr>
      </w:pPr>
      <w:r>
        <w:rPr>
          <w:rFonts w:eastAsia="Calibri"/>
          <w:szCs w:val="21"/>
        </w:rPr>
        <w:t>○</w:t>
      </w:r>
      <w:r>
        <w:rPr>
          <w:rFonts w:eastAsia="MS Mincho"/>
          <w:szCs w:val="21"/>
        </w:rPr>
        <w:t>: must do</w:t>
      </w:r>
    </w:p>
    <w:p w14:paraId="1CCA7E81">
      <w:pPr>
        <w:numPr>
          <w:ilvl w:val="255"/>
          <w:numId w:val="0"/>
        </w:numPr>
        <w:adjustRightInd w:val="0"/>
        <w:snapToGrid w:val="0"/>
        <w:spacing w:line="360" w:lineRule="auto"/>
        <w:jc w:val="left"/>
        <w:rPr>
          <w:rFonts w:eastAsia="微软雅黑"/>
          <w:bCs/>
          <w:sz w:val="24"/>
        </w:rPr>
      </w:pPr>
      <w:r>
        <w:rPr>
          <w:szCs w:val="21"/>
        </w:rPr>
        <w:t xml:space="preserve">#: </w:t>
      </w:r>
      <w:r>
        <w:rPr>
          <w:rFonts w:eastAsia="微软雅黑"/>
          <w:bCs/>
          <w:sz w:val="24"/>
        </w:rPr>
        <w:t xml:space="preserve">Telephone follow-up procedures were added to the protocol for visits unable to be conducted due to COVID-19. </w:t>
      </w:r>
    </w:p>
    <w:p w14:paraId="7403E6FC">
      <w:pPr>
        <w:spacing w:line="360" w:lineRule="auto"/>
        <w:rPr>
          <w:szCs w:val="21"/>
        </w:rPr>
      </w:pPr>
    </w:p>
    <w:p w14:paraId="4E5C7C1C">
      <w:pPr>
        <w:adjustRightInd w:val="0"/>
        <w:snapToGrid w:val="0"/>
        <w:spacing w:line="360" w:lineRule="auto"/>
        <w:jc w:val="left"/>
        <w:rPr>
          <w:rFonts w:eastAsia="微软雅黑"/>
          <w:b/>
          <w:sz w:val="24"/>
        </w:rPr>
      </w:pPr>
      <w:r>
        <w:rPr>
          <w:rFonts w:eastAsia="微软雅黑"/>
          <w:b/>
          <w:sz w:val="24"/>
        </w:rPr>
        <w:t>9.8 Definitions involved in SOP</w:t>
      </w:r>
    </w:p>
    <w:p w14:paraId="0694AB50">
      <w:pPr>
        <w:adjustRightInd w:val="0"/>
        <w:snapToGrid w:val="0"/>
        <w:spacing w:line="360" w:lineRule="auto"/>
        <w:rPr>
          <w:rFonts w:eastAsia="微软雅黑"/>
          <w:b/>
          <w:sz w:val="22"/>
          <w:szCs w:val="22"/>
        </w:rPr>
      </w:pPr>
      <w:r>
        <w:rPr>
          <w:rFonts w:eastAsia="微软雅黑"/>
          <w:b/>
          <w:sz w:val="22"/>
          <w:szCs w:val="22"/>
        </w:rPr>
        <w:t>9.8.1 ECOG performance status score</w:t>
      </w:r>
    </w:p>
    <w:p w14:paraId="53391202">
      <w:pPr>
        <w:spacing w:line="360" w:lineRule="auto"/>
        <w:ind w:firstLine="440" w:firstLineChars="200"/>
        <w:rPr>
          <w:rFonts w:eastAsia="微软雅黑"/>
          <w:sz w:val="22"/>
          <w:szCs w:val="22"/>
        </w:rPr>
      </w:pPr>
      <w:r>
        <w:rPr>
          <w:rFonts w:eastAsia="微软雅黑"/>
          <w:sz w:val="22"/>
          <w:szCs w:val="22"/>
        </w:rPr>
        <w:t xml:space="preserve">According to the simplified performance status score scale developed by the ECOG, the patients’ performance status can be classified into 6 levels, namely 0-5, as follows:  </w:t>
      </w:r>
    </w:p>
    <w:p w14:paraId="0AAB4BBC">
      <w:pPr>
        <w:spacing w:line="360" w:lineRule="auto"/>
        <w:ind w:firstLine="440" w:firstLineChars="200"/>
        <w:rPr>
          <w:rFonts w:eastAsia="微软雅黑"/>
          <w:sz w:val="22"/>
          <w:szCs w:val="22"/>
        </w:rPr>
      </w:pPr>
      <w:r>
        <w:rPr>
          <w:rFonts w:eastAsia="微软雅黑"/>
          <w:sz w:val="22"/>
          <w:szCs w:val="22"/>
        </w:rPr>
        <w:t xml:space="preserve">0: Fully active, able to carry on all pre-disease performance without restriction </w:t>
      </w:r>
    </w:p>
    <w:p w14:paraId="0EA5614E">
      <w:pPr>
        <w:spacing w:line="360" w:lineRule="auto"/>
        <w:ind w:firstLine="440" w:firstLineChars="200"/>
        <w:rPr>
          <w:rFonts w:eastAsia="微软雅黑"/>
          <w:sz w:val="22"/>
          <w:szCs w:val="22"/>
        </w:rPr>
      </w:pPr>
      <w:r>
        <w:rPr>
          <w:rFonts w:eastAsia="微软雅黑"/>
          <w:sz w:val="22"/>
          <w:szCs w:val="22"/>
        </w:rPr>
        <w:t xml:space="preserve">1: Restricted in physically strenuous activity but ambulatory and able to carry out work of a light or sedentary nature, e.g., light housework, office work </w:t>
      </w:r>
    </w:p>
    <w:p w14:paraId="11DD4CC0">
      <w:pPr>
        <w:spacing w:line="360" w:lineRule="auto"/>
        <w:ind w:firstLine="440" w:firstLineChars="200"/>
        <w:rPr>
          <w:rFonts w:eastAsia="微软雅黑"/>
          <w:sz w:val="22"/>
          <w:szCs w:val="22"/>
        </w:rPr>
      </w:pPr>
      <w:r>
        <w:rPr>
          <w:rFonts w:eastAsia="微软雅黑"/>
          <w:sz w:val="22"/>
          <w:szCs w:val="22"/>
        </w:rPr>
        <w:t xml:space="preserve">2: Ambulatory and capable of all self-care but unable to carry out any work activities. Up and about more than 50% of waking hours </w:t>
      </w:r>
    </w:p>
    <w:p w14:paraId="5F9131FA">
      <w:pPr>
        <w:spacing w:line="360" w:lineRule="auto"/>
        <w:ind w:firstLine="440" w:firstLineChars="200"/>
        <w:rPr>
          <w:rFonts w:eastAsia="微软雅黑"/>
          <w:sz w:val="22"/>
          <w:szCs w:val="22"/>
        </w:rPr>
      </w:pPr>
      <w:r>
        <w:rPr>
          <w:rFonts w:eastAsia="微软雅黑"/>
          <w:sz w:val="22"/>
          <w:szCs w:val="22"/>
        </w:rPr>
        <w:t xml:space="preserve">3: Capable of only limited self-care, confined to bed or chair more than 50% of waking hours </w:t>
      </w:r>
    </w:p>
    <w:p w14:paraId="29A55141">
      <w:pPr>
        <w:spacing w:line="360" w:lineRule="auto"/>
        <w:ind w:firstLine="440" w:firstLineChars="200"/>
        <w:rPr>
          <w:rFonts w:eastAsia="微软雅黑"/>
          <w:sz w:val="22"/>
          <w:szCs w:val="22"/>
        </w:rPr>
      </w:pPr>
      <w:r>
        <w:rPr>
          <w:rFonts w:eastAsia="微软雅黑"/>
          <w:sz w:val="22"/>
          <w:szCs w:val="22"/>
        </w:rPr>
        <w:t xml:space="preserve">4: Completely disabled. Cannot carry on any self-care. In total, confined to bed or chair </w:t>
      </w:r>
    </w:p>
    <w:p w14:paraId="376A7ACD">
      <w:pPr>
        <w:spacing w:line="360" w:lineRule="auto"/>
        <w:ind w:firstLine="440" w:firstLineChars="200"/>
        <w:rPr>
          <w:rFonts w:eastAsia="微软雅黑"/>
          <w:sz w:val="22"/>
          <w:szCs w:val="22"/>
        </w:rPr>
      </w:pPr>
      <w:r>
        <w:rPr>
          <w:rFonts w:eastAsia="微软雅黑"/>
          <w:sz w:val="22"/>
          <w:szCs w:val="22"/>
        </w:rPr>
        <w:t xml:space="preserve">5: Dead </w:t>
      </w:r>
    </w:p>
    <w:p w14:paraId="62C154E0">
      <w:pPr>
        <w:spacing w:line="360" w:lineRule="auto"/>
        <w:ind w:firstLine="440" w:firstLineChars="200"/>
        <w:rPr>
          <w:rFonts w:eastAsia="微软雅黑"/>
          <w:sz w:val="22"/>
          <w:szCs w:val="22"/>
        </w:rPr>
      </w:pPr>
      <w:r>
        <w:rPr>
          <w:rFonts w:eastAsia="微软雅黑"/>
          <w:sz w:val="22"/>
          <w:szCs w:val="22"/>
        </w:rPr>
        <w:t>Patients at levels 3, 4 and 5 are generally considered to be unsuitable for surgical treatment or chemotherapy.</w:t>
      </w:r>
    </w:p>
    <w:p w14:paraId="303E1FE9">
      <w:pPr>
        <w:adjustRightInd w:val="0"/>
        <w:snapToGrid w:val="0"/>
        <w:spacing w:line="360" w:lineRule="auto"/>
        <w:rPr>
          <w:rFonts w:eastAsia="微软雅黑"/>
          <w:b/>
          <w:sz w:val="22"/>
          <w:szCs w:val="22"/>
        </w:rPr>
      </w:pPr>
      <w:r>
        <w:rPr>
          <w:rFonts w:eastAsia="微软雅黑"/>
          <w:b/>
          <w:sz w:val="22"/>
          <w:szCs w:val="22"/>
        </w:rPr>
        <w:t>9.8.2 ASA classification</w:t>
      </w:r>
    </w:p>
    <w:p w14:paraId="2952B718">
      <w:pPr>
        <w:adjustRightInd w:val="0"/>
        <w:snapToGrid w:val="0"/>
        <w:spacing w:line="360" w:lineRule="auto"/>
        <w:ind w:firstLine="440"/>
        <w:rPr>
          <w:rFonts w:eastAsia="微软雅黑"/>
          <w:sz w:val="22"/>
          <w:szCs w:val="22"/>
        </w:rPr>
      </w:pPr>
      <w:r>
        <w:rPr>
          <w:rFonts w:eastAsia="微软雅黑"/>
          <w:sz w:val="22"/>
          <w:szCs w:val="22"/>
        </w:rPr>
        <w:t>According to the patients' physical status and surgical risk before anesthesia, the American Society of Anesthesiologists (ASA) has categorized patients into 5 levels (I-V levels):</w:t>
      </w:r>
      <w:r>
        <w:t xml:space="preserve"> </w:t>
      </w:r>
      <w:r>
        <w:rPr>
          <w:rFonts w:eastAsia="微软雅黑"/>
          <w:sz w:val="22"/>
          <w:szCs w:val="22"/>
        </w:rPr>
        <w:t></w:t>
      </w:r>
    </w:p>
    <w:p w14:paraId="2AB58423">
      <w:pPr>
        <w:adjustRightInd w:val="0"/>
        <w:snapToGrid w:val="0"/>
        <w:spacing w:line="360" w:lineRule="auto"/>
        <w:ind w:firstLine="440"/>
        <w:rPr>
          <w:rFonts w:eastAsia="微软雅黑"/>
          <w:sz w:val="22"/>
          <w:szCs w:val="22"/>
        </w:rPr>
      </w:pPr>
      <w:r>
        <w:rPr>
          <w:rFonts w:eastAsia="微软雅黑"/>
          <w:sz w:val="22"/>
          <w:szCs w:val="22"/>
        </w:rPr>
        <w:t xml:space="preserve">Class I: Well-developed patients with physical health and normal function of various organs, with a perioperative mortality rate of 0.06% -0.08%. </w:t>
      </w:r>
    </w:p>
    <w:p w14:paraId="7A8975BC">
      <w:pPr>
        <w:adjustRightInd w:val="0"/>
        <w:snapToGrid w:val="0"/>
        <w:spacing w:line="360" w:lineRule="auto"/>
        <w:ind w:firstLine="440"/>
        <w:rPr>
          <w:rFonts w:eastAsia="微软雅黑"/>
          <w:sz w:val="22"/>
          <w:szCs w:val="22"/>
        </w:rPr>
      </w:pPr>
      <w:r>
        <w:rPr>
          <w:rFonts w:eastAsia="微软雅黑"/>
          <w:sz w:val="22"/>
          <w:szCs w:val="22"/>
        </w:rPr>
        <w:t xml:space="preserve">Class II: Patients with mild complications and good functional compensation in addition to surgical diseases, with a perioperative mortality rate of 0.27% -0.40%. </w:t>
      </w:r>
    </w:p>
    <w:p w14:paraId="5B1B4474">
      <w:pPr>
        <w:adjustRightInd w:val="0"/>
        <w:snapToGrid w:val="0"/>
        <w:spacing w:line="360" w:lineRule="auto"/>
        <w:ind w:firstLine="440"/>
        <w:rPr>
          <w:rFonts w:eastAsia="微软雅黑"/>
          <w:sz w:val="22"/>
          <w:szCs w:val="22"/>
        </w:rPr>
      </w:pPr>
      <w:r>
        <w:rPr>
          <w:rFonts w:eastAsia="微软雅黑"/>
          <w:sz w:val="22"/>
          <w:szCs w:val="22"/>
        </w:rPr>
        <w:t xml:space="preserve">Class III: Patients with severe complications and restricted physical activity but still capable of coping with day-to-day activities, with a perioperative mortality rate of 1.82% -4.30%. </w:t>
      </w:r>
    </w:p>
    <w:p w14:paraId="40FCB87C">
      <w:pPr>
        <w:adjustRightInd w:val="0"/>
        <w:snapToGrid w:val="0"/>
        <w:spacing w:line="360" w:lineRule="auto"/>
        <w:ind w:firstLine="440"/>
        <w:rPr>
          <w:rFonts w:eastAsia="微软雅黑"/>
          <w:sz w:val="22"/>
          <w:szCs w:val="22"/>
        </w:rPr>
      </w:pPr>
      <w:r>
        <w:rPr>
          <w:rFonts w:eastAsia="微软雅黑"/>
          <w:sz w:val="22"/>
          <w:szCs w:val="22"/>
        </w:rPr>
        <w:t xml:space="preserve">Class IV: Patients with serious complications who have lost the ability to perform day-to-day activities, often have life-threatening conditions, and a perioperative mortality rate of 7.80% -23.0%. </w:t>
      </w:r>
    </w:p>
    <w:p w14:paraId="0BDA9C5C">
      <w:pPr>
        <w:adjustRightInd w:val="0"/>
        <w:snapToGrid w:val="0"/>
        <w:spacing w:line="360" w:lineRule="auto"/>
        <w:ind w:firstLine="440"/>
        <w:rPr>
          <w:rFonts w:eastAsia="微软雅黑"/>
          <w:sz w:val="22"/>
          <w:szCs w:val="22"/>
        </w:rPr>
      </w:pPr>
      <w:r>
        <w:rPr>
          <w:rFonts w:eastAsia="微软雅黑"/>
          <w:sz w:val="22"/>
          <w:szCs w:val="22"/>
        </w:rPr>
        <w:t xml:space="preserve">Class V: Moribund patients either receiving surgery or not, have little chance for survival, and a perioperative mortality rate of 9.40% -50.70%. </w:t>
      </w:r>
    </w:p>
    <w:p w14:paraId="0E0BB106">
      <w:pPr>
        <w:adjustRightInd w:val="0"/>
        <w:snapToGrid w:val="0"/>
        <w:spacing w:line="360" w:lineRule="auto"/>
        <w:ind w:firstLine="440"/>
        <w:rPr>
          <w:rFonts w:eastAsia="微软雅黑"/>
          <w:sz w:val="22"/>
          <w:szCs w:val="22"/>
        </w:rPr>
      </w:pPr>
      <w:r>
        <w:rPr>
          <w:rFonts w:eastAsia="微软雅黑"/>
          <w:sz w:val="22"/>
          <w:szCs w:val="22"/>
        </w:rPr>
        <w:t>Generally, Class I/II patients are considered good for anesthesia and surgical tolerance, with a smooth anesthesia process. Class III patients are exposed to some anesthesia risks; therefore, good preparations should be fully made before anesthesia, and effective measures should be taken to prevent potential complications during anesthesia. Class IV patients are exposed to the most risks, even if good preoperative preparations are made, and have a very high perioperative mortality rate. Class V patients are moribund patients and should not undergo an elective surgery.</w:t>
      </w:r>
    </w:p>
    <w:p w14:paraId="250A2B89">
      <w:pPr>
        <w:spacing w:line="360" w:lineRule="auto"/>
        <w:outlineLvl w:val="0"/>
        <w:rPr>
          <w:rFonts w:eastAsia="微软雅黑"/>
          <w:b/>
          <w:szCs w:val="21"/>
        </w:rPr>
      </w:pPr>
      <w:bookmarkStart w:id="126" w:name="_Toc29774"/>
      <w:r>
        <w:rPr>
          <w:rFonts w:eastAsia="微软雅黑"/>
          <w:b/>
          <w:sz w:val="25"/>
          <w:szCs w:val="25"/>
        </w:rPr>
        <w:t>9.8.3 Oncology-related definitions</w:t>
      </w:r>
      <w:bookmarkEnd w:id="126"/>
    </w:p>
    <w:p w14:paraId="76108E56">
      <w:pPr>
        <w:spacing w:line="360" w:lineRule="auto"/>
        <w:ind w:firstLine="440" w:firstLineChars="200"/>
        <w:rPr>
          <w:rFonts w:hint="default" w:eastAsia="微软雅黑"/>
          <w:sz w:val="22"/>
          <w:szCs w:val="22"/>
          <w:lang w:val="en-US" w:eastAsia="zh-CN"/>
        </w:rPr>
      </w:pPr>
      <w:r>
        <w:rPr>
          <w:rFonts w:eastAsia="微软雅黑"/>
          <w:sz w:val="22"/>
          <w:szCs w:val="22"/>
        </w:rPr>
        <w:t>In this study, tumor staging is based on AJCC-8; surgical treatment follows the Japanese Gastric Cancer Treatment Guidelines, Physicians Edition, 3rd Edition, 2010.10, and other writing and recording principles follow the Japanese Gastric Cancer Statute 15th.</w:t>
      </w:r>
      <w:r>
        <w:rPr>
          <w:rFonts w:hint="eastAsia" w:eastAsia="微软雅黑"/>
          <w:sz w:val="22"/>
          <w:szCs w:val="22"/>
          <w:lang w:val="en-US" w:eastAsia="zh-CN"/>
        </w:rPr>
        <w:t xml:space="preserve"> All pathological evaluations were performed in a standard manner.</w:t>
      </w:r>
    </w:p>
    <w:p w14:paraId="5631F4BF">
      <w:pPr>
        <w:spacing w:line="360" w:lineRule="auto"/>
        <w:outlineLvl w:val="0"/>
        <w:rPr>
          <w:rFonts w:eastAsia="微软雅黑"/>
          <w:b/>
          <w:sz w:val="22"/>
          <w:szCs w:val="22"/>
        </w:rPr>
      </w:pPr>
      <w:bookmarkStart w:id="127" w:name="_Toc15978"/>
      <w:r>
        <w:rPr>
          <w:rFonts w:eastAsia="微软雅黑"/>
          <w:b/>
          <w:sz w:val="22"/>
          <w:szCs w:val="22"/>
        </w:rPr>
        <w:t>9.8.3.1 Primary focus location</w:t>
      </w:r>
      <w:bookmarkEnd w:id="127"/>
    </w:p>
    <w:p w14:paraId="17915898">
      <w:pPr>
        <w:spacing w:line="360" w:lineRule="auto"/>
        <w:ind w:firstLine="440" w:firstLineChars="200"/>
        <w:rPr>
          <w:rFonts w:eastAsia="微软雅黑"/>
          <w:sz w:val="22"/>
          <w:szCs w:val="22"/>
        </w:rPr>
      </w:pPr>
      <w:r>
        <w:rPr>
          <w:rFonts w:eastAsia="微软雅黑"/>
          <w:sz w:val="22"/>
          <w:szCs w:val="22"/>
        </w:rPr>
        <w:t xml:space="preserve">The greater and lesser curvature of the stomach are divided into three equal parts, the U (upper), M (middle) and L (lower) areas, connected to the corresponding points. Esophagus and duodenum infiltration are recorded as E (esophagus), and D (duodenum), respectively. If the lesions are located in two or more adjacent areas, they should be recorded in the order of the main portions of the lesions. </w:t>
      </w:r>
    </w:p>
    <w:p w14:paraId="6F71C1BC">
      <w:pPr>
        <w:spacing w:line="360" w:lineRule="auto"/>
        <w:rPr>
          <w:rFonts w:eastAsia="微软雅黑"/>
          <w:szCs w:val="21"/>
        </w:rPr>
      </w:pPr>
      <w:r>
        <w:rPr>
          <w:rFonts w:eastAsia="微软雅黑"/>
          <w:szCs w:val="21"/>
        </w:rPr>
        <w:drawing>
          <wp:inline distT="0" distB="0" distL="0" distR="0">
            <wp:extent cx="5375275" cy="2336165"/>
            <wp:effectExtent l="0" t="0" r="9525" b="63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noChangeArrowheads="1"/>
                    </pic:cNvPicPr>
                  </pic:nvPicPr>
                  <pic:blipFill>
                    <a:blip r:embed="rId31">
                      <a:lum bright="-20000" contrast="40000"/>
                      <a:extLst>
                        <a:ext uri="{28A0092B-C50C-407E-A947-70E740481C1C}">
                          <a14:useLocalDpi xmlns:a14="http://schemas.microsoft.com/office/drawing/2010/main" val="0"/>
                        </a:ext>
                      </a:extLst>
                    </a:blip>
                    <a:srcRect/>
                    <a:stretch>
                      <a:fillRect/>
                    </a:stretch>
                  </pic:blipFill>
                  <pic:spPr>
                    <a:xfrm>
                      <a:off x="0" y="0"/>
                      <a:ext cx="5375275" cy="2336762"/>
                    </a:xfrm>
                    <a:prstGeom prst="rect">
                      <a:avLst/>
                    </a:prstGeom>
                    <a:noFill/>
                    <a:ln>
                      <a:noFill/>
                    </a:ln>
                  </pic:spPr>
                </pic:pic>
              </a:graphicData>
            </a:graphic>
          </wp:inline>
        </w:drawing>
      </w:r>
    </w:p>
    <w:p w14:paraId="23C025B7">
      <w:pPr>
        <w:spacing w:line="360" w:lineRule="auto"/>
        <w:outlineLvl w:val="0"/>
        <w:rPr>
          <w:rFonts w:eastAsia="微软雅黑"/>
          <w:sz w:val="22"/>
          <w:szCs w:val="22"/>
        </w:rPr>
      </w:pPr>
      <w:bookmarkStart w:id="128" w:name="_Toc11566"/>
      <w:r>
        <w:rPr>
          <w:rFonts w:eastAsia="微软雅黑"/>
          <w:sz w:val="22"/>
          <w:szCs w:val="22"/>
        </w:rPr>
        <w:t>Fig. 3. Division of the Three Areas of the Stomach</w:t>
      </w:r>
      <w:bookmarkEnd w:id="128"/>
      <w:r>
        <w:rPr>
          <w:rFonts w:eastAsia="微软雅黑"/>
          <w:sz w:val="22"/>
          <w:szCs w:val="22"/>
        </w:rPr>
        <w:t xml:space="preserve"> </w:t>
      </w:r>
    </w:p>
    <w:p w14:paraId="58BAA8D0">
      <w:pPr>
        <w:spacing w:line="360" w:lineRule="auto"/>
        <w:rPr>
          <w:rFonts w:eastAsia="微软雅黑"/>
          <w:b/>
          <w:sz w:val="22"/>
          <w:szCs w:val="22"/>
        </w:rPr>
      </w:pPr>
      <w:r>
        <w:rPr>
          <w:rFonts w:eastAsia="微软雅黑"/>
          <w:b/>
          <w:sz w:val="22"/>
          <w:szCs w:val="22"/>
        </w:rPr>
        <w:t>9.8.3.2 Tumor staging record</w:t>
      </w:r>
    </w:p>
    <w:p w14:paraId="6BD2CBC2">
      <w:pPr>
        <w:spacing w:line="360" w:lineRule="auto"/>
        <w:rPr>
          <w:rFonts w:eastAsia="微软雅黑"/>
          <w:b/>
          <w:sz w:val="22"/>
          <w:szCs w:val="22"/>
        </w:rPr>
      </w:pPr>
      <w:r>
        <w:rPr>
          <w:rFonts w:eastAsia="微软雅黑"/>
          <w:b/>
          <w:sz w:val="22"/>
          <w:szCs w:val="22"/>
        </w:rPr>
        <w:t xml:space="preserve">9.8.3.2.1 Recording principle </w:t>
      </w:r>
    </w:p>
    <w:p w14:paraId="1DA2D502">
      <w:pPr>
        <w:spacing w:line="360" w:lineRule="auto"/>
        <w:rPr>
          <w:rFonts w:eastAsia="微软雅黑"/>
          <w:sz w:val="22"/>
          <w:szCs w:val="22"/>
        </w:rPr>
      </w:pPr>
      <w:r>
        <w:rPr>
          <w:rFonts w:eastAsia="微软雅黑"/>
          <w:sz w:val="22"/>
          <w:szCs w:val="22"/>
        </w:rPr>
        <w:t xml:space="preserve">The two staging records for clinical classification and pathological classification involve T (invasion depth), N (regional LN) and M (distant metastasis), which are expressed in Arabic numerals and denoted as x if indefinite. </w:t>
      </w:r>
    </w:p>
    <w:tbl>
      <w:tblPr>
        <w:tblStyle w:val="1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14:paraId="2114E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00BF051D">
            <w:pPr>
              <w:spacing w:line="360" w:lineRule="auto"/>
              <w:rPr>
                <w:rFonts w:eastAsia="微软雅黑"/>
                <w:sz w:val="22"/>
              </w:rPr>
            </w:pPr>
            <w:r>
              <w:rPr>
                <w:rFonts w:eastAsia="微软雅黑"/>
                <w:sz w:val="22"/>
                <w:szCs w:val="22"/>
              </w:rPr>
              <w:t>Clinical classification</w:t>
            </w:r>
          </w:p>
        </w:tc>
        <w:tc>
          <w:tcPr>
            <w:tcW w:w="4261" w:type="dxa"/>
          </w:tcPr>
          <w:p w14:paraId="3C23657E">
            <w:pPr>
              <w:spacing w:line="360" w:lineRule="auto"/>
              <w:rPr>
                <w:rFonts w:eastAsia="微软雅黑"/>
                <w:sz w:val="22"/>
              </w:rPr>
            </w:pPr>
            <w:r>
              <w:rPr>
                <w:rFonts w:eastAsia="微软雅黑"/>
                <w:sz w:val="22"/>
                <w:szCs w:val="22"/>
              </w:rPr>
              <w:t xml:space="preserve">Pathological classification </w:t>
            </w:r>
          </w:p>
        </w:tc>
      </w:tr>
      <w:tr w14:paraId="43F01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14:paraId="4D5B7359">
            <w:pPr>
              <w:spacing w:line="360" w:lineRule="auto"/>
              <w:jc w:val="left"/>
              <w:rPr>
                <w:rFonts w:eastAsia="微软雅黑"/>
                <w:sz w:val="22"/>
              </w:rPr>
            </w:pPr>
            <w:r>
              <w:rPr>
                <w:rFonts w:eastAsia="微软雅黑"/>
                <w:sz w:val="22"/>
                <w:szCs w:val="22"/>
              </w:rPr>
              <w:t xml:space="preserve">Physical examination X-ray, endoscopy, diagnostic imaging laparoscopy, intraoperative observations (laparotomy/laparoscopy), biopsy, cytology, biochemistry, biology examination </w:t>
            </w:r>
          </w:p>
        </w:tc>
        <w:tc>
          <w:tcPr>
            <w:tcW w:w="4261" w:type="dxa"/>
          </w:tcPr>
          <w:p w14:paraId="6960AF37">
            <w:pPr>
              <w:spacing w:line="360" w:lineRule="auto"/>
              <w:rPr>
                <w:rFonts w:eastAsia="微软雅黑"/>
                <w:sz w:val="22"/>
              </w:rPr>
            </w:pPr>
            <w:r>
              <w:rPr>
                <w:rFonts w:eastAsia="微软雅黑"/>
                <w:sz w:val="22"/>
                <w:szCs w:val="22"/>
              </w:rPr>
              <w:t xml:space="preserve">Pathological diagnosis of the </w:t>
            </w:r>
          </w:p>
          <w:p w14:paraId="45847D3D">
            <w:pPr>
              <w:spacing w:line="360" w:lineRule="auto"/>
              <w:rPr>
                <w:rFonts w:eastAsia="微软雅黑"/>
                <w:sz w:val="22"/>
              </w:rPr>
            </w:pPr>
            <w:r>
              <w:rPr>
                <w:rFonts w:eastAsia="微软雅黑"/>
                <w:sz w:val="22"/>
                <w:szCs w:val="22"/>
              </w:rPr>
              <w:t xml:space="preserve">endoscopic/surgical specimens </w:t>
            </w:r>
          </w:p>
          <w:p w14:paraId="79989DD2">
            <w:pPr>
              <w:spacing w:line="360" w:lineRule="auto"/>
              <w:rPr>
                <w:rFonts w:eastAsia="微软雅黑"/>
                <w:sz w:val="22"/>
              </w:rPr>
            </w:pPr>
            <w:r>
              <w:rPr>
                <w:rFonts w:eastAsia="微软雅黑"/>
                <w:sz w:val="22"/>
                <w:szCs w:val="22"/>
              </w:rPr>
              <w:t xml:space="preserve">Intraperitoneal exfoliative cytology </w:t>
            </w:r>
          </w:p>
        </w:tc>
      </w:tr>
    </w:tbl>
    <w:p w14:paraId="2EDD2F44">
      <w:pPr>
        <w:spacing w:line="360" w:lineRule="auto"/>
        <w:rPr>
          <w:rFonts w:eastAsia="微软雅黑"/>
          <w:b/>
          <w:sz w:val="22"/>
          <w:szCs w:val="22"/>
        </w:rPr>
      </w:pPr>
      <w:r>
        <w:rPr>
          <w:rFonts w:eastAsia="微软雅黑"/>
          <w:b/>
          <w:sz w:val="22"/>
          <w:szCs w:val="22"/>
        </w:rPr>
        <w:t xml:space="preserve">9.8.3.2.2 Records of tumor invasion depth </w:t>
      </w:r>
    </w:p>
    <w:p w14:paraId="2D9F7890">
      <w:pPr>
        <w:spacing w:line="360" w:lineRule="auto"/>
        <w:rPr>
          <w:rFonts w:eastAsia="微软雅黑"/>
          <w:sz w:val="22"/>
          <w:szCs w:val="22"/>
        </w:rPr>
      </w:pPr>
      <w:r>
        <w:rPr>
          <w:rFonts w:eastAsia="微软雅黑"/>
          <w:sz w:val="22"/>
          <w:szCs w:val="22"/>
        </w:rPr>
        <w:t>Tumor invasion depth is defined as follows:</w:t>
      </w:r>
    </w:p>
    <w:p w14:paraId="2490A91C">
      <w:pPr>
        <w:numPr>
          <w:ilvl w:val="255"/>
          <w:numId w:val="0"/>
        </w:numPr>
        <w:spacing w:line="360" w:lineRule="auto"/>
        <w:outlineLvl w:val="0"/>
        <w:rPr>
          <w:rFonts w:eastAsia="微软雅黑"/>
          <w:sz w:val="22"/>
          <w:szCs w:val="22"/>
        </w:rPr>
      </w:pPr>
      <w:bookmarkStart w:id="129" w:name="_Toc30283"/>
      <w:r>
        <w:rPr>
          <w:rFonts w:eastAsia="Wingdings 2"/>
          <w:sz w:val="24"/>
        </w:rPr>
        <w:t></w:t>
      </w:r>
      <w:r>
        <w:rPr>
          <w:rFonts w:eastAsia="微软雅黑"/>
          <w:sz w:val="22"/>
          <w:szCs w:val="22"/>
        </w:rPr>
        <w:t>TX: Unknown cancer invasion depth</w:t>
      </w:r>
      <w:bookmarkEnd w:id="129"/>
      <w:r>
        <w:rPr>
          <w:rFonts w:eastAsia="微软雅黑"/>
          <w:sz w:val="22"/>
          <w:szCs w:val="22"/>
        </w:rPr>
        <w:t xml:space="preserve"> </w:t>
      </w:r>
    </w:p>
    <w:p w14:paraId="6CD2C4C1">
      <w:pPr>
        <w:numPr>
          <w:ilvl w:val="255"/>
          <w:numId w:val="0"/>
        </w:numPr>
        <w:spacing w:line="360" w:lineRule="auto"/>
        <w:rPr>
          <w:rFonts w:eastAsia="微软雅黑"/>
          <w:sz w:val="22"/>
          <w:szCs w:val="22"/>
        </w:rPr>
      </w:pPr>
      <w:r>
        <w:rPr>
          <w:rFonts w:eastAsia="Wingdings 2"/>
          <w:sz w:val="24"/>
        </w:rPr>
        <w:t></w:t>
      </w:r>
      <w:r>
        <w:rPr>
          <w:rFonts w:eastAsia="微软雅黑"/>
          <w:sz w:val="22"/>
          <w:szCs w:val="22"/>
        </w:rPr>
        <w:t xml:space="preserve">T0: No cancer found </w:t>
      </w:r>
    </w:p>
    <w:p w14:paraId="28C99096">
      <w:pPr>
        <w:numPr>
          <w:ilvl w:val="255"/>
          <w:numId w:val="0"/>
        </w:numPr>
        <w:spacing w:line="360" w:lineRule="auto"/>
        <w:rPr>
          <w:rFonts w:eastAsia="微软雅黑"/>
          <w:sz w:val="22"/>
          <w:szCs w:val="22"/>
        </w:rPr>
      </w:pPr>
      <w:r>
        <w:rPr>
          <w:rFonts w:eastAsia="Wingdings 2"/>
          <w:sz w:val="24"/>
        </w:rPr>
        <w:t></w:t>
      </w:r>
      <w:r>
        <w:rPr>
          <w:rFonts w:eastAsia="微软雅黑"/>
          <w:sz w:val="22"/>
          <w:szCs w:val="22"/>
        </w:rPr>
        <w:t xml:space="preserve">T1: Cancer invasion is only confined to the mucosa (M) or the submucosal tissue (SM) </w:t>
      </w:r>
    </w:p>
    <w:p w14:paraId="7AE682F7">
      <w:pPr>
        <w:pStyle w:val="25"/>
        <w:numPr>
          <w:ilvl w:val="0"/>
          <w:numId w:val="14"/>
        </w:numPr>
        <w:spacing w:line="360" w:lineRule="auto"/>
        <w:ind w:firstLineChars="0"/>
        <w:rPr>
          <w:rFonts w:eastAsia="微软雅黑"/>
          <w:sz w:val="22"/>
          <w:szCs w:val="22"/>
        </w:rPr>
      </w:pPr>
      <w:r>
        <w:rPr>
          <w:rFonts w:eastAsia="微软雅黑"/>
          <w:sz w:val="22"/>
          <w:szCs w:val="22"/>
        </w:rPr>
        <w:t xml:space="preserve">T1a: Cancer invasion is only confined to the mucosa (M) </w:t>
      </w:r>
    </w:p>
    <w:p w14:paraId="74E377A4">
      <w:pPr>
        <w:pStyle w:val="25"/>
        <w:numPr>
          <w:ilvl w:val="0"/>
          <w:numId w:val="14"/>
        </w:numPr>
        <w:spacing w:line="360" w:lineRule="auto"/>
        <w:ind w:firstLineChars="0"/>
        <w:rPr>
          <w:rFonts w:eastAsia="微软雅黑"/>
          <w:sz w:val="22"/>
          <w:szCs w:val="22"/>
        </w:rPr>
      </w:pPr>
      <w:r>
        <w:rPr>
          <w:rFonts w:eastAsia="微软雅黑"/>
          <w:sz w:val="22"/>
          <w:szCs w:val="22"/>
        </w:rPr>
        <w:t xml:space="preserve">T1b: Cancer invasion is confined to the submucosal tissue (SM) </w:t>
      </w:r>
    </w:p>
    <w:p w14:paraId="78888AB1">
      <w:pPr>
        <w:numPr>
          <w:ilvl w:val="255"/>
          <w:numId w:val="0"/>
        </w:numPr>
        <w:spacing w:line="360" w:lineRule="auto"/>
        <w:rPr>
          <w:rFonts w:eastAsia="微软雅黑"/>
          <w:sz w:val="22"/>
          <w:szCs w:val="22"/>
        </w:rPr>
      </w:pPr>
      <w:r>
        <w:rPr>
          <w:rFonts w:eastAsia="Wingdings 2"/>
          <w:sz w:val="24"/>
        </w:rPr>
        <w:t></w:t>
      </w:r>
      <w:r>
        <w:rPr>
          <w:rFonts w:eastAsia="微软雅黑"/>
          <w:sz w:val="22"/>
          <w:szCs w:val="22"/>
        </w:rPr>
        <w:t xml:space="preserve">T2: Cancer invasion exceeds the submucosal tissue but is only confined to the inherent muscular layer (MP) </w:t>
      </w:r>
    </w:p>
    <w:p w14:paraId="1C54F877">
      <w:pPr>
        <w:numPr>
          <w:ilvl w:val="255"/>
          <w:numId w:val="0"/>
        </w:numPr>
        <w:spacing w:line="360" w:lineRule="auto"/>
        <w:rPr>
          <w:rFonts w:eastAsia="微软雅黑"/>
          <w:sz w:val="22"/>
          <w:szCs w:val="22"/>
        </w:rPr>
      </w:pPr>
      <w:r>
        <w:rPr>
          <w:rFonts w:eastAsia="Wingdings 2"/>
          <w:sz w:val="24"/>
        </w:rPr>
        <w:t></w:t>
      </w:r>
      <w:r>
        <w:rPr>
          <w:rFonts w:eastAsia="微软雅黑"/>
          <w:sz w:val="22"/>
          <w:szCs w:val="22"/>
        </w:rPr>
        <w:t xml:space="preserve">T3: Cancer invasion exceeds the inherent muscular layer (MP) but is only confined to the subserosal tissue (SS) </w:t>
      </w:r>
    </w:p>
    <w:p w14:paraId="0946F2E5">
      <w:pPr>
        <w:numPr>
          <w:ilvl w:val="255"/>
          <w:numId w:val="0"/>
        </w:numPr>
        <w:spacing w:line="360" w:lineRule="auto"/>
        <w:rPr>
          <w:rFonts w:eastAsia="微软雅黑"/>
          <w:sz w:val="22"/>
          <w:szCs w:val="22"/>
        </w:rPr>
      </w:pPr>
      <w:r>
        <w:rPr>
          <w:rFonts w:eastAsia="Wingdings 2"/>
          <w:sz w:val="24"/>
        </w:rPr>
        <w:t></w:t>
      </w:r>
      <w:r>
        <w:rPr>
          <w:rFonts w:eastAsia="微软雅黑"/>
          <w:sz w:val="22"/>
          <w:szCs w:val="22"/>
        </w:rPr>
        <w:t xml:space="preserve">T4: Cancer invasion involves the serosa (SE) or direct invasion of adjacent structures (SI) </w:t>
      </w:r>
    </w:p>
    <w:p w14:paraId="3C950251">
      <w:pPr>
        <w:pStyle w:val="25"/>
        <w:numPr>
          <w:ilvl w:val="0"/>
          <w:numId w:val="15"/>
        </w:numPr>
        <w:spacing w:line="360" w:lineRule="auto"/>
        <w:ind w:firstLineChars="0"/>
        <w:rPr>
          <w:rFonts w:eastAsia="微软雅黑"/>
          <w:sz w:val="22"/>
          <w:szCs w:val="22"/>
        </w:rPr>
      </w:pPr>
      <w:r>
        <w:rPr>
          <w:rFonts w:eastAsia="微软雅黑"/>
          <w:sz w:val="22"/>
          <w:szCs w:val="22"/>
        </w:rPr>
        <w:t xml:space="preserve">T4a: Cancer invasion involves only the serosa (SE) </w:t>
      </w:r>
    </w:p>
    <w:p w14:paraId="310D95B5">
      <w:pPr>
        <w:pStyle w:val="25"/>
        <w:numPr>
          <w:ilvl w:val="0"/>
          <w:numId w:val="15"/>
        </w:numPr>
        <w:spacing w:line="360" w:lineRule="auto"/>
        <w:ind w:firstLineChars="0"/>
        <w:rPr>
          <w:rFonts w:eastAsia="微软雅黑"/>
          <w:sz w:val="22"/>
          <w:szCs w:val="22"/>
        </w:rPr>
      </w:pPr>
      <w:r>
        <w:rPr>
          <w:rFonts w:eastAsia="微软雅黑"/>
          <w:sz w:val="22"/>
          <w:szCs w:val="22"/>
        </w:rPr>
        <w:t>T4b: Cancer directly invades the adjacent structures (SI)</w:t>
      </w:r>
    </w:p>
    <w:p w14:paraId="66FDC217">
      <w:pPr>
        <w:spacing w:line="360" w:lineRule="auto"/>
        <w:outlineLvl w:val="0"/>
        <w:rPr>
          <w:rFonts w:eastAsia="微软雅黑"/>
          <w:b/>
          <w:sz w:val="22"/>
          <w:szCs w:val="22"/>
        </w:rPr>
      </w:pPr>
      <w:bookmarkStart w:id="130" w:name="_Toc9384"/>
      <w:r>
        <w:rPr>
          <w:rFonts w:eastAsia="微软雅黑"/>
          <w:b/>
          <w:sz w:val="22"/>
          <w:szCs w:val="22"/>
        </w:rPr>
        <w:t>9.8.3.2.3 Records of tumor metastasis</w:t>
      </w:r>
      <w:bookmarkEnd w:id="130"/>
    </w:p>
    <w:p w14:paraId="49697C80">
      <w:pPr>
        <w:spacing w:line="360" w:lineRule="auto"/>
        <w:rPr>
          <w:rFonts w:eastAsia="微软雅黑"/>
          <w:sz w:val="22"/>
          <w:szCs w:val="22"/>
        </w:rPr>
      </w:pPr>
      <w:r>
        <w:rPr>
          <w:rFonts w:eastAsia="微软雅黑"/>
          <w:sz w:val="22"/>
          <w:szCs w:val="22"/>
        </w:rPr>
        <w:t xml:space="preserve">(1) Lymph node metastasis: </w:t>
      </w:r>
    </w:p>
    <w:p w14:paraId="5F2A4C41">
      <w:pPr>
        <w:spacing w:line="360" w:lineRule="auto"/>
        <w:outlineLvl w:val="0"/>
        <w:rPr>
          <w:rFonts w:eastAsia="微软雅黑"/>
          <w:sz w:val="22"/>
          <w:szCs w:val="22"/>
        </w:rPr>
      </w:pPr>
      <w:bookmarkStart w:id="131" w:name="_Toc24231"/>
      <w:r>
        <w:rPr>
          <w:rFonts w:eastAsia="Wingdings 2"/>
          <w:sz w:val="24"/>
        </w:rPr>
        <w:t></w:t>
      </w:r>
      <w:r>
        <w:rPr>
          <w:rFonts w:eastAsia="微软雅黑"/>
          <w:sz w:val="22"/>
          <w:szCs w:val="22"/>
        </w:rPr>
        <w:t>NX: Number of LN metastases is unknown</w:t>
      </w:r>
      <w:bookmarkEnd w:id="131"/>
      <w:r>
        <w:rPr>
          <w:rFonts w:eastAsia="微软雅黑"/>
          <w:sz w:val="22"/>
          <w:szCs w:val="22"/>
        </w:rPr>
        <w:t xml:space="preserve"> </w:t>
      </w:r>
    </w:p>
    <w:p w14:paraId="3243A060">
      <w:pPr>
        <w:spacing w:line="360" w:lineRule="auto"/>
        <w:rPr>
          <w:rFonts w:eastAsia="微软雅黑"/>
          <w:sz w:val="22"/>
          <w:szCs w:val="22"/>
        </w:rPr>
      </w:pPr>
      <w:r>
        <w:rPr>
          <w:rFonts w:eastAsia="Wingdings 2"/>
          <w:sz w:val="24"/>
        </w:rPr>
        <w:t></w:t>
      </w:r>
      <w:r>
        <w:rPr>
          <w:rFonts w:eastAsia="微软雅黑"/>
          <w:sz w:val="22"/>
          <w:szCs w:val="22"/>
        </w:rPr>
        <w:t xml:space="preserve">N0: No LN metastasis </w:t>
      </w:r>
    </w:p>
    <w:p w14:paraId="5FA84C4A">
      <w:pPr>
        <w:spacing w:line="360" w:lineRule="auto"/>
        <w:rPr>
          <w:rFonts w:eastAsia="微软雅黑"/>
          <w:sz w:val="22"/>
          <w:szCs w:val="22"/>
        </w:rPr>
      </w:pPr>
      <w:r>
        <w:rPr>
          <w:rFonts w:eastAsia="Wingdings 2"/>
          <w:sz w:val="24"/>
        </w:rPr>
        <w:t></w:t>
      </w:r>
      <w:r>
        <w:rPr>
          <w:rFonts w:eastAsia="微软雅黑"/>
          <w:sz w:val="22"/>
          <w:szCs w:val="22"/>
        </w:rPr>
        <w:t xml:space="preserve">N1: Lymph node metastasis of 1-2 areas </w:t>
      </w:r>
    </w:p>
    <w:p w14:paraId="61F1124C">
      <w:pPr>
        <w:spacing w:line="360" w:lineRule="auto"/>
        <w:rPr>
          <w:rFonts w:eastAsia="微软雅黑"/>
          <w:sz w:val="22"/>
          <w:szCs w:val="22"/>
        </w:rPr>
      </w:pPr>
      <w:r>
        <w:rPr>
          <w:rFonts w:eastAsia="Wingdings 2"/>
          <w:sz w:val="24"/>
        </w:rPr>
        <w:t></w:t>
      </w:r>
      <w:r>
        <w:rPr>
          <w:rFonts w:eastAsia="微软雅黑"/>
          <w:sz w:val="22"/>
          <w:szCs w:val="22"/>
        </w:rPr>
        <w:t xml:space="preserve">N2: Lymph node metastasis of 3-6 areas </w:t>
      </w:r>
    </w:p>
    <w:p w14:paraId="1C4506C2">
      <w:pPr>
        <w:spacing w:line="360" w:lineRule="auto"/>
        <w:rPr>
          <w:rFonts w:eastAsia="微软雅黑"/>
          <w:sz w:val="22"/>
          <w:szCs w:val="22"/>
        </w:rPr>
      </w:pPr>
      <w:r>
        <w:rPr>
          <w:rFonts w:eastAsia="Wingdings 2"/>
          <w:sz w:val="24"/>
        </w:rPr>
        <w:t></w:t>
      </w:r>
      <w:r>
        <w:rPr>
          <w:rFonts w:eastAsia="微软雅黑"/>
          <w:sz w:val="22"/>
          <w:szCs w:val="22"/>
        </w:rPr>
        <w:t xml:space="preserve">N3: Lymph node metastasis of 7 and more areas </w:t>
      </w:r>
    </w:p>
    <w:p w14:paraId="4AF608A4">
      <w:pPr>
        <w:pStyle w:val="25"/>
        <w:numPr>
          <w:ilvl w:val="0"/>
          <w:numId w:val="16"/>
        </w:numPr>
        <w:spacing w:line="360" w:lineRule="auto"/>
        <w:ind w:firstLineChars="0"/>
        <w:outlineLvl w:val="0"/>
        <w:rPr>
          <w:rFonts w:eastAsia="微软雅黑"/>
          <w:sz w:val="22"/>
          <w:szCs w:val="22"/>
        </w:rPr>
      </w:pPr>
      <w:bookmarkStart w:id="132" w:name="_Toc31445"/>
      <w:r>
        <w:rPr>
          <w:rFonts w:eastAsia="微软雅黑"/>
          <w:sz w:val="22"/>
          <w:szCs w:val="22"/>
        </w:rPr>
        <w:t>N3a: Lymph node metastasis of 7-15 areas</w:t>
      </w:r>
      <w:bookmarkEnd w:id="132"/>
      <w:r>
        <w:rPr>
          <w:rFonts w:eastAsia="微软雅黑"/>
          <w:sz w:val="22"/>
          <w:szCs w:val="22"/>
        </w:rPr>
        <w:t xml:space="preserve"> </w:t>
      </w:r>
    </w:p>
    <w:p w14:paraId="47C233B2">
      <w:pPr>
        <w:pStyle w:val="25"/>
        <w:numPr>
          <w:ilvl w:val="0"/>
          <w:numId w:val="16"/>
        </w:numPr>
        <w:spacing w:line="360" w:lineRule="auto"/>
        <w:ind w:firstLineChars="0"/>
        <w:rPr>
          <w:rFonts w:eastAsia="微软雅黑"/>
          <w:sz w:val="22"/>
          <w:szCs w:val="22"/>
        </w:rPr>
      </w:pPr>
      <w:r>
        <w:rPr>
          <w:rFonts w:eastAsia="微软雅黑"/>
          <w:sz w:val="22"/>
          <w:szCs w:val="22"/>
        </w:rPr>
        <w:t xml:space="preserve">N3b: Lymph node metastasis of 16 and more areas </w:t>
      </w:r>
    </w:p>
    <w:p w14:paraId="74A35F4B">
      <w:pPr>
        <w:spacing w:line="360" w:lineRule="auto"/>
        <w:rPr>
          <w:rFonts w:eastAsia="微软雅黑"/>
          <w:sz w:val="22"/>
          <w:szCs w:val="22"/>
        </w:rPr>
      </w:pPr>
      <w:r>
        <w:rPr>
          <w:rFonts w:eastAsia="微软雅黑"/>
          <w:sz w:val="22"/>
          <w:szCs w:val="22"/>
        </w:rPr>
        <w:t>Lymph node numbers are defined as follows:</w:t>
      </w:r>
    </w:p>
    <w:tbl>
      <w:tblPr>
        <w:tblStyle w:val="13"/>
        <w:tblW w:w="86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4"/>
        <w:gridCol w:w="1653"/>
        <w:gridCol w:w="6284"/>
      </w:tblGrid>
      <w:tr w14:paraId="67AAD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trPr>
        <w:tc>
          <w:tcPr>
            <w:tcW w:w="744" w:type="dxa"/>
          </w:tcPr>
          <w:p w14:paraId="3C276977">
            <w:pPr>
              <w:rPr>
                <w:rFonts w:eastAsia="微软雅黑"/>
                <w:sz w:val="22"/>
              </w:rPr>
            </w:pPr>
            <w:r>
              <w:rPr>
                <w:rFonts w:eastAsia="微软雅黑"/>
                <w:sz w:val="22"/>
                <w:szCs w:val="22"/>
              </w:rPr>
              <w:t xml:space="preserve">No. </w:t>
            </w:r>
          </w:p>
        </w:tc>
        <w:tc>
          <w:tcPr>
            <w:tcW w:w="1653" w:type="dxa"/>
          </w:tcPr>
          <w:p w14:paraId="65EE6D80">
            <w:pPr>
              <w:rPr>
                <w:rFonts w:eastAsia="微软雅黑"/>
                <w:sz w:val="22"/>
              </w:rPr>
            </w:pPr>
            <w:r>
              <w:rPr>
                <w:rFonts w:eastAsia="微软雅黑"/>
                <w:sz w:val="22"/>
                <w:szCs w:val="22"/>
              </w:rPr>
              <w:t xml:space="preserve">Name  </w:t>
            </w:r>
          </w:p>
        </w:tc>
        <w:tc>
          <w:tcPr>
            <w:tcW w:w="6284" w:type="dxa"/>
          </w:tcPr>
          <w:p w14:paraId="0E4F9ABB">
            <w:pPr>
              <w:rPr>
                <w:rFonts w:eastAsia="微软雅黑"/>
                <w:sz w:val="22"/>
              </w:rPr>
            </w:pPr>
            <w:r>
              <w:rPr>
                <w:rFonts w:eastAsia="微软雅黑"/>
                <w:sz w:val="22"/>
                <w:szCs w:val="22"/>
              </w:rPr>
              <w:t xml:space="preserve">Definition </w:t>
            </w:r>
          </w:p>
        </w:tc>
      </w:tr>
      <w:tr w14:paraId="70319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744" w:type="dxa"/>
          </w:tcPr>
          <w:p w14:paraId="51571193">
            <w:pPr>
              <w:spacing w:line="360" w:lineRule="auto"/>
              <w:rPr>
                <w:rFonts w:eastAsia="微软雅黑"/>
                <w:sz w:val="22"/>
              </w:rPr>
            </w:pPr>
            <w:r>
              <w:rPr>
                <w:rFonts w:eastAsia="微软雅黑"/>
                <w:sz w:val="22"/>
                <w:szCs w:val="22"/>
              </w:rPr>
              <w:t xml:space="preserve">1 </w:t>
            </w:r>
          </w:p>
        </w:tc>
        <w:tc>
          <w:tcPr>
            <w:tcW w:w="1653" w:type="dxa"/>
          </w:tcPr>
          <w:p w14:paraId="7BE9043C">
            <w:pPr>
              <w:rPr>
                <w:rFonts w:eastAsia="微软雅黑"/>
                <w:sz w:val="22"/>
              </w:rPr>
            </w:pPr>
            <w:r>
              <w:rPr>
                <w:rFonts w:eastAsia="微软雅黑"/>
                <w:sz w:val="22"/>
                <w:szCs w:val="22"/>
              </w:rPr>
              <w:t xml:space="preserve">Cardia right </w:t>
            </w:r>
          </w:p>
        </w:tc>
        <w:tc>
          <w:tcPr>
            <w:tcW w:w="6284" w:type="dxa"/>
          </w:tcPr>
          <w:p w14:paraId="350E16A5">
            <w:pPr>
              <w:rPr>
                <w:rFonts w:eastAsia="微软雅黑"/>
                <w:sz w:val="22"/>
              </w:rPr>
            </w:pPr>
            <w:r>
              <w:rPr>
                <w:rFonts w:eastAsia="微软雅黑"/>
                <w:sz w:val="22"/>
                <w:szCs w:val="22"/>
              </w:rPr>
              <w:t xml:space="preserve">Lymph nodes around the gastric wall first branch (cardia branch) of ascending branches of the left gastric artery and those at the cardia sides </w:t>
            </w:r>
          </w:p>
        </w:tc>
      </w:tr>
      <w:tr w14:paraId="20CD6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744" w:type="dxa"/>
          </w:tcPr>
          <w:p w14:paraId="5536DFF9">
            <w:pPr>
              <w:spacing w:line="360" w:lineRule="auto"/>
              <w:rPr>
                <w:rFonts w:eastAsia="微软雅黑"/>
                <w:sz w:val="22"/>
              </w:rPr>
            </w:pPr>
            <w:r>
              <w:rPr>
                <w:rFonts w:eastAsia="微软雅黑"/>
                <w:sz w:val="22"/>
                <w:szCs w:val="22"/>
              </w:rPr>
              <w:t xml:space="preserve">2 </w:t>
            </w:r>
          </w:p>
        </w:tc>
        <w:tc>
          <w:tcPr>
            <w:tcW w:w="1653" w:type="dxa"/>
          </w:tcPr>
          <w:p w14:paraId="3F70867C">
            <w:pPr>
              <w:rPr>
                <w:rFonts w:eastAsia="微软雅黑"/>
                <w:sz w:val="22"/>
              </w:rPr>
            </w:pPr>
            <w:r>
              <w:rPr>
                <w:rFonts w:eastAsia="微软雅黑"/>
                <w:sz w:val="22"/>
                <w:szCs w:val="22"/>
              </w:rPr>
              <w:t xml:space="preserve">Cardia left </w:t>
            </w:r>
          </w:p>
        </w:tc>
        <w:tc>
          <w:tcPr>
            <w:tcW w:w="6284" w:type="dxa"/>
          </w:tcPr>
          <w:p w14:paraId="027B6AA3">
            <w:pPr>
              <w:rPr>
                <w:rFonts w:eastAsia="微软雅黑"/>
                <w:sz w:val="22"/>
              </w:rPr>
            </w:pPr>
            <w:r>
              <w:rPr>
                <w:rFonts w:eastAsia="微软雅黑"/>
                <w:sz w:val="22"/>
                <w:szCs w:val="22"/>
              </w:rPr>
              <w:t>Lymph nodes at the left side of the cardia and those along the cardia branch of the lower left diaphragmatic artery esophagus</w:t>
            </w:r>
          </w:p>
        </w:tc>
      </w:tr>
      <w:tr w14:paraId="5779D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trPr>
        <w:tc>
          <w:tcPr>
            <w:tcW w:w="744" w:type="dxa"/>
          </w:tcPr>
          <w:p w14:paraId="12D73495">
            <w:pPr>
              <w:spacing w:line="360" w:lineRule="auto"/>
              <w:rPr>
                <w:rFonts w:eastAsia="微软雅黑"/>
                <w:sz w:val="22"/>
              </w:rPr>
            </w:pPr>
            <w:r>
              <w:rPr>
                <w:rFonts w:eastAsia="微软雅黑"/>
                <w:sz w:val="22"/>
                <w:szCs w:val="22"/>
              </w:rPr>
              <w:t xml:space="preserve">3a </w:t>
            </w:r>
          </w:p>
        </w:tc>
        <w:tc>
          <w:tcPr>
            <w:tcW w:w="1653" w:type="dxa"/>
          </w:tcPr>
          <w:p w14:paraId="34262268">
            <w:pPr>
              <w:rPr>
                <w:rFonts w:eastAsia="微软雅黑"/>
                <w:sz w:val="22"/>
              </w:rPr>
            </w:pPr>
            <w:r>
              <w:rPr>
                <w:rFonts w:eastAsia="微软雅黑"/>
                <w:sz w:val="22"/>
                <w:szCs w:val="22"/>
              </w:rPr>
              <w:t xml:space="preserve">Lesser gastric curvature (along the left gastric artery) </w:t>
            </w:r>
          </w:p>
        </w:tc>
        <w:tc>
          <w:tcPr>
            <w:tcW w:w="6284" w:type="dxa"/>
          </w:tcPr>
          <w:p w14:paraId="6A2CED52">
            <w:pPr>
              <w:rPr>
                <w:rFonts w:eastAsia="微软雅黑"/>
                <w:sz w:val="22"/>
              </w:rPr>
            </w:pPr>
            <w:r>
              <w:rPr>
                <w:rFonts w:eastAsia="微软雅黑"/>
                <w:sz w:val="22"/>
                <w:szCs w:val="22"/>
              </w:rPr>
              <w:t xml:space="preserve">Lymph nodes at the lesser curvature side along the left gastric artery branch, below the cardia branch </w:t>
            </w:r>
          </w:p>
        </w:tc>
      </w:tr>
      <w:tr w14:paraId="3BEE7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744" w:type="dxa"/>
          </w:tcPr>
          <w:p w14:paraId="35E6C0D7">
            <w:pPr>
              <w:spacing w:line="360" w:lineRule="auto"/>
              <w:rPr>
                <w:rFonts w:eastAsia="微软雅黑"/>
                <w:sz w:val="22"/>
              </w:rPr>
            </w:pPr>
            <w:r>
              <w:rPr>
                <w:rFonts w:eastAsia="微软雅黑"/>
                <w:sz w:val="22"/>
                <w:szCs w:val="22"/>
              </w:rPr>
              <w:t xml:space="preserve">3b </w:t>
            </w:r>
          </w:p>
        </w:tc>
        <w:tc>
          <w:tcPr>
            <w:tcW w:w="1653" w:type="dxa"/>
          </w:tcPr>
          <w:p w14:paraId="43C8EFE2">
            <w:pPr>
              <w:rPr>
                <w:rFonts w:eastAsia="微软雅黑"/>
                <w:sz w:val="22"/>
              </w:rPr>
            </w:pPr>
            <w:r>
              <w:rPr>
                <w:rFonts w:eastAsia="微软雅黑"/>
                <w:sz w:val="22"/>
                <w:szCs w:val="22"/>
              </w:rPr>
              <w:t>Lesser gastric curvature (along the</w:t>
            </w:r>
            <w:r>
              <w:rPr>
                <w:rFonts w:eastAsia="微软雅黑"/>
                <w:sz w:val="22"/>
              </w:rPr>
              <w:t xml:space="preserve"> </w:t>
            </w:r>
            <w:r>
              <w:rPr>
                <w:rFonts w:eastAsia="微软雅黑"/>
                <w:sz w:val="22"/>
                <w:szCs w:val="22"/>
              </w:rPr>
              <w:t xml:space="preserve">right gastric artery) </w:t>
            </w:r>
          </w:p>
        </w:tc>
        <w:tc>
          <w:tcPr>
            <w:tcW w:w="6284" w:type="dxa"/>
          </w:tcPr>
          <w:p w14:paraId="617038E8">
            <w:pPr>
              <w:rPr>
                <w:rFonts w:eastAsia="微软雅黑"/>
                <w:sz w:val="22"/>
              </w:rPr>
            </w:pPr>
            <w:r>
              <w:rPr>
                <w:rFonts w:eastAsia="微软雅黑"/>
                <w:sz w:val="22"/>
                <w:szCs w:val="22"/>
              </w:rPr>
              <w:t>Lymph nodes at the lesser curvature side along the right gastric artery branch, partial left side of the 1st branch in the lesser curvature direction</w:t>
            </w:r>
          </w:p>
        </w:tc>
      </w:tr>
      <w:tr w14:paraId="275DB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744" w:type="dxa"/>
          </w:tcPr>
          <w:p w14:paraId="05DDEA43">
            <w:pPr>
              <w:spacing w:line="360" w:lineRule="auto"/>
              <w:rPr>
                <w:rFonts w:eastAsia="微软雅黑"/>
                <w:sz w:val="22"/>
              </w:rPr>
            </w:pPr>
            <w:r>
              <w:rPr>
                <w:rFonts w:eastAsia="微软雅黑"/>
                <w:sz w:val="22"/>
                <w:szCs w:val="22"/>
              </w:rPr>
              <w:t xml:space="preserve">4sa </w:t>
            </w:r>
          </w:p>
        </w:tc>
        <w:tc>
          <w:tcPr>
            <w:tcW w:w="1653" w:type="dxa"/>
          </w:tcPr>
          <w:p w14:paraId="1652EFBB">
            <w:pPr>
              <w:rPr>
                <w:rFonts w:eastAsia="微软雅黑"/>
                <w:sz w:val="22"/>
              </w:rPr>
            </w:pPr>
            <w:r>
              <w:rPr>
                <w:rFonts w:eastAsia="微软雅黑"/>
                <w:sz w:val="22"/>
                <w:szCs w:val="22"/>
              </w:rPr>
              <w:t>Left side of the greater gastric curvature</w:t>
            </w:r>
            <w:r>
              <w:rPr>
                <w:rFonts w:eastAsia="微软雅黑"/>
                <w:sz w:val="22"/>
              </w:rPr>
              <w:t xml:space="preserve"> </w:t>
            </w:r>
            <w:r>
              <w:rPr>
                <w:rFonts w:eastAsia="微软雅黑"/>
                <w:sz w:val="22"/>
                <w:szCs w:val="22"/>
              </w:rPr>
              <w:t xml:space="preserve">(short gastric artery) </w:t>
            </w:r>
          </w:p>
        </w:tc>
        <w:tc>
          <w:tcPr>
            <w:tcW w:w="6284" w:type="dxa"/>
          </w:tcPr>
          <w:p w14:paraId="646A7C21">
            <w:pPr>
              <w:rPr>
                <w:rFonts w:eastAsia="微软雅黑"/>
                <w:sz w:val="22"/>
              </w:rPr>
            </w:pPr>
            <w:r>
              <w:rPr>
                <w:rFonts w:eastAsia="微软雅黑"/>
                <w:sz w:val="22"/>
                <w:szCs w:val="22"/>
              </w:rPr>
              <w:t xml:space="preserve">Lymph nodes along the short gastric artery (excluding the root) </w:t>
            </w:r>
          </w:p>
        </w:tc>
      </w:tr>
      <w:tr w14:paraId="4EB94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744" w:type="dxa"/>
          </w:tcPr>
          <w:p w14:paraId="6FD5FAC0">
            <w:pPr>
              <w:spacing w:line="360" w:lineRule="auto"/>
              <w:rPr>
                <w:rFonts w:eastAsia="微软雅黑"/>
                <w:sz w:val="22"/>
              </w:rPr>
            </w:pPr>
            <w:r>
              <w:rPr>
                <w:rFonts w:eastAsia="微软雅黑"/>
                <w:sz w:val="22"/>
                <w:szCs w:val="22"/>
              </w:rPr>
              <w:t xml:space="preserve">4sb </w:t>
            </w:r>
          </w:p>
        </w:tc>
        <w:tc>
          <w:tcPr>
            <w:tcW w:w="1653" w:type="dxa"/>
          </w:tcPr>
          <w:p w14:paraId="3F75A1E3">
            <w:pPr>
              <w:rPr>
                <w:rFonts w:eastAsia="微软雅黑"/>
                <w:sz w:val="22"/>
              </w:rPr>
            </w:pPr>
            <w:r>
              <w:rPr>
                <w:rFonts w:eastAsia="微软雅黑"/>
                <w:sz w:val="22"/>
                <w:szCs w:val="22"/>
              </w:rPr>
              <w:t>Left side of the greater gastric curvature</w:t>
            </w:r>
            <w:r>
              <w:rPr>
                <w:rFonts w:eastAsia="微软雅黑"/>
                <w:sz w:val="22"/>
              </w:rPr>
              <w:t xml:space="preserve"> </w:t>
            </w:r>
            <w:r>
              <w:rPr>
                <w:rFonts w:eastAsia="微软雅黑"/>
                <w:sz w:val="22"/>
                <w:szCs w:val="22"/>
              </w:rPr>
              <w:t xml:space="preserve">(along the left </w:t>
            </w:r>
          </w:p>
          <w:p w14:paraId="6D9EFDCC">
            <w:pPr>
              <w:rPr>
                <w:rFonts w:eastAsia="微软雅黑"/>
                <w:sz w:val="22"/>
              </w:rPr>
            </w:pPr>
            <w:r>
              <w:rPr>
                <w:rFonts w:eastAsia="微软雅黑"/>
                <w:sz w:val="22"/>
                <w:szCs w:val="22"/>
              </w:rPr>
              <w:t xml:space="preserve">gastroepiploic </w:t>
            </w:r>
          </w:p>
          <w:p w14:paraId="51C0312C">
            <w:pPr>
              <w:rPr>
                <w:rFonts w:eastAsia="微软雅黑"/>
                <w:sz w:val="22"/>
              </w:rPr>
            </w:pPr>
            <w:r>
              <w:rPr>
                <w:rFonts w:eastAsia="微软雅黑"/>
                <w:sz w:val="22"/>
                <w:szCs w:val="22"/>
              </w:rPr>
              <w:t xml:space="preserve">artery) </w:t>
            </w:r>
          </w:p>
        </w:tc>
        <w:tc>
          <w:tcPr>
            <w:tcW w:w="6284" w:type="dxa"/>
          </w:tcPr>
          <w:p w14:paraId="571B7E0B">
            <w:pPr>
              <w:rPr>
                <w:rFonts w:eastAsia="微软雅黑"/>
                <w:sz w:val="22"/>
              </w:rPr>
            </w:pPr>
            <w:r>
              <w:rPr>
                <w:rFonts w:eastAsia="微软雅黑"/>
                <w:sz w:val="22"/>
                <w:szCs w:val="22"/>
              </w:rPr>
              <w:t xml:space="preserve">Lymph nodes along the left gastroepiploic artery and the first branch of the greater curvature (refer to the definition of No. 10) </w:t>
            </w:r>
          </w:p>
        </w:tc>
      </w:tr>
      <w:tr w14:paraId="18C56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744" w:type="dxa"/>
          </w:tcPr>
          <w:p w14:paraId="4D2E57F9">
            <w:pPr>
              <w:spacing w:line="360" w:lineRule="auto"/>
              <w:rPr>
                <w:rFonts w:eastAsia="微软雅黑"/>
                <w:sz w:val="22"/>
              </w:rPr>
            </w:pPr>
            <w:r>
              <w:rPr>
                <w:rFonts w:eastAsia="微软雅黑"/>
                <w:sz w:val="22"/>
                <w:szCs w:val="22"/>
              </w:rPr>
              <w:t xml:space="preserve">4d </w:t>
            </w:r>
          </w:p>
        </w:tc>
        <w:tc>
          <w:tcPr>
            <w:tcW w:w="1653" w:type="dxa"/>
          </w:tcPr>
          <w:p w14:paraId="40F8745E">
            <w:pPr>
              <w:rPr>
                <w:rFonts w:eastAsia="微软雅黑"/>
                <w:sz w:val="22"/>
              </w:rPr>
            </w:pPr>
            <w:r>
              <w:rPr>
                <w:rFonts w:eastAsia="微软雅黑"/>
                <w:sz w:val="22"/>
                <w:szCs w:val="22"/>
              </w:rPr>
              <w:t>Right side of the greater gastric curvature (along the</w:t>
            </w:r>
            <w:r>
              <w:rPr>
                <w:rFonts w:eastAsia="微软雅黑"/>
                <w:sz w:val="22"/>
              </w:rPr>
              <w:t xml:space="preserve"> </w:t>
            </w:r>
            <w:r>
              <w:rPr>
                <w:rFonts w:eastAsia="微软雅黑"/>
                <w:sz w:val="22"/>
                <w:szCs w:val="22"/>
              </w:rPr>
              <w:t xml:space="preserve">right gastroepiploic artery) </w:t>
            </w:r>
          </w:p>
        </w:tc>
        <w:tc>
          <w:tcPr>
            <w:tcW w:w="6284" w:type="dxa"/>
          </w:tcPr>
          <w:p w14:paraId="0F951075">
            <w:pPr>
              <w:rPr>
                <w:rFonts w:eastAsia="微软雅黑"/>
                <w:sz w:val="22"/>
              </w:rPr>
            </w:pPr>
            <w:r>
              <w:rPr>
                <w:rFonts w:eastAsia="微软雅黑"/>
                <w:sz w:val="22"/>
                <w:szCs w:val="22"/>
              </w:rPr>
              <w:t xml:space="preserve">Lymph nodes at the partial left side of the first branch in the greater gastric curvature direction along the right gastroepiploic artery </w:t>
            </w:r>
          </w:p>
        </w:tc>
      </w:tr>
      <w:tr w14:paraId="5B005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744" w:type="dxa"/>
          </w:tcPr>
          <w:p w14:paraId="3D50284F">
            <w:pPr>
              <w:spacing w:line="360" w:lineRule="auto"/>
              <w:rPr>
                <w:rFonts w:eastAsia="微软雅黑"/>
                <w:sz w:val="22"/>
              </w:rPr>
            </w:pPr>
            <w:r>
              <w:rPr>
                <w:rFonts w:eastAsia="微软雅黑"/>
                <w:sz w:val="22"/>
                <w:szCs w:val="22"/>
              </w:rPr>
              <w:t xml:space="preserve">5 </w:t>
            </w:r>
          </w:p>
        </w:tc>
        <w:tc>
          <w:tcPr>
            <w:tcW w:w="1653" w:type="dxa"/>
          </w:tcPr>
          <w:p w14:paraId="5E86A9C3">
            <w:pPr>
              <w:rPr>
                <w:rFonts w:eastAsia="微软雅黑"/>
                <w:sz w:val="22"/>
              </w:rPr>
            </w:pPr>
            <w:r>
              <w:rPr>
                <w:rFonts w:eastAsia="微软雅黑"/>
                <w:sz w:val="22"/>
                <w:szCs w:val="22"/>
              </w:rPr>
              <w:t xml:space="preserve">Superior pylorus </w:t>
            </w:r>
          </w:p>
        </w:tc>
        <w:tc>
          <w:tcPr>
            <w:tcW w:w="6284" w:type="dxa"/>
          </w:tcPr>
          <w:p w14:paraId="25ABD34C">
            <w:pPr>
              <w:rPr>
                <w:rFonts w:eastAsia="微软雅黑"/>
                <w:sz w:val="22"/>
              </w:rPr>
            </w:pPr>
            <w:r>
              <w:rPr>
                <w:rFonts w:eastAsia="微软雅黑"/>
                <w:sz w:val="22"/>
                <w:szCs w:val="22"/>
              </w:rPr>
              <w:t xml:space="preserve">Lymph nodes along the right gastric artery and around the first branch in the lesser gastric curvature direction </w:t>
            </w:r>
          </w:p>
        </w:tc>
      </w:tr>
      <w:tr w14:paraId="7DDAC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744" w:type="dxa"/>
          </w:tcPr>
          <w:p w14:paraId="4A056A95">
            <w:pPr>
              <w:spacing w:line="360" w:lineRule="auto"/>
              <w:rPr>
                <w:rFonts w:eastAsia="微软雅黑"/>
                <w:sz w:val="22"/>
              </w:rPr>
            </w:pPr>
            <w:r>
              <w:rPr>
                <w:rFonts w:eastAsia="微软雅黑"/>
                <w:sz w:val="22"/>
                <w:szCs w:val="22"/>
              </w:rPr>
              <w:t xml:space="preserve">6 </w:t>
            </w:r>
          </w:p>
        </w:tc>
        <w:tc>
          <w:tcPr>
            <w:tcW w:w="1653" w:type="dxa"/>
          </w:tcPr>
          <w:p w14:paraId="6A6FEAED">
            <w:pPr>
              <w:rPr>
                <w:rFonts w:eastAsia="微软雅黑"/>
                <w:sz w:val="22"/>
              </w:rPr>
            </w:pPr>
            <w:r>
              <w:rPr>
                <w:rFonts w:eastAsia="微软雅黑"/>
                <w:sz w:val="22"/>
                <w:szCs w:val="22"/>
              </w:rPr>
              <w:t>Inferior pylorus</w:t>
            </w:r>
          </w:p>
        </w:tc>
        <w:tc>
          <w:tcPr>
            <w:tcW w:w="6284" w:type="dxa"/>
          </w:tcPr>
          <w:p w14:paraId="4C5602A5">
            <w:pPr>
              <w:rPr>
                <w:rFonts w:eastAsia="微软雅黑"/>
                <w:sz w:val="22"/>
              </w:rPr>
            </w:pPr>
            <w:r>
              <w:rPr>
                <w:rFonts w:eastAsia="微软雅黑"/>
                <w:sz w:val="22"/>
                <w:szCs w:val="22"/>
              </w:rPr>
              <w:t xml:space="preserve">Lymph nodes from the root of the right gastroepiploic artery to the first branch in the greater gastric curvature direction and those at the junction of the right gastroepiploic veins and superior anterior pancreaticoduodenal veins (including the junction portion) </w:t>
            </w:r>
          </w:p>
        </w:tc>
      </w:tr>
      <w:tr w14:paraId="7C62F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trPr>
        <w:tc>
          <w:tcPr>
            <w:tcW w:w="744" w:type="dxa"/>
          </w:tcPr>
          <w:p w14:paraId="5E2CC9AC">
            <w:pPr>
              <w:spacing w:line="360" w:lineRule="auto"/>
              <w:rPr>
                <w:rFonts w:eastAsia="微软雅黑"/>
                <w:sz w:val="22"/>
              </w:rPr>
            </w:pPr>
            <w:r>
              <w:rPr>
                <w:rFonts w:eastAsia="微软雅黑"/>
                <w:sz w:val="22"/>
                <w:szCs w:val="22"/>
              </w:rPr>
              <w:t xml:space="preserve">7 </w:t>
            </w:r>
          </w:p>
        </w:tc>
        <w:tc>
          <w:tcPr>
            <w:tcW w:w="1653" w:type="dxa"/>
          </w:tcPr>
          <w:p w14:paraId="1BD3CF09">
            <w:pPr>
              <w:rPr>
                <w:rFonts w:eastAsia="微软雅黑"/>
                <w:sz w:val="22"/>
              </w:rPr>
            </w:pPr>
            <w:r>
              <w:rPr>
                <w:rFonts w:eastAsia="微软雅黑"/>
                <w:sz w:val="22"/>
                <w:szCs w:val="22"/>
              </w:rPr>
              <w:t xml:space="preserve">Left gastric artery trunk </w:t>
            </w:r>
          </w:p>
        </w:tc>
        <w:tc>
          <w:tcPr>
            <w:tcW w:w="6284" w:type="dxa"/>
          </w:tcPr>
          <w:p w14:paraId="64BD49F6">
            <w:pPr>
              <w:rPr>
                <w:rFonts w:eastAsia="微软雅黑"/>
                <w:sz w:val="22"/>
              </w:rPr>
            </w:pPr>
            <w:r>
              <w:rPr>
                <w:rFonts w:eastAsia="微软雅黑"/>
                <w:sz w:val="22"/>
                <w:szCs w:val="22"/>
              </w:rPr>
              <w:t xml:space="preserve">Lymph nodes from the root of the left gastric artery to the branch portion of the ascending branches </w:t>
            </w:r>
          </w:p>
        </w:tc>
      </w:tr>
      <w:tr w14:paraId="79A7B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744" w:type="dxa"/>
          </w:tcPr>
          <w:p w14:paraId="1829C062">
            <w:pPr>
              <w:spacing w:line="360" w:lineRule="auto"/>
              <w:rPr>
                <w:rFonts w:eastAsia="微软雅黑"/>
                <w:sz w:val="22"/>
              </w:rPr>
            </w:pPr>
            <w:r>
              <w:rPr>
                <w:rFonts w:eastAsia="微软雅黑"/>
                <w:sz w:val="22"/>
                <w:szCs w:val="22"/>
              </w:rPr>
              <w:t xml:space="preserve">8a </w:t>
            </w:r>
          </w:p>
        </w:tc>
        <w:tc>
          <w:tcPr>
            <w:tcW w:w="1653" w:type="dxa"/>
          </w:tcPr>
          <w:p w14:paraId="3F3ACDF4">
            <w:pPr>
              <w:rPr>
                <w:rFonts w:eastAsia="微软雅黑"/>
                <w:sz w:val="22"/>
              </w:rPr>
            </w:pPr>
            <w:r>
              <w:rPr>
                <w:rFonts w:eastAsia="微软雅黑"/>
                <w:sz w:val="22"/>
                <w:szCs w:val="22"/>
              </w:rPr>
              <w:t xml:space="preserve">Anterior upper part of the common hepatic artery </w:t>
            </w:r>
          </w:p>
        </w:tc>
        <w:tc>
          <w:tcPr>
            <w:tcW w:w="6284" w:type="dxa"/>
          </w:tcPr>
          <w:p w14:paraId="67A0C908">
            <w:pPr>
              <w:rPr>
                <w:rFonts w:eastAsia="微软雅黑"/>
                <w:sz w:val="22"/>
              </w:rPr>
            </w:pPr>
            <w:r>
              <w:rPr>
                <w:rFonts w:eastAsia="微软雅黑"/>
                <w:sz w:val="22"/>
                <w:szCs w:val="22"/>
              </w:rPr>
              <w:t xml:space="preserve">Lymph nodes at the anterior upper part of the common hepatic artery (from the branch portion of the splenic artery to the branch portion of the gastroduodenal artery) </w:t>
            </w:r>
          </w:p>
        </w:tc>
      </w:tr>
      <w:tr w14:paraId="0F5A9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744" w:type="dxa"/>
          </w:tcPr>
          <w:p w14:paraId="5FB6A52C">
            <w:pPr>
              <w:spacing w:line="360" w:lineRule="auto"/>
              <w:rPr>
                <w:rFonts w:eastAsia="微软雅黑"/>
                <w:sz w:val="22"/>
              </w:rPr>
            </w:pPr>
            <w:r>
              <w:rPr>
                <w:rFonts w:eastAsia="微软雅黑"/>
                <w:sz w:val="22"/>
                <w:szCs w:val="22"/>
              </w:rPr>
              <w:t xml:space="preserve">8p </w:t>
            </w:r>
          </w:p>
        </w:tc>
        <w:tc>
          <w:tcPr>
            <w:tcW w:w="1653" w:type="dxa"/>
          </w:tcPr>
          <w:p w14:paraId="717205E7">
            <w:pPr>
              <w:rPr>
                <w:rFonts w:eastAsia="微软雅黑"/>
                <w:sz w:val="22"/>
              </w:rPr>
            </w:pPr>
            <w:r>
              <w:rPr>
                <w:rFonts w:eastAsia="微软雅黑"/>
                <w:sz w:val="22"/>
                <w:szCs w:val="22"/>
              </w:rPr>
              <w:t xml:space="preserve">Posterior part of the common hepatic artery </w:t>
            </w:r>
          </w:p>
        </w:tc>
        <w:tc>
          <w:tcPr>
            <w:tcW w:w="6284" w:type="dxa"/>
          </w:tcPr>
          <w:p w14:paraId="66FDB644">
            <w:pPr>
              <w:rPr>
                <w:rFonts w:eastAsia="微软雅黑"/>
                <w:sz w:val="22"/>
              </w:rPr>
            </w:pPr>
            <w:r>
              <w:rPr>
                <w:rFonts w:eastAsia="微软雅黑"/>
                <w:sz w:val="22"/>
                <w:szCs w:val="22"/>
              </w:rPr>
              <w:t xml:space="preserve">Lymph nodes at the posterior part of the common hepatic artery (from the branch portion of the splenic artery to the branch portion of the gastroduodenal artery) </w:t>
            </w:r>
          </w:p>
        </w:tc>
      </w:tr>
      <w:tr w14:paraId="11172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744" w:type="dxa"/>
          </w:tcPr>
          <w:p w14:paraId="0CE66598">
            <w:pPr>
              <w:spacing w:line="360" w:lineRule="auto"/>
              <w:rPr>
                <w:rFonts w:eastAsia="微软雅黑"/>
                <w:sz w:val="22"/>
              </w:rPr>
            </w:pPr>
            <w:r>
              <w:rPr>
                <w:rFonts w:eastAsia="微软雅黑"/>
                <w:sz w:val="22"/>
                <w:szCs w:val="22"/>
              </w:rPr>
              <w:t xml:space="preserve">9 </w:t>
            </w:r>
          </w:p>
        </w:tc>
        <w:tc>
          <w:tcPr>
            <w:tcW w:w="1653" w:type="dxa"/>
          </w:tcPr>
          <w:p w14:paraId="2C70A960">
            <w:pPr>
              <w:rPr>
                <w:rFonts w:eastAsia="微软雅黑"/>
                <w:sz w:val="22"/>
              </w:rPr>
            </w:pPr>
            <w:r>
              <w:rPr>
                <w:rFonts w:eastAsia="微软雅黑"/>
                <w:sz w:val="22"/>
                <w:szCs w:val="22"/>
              </w:rPr>
              <w:t xml:space="preserve">Surrounding of the celiac artery </w:t>
            </w:r>
          </w:p>
        </w:tc>
        <w:tc>
          <w:tcPr>
            <w:tcW w:w="6284" w:type="dxa"/>
          </w:tcPr>
          <w:p w14:paraId="07050CA9">
            <w:pPr>
              <w:rPr>
                <w:rFonts w:eastAsia="微软雅黑"/>
                <w:sz w:val="22"/>
              </w:rPr>
            </w:pPr>
            <w:r>
              <w:rPr>
                <w:rFonts w:eastAsia="微软雅黑"/>
                <w:sz w:val="22"/>
                <w:szCs w:val="22"/>
              </w:rPr>
              <w:t xml:space="preserve">Lymph gland that is in the surroundings of the celiac artery or that is a part of each root of the left artery of the stomach, common hepatic artery and splenic artery as well as that related to the celiac artery </w:t>
            </w:r>
          </w:p>
        </w:tc>
      </w:tr>
      <w:tr w14:paraId="071D2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744" w:type="dxa"/>
          </w:tcPr>
          <w:p w14:paraId="48902EF1">
            <w:pPr>
              <w:spacing w:line="360" w:lineRule="auto"/>
              <w:rPr>
                <w:rFonts w:eastAsia="微软雅黑"/>
                <w:sz w:val="22"/>
              </w:rPr>
            </w:pPr>
            <w:r>
              <w:rPr>
                <w:rFonts w:eastAsia="微软雅黑"/>
                <w:sz w:val="22"/>
                <w:szCs w:val="22"/>
              </w:rPr>
              <w:t xml:space="preserve">10 </w:t>
            </w:r>
          </w:p>
        </w:tc>
        <w:tc>
          <w:tcPr>
            <w:tcW w:w="1653" w:type="dxa"/>
          </w:tcPr>
          <w:p w14:paraId="0E149899">
            <w:pPr>
              <w:rPr>
                <w:rFonts w:eastAsia="微软雅黑"/>
                <w:sz w:val="22"/>
              </w:rPr>
            </w:pPr>
            <w:r>
              <w:rPr>
                <w:rFonts w:eastAsia="微软雅黑"/>
                <w:sz w:val="22"/>
                <w:szCs w:val="22"/>
              </w:rPr>
              <w:t xml:space="preserve">Splenic hilum </w:t>
            </w:r>
          </w:p>
        </w:tc>
        <w:tc>
          <w:tcPr>
            <w:tcW w:w="6284" w:type="dxa"/>
          </w:tcPr>
          <w:p w14:paraId="4592FFBC">
            <w:pPr>
              <w:rPr>
                <w:rFonts w:eastAsia="微软雅黑"/>
                <w:sz w:val="22"/>
              </w:rPr>
            </w:pPr>
            <w:r>
              <w:rPr>
                <w:rFonts w:eastAsia="微软雅黑"/>
                <w:sz w:val="22"/>
                <w:szCs w:val="22"/>
              </w:rPr>
              <w:t>Lymph gland that is in the surroundings of the celiac artery and splenic hilum far away from the end of the pancreas, including the first greater gastric curvature in the root of the short gastric artery and the left gastroepiploic artery</w:t>
            </w:r>
          </w:p>
        </w:tc>
      </w:tr>
      <w:tr w14:paraId="51E70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744" w:type="dxa"/>
          </w:tcPr>
          <w:p w14:paraId="6642621F">
            <w:pPr>
              <w:spacing w:line="360" w:lineRule="auto"/>
              <w:rPr>
                <w:rFonts w:eastAsia="微软雅黑"/>
                <w:sz w:val="22"/>
              </w:rPr>
            </w:pPr>
            <w:r>
              <w:rPr>
                <w:rFonts w:eastAsia="微软雅黑"/>
                <w:sz w:val="22"/>
                <w:szCs w:val="22"/>
              </w:rPr>
              <w:t xml:space="preserve">11p </w:t>
            </w:r>
          </w:p>
        </w:tc>
        <w:tc>
          <w:tcPr>
            <w:tcW w:w="1653" w:type="dxa"/>
          </w:tcPr>
          <w:p w14:paraId="634FEEA6">
            <w:pPr>
              <w:rPr>
                <w:rFonts w:eastAsia="微软雅黑"/>
                <w:sz w:val="22"/>
              </w:rPr>
            </w:pPr>
            <w:r>
              <w:rPr>
                <w:rFonts w:eastAsia="微软雅黑"/>
                <w:sz w:val="22"/>
                <w:szCs w:val="22"/>
              </w:rPr>
              <w:t xml:space="preserve">Splenic artery </w:t>
            </w:r>
          </w:p>
          <w:p w14:paraId="08700336">
            <w:pPr>
              <w:rPr>
                <w:rFonts w:eastAsia="微软雅黑"/>
                <w:sz w:val="22"/>
              </w:rPr>
            </w:pPr>
            <w:r>
              <w:rPr>
                <w:rFonts w:eastAsia="微软雅黑"/>
                <w:sz w:val="22"/>
                <w:szCs w:val="22"/>
              </w:rPr>
              <w:t xml:space="preserve">proximal </w:t>
            </w:r>
          </w:p>
        </w:tc>
        <w:tc>
          <w:tcPr>
            <w:tcW w:w="6284" w:type="dxa"/>
          </w:tcPr>
          <w:p w14:paraId="478C2DFE">
            <w:pPr>
              <w:rPr>
                <w:rFonts w:eastAsia="微软雅黑"/>
                <w:sz w:val="22"/>
              </w:rPr>
            </w:pPr>
            <w:r>
              <w:rPr>
                <w:rFonts w:eastAsia="微软雅黑"/>
                <w:sz w:val="22"/>
                <w:szCs w:val="22"/>
              </w:rPr>
              <w:t xml:space="preserve">Lymph gland at the splenic artery proximal (in a location that divides the distance between the root of the splenic artery and the end of the pancreas into two equal parts, including the proximal side) </w:t>
            </w:r>
          </w:p>
        </w:tc>
      </w:tr>
      <w:tr w14:paraId="32C5B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744" w:type="dxa"/>
          </w:tcPr>
          <w:p w14:paraId="78E9CE3B">
            <w:pPr>
              <w:spacing w:line="360" w:lineRule="auto"/>
              <w:rPr>
                <w:rFonts w:eastAsia="微软雅黑"/>
                <w:sz w:val="22"/>
              </w:rPr>
            </w:pPr>
            <w:r>
              <w:rPr>
                <w:rFonts w:eastAsia="微软雅黑"/>
                <w:sz w:val="22"/>
                <w:szCs w:val="22"/>
              </w:rPr>
              <w:t xml:space="preserve">11d </w:t>
            </w:r>
          </w:p>
        </w:tc>
        <w:tc>
          <w:tcPr>
            <w:tcW w:w="1653" w:type="dxa"/>
          </w:tcPr>
          <w:p w14:paraId="1EC23AB4">
            <w:pPr>
              <w:rPr>
                <w:rFonts w:eastAsia="微软雅黑"/>
                <w:sz w:val="22"/>
              </w:rPr>
            </w:pPr>
            <w:r>
              <w:rPr>
                <w:rFonts w:eastAsia="微软雅黑"/>
                <w:sz w:val="22"/>
                <w:szCs w:val="22"/>
              </w:rPr>
              <w:t xml:space="preserve">Splenic artery </w:t>
            </w:r>
          </w:p>
          <w:p w14:paraId="7849A2A0">
            <w:pPr>
              <w:rPr>
                <w:rFonts w:eastAsia="微软雅黑"/>
                <w:sz w:val="22"/>
              </w:rPr>
            </w:pPr>
            <w:r>
              <w:rPr>
                <w:rFonts w:eastAsia="微软雅黑"/>
                <w:sz w:val="22"/>
                <w:szCs w:val="22"/>
              </w:rPr>
              <w:t xml:space="preserve">distal </w:t>
            </w:r>
          </w:p>
        </w:tc>
        <w:tc>
          <w:tcPr>
            <w:tcW w:w="6284" w:type="dxa"/>
          </w:tcPr>
          <w:p w14:paraId="4E98D335">
            <w:pPr>
              <w:rPr>
                <w:rFonts w:eastAsia="微软雅黑"/>
                <w:sz w:val="22"/>
              </w:rPr>
            </w:pPr>
            <w:r>
              <w:rPr>
                <w:rFonts w:eastAsia="微软雅黑"/>
                <w:sz w:val="22"/>
                <w:szCs w:val="22"/>
              </w:rPr>
              <w:t xml:space="preserve">Lymph gland at the splenic artery distal (in a location that divides the distance between the root of the splenic artery and the end of the pancreas into two equal parts, inclining to the end of the pancreas) </w:t>
            </w:r>
          </w:p>
        </w:tc>
      </w:tr>
      <w:tr w14:paraId="39457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744" w:type="dxa"/>
          </w:tcPr>
          <w:p w14:paraId="51ED452C">
            <w:pPr>
              <w:spacing w:line="360" w:lineRule="auto"/>
              <w:rPr>
                <w:rFonts w:eastAsia="微软雅黑"/>
                <w:sz w:val="22"/>
              </w:rPr>
            </w:pPr>
            <w:r>
              <w:rPr>
                <w:rFonts w:eastAsia="微软雅黑"/>
                <w:sz w:val="22"/>
                <w:szCs w:val="22"/>
              </w:rPr>
              <w:t xml:space="preserve">12a </w:t>
            </w:r>
          </w:p>
        </w:tc>
        <w:tc>
          <w:tcPr>
            <w:tcW w:w="1653" w:type="dxa"/>
          </w:tcPr>
          <w:p w14:paraId="4EE96983">
            <w:pPr>
              <w:rPr>
                <w:rFonts w:eastAsia="微软雅黑"/>
                <w:sz w:val="22"/>
              </w:rPr>
            </w:pPr>
            <w:r>
              <w:rPr>
                <w:rFonts w:eastAsia="微软雅黑"/>
                <w:sz w:val="22"/>
                <w:szCs w:val="22"/>
              </w:rPr>
              <w:t xml:space="preserve">Within the </w:t>
            </w:r>
          </w:p>
          <w:p w14:paraId="0DAB595C">
            <w:pPr>
              <w:jc w:val="left"/>
              <w:rPr>
                <w:rFonts w:eastAsia="微软雅黑"/>
                <w:sz w:val="22"/>
              </w:rPr>
            </w:pPr>
            <w:r>
              <w:rPr>
                <w:rFonts w:eastAsia="微软雅黑"/>
                <w:sz w:val="22"/>
                <w:szCs w:val="22"/>
              </w:rPr>
              <w:t xml:space="preserve">hepatoduodenal </w:t>
            </w:r>
          </w:p>
          <w:p w14:paraId="4165162D">
            <w:pPr>
              <w:jc w:val="left"/>
              <w:rPr>
                <w:rFonts w:eastAsia="微软雅黑"/>
                <w:sz w:val="22"/>
              </w:rPr>
            </w:pPr>
            <w:r>
              <w:rPr>
                <w:rFonts w:eastAsia="微软雅黑"/>
                <w:sz w:val="22"/>
                <w:szCs w:val="22"/>
              </w:rPr>
              <w:t xml:space="preserve">ligament (along the proper hepatic artery) </w:t>
            </w:r>
          </w:p>
        </w:tc>
        <w:tc>
          <w:tcPr>
            <w:tcW w:w="6284" w:type="dxa"/>
          </w:tcPr>
          <w:p w14:paraId="55F29A55">
            <w:pPr>
              <w:rPr>
                <w:rFonts w:eastAsia="微软雅黑"/>
                <w:sz w:val="22"/>
              </w:rPr>
            </w:pPr>
            <w:r>
              <w:rPr>
                <w:rFonts w:eastAsia="微软雅黑"/>
                <w:sz w:val="22"/>
                <w:szCs w:val="22"/>
              </w:rPr>
              <w:t xml:space="preserve">Lymph gland that is below a location that divides the height of the confluence portions of the left and right hepatic ducts and the bile duct in the upper margin of the pancreas into two equal parts and is along the proper hepatic artery (as stated in No. 12a2 of the regulations for bile duct carcinoma) </w:t>
            </w:r>
          </w:p>
        </w:tc>
      </w:tr>
      <w:tr w14:paraId="0F326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744" w:type="dxa"/>
          </w:tcPr>
          <w:p w14:paraId="03B9DB0B">
            <w:pPr>
              <w:spacing w:line="360" w:lineRule="auto"/>
              <w:rPr>
                <w:rFonts w:eastAsia="微软雅黑"/>
                <w:sz w:val="22"/>
              </w:rPr>
            </w:pPr>
            <w:r>
              <w:rPr>
                <w:rFonts w:eastAsia="微软雅黑"/>
                <w:sz w:val="22"/>
                <w:szCs w:val="22"/>
              </w:rPr>
              <w:t xml:space="preserve">12b </w:t>
            </w:r>
          </w:p>
        </w:tc>
        <w:tc>
          <w:tcPr>
            <w:tcW w:w="1653" w:type="dxa"/>
          </w:tcPr>
          <w:p w14:paraId="70846C91">
            <w:pPr>
              <w:rPr>
                <w:rFonts w:eastAsia="微软雅黑"/>
                <w:sz w:val="22"/>
              </w:rPr>
            </w:pPr>
            <w:r>
              <w:rPr>
                <w:rFonts w:eastAsia="微软雅黑"/>
                <w:sz w:val="22"/>
                <w:szCs w:val="22"/>
              </w:rPr>
              <w:t xml:space="preserve">Within the </w:t>
            </w:r>
          </w:p>
          <w:p w14:paraId="3E1A8A42">
            <w:pPr>
              <w:rPr>
                <w:rFonts w:eastAsia="微软雅黑"/>
                <w:sz w:val="22"/>
              </w:rPr>
            </w:pPr>
            <w:r>
              <w:rPr>
                <w:rFonts w:eastAsia="微软雅黑"/>
                <w:sz w:val="22"/>
                <w:szCs w:val="22"/>
              </w:rPr>
              <w:t xml:space="preserve">hepatoduodenal ligament (along the bile duct) </w:t>
            </w:r>
          </w:p>
        </w:tc>
        <w:tc>
          <w:tcPr>
            <w:tcW w:w="6284" w:type="dxa"/>
          </w:tcPr>
          <w:p w14:paraId="71291003">
            <w:pPr>
              <w:rPr>
                <w:rFonts w:eastAsia="微软雅黑"/>
                <w:sz w:val="22"/>
              </w:rPr>
            </w:pPr>
            <w:r>
              <w:rPr>
                <w:rFonts w:eastAsia="微软雅黑"/>
                <w:sz w:val="22"/>
                <w:szCs w:val="22"/>
              </w:rPr>
              <w:t xml:space="preserve">Lymph gland that is below a location that divides the height of the confluence portions of the left and right hepatic ducts and the bile duct in the upper margin of the pancreas into two equal parts and is along the proper hepatic artery (as stated in No. 12b2 of the regulations for bile duct carcinoma) </w:t>
            </w:r>
          </w:p>
        </w:tc>
      </w:tr>
      <w:tr w14:paraId="248E6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744" w:type="dxa"/>
          </w:tcPr>
          <w:p w14:paraId="4DC0C121">
            <w:pPr>
              <w:spacing w:line="360" w:lineRule="auto"/>
              <w:rPr>
                <w:rFonts w:eastAsia="微软雅黑"/>
                <w:sz w:val="22"/>
              </w:rPr>
            </w:pPr>
            <w:r>
              <w:rPr>
                <w:rFonts w:eastAsia="微软雅黑"/>
                <w:sz w:val="22"/>
                <w:szCs w:val="22"/>
              </w:rPr>
              <w:t xml:space="preserve">12p </w:t>
            </w:r>
          </w:p>
        </w:tc>
        <w:tc>
          <w:tcPr>
            <w:tcW w:w="1653" w:type="dxa"/>
          </w:tcPr>
          <w:p w14:paraId="7999644F">
            <w:pPr>
              <w:rPr>
                <w:rFonts w:eastAsia="微软雅黑"/>
                <w:sz w:val="22"/>
              </w:rPr>
            </w:pPr>
            <w:r>
              <w:rPr>
                <w:rFonts w:eastAsia="微软雅黑"/>
                <w:sz w:val="22"/>
                <w:szCs w:val="22"/>
              </w:rPr>
              <w:t xml:space="preserve">Within the </w:t>
            </w:r>
          </w:p>
          <w:p w14:paraId="4949A832">
            <w:pPr>
              <w:rPr>
                <w:rFonts w:eastAsia="微软雅黑"/>
                <w:sz w:val="22"/>
              </w:rPr>
            </w:pPr>
            <w:r>
              <w:rPr>
                <w:rFonts w:eastAsia="微软雅黑"/>
                <w:sz w:val="22"/>
                <w:szCs w:val="22"/>
              </w:rPr>
              <w:t xml:space="preserve">hepatoduodenal ligament (along the portal vein) </w:t>
            </w:r>
          </w:p>
        </w:tc>
        <w:tc>
          <w:tcPr>
            <w:tcW w:w="6284" w:type="dxa"/>
          </w:tcPr>
          <w:p w14:paraId="2480B53E">
            <w:pPr>
              <w:rPr>
                <w:rFonts w:eastAsia="微软雅黑"/>
                <w:sz w:val="22"/>
              </w:rPr>
            </w:pPr>
            <w:r>
              <w:rPr>
                <w:rFonts w:eastAsia="微软雅黑"/>
                <w:sz w:val="22"/>
                <w:szCs w:val="22"/>
              </w:rPr>
              <w:t xml:space="preserve">Lymph gland that is below a location that divides the height of the confluence portions of the left and right hepatic ducts and the bile duct in the upper margin of the pancreas into two equal parts and is along the proper hepatic artery (as stated in No. 12p2 of the regulations for bile duct carcinoma) </w:t>
            </w:r>
          </w:p>
        </w:tc>
      </w:tr>
      <w:tr w14:paraId="140E3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744" w:type="dxa"/>
          </w:tcPr>
          <w:p w14:paraId="1AA078D5">
            <w:pPr>
              <w:spacing w:line="360" w:lineRule="auto"/>
              <w:rPr>
                <w:rFonts w:eastAsia="微软雅黑"/>
                <w:sz w:val="22"/>
              </w:rPr>
            </w:pPr>
            <w:r>
              <w:rPr>
                <w:rFonts w:eastAsia="微软雅黑"/>
                <w:sz w:val="22"/>
                <w:szCs w:val="22"/>
              </w:rPr>
              <w:t xml:space="preserve">13 </w:t>
            </w:r>
          </w:p>
        </w:tc>
        <w:tc>
          <w:tcPr>
            <w:tcW w:w="1653" w:type="dxa"/>
          </w:tcPr>
          <w:p w14:paraId="51892A91">
            <w:pPr>
              <w:rPr>
                <w:rFonts w:eastAsia="微软雅黑"/>
                <w:sz w:val="22"/>
              </w:rPr>
            </w:pPr>
            <w:r>
              <w:rPr>
                <w:rFonts w:eastAsia="微软雅黑"/>
                <w:sz w:val="22"/>
                <w:szCs w:val="22"/>
              </w:rPr>
              <w:t xml:space="preserve">Back of the pancreatic </w:t>
            </w:r>
          </w:p>
          <w:p w14:paraId="1C137639">
            <w:pPr>
              <w:rPr>
                <w:rFonts w:eastAsia="微软雅黑"/>
                <w:sz w:val="22"/>
              </w:rPr>
            </w:pPr>
            <w:r>
              <w:rPr>
                <w:rFonts w:eastAsia="微软雅黑"/>
                <w:sz w:val="22"/>
                <w:szCs w:val="22"/>
              </w:rPr>
              <w:t xml:space="preserve">head </w:t>
            </w:r>
          </w:p>
        </w:tc>
        <w:tc>
          <w:tcPr>
            <w:tcW w:w="6284" w:type="dxa"/>
          </w:tcPr>
          <w:p w14:paraId="0803A8B0">
            <w:pPr>
              <w:rPr>
                <w:rFonts w:eastAsia="微软雅黑"/>
                <w:sz w:val="22"/>
              </w:rPr>
            </w:pPr>
            <w:r>
              <w:rPr>
                <w:rFonts w:eastAsia="微软雅黑"/>
                <w:sz w:val="22"/>
                <w:szCs w:val="22"/>
              </w:rPr>
              <w:t xml:space="preserve">Lymph gland adjacent to the head of the duodenal papilla at the back of the pancreatic head (No. 12b in the surroundings of the hepatoduodenal ligament) </w:t>
            </w:r>
          </w:p>
        </w:tc>
      </w:tr>
      <w:tr w14:paraId="52653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trPr>
        <w:tc>
          <w:tcPr>
            <w:tcW w:w="744" w:type="dxa"/>
          </w:tcPr>
          <w:p w14:paraId="4414B8C4">
            <w:pPr>
              <w:spacing w:line="360" w:lineRule="auto"/>
              <w:rPr>
                <w:rFonts w:eastAsia="微软雅黑"/>
                <w:sz w:val="22"/>
              </w:rPr>
            </w:pPr>
            <w:r>
              <w:rPr>
                <w:rFonts w:eastAsia="微软雅黑"/>
                <w:sz w:val="22"/>
                <w:szCs w:val="22"/>
              </w:rPr>
              <w:t xml:space="preserve">14v </w:t>
            </w:r>
          </w:p>
        </w:tc>
        <w:tc>
          <w:tcPr>
            <w:tcW w:w="1653" w:type="dxa"/>
          </w:tcPr>
          <w:p w14:paraId="2CAB2EDD">
            <w:pPr>
              <w:jc w:val="left"/>
              <w:rPr>
                <w:rFonts w:eastAsia="微软雅黑"/>
                <w:sz w:val="22"/>
              </w:rPr>
            </w:pPr>
            <w:r>
              <w:rPr>
                <w:rFonts w:eastAsia="微软雅黑"/>
                <w:sz w:val="22"/>
                <w:szCs w:val="22"/>
              </w:rPr>
              <w:t xml:space="preserve">Along the superior </w:t>
            </w:r>
          </w:p>
          <w:p w14:paraId="687AF638">
            <w:pPr>
              <w:jc w:val="left"/>
              <w:rPr>
                <w:rFonts w:eastAsia="微软雅黑"/>
                <w:sz w:val="22"/>
              </w:rPr>
            </w:pPr>
            <w:r>
              <w:rPr>
                <w:rFonts w:eastAsia="微软雅黑"/>
                <w:sz w:val="22"/>
                <w:szCs w:val="22"/>
              </w:rPr>
              <w:t xml:space="preserve">mesenteric vein </w:t>
            </w:r>
          </w:p>
        </w:tc>
        <w:tc>
          <w:tcPr>
            <w:tcW w:w="6284" w:type="dxa"/>
          </w:tcPr>
          <w:p w14:paraId="355DDFF9">
            <w:pPr>
              <w:rPr>
                <w:rFonts w:eastAsia="微软雅黑"/>
                <w:sz w:val="22"/>
              </w:rPr>
            </w:pPr>
            <w:r>
              <w:rPr>
                <w:rFonts w:eastAsia="微软雅黑"/>
                <w:sz w:val="22"/>
                <w:szCs w:val="22"/>
              </w:rPr>
              <w:t xml:space="preserve">Lymph gland that is in the front of the superior mesenteric vein, with the inferior margin of the pancreas on the upper side, the right gastroepiploic vein and confluence portion of the superior pancreaticoduodenal vein to the right, the left margin of the mesenteric vein to the left and the branch of the middle colic vein in the lower margin </w:t>
            </w:r>
          </w:p>
        </w:tc>
      </w:tr>
      <w:tr w14:paraId="69794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trPr>
        <w:tc>
          <w:tcPr>
            <w:tcW w:w="744" w:type="dxa"/>
          </w:tcPr>
          <w:p w14:paraId="33E5052B">
            <w:pPr>
              <w:spacing w:line="360" w:lineRule="auto"/>
              <w:rPr>
                <w:rFonts w:eastAsia="微软雅黑"/>
                <w:sz w:val="22"/>
              </w:rPr>
            </w:pPr>
            <w:r>
              <w:rPr>
                <w:rFonts w:eastAsia="微软雅黑"/>
                <w:sz w:val="22"/>
                <w:szCs w:val="22"/>
              </w:rPr>
              <w:t xml:space="preserve">14a </w:t>
            </w:r>
          </w:p>
        </w:tc>
        <w:tc>
          <w:tcPr>
            <w:tcW w:w="1653" w:type="dxa"/>
          </w:tcPr>
          <w:p w14:paraId="29B2670C">
            <w:pPr>
              <w:jc w:val="left"/>
              <w:rPr>
                <w:rFonts w:eastAsia="微软雅黑"/>
                <w:sz w:val="22"/>
              </w:rPr>
            </w:pPr>
            <w:r>
              <w:rPr>
                <w:rFonts w:eastAsia="微软雅黑"/>
                <w:sz w:val="22"/>
                <w:szCs w:val="22"/>
              </w:rPr>
              <w:t xml:space="preserve">Along the superior </w:t>
            </w:r>
          </w:p>
          <w:p w14:paraId="6A85939E">
            <w:pPr>
              <w:jc w:val="left"/>
              <w:rPr>
                <w:rFonts w:eastAsia="微软雅黑"/>
                <w:sz w:val="22"/>
              </w:rPr>
            </w:pPr>
            <w:r>
              <w:rPr>
                <w:rFonts w:eastAsia="微软雅黑"/>
                <w:sz w:val="22"/>
                <w:szCs w:val="22"/>
              </w:rPr>
              <w:t xml:space="preserve">mesenteric artery </w:t>
            </w:r>
          </w:p>
        </w:tc>
        <w:tc>
          <w:tcPr>
            <w:tcW w:w="6284" w:type="dxa"/>
          </w:tcPr>
          <w:p w14:paraId="3A7E8277">
            <w:pPr>
              <w:rPr>
                <w:rFonts w:eastAsia="微软雅黑"/>
                <w:sz w:val="22"/>
              </w:rPr>
            </w:pPr>
            <w:r>
              <w:rPr>
                <w:rFonts w:eastAsia="微软雅黑"/>
                <w:sz w:val="22"/>
                <w:szCs w:val="22"/>
              </w:rPr>
              <w:t xml:space="preserve">Lymph gland along the superior mesenteric artery </w:t>
            </w:r>
          </w:p>
        </w:tc>
      </w:tr>
      <w:tr w14:paraId="1AA9A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trPr>
        <w:tc>
          <w:tcPr>
            <w:tcW w:w="744" w:type="dxa"/>
          </w:tcPr>
          <w:p w14:paraId="7588163F">
            <w:pPr>
              <w:spacing w:line="360" w:lineRule="auto"/>
              <w:rPr>
                <w:rFonts w:eastAsia="微软雅黑"/>
                <w:sz w:val="22"/>
              </w:rPr>
            </w:pPr>
            <w:r>
              <w:rPr>
                <w:rFonts w:eastAsia="微软雅黑"/>
                <w:sz w:val="22"/>
                <w:szCs w:val="22"/>
              </w:rPr>
              <w:t xml:space="preserve">15 </w:t>
            </w:r>
          </w:p>
        </w:tc>
        <w:tc>
          <w:tcPr>
            <w:tcW w:w="1653" w:type="dxa"/>
          </w:tcPr>
          <w:p w14:paraId="19D5EC44">
            <w:pPr>
              <w:jc w:val="left"/>
              <w:rPr>
                <w:rFonts w:eastAsia="微软雅黑"/>
                <w:sz w:val="22"/>
              </w:rPr>
            </w:pPr>
            <w:r>
              <w:rPr>
                <w:rFonts w:eastAsia="微软雅黑"/>
                <w:sz w:val="22"/>
                <w:szCs w:val="22"/>
              </w:rPr>
              <w:t xml:space="preserve">Surroundings of the colon middle artery </w:t>
            </w:r>
          </w:p>
        </w:tc>
        <w:tc>
          <w:tcPr>
            <w:tcW w:w="6284" w:type="dxa"/>
          </w:tcPr>
          <w:p w14:paraId="6D1B4805">
            <w:pPr>
              <w:rPr>
                <w:rFonts w:eastAsia="微软雅黑"/>
                <w:sz w:val="22"/>
              </w:rPr>
            </w:pPr>
            <w:r>
              <w:rPr>
                <w:rFonts w:eastAsia="微软雅黑"/>
                <w:sz w:val="22"/>
                <w:szCs w:val="22"/>
              </w:rPr>
              <w:t xml:space="preserve">Lymph gland that is in the surroundings of the colon middle artery </w:t>
            </w:r>
          </w:p>
        </w:tc>
      </w:tr>
      <w:tr w14:paraId="11A48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744" w:type="dxa"/>
          </w:tcPr>
          <w:p w14:paraId="030D8538">
            <w:pPr>
              <w:spacing w:line="360" w:lineRule="auto"/>
              <w:rPr>
                <w:rFonts w:eastAsia="微软雅黑"/>
                <w:sz w:val="22"/>
              </w:rPr>
            </w:pPr>
            <w:r>
              <w:rPr>
                <w:rFonts w:eastAsia="微软雅黑"/>
                <w:sz w:val="22"/>
                <w:szCs w:val="22"/>
              </w:rPr>
              <w:t xml:space="preserve">16a1 </w:t>
            </w:r>
          </w:p>
        </w:tc>
        <w:tc>
          <w:tcPr>
            <w:tcW w:w="1653" w:type="dxa"/>
          </w:tcPr>
          <w:p w14:paraId="0ED523DC">
            <w:pPr>
              <w:rPr>
                <w:rFonts w:eastAsia="微软雅黑"/>
                <w:sz w:val="22"/>
              </w:rPr>
            </w:pPr>
            <w:r>
              <w:rPr>
                <w:rFonts w:eastAsia="微软雅黑"/>
                <w:sz w:val="22"/>
                <w:szCs w:val="22"/>
              </w:rPr>
              <w:t xml:space="preserve">Surroundings of the abdominal aorta a1 </w:t>
            </w:r>
          </w:p>
        </w:tc>
        <w:tc>
          <w:tcPr>
            <w:tcW w:w="6284" w:type="dxa"/>
          </w:tcPr>
          <w:p w14:paraId="79BB02A5">
            <w:pPr>
              <w:rPr>
                <w:rFonts w:eastAsia="微软雅黑"/>
                <w:sz w:val="22"/>
              </w:rPr>
            </w:pPr>
            <w:r>
              <w:rPr>
                <w:rFonts w:eastAsia="微软雅黑"/>
                <w:sz w:val="22"/>
                <w:szCs w:val="22"/>
              </w:rPr>
              <w:t xml:space="preserve">Lymph gland that is in the surroundings of the aorta gap (4 to 5 cm wide in the surroundings of the medial crus of the diaphragm) </w:t>
            </w:r>
          </w:p>
        </w:tc>
      </w:tr>
      <w:tr w14:paraId="53417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744" w:type="dxa"/>
          </w:tcPr>
          <w:p w14:paraId="3004479F">
            <w:pPr>
              <w:spacing w:line="360" w:lineRule="auto"/>
              <w:rPr>
                <w:rFonts w:eastAsia="微软雅黑"/>
                <w:sz w:val="22"/>
              </w:rPr>
            </w:pPr>
            <w:r>
              <w:rPr>
                <w:rFonts w:eastAsia="微软雅黑"/>
                <w:sz w:val="22"/>
                <w:szCs w:val="22"/>
              </w:rPr>
              <w:t xml:space="preserve">16a2 </w:t>
            </w:r>
          </w:p>
        </w:tc>
        <w:tc>
          <w:tcPr>
            <w:tcW w:w="1653" w:type="dxa"/>
          </w:tcPr>
          <w:p w14:paraId="6B410FA4">
            <w:pPr>
              <w:rPr>
                <w:rFonts w:eastAsia="微软雅黑"/>
                <w:sz w:val="22"/>
              </w:rPr>
            </w:pPr>
            <w:r>
              <w:rPr>
                <w:rFonts w:eastAsia="微软雅黑"/>
                <w:sz w:val="22"/>
                <w:szCs w:val="22"/>
              </w:rPr>
              <w:t xml:space="preserve">Surroundings of the abdominal aorta a2 </w:t>
            </w:r>
          </w:p>
        </w:tc>
        <w:tc>
          <w:tcPr>
            <w:tcW w:w="6284" w:type="dxa"/>
          </w:tcPr>
          <w:p w14:paraId="67F16B7E">
            <w:pPr>
              <w:rPr>
                <w:rFonts w:eastAsia="微软雅黑"/>
                <w:sz w:val="22"/>
              </w:rPr>
            </w:pPr>
            <w:r>
              <w:rPr>
                <w:rFonts w:eastAsia="微软雅黑"/>
                <w:sz w:val="22"/>
                <w:szCs w:val="22"/>
              </w:rPr>
              <w:t xml:space="preserve">Lymph gland that is in the surroundings of the aorta from the upper margin of the abdominal artery root to the lower margin of the left renal vein </w:t>
            </w:r>
          </w:p>
        </w:tc>
      </w:tr>
      <w:tr w14:paraId="4CAE8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744" w:type="dxa"/>
          </w:tcPr>
          <w:p w14:paraId="7523399F">
            <w:pPr>
              <w:spacing w:line="360" w:lineRule="auto"/>
              <w:rPr>
                <w:rFonts w:eastAsia="微软雅黑"/>
                <w:sz w:val="22"/>
              </w:rPr>
            </w:pPr>
            <w:r>
              <w:rPr>
                <w:rFonts w:eastAsia="微软雅黑"/>
                <w:sz w:val="22"/>
                <w:szCs w:val="22"/>
              </w:rPr>
              <w:t xml:space="preserve">16b1 </w:t>
            </w:r>
          </w:p>
        </w:tc>
        <w:tc>
          <w:tcPr>
            <w:tcW w:w="1653" w:type="dxa"/>
          </w:tcPr>
          <w:p w14:paraId="4DB61650">
            <w:pPr>
              <w:rPr>
                <w:rFonts w:eastAsia="微软雅黑"/>
                <w:sz w:val="22"/>
              </w:rPr>
            </w:pPr>
            <w:r>
              <w:rPr>
                <w:rFonts w:eastAsia="微软雅黑"/>
                <w:sz w:val="22"/>
                <w:szCs w:val="22"/>
              </w:rPr>
              <w:t xml:space="preserve">Surroundings of the abdominal aorta b1 </w:t>
            </w:r>
          </w:p>
        </w:tc>
        <w:tc>
          <w:tcPr>
            <w:tcW w:w="6284" w:type="dxa"/>
          </w:tcPr>
          <w:p w14:paraId="49A494BE">
            <w:pPr>
              <w:rPr>
                <w:rFonts w:eastAsia="微软雅黑"/>
                <w:sz w:val="22"/>
              </w:rPr>
            </w:pPr>
            <w:r>
              <w:rPr>
                <w:rFonts w:eastAsia="微软雅黑"/>
                <w:sz w:val="22"/>
                <w:szCs w:val="22"/>
              </w:rPr>
              <w:t>Lymph gland that is in the surroundings of the aorta from the lower margin of the left renal vein to the upper margin of the inferior mesenteric artery root</w:t>
            </w:r>
          </w:p>
        </w:tc>
      </w:tr>
      <w:tr w14:paraId="2C1ED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744" w:type="dxa"/>
          </w:tcPr>
          <w:p w14:paraId="713ED833">
            <w:pPr>
              <w:spacing w:line="360" w:lineRule="auto"/>
              <w:rPr>
                <w:rFonts w:eastAsia="微软雅黑"/>
                <w:sz w:val="22"/>
              </w:rPr>
            </w:pPr>
            <w:r>
              <w:rPr>
                <w:rFonts w:eastAsia="微软雅黑"/>
                <w:sz w:val="22"/>
                <w:szCs w:val="22"/>
              </w:rPr>
              <w:t xml:space="preserve">16b2 </w:t>
            </w:r>
          </w:p>
        </w:tc>
        <w:tc>
          <w:tcPr>
            <w:tcW w:w="1653" w:type="dxa"/>
          </w:tcPr>
          <w:p w14:paraId="1B259AFA">
            <w:pPr>
              <w:rPr>
                <w:rFonts w:eastAsia="微软雅黑"/>
                <w:sz w:val="22"/>
              </w:rPr>
            </w:pPr>
            <w:r>
              <w:rPr>
                <w:rFonts w:eastAsia="微软雅黑"/>
                <w:sz w:val="22"/>
                <w:szCs w:val="22"/>
              </w:rPr>
              <w:t>Surroundings of the abdominal aorta b2</w:t>
            </w:r>
          </w:p>
        </w:tc>
        <w:tc>
          <w:tcPr>
            <w:tcW w:w="6284" w:type="dxa"/>
          </w:tcPr>
          <w:p w14:paraId="356BB486">
            <w:pPr>
              <w:rPr>
                <w:rFonts w:eastAsia="微软雅黑"/>
                <w:sz w:val="22"/>
              </w:rPr>
            </w:pPr>
            <w:r>
              <w:rPr>
                <w:rFonts w:eastAsia="微软雅黑"/>
                <w:sz w:val="22"/>
                <w:szCs w:val="22"/>
              </w:rPr>
              <w:t xml:space="preserve">Lymph gland that is in the surroundings of the aorta from the upper margin of the inferior mesenteric artery root to the branch of aorta </w:t>
            </w:r>
          </w:p>
        </w:tc>
      </w:tr>
      <w:tr w14:paraId="784A8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trPr>
        <w:tc>
          <w:tcPr>
            <w:tcW w:w="744" w:type="dxa"/>
          </w:tcPr>
          <w:p w14:paraId="3E6DA253">
            <w:pPr>
              <w:spacing w:line="360" w:lineRule="auto"/>
              <w:rPr>
                <w:rFonts w:eastAsia="微软雅黑"/>
                <w:sz w:val="22"/>
              </w:rPr>
            </w:pPr>
            <w:r>
              <w:rPr>
                <w:rFonts w:eastAsia="微软雅黑"/>
                <w:sz w:val="22"/>
                <w:szCs w:val="22"/>
              </w:rPr>
              <w:t xml:space="preserve">17 </w:t>
            </w:r>
          </w:p>
        </w:tc>
        <w:tc>
          <w:tcPr>
            <w:tcW w:w="1653" w:type="dxa"/>
          </w:tcPr>
          <w:p w14:paraId="1B4711E9">
            <w:pPr>
              <w:rPr>
                <w:rFonts w:eastAsia="微软雅黑"/>
                <w:sz w:val="22"/>
              </w:rPr>
            </w:pPr>
            <w:r>
              <w:rPr>
                <w:rFonts w:eastAsia="微软雅黑"/>
                <w:sz w:val="22"/>
                <w:szCs w:val="22"/>
              </w:rPr>
              <w:t xml:space="preserve">Front of the pancreatic head </w:t>
            </w:r>
          </w:p>
        </w:tc>
        <w:tc>
          <w:tcPr>
            <w:tcW w:w="6284" w:type="dxa"/>
          </w:tcPr>
          <w:p w14:paraId="589B5722">
            <w:pPr>
              <w:rPr>
                <w:rFonts w:eastAsia="微软雅黑"/>
                <w:sz w:val="22"/>
              </w:rPr>
            </w:pPr>
            <w:r>
              <w:rPr>
                <w:rFonts w:eastAsia="微软雅黑"/>
                <w:sz w:val="22"/>
                <w:szCs w:val="22"/>
              </w:rPr>
              <w:t xml:space="preserve">Lymph gland that is in the front of the pancreatic head, next to the pancreas and under the pancreatic capsule </w:t>
            </w:r>
          </w:p>
        </w:tc>
      </w:tr>
      <w:tr w14:paraId="3CB97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trPr>
        <w:tc>
          <w:tcPr>
            <w:tcW w:w="744" w:type="dxa"/>
          </w:tcPr>
          <w:p w14:paraId="3A36C4FA">
            <w:pPr>
              <w:spacing w:line="360" w:lineRule="auto"/>
              <w:rPr>
                <w:rFonts w:eastAsia="微软雅黑"/>
                <w:sz w:val="22"/>
              </w:rPr>
            </w:pPr>
            <w:r>
              <w:rPr>
                <w:rFonts w:eastAsia="微软雅黑"/>
                <w:sz w:val="22"/>
                <w:szCs w:val="22"/>
              </w:rPr>
              <w:t xml:space="preserve">18 </w:t>
            </w:r>
          </w:p>
        </w:tc>
        <w:tc>
          <w:tcPr>
            <w:tcW w:w="1653" w:type="dxa"/>
          </w:tcPr>
          <w:p w14:paraId="2C84A30B">
            <w:pPr>
              <w:rPr>
                <w:rFonts w:eastAsia="微软雅黑"/>
                <w:sz w:val="22"/>
              </w:rPr>
            </w:pPr>
            <w:r>
              <w:rPr>
                <w:rFonts w:eastAsia="微软雅黑"/>
                <w:sz w:val="22"/>
                <w:szCs w:val="22"/>
              </w:rPr>
              <w:t xml:space="preserve">Below the </w:t>
            </w:r>
          </w:p>
          <w:p w14:paraId="4809F3D7">
            <w:pPr>
              <w:rPr>
                <w:rFonts w:eastAsia="微软雅黑"/>
                <w:sz w:val="22"/>
              </w:rPr>
            </w:pPr>
            <w:r>
              <w:rPr>
                <w:rFonts w:eastAsia="微软雅黑"/>
                <w:sz w:val="22"/>
                <w:szCs w:val="22"/>
              </w:rPr>
              <w:t xml:space="preserve">pancreas </w:t>
            </w:r>
          </w:p>
        </w:tc>
        <w:tc>
          <w:tcPr>
            <w:tcW w:w="6284" w:type="dxa"/>
          </w:tcPr>
          <w:p w14:paraId="420F6E6E">
            <w:pPr>
              <w:rPr>
                <w:rFonts w:eastAsia="微软雅黑"/>
                <w:sz w:val="22"/>
              </w:rPr>
            </w:pPr>
            <w:r>
              <w:rPr>
                <w:rFonts w:eastAsia="微软雅黑"/>
                <w:sz w:val="22"/>
                <w:szCs w:val="22"/>
              </w:rPr>
              <w:t xml:space="preserve">Lymph gland that is in the lower margin of the pancreas </w:t>
            </w:r>
          </w:p>
        </w:tc>
      </w:tr>
      <w:tr w14:paraId="2EF07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trPr>
        <w:tc>
          <w:tcPr>
            <w:tcW w:w="744" w:type="dxa"/>
          </w:tcPr>
          <w:p w14:paraId="08AFE2BF">
            <w:pPr>
              <w:spacing w:line="360" w:lineRule="auto"/>
              <w:rPr>
                <w:rFonts w:eastAsia="微软雅黑"/>
                <w:sz w:val="22"/>
              </w:rPr>
            </w:pPr>
            <w:r>
              <w:rPr>
                <w:rFonts w:eastAsia="微软雅黑"/>
                <w:sz w:val="22"/>
                <w:szCs w:val="22"/>
              </w:rPr>
              <w:t xml:space="preserve">19 </w:t>
            </w:r>
          </w:p>
        </w:tc>
        <w:tc>
          <w:tcPr>
            <w:tcW w:w="1653" w:type="dxa"/>
          </w:tcPr>
          <w:p w14:paraId="379B2452">
            <w:pPr>
              <w:jc w:val="left"/>
              <w:rPr>
                <w:rFonts w:eastAsia="微软雅黑"/>
                <w:sz w:val="22"/>
              </w:rPr>
            </w:pPr>
            <w:r>
              <w:rPr>
                <w:rFonts w:eastAsia="微软雅黑"/>
                <w:sz w:val="22"/>
                <w:szCs w:val="22"/>
              </w:rPr>
              <w:t xml:space="preserve">Below the diaphragm </w:t>
            </w:r>
          </w:p>
        </w:tc>
        <w:tc>
          <w:tcPr>
            <w:tcW w:w="6284" w:type="dxa"/>
          </w:tcPr>
          <w:p w14:paraId="003A9361">
            <w:pPr>
              <w:rPr>
                <w:rFonts w:eastAsia="微软雅黑"/>
                <w:sz w:val="22"/>
              </w:rPr>
            </w:pPr>
            <w:r>
              <w:rPr>
                <w:rFonts w:eastAsia="微软雅黑"/>
                <w:sz w:val="22"/>
                <w:szCs w:val="22"/>
              </w:rPr>
              <w:t xml:space="preserve">Lymph gland that is in the cavity of the diaphragm and along the lower side of the diaphragmatic artery </w:t>
            </w:r>
          </w:p>
        </w:tc>
      </w:tr>
      <w:tr w14:paraId="2414F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trPr>
        <w:tc>
          <w:tcPr>
            <w:tcW w:w="744" w:type="dxa"/>
          </w:tcPr>
          <w:p w14:paraId="5D9500F0">
            <w:pPr>
              <w:spacing w:line="360" w:lineRule="auto"/>
              <w:rPr>
                <w:rFonts w:eastAsia="微软雅黑"/>
                <w:sz w:val="22"/>
              </w:rPr>
            </w:pPr>
            <w:r>
              <w:rPr>
                <w:rFonts w:eastAsia="微软雅黑"/>
                <w:sz w:val="22"/>
                <w:szCs w:val="22"/>
              </w:rPr>
              <w:t xml:space="preserve">20 </w:t>
            </w:r>
          </w:p>
        </w:tc>
        <w:tc>
          <w:tcPr>
            <w:tcW w:w="1653" w:type="dxa"/>
          </w:tcPr>
          <w:p w14:paraId="3784DB8E">
            <w:pPr>
              <w:jc w:val="left"/>
              <w:rPr>
                <w:rFonts w:eastAsia="微软雅黑"/>
                <w:sz w:val="22"/>
              </w:rPr>
            </w:pPr>
            <w:r>
              <w:rPr>
                <w:rFonts w:eastAsia="微软雅黑"/>
                <w:sz w:val="22"/>
                <w:szCs w:val="22"/>
              </w:rPr>
              <w:t xml:space="preserve">Hiatal part of the gullet </w:t>
            </w:r>
          </w:p>
        </w:tc>
        <w:tc>
          <w:tcPr>
            <w:tcW w:w="6284" w:type="dxa"/>
          </w:tcPr>
          <w:p w14:paraId="710730CC">
            <w:pPr>
              <w:rPr>
                <w:rFonts w:eastAsia="微软雅黑"/>
                <w:sz w:val="22"/>
              </w:rPr>
            </w:pPr>
            <w:r>
              <w:rPr>
                <w:rFonts w:eastAsia="微软雅黑"/>
                <w:sz w:val="22"/>
                <w:szCs w:val="22"/>
              </w:rPr>
              <w:t xml:space="preserve">Lymph gland that connects the hiatal part of diaphragm to the gullet </w:t>
            </w:r>
          </w:p>
        </w:tc>
      </w:tr>
      <w:tr w14:paraId="3E9BD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trPr>
        <w:tc>
          <w:tcPr>
            <w:tcW w:w="744" w:type="dxa"/>
          </w:tcPr>
          <w:p w14:paraId="3FAB9545">
            <w:pPr>
              <w:spacing w:line="360" w:lineRule="auto"/>
              <w:rPr>
                <w:rFonts w:eastAsia="微软雅黑"/>
                <w:sz w:val="22"/>
              </w:rPr>
            </w:pPr>
            <w:r>
              <w:rPr>
                <w:rFonts w:eastAsia="微软雅黑"/>
                <w:sz w:val="22"/>
                <w:szCs w:val="22"/>
              </w:rPr>
              <w:t xml:space="preserve">110 </w:t>
            </w:r>
          </w:p>
        </w:tc>
        <w:tc>
          <w:tcPr>
            <w:tcW w:w="1653" w:type="dxa"/>
          </w:tcPr>
          <w:p w14:paraId="1896AB42">
            <w:pPr>
              <w:jc w:val="left"/>
              <w:rPr>
                <w:rFonts w:eastAsia="微软雅黑"/>
                <w:sz w:val="22"/>
              </w:rPr>
            </w:pPr>
            <w:r>
              <w:rPr>
                <w:rFonts w:eastAsia="微软雅黑"/>
                <w:sz w:val="22"/>
                <w:szCs w:val="22"/>
              </w:rPr>
              <w:t xml:space="preserve">Beside the lower gullet </w:t>
            </w:r>
          </w:p>
        </w:tc>
        <w:tc>
          <w:tcPr>
            <w:tcW w:w="6284" w:type="dxa"/>
          </w:tcPr>
          <w:p w14:paraId="4F6673AC">
            <w:pPr>
              <w:rPr>
                <w:rFonts w:eastAsia="微软雅黑"/>
                <w:sz w:val="22"/>
              </w:rPr>
            </w:pPr>
            <w:r>
              <w:rPr>
                <w:rFonts w:eastAsia="微软雅黑"/>
                <w:sz w:val="22"/>
                <w:szCs w:val="22"/>
              </w:rPr>
              <w:t xml:space="preserve">Lymph gland that departs from the diaphragm and is next to the lower gullet </w:t>
            </w:r>
          </w:p>
        </w:tc>
      </w:tr>
      <w:tr w14:paraId="7CB67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744" w:type="dxa"/>
          </w:tcPr>
          <w:p w14:paraId="4D08ECF4">
            <w:pPr>
              <w:spacing w:line="360" w:lineRule="auto"/>
              <w:rPr>
                <w:rFonts w:eastAsia="微软雅黑"/>
                <w:sz w:val="22"/>
              </w:rPr>
            </w:pPr>
            <w:r>
              <w:rPr>
                <w:rFonts w:eastAsia="微软雅黑"/>
                <w:sz w:val="22"/>
                <w:szCs w:val="22"/>
              </w:rPr>
              <w:t xml:space="preserve">111 </w:t>
            </w:r>
          </w:p>
        </w:tc>
        <w:tc>
          <w:tcPr>
            <w:tcW w:w="1653" w:type="dxa"/>
          </w:tcPr>
          <w:p w14:paraId="5D015469">
            <w:pPr>
              <w:jc w:val="left"/>
              <w:rPr>
                <w:rFonts w:eastAsia="微软雅黑"/>
                <w:sz w:val="22"/>
              </w:rPr>
            </w:pPr>
            <w:r>
              <w:rPr>
                <w:rFonts w:eastAsia="微软雅黑"/>
                <w:sz w:val="22"/>
                <w:szCs w:val="22"/>
              </w:rPr>
              <w:t xml:space="preserve">Above the diaphragm </w:t>
            </w:r>
          </w:p>
        </w:tc>
        <w:tc>
          <w:tcPr>
            <w:tcW w:w="6284" w:type="dxa"/>
          </w:tcPr>
          <w:p w14:paraId="4C37A0C1">
            <w:pPr>
              <w:rPr>
                <w:rFonts w:eastAsia="微软雅黑"/>
                <w:sz w:val="22"/>
              </w:rPr>
            </w:pPr>
            <w:r>
              <w:rPr>
                <w:rFonts w:eastAsia="微软雅黑"/>
                <w:sz w:val="22"/>
                <w:szCs w:val="22"/>
              </w:rPr>
              <w:t xml:space="preserve">Lymph gland that is in the cavity of the diaphragm and departs from the gullet (No. 20 that connects to the diaphragm and gullet) </w:t>
            </w:r>
          </w:p>
        </w:tc>
      </w:tr>
      <w:tr w14:paraId="7F4EB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trPr>
        <w:tc>
          <w:tcPr>
            <w:tcW w:w="744" w:type="dxa"/>
          </w:tcPr>
          <w:p w14:paraId="7609579F">
            <w:pPr>
              <w:spacing w:line="360" w:lineRule="auto"/>
              <w:rPr>
                <w:rFonts w:eastAsia="微软雅黑"/>
                <w:sz w:val="22"/>
              </w:rPr>
            </w:pPr>
            <w:r>
              <w:rPr>
                <w:rFonts w:eastAsia="微软雅黑"/>
                <w:sz w:val="22"/>
                <w:szCs w:val="22"/>
              </w:rPr>
              <w:t xml:space="preserve">112 </w:t>
            </w:r>
          </w:p>
        </w:tc>
        <w:tc>
          <w:tcPr>
            <w:tcW w:w="1653" w:type="dxa"/>
          </w:tcPr>
          <w:p w14:paraId="0DCC9103">
            <w:pPr>
              <w:rPr>
                <w:rFonts w:eastAsia="微软雅黑"/>
                <w:sz w:val="22"/>
              </w:rPr>
            </w:pPr>
            <w:r>
              <w:rPr>
                <w:rFonts w:eastAsia="微软雅黑"/>
                <w:sz w:val="22"/>
                <w:szCs w:val="22"/>
              </w:rPr>
              <w:t xml:space="preserve">Posterior </w:t>
            </w:r>
          </w:p>
          <w:p w14:paraId="14048554">
            <w:pPr>
              <w:rPr>
                <w:rFonts w:eastAsia="微软雅黑"/>
                <w:sz w:val="22"/>
              </w:rPr>
            </w:pPr>
            <w:r>
              <w:rPr>
                <w:rFonts w:eastAsia="微软雅黑"/>
                <w:sz w:val="22"/>
                <w:szCs w:val="22"/>
              </w:rPr>
              <w:t xml:space="preserve">mediastinum </w:t>
            </w:r>
          </w:p>
        </w:tc>
        <w:tc>
          <w:tcPr>
            <w:tcW w:w="6284" w:type="dxa"/>
          </w:tcPr>
          <w:p w14:paraId="033AA032">
            <w:pPr>
              <w:rPr>
                <w:rFonts w:eastAsia="微软雅黑"/>
                <w:sz w:val="22"/>
              </w:rPr>
            </w:pPr>
            <w:r>
              <w:rPr>
                <w:rFonts w:eastAsia="微软雅黑"/>
                <w:sz w:val="22"/>
                <w:szCs w:val="22"/>
              </w:rPr>
              <w:t xml:space="preserve">Lymph gland of the posterior mediastinum departed from the gullet and its hiatal portion </w:t>
            </w:r>
          </w:p>
        </w:tc>
      </w:tr>
    </w:tbl>
    <w:p w14:paraId="6BED41F1">
      <w:pPr>
        <w:spacing w:line="360" w:lineRule="auto"/>
        <w:rPr>
          <w:rFonts w:eastAsia="微软雅黑"/>
          <w:szCs w:val="21"/>
        </w:rPr>
      </w:pPr>
    </w:p>
    <w:p w14:paraId="320B1010">
      <w:pPr>
        <w:spacing w:line="360" w:lineRule="auto"/>
        <w:rPr>
          <w:rFonts w:eastAsia="微软雅黑"/>
          <w:szCs w:val="21"/>
        </w:rPr>
      </w:pPr>
      <w:r>
        <w:rPr>
          <w:rFonts w:eastAsia="微软雅黑"/>
          <w:szCs w:val="21"/>
        </w:rPr>
        <w:drawing>
          <wp:inline distT="0" distB="0" distL="0" distR="0">
            <wp:extent cx="5375275" cy="3637280"/>
            <wp:effectExtent l="0" t="0" r="9525" b="762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noChangeArrowheads="1"/>
                    </pic:cNvPicPr>
                  </pic:nvPicPr>
                  <pic:blipFill>
                    <a:blip r:embed="rId32">
                      <a:lum bright="-20000" contrast="40000"/>
                      <a:extLst>
                        <a:ext uri="{28A0092B-C50C-407E-A947-70E740481C1C}">
                          <a14:useLocalDpi xmlns:a14="http://schemas.microsoft.com/office/drawing/2010/main" val="0"/>
                        </a:ext>
                      </a:extLst>
                    </a:blip>
                    <a:srcRect/>
                    <a:stretch>
                      <a:fillRect/>
                    </a:stretch>
                  </pic:blipFill>
                  <pic:spPr>
                    <a:xfrm>
                      <a:off x="0" y="0"/>
                      <a:ext cx="5375275" cy="3637468"/>
                    </a:xfrm>
                    <a:prstGeom prst="rect">
                      <a:avLst/>
                    </a:prstGeom>
                    <a:noFill/>
                    <a:ln>
                      <a:noFill/>
                    </a:ln>
                  </pic:spPr>
                </pic:pic>
              </a:graphicData>
            </a:graphic>
          </wp:inline>
        </w:drawing>
      </w:r>
    </w:p>
    <w:p w14:paraId="56D430AC">
      <w:pPr>
        <w:spacing w:line="360" w:lineRule="auto"/>
        <w:rPr>
          <w:rFonts w:eastAsia="微软雅黑"/>
          <w:szCs w:val="21"/>
        </w:rPr>
      </w:pPr>
      <w:r>
        <w:rPr>
          <w:rFonts w:eastAsia="微软雅黑"/>
          <w:szCs w:val="21"/>
        </w:rPr>
        <w:drawing>
          <wp:inline distT="0" distB="0" distL="0" distR="0">
            <wp:extent cx="5375275" cy="2381250"/>
            <wp:effectExtent l="0" t="0" r="9525" b="635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noChangeArrowheads="1"/>
                    </pic:cNvPicPr>
                  </pic:nvPicPr>
                  <pic:blipFill>
                    <a:blip r:embed="rId33">
                      <a:lum bright="-20000" contrast="40000"/>
                      <a:extLst>
                        <a:ext uri="{28A0092B-C50C-407E-A947-70E740481C1C}">
                          <a14:useLocalDpi xmlns:a14="http://schemas.microsoft.com/office/drawing/2010/main" val="0"/>
                        </a:ext>
                      </a:extLst>
                    </a:blip>
                    <a:srcRect/>
                    <a:stretch>
                      <a:fillRect/>
                    </a:stretch>
                  </pic:blipFill>
                  <pic:spPr>
                    <a:xfrm>
                      <a:off x="0" y="0"/>
                      <a:ext cx="5375275" cy="2381761"/>
                    </a:xfrm>
                    <a:prstGeom prst="rect">
                      <a:avLst/>
                    </a:prstGeom>
                    <a:noFill/>
                    <a:ln>
                      <a:noFill/>
                    </a:ln>
                  </pic:spPr>
                </pic:pic>
              </a:graphicData>
            </a:graphic>
          </wp:inline>
        </w:drawing>
      </w:r>
    </w:p>
    <w:p w14:paraId="1979FC47">
      <w:pPr>
        <w:spacing w:line="360" w:lineRule="auto"/>
        <w:rPr>
          <w:rFonts w:eastAsia="微软雅黑"/>
          <w:szCs w:val="21"/>
        </w:rPr>
      </w:pPr>
      <w:r>
        <w:rPr>
          <w:rFonts w:eastAsia="微软雅黑"/>
          <w:szCs w:val="21"/>
        </w:rPr>
        <w:drawing>
          <wp:inline distT="0" distB="0" distL="0" distR="0">
            <wp:extent cx="5375275" cy="1450340"/>
            <wp:effectExtent l="0" t="0" r="9525" b="1016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5375275" cy="1450948"/>
                    </a:xfrm>
                    <a:prstGeom prst="rect">
                      <a:avLst/>
                    </a:prstGeom>
                    <a:noFill/>
                    <a:ln>
                      <a:noFill/>
                    </a:ln>
                  </pic:spPr>
                </pic:pic>
              </a:graphicData>
            </a:graphic>
          </wp:inline>
        </w:drawing>
      </w:r>
    </w:p>
    <w:p w14:paraId="78482DA6">
      <w:pPr>
        <w:spacing w:line="360" w:lineRule="auto"/>
        <w:outlineLvl w:val="0"/>
        <w:rPr>
          <w:rFonts w:eastAsia="微软雅黑"/>
          <w:sz w:val="22"/>
          <w:szCs w:val="22"/>
        </w:rPr>
      </w:pPr>
      <w:bookmarkStart w:id="133" w:name="_Toc15230"/>
      <w:r>
        <w:rPr>
          <w:rFonts w:eastAsia="微软雅黑"/>
          <w:sz w:val="22"/>
          <w:szCs w:val="22"/>
        </w:rPr>
        <w:t>Fig. 4. Lymph node grouping</w:t>
      </w:r>
      <w:bookmarkEnd w:id="133"/>
      <w:r>
        <w:rPr>
          <w:rFonts w:eastAsia="微软雅黑"/>
          <w:sz w:val="22"/>
          <w:szCs w:val="22"/>
        </w:rPr>
        <w:t xml:space="preserve"> </w:t>
      </w:r>
    </w:p>
    <w:p w14:paraId="3CB8EA95">
      <w:pPr>
        <w:spacing w:line="360" w:lineRule="auto"/>
        <w:rPr>
          <w:rFonts w:eastAsia="微软雅黑"/>
          <w:sz w:val="22"/>
          <w:szCs w:val="22"/>
        </w:rPr>
      </w:pPr>
      <w:r>
        <w:rPr>
          <w:rFonts w:eastAsia="微软雅黑"/>
          <w:sz w:val="22"/>
          <w:szCs w:val="22"/>
        </w:rPr>
        <w:t xml:space="preserve">(2) Distant metastasis </w:t>
      </w:r>
    </w:p>
    <w:p w14:paraId="30B25C6A">
      <w:pPr>
        <w:spacing w:line="360" w:lineRule="auto"/>
        <w:rPr>
          <w:rFonts w:eastAsia="微软雅黑"/>
          <w:sz w:val="22"/>
          <w:szCs w:val="22"/>
        </w:rPr>
      </w:pPr>
      <w:r>
        <w:rPr>
          <w:rFonts w:eastAsia="Wingdings 2"/>
          <w:sz w:val="24"/>
        </w:rPr>
        <w:t></w:t>
      </w:r>
      <w:r>
        <w:rPr>
          <w:rFonts w:eastAsia="微软雅黑"/>
          <w:sz w:val="22"/>
          <w:szCs w:val="22"/>
        </w:rPr>
        <w:t xml:space="preserve">M0: No distant metastasis outside of the regional LNs </w:t>
      </w:r>
    </w:p>
    <w:p w14:paraId="62698918">
      <w:pPr>
        <w:spacing w:line="360" w:lineRule="auto"/>
        <w:rPr>
          <w:rFonts w:eastAsia="微软雅黑"/>
          <w:sz w:val="22"/>
          <w:szCs w:val="22"/>
        </w:rPr>
      </w:pPr>
      <w:r>
        <w:rPr>
          <w:rFonts w:eastAsia="Wingdings 2"/>
          <w:sz w:val="24"/>
        </w:rPr>
        <w:t></w:t>
      </w:r>
      <w:r>
        <w:rPr>
          <w:rFonts w:eastAsia="微软雅黑"/>
          <w:sz w:val="22"/>
          <w:szCs w:val="22"/>
        </w:rPr>
        <w:t xml:space="preserve">M1: Distant metastasis outside of the regional LNs </w:t>
      </w:r>
    </w:p>
    <w:p w14:paraId="2397371D">
      <w:pPr>
        <w:spacing w:line="360" w:lineRule="auto"/>
        <w:rPr>
          <w:rFonts w:eastAsia="微软雅黑"/>
          <w:sz w:val="22"/>
          <w:szCs w:val="22"/>
        </w:rPr>
      </w:pPr>
      <w:r>
        <w:rPr>
          <w:rFonts w:eastAsia="Wingdings 2"/>
          <w:sz w:val="24"/>
        </w:rPr>
        <w:t></w:t>
      </w:r>
      <w:r>
        <w:rPr>
          <w:rFonts w:eastAsia="微软雅黑"/>
          <w:sz w:val="22"/>
          <w:szCs w:val="22"/>
        </w:rPr>
        <w:t>MX: Presence of distant metastasis is unclear</w:t>
      </w:r>
    </w:p>
    <w:p w14:paraId="2ECED618">
      <w:pPr>
        <w:spacing w:line="360" w:lineRule="auto"/>
        <w:ind w:firstLine="440" w:firstLineChars="200"/>
        <w:rPr>
          <w:rFonts w:eastAsia="微软雅黑"/>
          <w:sz w:val="22"/>
          <w:szCs w:val="22"/>
        </w:rPr>
      </w:pPr>
      <w:r>
        <w:rPr>
          <w:rFonts w:eastAsia="微软雅黑"/>
          <w:sz w:val="22"/>
          <w:szCs w:val="22"/>
        </w:rPr>
        <w:t xml:space="preserve">Record the specific sites under the M1 condition: peritoneum (PER), liver (HEP), LN (LYM), skin (SKI), lung (PUL), bone marrow (MAR), bone (OSS), pleura (PLE), brain (BRA) and meninges (MEN), intraperitoneal exfoliated cells (CY), and others (OTH). Note: A positive examination result for intraperitoneal exfoliated cells is recorded as M1. </w:t>
      </w:r>
    </w:p>
    <w:p w14:paraId="6CFFAE76">
      <w:pPr>
        <w:spacing w:line="360" w:lineRule="auto"/>
        <w:rPr>
          <w:rFonts w:eastAsia="微软雅黑"/>
          <w:b/>
          <w:sz w:val="22"/>
          <w:szCs w:val="22"/>
        </w:rPr>
      </w:pPr>
      <w:r>
        <w:rPr>
          <w:rFonts w:eastAsia="微软雅黑"/>
          <w:b/>
          <w:sz w:val="22"/>
          <w:szCs w:val="22"/>
        </w:rPr>
        <w:t>9.8.3.2.4 Tumor Staging</w:t>
      </w:r>
    </w:p>
    <w:p w14:paraId="0B3004DC">
      <w:pPr>
        <w:spacing w:line="360" w:lineRule="auto"/>
        <w:rPr>
          <w:rFonts w:eastAsia="微软雅黑"/>
          <w:b/>
          <w:szCs w:val="21"/>
        </w:rPr>
      </w:pPr>
      <w:r>
        <w:drawing>
          <wp:inline distT="0" distB="0" distL="0" distR="0">
            <wp:extent cx="5375275" cy="1977390"/>
            <wp:effectExtent l="0" t="0" r="9525" b="381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35"/>
                    <a:stretch>
                      <a:fillRect/>
                    </a:stretch>
                  </pic:blipFill>
                  <pic:spPr>
                    <a:xfrm>
                      <a:off x="0" y="0"/>
                      <a:ext cx="5375275" cy="1977390"/>
                    </a:xfrm>
                    <a:prstGeom prst="rect">
                      <a:avLst/>
                    </a:prstGeom>
                  </pic:spPr>
                </pic:pic>
              </a:graphicData>
            </a:graphic>
          </wp:inline>
        </w:drawing>
      </w:r>
    </w:p>
    <w:p w14:paraId="28A3F880">
      <w:pPr>
        <w:spacing w:line="360" w:lineRule="auto"/>
        <w:rPr>
          <w:rFonts w:eastAsia="微软雅黑"/>
          <w:b/>
          <w:sz w:val="22"/>
          <w:szCs w:val="22"/>
        </w:rPr>
      </w:pPr>
      <w:r>
        <w:rPr>
          <w:rFonts w:eastAsia="微软雅黑"/>
          <w:b/>
          <w:sz w:val="22"/>
          <w:szCs w:val="22"/>
        </w:rPr>
        <w:t>9.8.3.3 Pathologic types and classifications</w:t>
      </w:r>
    </w:p>
    <w:p w14:paraId="785C6B9B">
      <w:pPr>
        <w:spacing w:line="360" w:lineRule="auto"/>
        <w:rPr>
          <w:rFonts w:eastAsia="微软雅黑"/>
          <w:b/>
          <w:sz w:val="22"/>
          <w:szCs w:val="22"/>
        </w:rPr>
      </w:pPr>
      <w:r>
        <w:rPr>
          <w:rFonts w:eastAsia="微软雅黑"/>
          <w:b/>
          <w:sz w:val="22"/>
          <w:szCs w:val="22"/>
        </w:rPr>
        <w:t>9.8.3.3.1 Type</w:t>
      </w:r>
    </w:p>
    <w:p w14:paraId="5D7C0828">
      <w:pPr>
        <w:spacing w:line="360" w:lineRule="auto"/>
        <w:outlineLvl w:val="0"/>
        <w:rPr>
          <w:rFonts w:eastAsia="微软雅黑"/>
          <w:sz w:val="22"/>
          <w:szCs w:val="22"/>
        </w:rPr>
      </w:pPr>
      <w:bookmarkStart w:id="134" w:name="_Toc7893"/>
      <w:r>
        <w:rPr>
          <w:rFonts w:eastAsia="Wingdings 2"/>
          <w:sz w:val="24"/>
        </w:rPr>
        <w:t></w:t>
      </w:r>
      <w:r>
        <w:rPr>
          <w:rFonts w:eastAsia="微软雅黑"/>
          <w:sz w:val="22"/>
          <w:szCs w:val="22"/>
        </w:rPr>
        <w:t>Papillary adenocarcinoma</w:t>
      </w:r>
      <w:bookmarkEnd w:id="134"/>
    </w:p>
    <w:p w14:paraId="0E169DCB">
      <w:pPr>
        <w:spacing w:line="360" w:lineRule="auto"/>
        <w:rPr>
          <w:rFonts w:eastAsia="微软雅黑"/>
          <w:sz w:val="22"/>
          <w:szCs w:val="22"/>
        </w:rPr>
      </w:pPr>
      <w:r>
        <w:rPr>
          <w:rFonts w:eastAsia="Wingdings 2"/>
          <w:sz w:val="24"/>
        </w:rPr>
        <w:t></w:t>
      </w:r>
      <w:r>
        <w:rPr>
          <w:rFonts w:eastAsia="微软雅黑"/>
          <w:sz w:val="22"/>
          <w:szCs w:val="22"/>
        </w:rPr>
        <w:t>Tubular adenocarcinoma</w:t>
      </w:r>
    </w:p>
    <w:p w14:paraId="7B20E623">
      <w:pPr>
        <w:spacing w:line="360" w:lineRule="auto"/>
        <w:rPr>
          <w:rFonts w:eastAsia="微软雅黑"/>
          <w:sz w:val="22"/>
          <w:szCs w:val="22"/>
        </w:rPr>
      </w:pPr>
      <w:r>
        <w:rPr>
          <w:rFonts w:eastAsia="Wingdings 2"/>
          <w:sz w:val="24"/>
        </w:rPr>
        <w:t></w:t>
      </w:r>
      <w:r>
        <w:rPr>
          <w:rFonts w:eastAsia="微软雅黑"/>
          <w:sz w:val="22"/>
          <w:szCs w:val="22"/>
        </w:rPr>
        <w:t>Mucinous adenocarcinoma</w:t>
      </w:r>
    </w:p>
    <w:p w14:paraId="27DC9A2F">
      <w:pPr>
        <w:spacing w:line="360" w:lineRule="auto"/>
        <w:rPr>
          <w:rFonts w:eastAsia="微软雅黑"/>
          <w:sz w:val="22"/>
          <w:szCs w:val="22"/>
        </w:rPr>
      </w:pPr>
      <w:r>
        <w:rPr>
          <w:rFonts w:eastAsia="Wingdings 2"/>
          <w:sz w:val="24"/>
        </w:rPr>
        <w:t></w:t>
      </w:r>
      <w:r>
        <w:rPr>
          <w:rFonts w:eastAsia="微软雅黑"/>
          <w:sz w:val="22"/>
          <w:szCs w:val="22"/>
        </w:rPr>
        <w:t>Signet ring cell carcinoma</w:t>
      </w:r>
    </w:p>
    <w:p w14:paraId="3B11FB5E">
      <w:pPr>
        <w:spacing w:line="360" w:lineRule="auto"/>
        <w:rPr>
          <w:rFonts w:eastAsia="微软雅黑"/>
          <w:sz w:val="22"/>
          <w:szCs w:val="22"/>
        </w:rPr>
      </w:pPr>
      <w:r>
        <w:rPr>
          <w:rFonts w:eastAsia="Wingdings 2"/>
          <w:sz w:val="24"/>
        </w:rPr>
        <w:t></w:t>
      </w:r>
      <w:r>
        <w:rPr>
          <w:rFonts w:eastAsia="微软雅黑"/>
          <w:sz w:val="22"/>
          <w:szCs w:val="22"/>
        </w:rPr>
        <w:t>Poorly differentiated carcinoma</w:t>
      </w:r>
    </w:p>
    <w:p w14:paraId="41AA493F">
      <w:pPr>
        <w:spacing w:line="360" w:lineRule="auto"/>
        <w:outlineLvl w:val="0"/>
        <w:rPr>
          <w:rFonts w:eastAsia="微软雅黑"/>
          <w:b/>
          <w:sz w:val="22"/>
          <w:szCs w:val="22"/>
        </w:rPr>
      </w:pPr>
      <w:bookmarkStart w:id="135" w:name="_Toc5641"/>
      <w:r>
        <w:rPr>
          <w:rFonts w:eastAsia="微软雅黑"/>
          <w:b/>
          <w:sz w:val="22"/>
          <w:szCs w:val="22"/>
        </w:rPr>
        <w:t>9.8.3.3.2 Grading</w:t>
      </w:r>
      <w:bookmarkEnd w:id="135"/>
      <w:r>
        <w:rPr>
          <w:rFonts w:eastAsia="微软雅黑"/>
          <w:b/>
          <w:sz w:val="22"/>
          <w:szCs w:val="22"/>
        </w:rPr>
        <w:t xml:space="preserve"> </w:t>
      </w:r>
    </w:p>
    <w:p w14:paraId="05A05F35">
      <w:pPr>
        <w:spacing w:line="360" w:lineRule="auto"/>
        <w:rPr>
          <w:rFonts w:eastAsia="微软雅黑"/>
          <w:sz w:val="22"/>
          <w:szCs w:val="22"/>
        </w:rPr>
      </w:pPr>
      <w:r>
        <w:rPr>
          <w:rFonts w:eastAsia="Wingdings 2"/>
          <w:sz w:val="24"/>
        </w:rPr>
        <w:t></w:t>
      </w:r>
      <w:r>
        <w:rPr>
          <w:rFonts w:eastAsia="微软雅黑"/>
          <w:sz w:val="22"/>
          <w:szCs w:val="22"/>
        </w:rPr>
        <w:t xml:space="preserve">GX classification is not possible to assess </w:t>
      </w:r>
    </w:p>
    <w:p w14:paraId="32493C22">
      <w:pPr>
        <w:spacing w:line="360" w:lineRule="auto"/>
        <w:rPr>
          <w:rFonts w:eastAsia="微软雅黑"/>
          <w:sz w:val="22"/>
          <w:szCs w:val="22"/>
        </w:rPr>
      </w:pPr>
      <w:r>
        <w:rPr>
          <w:rFonts w:eastAsia="Wingdings 2"/>
          <w:sz w:val="24"/>
        </w:rPr>
        <w:t></w:t>
      </w:r>
      <w:r>
        <w:rPr>
          <w:rFonts w:eastAsia="微软雅黑"/>
          <w:sz w:val="22"/>
          <w:szCs w:val="22"/>
        </w:rPr>
        <w:t xml:space="preserve">G1 well-differentiated </w:t>
      </w:r>
    </w:p>
    <w:p w14:paraId="1E634BAB">
      <w:pPr>
        <w:spacing w:line="360" w:lineRule="auto"/>
        <w:rPr>
          <w:rFonts w:eastAsia="微软雅黑"/>
          <w:sz w:val="22"/>
          <w:szCs w:val="22"/>
        </w:rPr>
      </w:pPr>
      <w:r>
        <w:rPr>
          <w:rFonts w:eastAsia="Wingdings 2"/>
          <w:sz w:val="24"/>
        </w:rPr>
        <w:t></w:t>
      </w:r>
      <w:r>
        <w:rPr>
          <w:rFonts w:eastAsia="微软雅黑"/>
          <w:sz w:val="22"/>
          <w:szCs w:val="22"/>
        </w:rPr>
        <w:t xml:space="preserve">G2 moderately differentiated </w:t>
      </w:r>
    </w:p>
    <w:p w14:paraId="4D5C6178">
      <w:pPr>
        <w:spacing w:line="360" w:lineRule="auto"/>
        <w:rPr>
          <w:rFonts w:eastAsia="微软雅黑"/>
          <w:sz w:val="22"/>
          <w:szCs w:val="22"/>
        </w:rPr>
      </w:pPr>
      <w:r>
        <w:rPr>
          <w:rFonts w:eastAsia="Wingdings 2"/>
          <w:sz w:val="24"/>
        </w:rPr>
        <w:t></w:t>
      </w:r>
      <w:r>
        <w:rPr>
          <w:rFonts w:eastAsia="微软雅黑"/>
          <w:sz w:val="22"/>
          <w:szCs w:val="22"/>
        </w:rPr>
        <w:t xml:space="preserve">G3 poorly differentiated </w:t>
      </w:r>
    </w:p>
    <w:p w14:paraId="6B61CECF">
      <w:pPr>
        <w:spacing w:line="360" w:lineRule="auto"/>
        <w:rPr>
          <w:rFonts w:eastAsia="微软雅黑"/>
          <w:b/>
          <w:sz w:val="22"/>
          <w:szCs w:val="22"/>
        </w:rPr>
      </w:pPr>
      <w:r>
        <w:rPr>
          <w:rFonts w:eastAsia="Wingdings 2"/>
          <w:sz w:val="24"/>
        </w:rPr>
        <w:t></w:t>
      </w:r>
      <w:r>
        <w:rPr>
          <w:rFonts w:eastAsia="微软雅黑"/>
          <w:sz w:val="22"/>
          <w:szCs w:val="22"/>
        </w:rPr>
        <w:t xml:space="preserve">G4 undifferentiated </w:t>
      </w:r>
    </w:p>
    <w:p w14:paraId="79AF2E04">
      <w:pPr>
        <w:spacing w:line="360" w:lineRule="auto"/>
        <w:rPr>
          <w:rFonts w:eastAsia="微软雅黑"/>
          <w:b/>
          <w:sz w:val="22"/>
          <w:szCs w:val="22"/>
        </w:rPr>
      </w:pPr>
      <w:r>
        <w:rPr>
          <w:rFonts w:eastAsia="微软雅黑"/>
          <w:b/>
          <w:sz w:val="22"/>
          <w:szCs w:val="22"/>
        </w:rPr>
        <w:t xml:space="preserve">9.8.3.4 Evaluation of Radical Level (Degree) </w:t>
      </w:r>
    </w:p>
    <w:p w14:paraId="342D1FFC">
      <w:pPr>
        <w:spacing w:line="360" w:lineRule="auto"/>
        <w:rPr>
          <w:rFonts w:eastAsia="微软雅黑"/>
          <w:b/>
          <w:sz w:val="22"/>
          <w:szCs w:val="22"/>
        </w:rPr>
      </w:pPr>
      <w:r>
        <w:rPr>
          <w:rFonts w:eastAsia="微软雅黑"/>
          <w:b/>
          <w:sz w:val="22"/>
          <w:szCs w:val="22"/>
        </w:rPr>
        <w:t>9.8.3.4.1 Recording the Presence or Absence of Cancer Invasion on the Resection Stump</w:t>
      </w:r>
    </w:p>
    <w:p w14:paraId="67BAADB0">
      <w:pPr>
        <w:spacing w:line="360" w:lineRule="auto"/>
        <w:rPr>
          <w:rFonts w:eastAsia="微软雅黑"/>
          <w:sz w:val="22"/>
          <w:szCs w:val="22"/>
        </w:rPr>
      </w:pPr>
      <w:r>
        <w:rPr>
          <w:rFonts w:eastAsia="微软雅黑"/>
          <w:sz w:val="22"/>
          <w:szCs w:val="22"/>
        </w:rPr>
        <w:t xml:space="preserve">(1)  Proximal incisional margin (PM: proximal margin) </w:t>
      </w:r>
    </w:p>
    <w:p w14:paraId="1BA110FD">
      <w:pPr>
        <w:spacing w:line="360" w:lineRule="auto"/>
        <w:rPr>
          <w:rFonts w:eastAsia="微软雅黑"/>
          <w:sz w:val="22"/>
          <w:szCs w:val="22"/>
        </w:rPr>
      </w:pPr>
      <w:r>
        <w:rPr>
          <w:rFonts w:eastAsia="Wingdings 2"/>
          <w:sz w:val="24"/>
        </w:rPr>
        <w:t></w:t>
      </w:r>
      <w:r>
        <w:rPr>
          <w:rFonts w:eastAsia="微软雅黑"/>
          <w:sz w:val="22"/>
          <w:szCs w:val="22"/>
        </w:rPr>
        <w:t xml:space="preserve">PM (-): No cancer invasion found on the proximal incisional margin </w:t>
      </w:r>
    </w:p>
    <w:p w14:paraId="56CAA758">
      <w:pPr>
        <w:spacing w:line="360" w:lineRule="auto"/>
        <w:rPr>
          <w:rFonts w:eastAsia="微软雅黑"/>
          <w:sz w:val="22"/>
          <w:szCs w:val="22"/>
        </w:rPr>
      </w:pPr>
      <w:r>
        <w:rPr>
          <w:rFonts w:eastAsia="Wingdings 2"/>
          <w:sz w:val="24"/>
        </w:rPr>
        <w:t></w:t>
      </w:r>
      <w:r>
        <w:rPr>
          <w:rFonts w:eastAsia="微软雅黑"/>
          <w:sz w:val="22"/>
          <w:szCs w:val="22"/>
        </w:rPr>
        <w:t xml:space="preserve">PM (+): Cancer invasion found on the proximal incisional margin </w:t>
      </w:r>
    </w:p>
    <w:p w14:paraId="1398FF36">
      <w:pPr>
        <w:spacing w:line="360" w:lineRule="auto"/>
        <w:rPr>
          <w:rFonts w:eastAsia="微软雅黑"/>
          <w:sz w:val="22"/>
          <w:szCs w:val="22"/>
        </w:rPr>
      </w:pPr>
      <w:r>
        <w:rPr>
          <w:rFonts w:eastAsia="Wingdings 2"/>
          <w:sz w:val="24"/>
        </w:rPr>
        <w:t></w:t>
      </w:r>
      <w:r>
        <w:rPr>
          <w:rFonts w:eastAsia="微软雅黑"/>
          <w:sz w:val="22"/>
          <w:szCs w:val="22"/>
        </w:rPr>
        <w:t xml:space="preserve">PM X: Unknown cancer invasion on the proximal incisional margin </w:t>
      </w:r>
    </w:p>
    <w:p w14:paraId="2A0BC069">
      <w:pPr>
        <w:spacing w:line="360" w:lineRule="auto"/>
        <w:rPr>
          <w:rFonts w:eastAsia="微软雅黑"/>
          <w:sz w:val="22"/>
          <w:szCs w:val="22"/>
        </w:rPr>
      </w:pPr>
      <w:r>
        <w:rPr>
          <w:rFonts w:eastAsia="微软雅黑"/>
          <w:sz w:val="22"/>
          <w:szCs w:val="22"/>
        </w:rPr>
        <w:t xml:space="preserve">(2)  Distal incisional margin (DM: distal margin) </w:t>
      </w:r>
    </w:p>
    <w:p w14:paraId="752FB799">
      <w:pPr>
        <w:spacing w:line="360" w:lineRule="auto"/>
        <w:rPr>
          <w:rFonts w:eastAsia="微软雅黑"/>
          <w:sz w:val="22"/>
          <w:szCs w:val="22"/>
        </w:rPr>
      </w:pPr>
      <w:r>
        <w:rPr>
          <w:rFonts w:eastAsia="Wingdings 2"/>
          <w:sz w:val="24"/>
        </w:rPr>
        <w:t></w:t>
      </w:r>
      <w:r>
        <w:rPr>
          <w:rFonts w:eastAsia="微软雅黑"/>
          <w:sz w:val="22"/>
          <w:szCs w:val="22"/>
        </w:rPr>
        <w:t xml:space="preserve">DM (-): No cancer invasion found on the distal incisional margin </w:t>
      </w:r>
    </w:p>
    <w:p w14:paraId="4AC478F3">
      <w:pPr>
        <w:spacing w:line="360" w:lineRule="auto"/>
        <w:outlineLvl w:val="0"/>
        <w:rPr>
          <w:rFonts w:eastAsia="微软雅黑"/>
          <w:sz w:val="22"/>
          <w:szCs w:val="22"/>
        </w:rPr>
      </w:pPr>
      <w:bookmarkStart w:id="136" w:name="_Toc22836"/>
      <w:r>
        <w:rPr>
          <w:rFonts w:eastAsia="Wingdings 2"/>
          <w:sz w:val="24"/>
        </w:rPr>
        <w:t></w:t>
      </w:r>
      <w:r>
        <w:rPr>
          <w:rFonts w:eastAsia="微软雅黑"/>
          <w:sz w:val="22"/>
          <w:szCs w:val="22"/>
        </w:rPr>
        <w:t>DM (+): Cancer invasion found on the distal incisional margin</w:t>
      </w:r>
      <w:bookmarkEnd w:id="136"/>
      <w:r>
        <w:rPr>
          <w:rFonts w:eastAsia="微软雅黑"/>
          <w:sz w:val="22"/>
          <w:szCs w:val="22"/>
        </w:rPr>
        <w:t xml:space="preserve"> </w:t>
      </w:r>
    </w:p>
    <w:p w14:paraId="375F1747">
      <w:pPr>
        <w:spacing w:line="360" w:lineRule="auto"/>
        <w:rPr>
          <w:rFonts w:eastAsia="微软雅黑"/>
          <w:b/>
          <w:sz w:val="22"/>
          <w:szCs w:val="22"/>
        </w:rPr>
      </w:pPr>
      <w:r>
        <w:rPr>
          <w:rFonts w:eastAsia="Wingdings 2"/>
          <w:sz w:val="24"/>
        </w:rPr>
        <w:t></w:t>
      </w:r>
      <w:r>
        <w:rPr>
          <w:rFonts w:eastAsia="微软雅黑"/>
          <w:sz w:val="22"/>
          <w:szCs w:val="22"/>
        </w:rPr>
        <w:t xml:space="preserve">DM X: Unknown cancer invasion on the distal incisional margin </w:t>
      </w:r>
    </w:p>
    <w:p w14:paraId="281FCB18">
      <w:pPr>
        <w:spacing w:line="360" w:lineRule="auto"/>
        <w:outlineLvl w:val="0"/>
        <w:rPr>
          <w:rFonts w:eastAsia="微软雅黑"/>
          <w:b/>
          <w:sz w:val="22"/>
          <w:szCs w:val="22"/>
        </w:rPr>
      </w:pPr>
      <w:bookmarkStart w:id="137" w:name="_Toc12301"/>
      <w:r>
        <w:rPr>
          <w:rFonts w:eastAsia="微软雅黑"/>
          <w:b/>
          <w:sz w:val="22"/>
          <w:szCs w:val="22"/>
        </w:rPr>
        <w:t>9.8.3.4.2 Radical Records</w:t>
      </w:r>
      <w:bookmarkEnd w:id="137"/>
    </w:p>
    <w:p w14:paraId="33045DE1">
      <w:pPr>
        <w:spacing w:line="360" w:lineRule="auto"/>
        <w:rPr>
          <w:rFonts w:eastAsia="微软雅黑"/>
          <w:sz w:val="22"/>
          <w:szCs w:val="22"/>
        </w:rPr>
      </w:pPr>
      <w:r>
        <w:rPr>
          <w:rFonts w:eastAsia="微软雅黑"/>
          <w:sz w:val="22"/>
          <w:szCs w:val="22"/>
        </w:rPr>
        <w:t xml:space="preserve">Postoperative residual tumor, denoted with R (residual tumor): R0: curative resection; R1, R2: non-curative resection. </w:t>
      </w:r>
    </w:p>
    <w:p w14:paraId="08B53410">
      <w:pPr>
        <w:spacing w:line="360" w:lineRule="auto"/>
        <w:outlineLvl w:val="0"/>
        <w:rPr>
          <w:rFonts w:eastAsia="微软雅黑"/>
          <w:sz w:val="22"/>
          <w:szCs w:val="22"/>
        </w:rPr>
      </w:pPr>
      <w:bookmarkStart w:id="138" w:name="_Toc14945"/>
      <w:r>
        <w:rPr>
          <w:rFonts w:eastAsia="Wingdings 2"/>
          <w:sz w:val="24"/>
        </w:rPr>
        <w:t></w:t>
      </w:r>
      <w:r>
        <w:rPr>
          <w:rFonts w:eastAsia="微软雅黑"/>
          <w:sz w:val="22"/>
          <w:szCs w:val="22"/>
        </w:rPr>
        <w:t>RX: cannot be evaluated</w:t>
      </w:r>
      <w:bookmarkEnd w:id="138"/>
      <w:r>
        <w:rPr>
          <w:rFonts w:eastAsia="微软雅黑"/>
          <w:sz w:val="22"/>
          <w:szCs w:val="22"/>
        </w:rPr>
        <w:t xml:space="preserve"> </w:t>
      </w:r>
    </w:p>
    <w:p w14:paraId="7F1D0999">
      <w:pPr>
        <w:spacing w:line="360" w:lineRule="auto"/>
        <w:rPr>
          <w:rFonts w:eastAsia="微软雅黑"/>
          <w:sz w:val="22"/>
          <w:szCs w:val="22"/>
        </w:rPr>
      </w:pPr>
      <w:r>
        <w:rPr>
          <w:rFonts w:eastAsia="Wingdings 2"/>
          <w:sz w:val="24"/>
        </w:rPr>
        <w:t></w:t>
      </w:r>
      <w:r>
        <w:rPr>
          <w:rFonts w:eastAsia="微软雅黑"/>
          <w:sz w:val="22"/>
          <w:szCs w:val="22"/>
        </w:rPr>
        <w:t xml:space="preserve">R0: no residual cancer </w:t>
      </w:r>
    </w:p>
    <w:p w14:paraId="0E9CE4B2">
      <w:pPr>
        <w:spacing w:line="360" w:lineRule="auto"/>
        <w:rPr>
          <w:rFonts w:eastAsia="微软雅黑"/>
          <w:sz w:val="22"/>
          <w:szCs w:val="22"/>
        </w:rPr>
      </w:pPr>
      <w:r>
        <w:rPr>
          <w:rFonts w:eastAsia="Wingdings 2"/>
          <w:sz w:val="24"/>
        </w:rPr>
        <w:t></w:t>
      </w:r>
      <w:r>
        <w:rPr>
          <w:rFonts w:eastAsia="微软雅黑"/>
          <w:sz w:val="22"/>
          <w:szCs w:val="22"/>
        </w:rPr>
        <w:t xml:space="preserve">R1: microscopic residual cancer (positive margins, peritoneal lavage cytology positive) </w:t>
      </w:r>
    </w:p>
    <w:p w14:paraId="394A8EE8">
      <w:pPr>
        <w:spacing w:line="360" w:lineRule="auto"/>
        <w:outlineLvl w:val="0"/>
        <w:rPr>
          <w:rFonts w:eastAsia="微软雅黑"/>
          <w:sz w:val="22"/>
          <w:szCs w:val="22"/>
        </w:rPr>
      </w:pPr>
      <w:bookmarkStart w:id="139" w:name="_Toc24314"/>
      <w:r>
        <w:rPr>
          <w:rFonts w:eastAsia="Wingdings 2"/>
          <w:sz w:val="24"/>
        </w:rPr>
        <w:t></w:t>
      </w:r>
      <w:r>
        <w:rPr>
          <w:rFonts w:eastAsia="微软雅黑"/>
          <w:sz w:val="22"/>
          <w:szCs w:val="22"/>
        </w:rPr>
        <w:t>R2: macroscopic residual cancer</w:t>
      </w:r>
      <w:bookmarkEnd w:id="139"/>
      <w:r>
        <w:rPr>
          <w:rFonts w:eastAsia="微软雅黑"/>
          <w:sz w:val="22"/>
          <w:szCs w:val="22"/>
        </w:rPr>
        <w:t xml:space="preserve"> </w:t>
      </w:r>
    </w:p>
    <w:p w14:paraId="4D28A816">
      <w:pPr>
        <w:adjustRightInd w:val="0"/>
        <w:snapToGrid w:val="0"/>
        <w:spacing w:line="360" w:lineRule="auto"/>
        <w:outlineLvl w:val="0"/>
        <w:rPr>
          <w:rFonts w:eastAsia="微软雅黑"/>
          <w:b/>
          <w:sz w:val="30"/>
          <w:szCs w:val="30"/>
        </w:rPr>
      </w:pPr>
      <w:bookmarkStart w:id="140" w:name="_Toc5602"/>
      <w:r>
        <w:rPr>
          <w:rFonts w:eastAsia="微软雅黑"/>
          <w:b/>
          <w:sz w:val="30"/>
          <w:szCs w:val="30"/>
        </w:rPr>
        <w:t xml:space="preserve">10. </w:t>
      </w:r>
      <w:r>
        <w:rPr>
          <w:b/>
          <w:sz w:val="30"/>
          <w:szCs w:val="30"/>
        </w:rPr>
        <w:t>Statistical analysis</w:t>
      </w:r>
      <w:bookmarkEnd w:id="140"/>
    </w:p>
    <w:p w14:paraId="248490FD">
      <w:pPr>
        <w:adjustRightInd w:val="0"/>
        <w:snapToGrid w:val="0"/>
        <w:spacing w:line="360" w:lineRule="auto"/>
        <w:jc w:val="left"/>
        <w:rPr>
          <w:rFonts w:eastAsia="微软雅黑"/>
          <w:b/>
          <w:sz w:val="24"/>
        </w:rPr>
      </w:pPr>
      <w:r>
        <w:rPr>
          <w:rFonts w:eastAsia="微软雅黑"/>
          <w:b/>
          <w:sz w:val="24"/>
        </w:rPr>
        <w:t xml:space="preserve">10.1 </w:t>
      </w:r>
      <w:r>
        <w:rPr>
          <w:b/>
          <w:sz w:val="24"/>
        </w:rPr>
        <w:t>Definition of the population</w:t>
      </w:r>
    </w:p>
    <w:p w14:paraId="3DC7766A">
      <w:pPr>
        <w:adjustRightInd w:val="0"/>
        <w:snapToGrid w:val="0"/>
        <w:spacing w:line="360" w:lineRule="auto"/>
        <w:ind w:left="480" w:hanging="480" w:hangingChars="200"/>
        <w:rPr>
          <w:rFonts w:eastAsia="微软雅黑"/>
          <w:sz w:val="24"/>
        </w:rPr>
      </w:pPr>
      <w:r>
        <w:rPr>
          <w:rFonts w:eastAsia="微软雅黑"/>
          <w:sz w:val="24"/>
        </w:rPr>
        <w:t xml:space="preserve">(1) </w:t>
      </w:r>
      <w:r>
        <w:rPr>
          <w:sz w:val="24"/>
        </w:rPr>
        <w:t>ITTP, intent-to-treat population</w:t>
      </w:r>
    </w:p>
    <w:p w14:paraId="4CCA4A50">
      <w:pPr>
        <w:adjustRightInd w:val="0"/>
        <w:snapToGrid w:val="0"/>
        <w:spacing w:line="360" w:lineRule="auto"/>
        <w:ind w:left="480" w:hanging="480" w:hangingChars="200"/>
        <w:rPr>
          <w:rFonts w:eastAsia="微软雅黑"/>
          <w:sz w:val="24"/>
        </w:rPr>
      </w:pPr>
      <w:r>
        <w:rPr>
          <w:rFonts w:eastAsia="微软雅黑"/>
          <w:sz w:val="24"/>
        </w:rPr>
        <w:t xml:space="preserve">(2) </w:t>
      </w:r>
      <w:r>
        <w:rPr>
          <w:sz w:val="24"/>
        </w:rPr>
        <w:t>MITTP, modified intent-to-treat population</w:t>
      </w:r>
    </w:p>
    <w:p w14:paraId="726607BB">
      <w:pPr>
        <w:adjustRightInd w:val="0"/>
        <w:snapToGrid w:val="0"/>
        <w:spacing w:line="360" w:lineRule="auto"/>
        <w:ind w:left="480" w:hanging="480" w:hangingChars="200"/>
        <w:rPr>
          <w:sz w:val="24"/>
        </w:rPr>
      </w:pPr>
      <w:r>
        <w:rPr>
          <w:rFonts w:eastAsia="微软雅黑"/>
          <w:sz w:val="24"/>
        </w:rPr>
        <w:t xml:space="preserve">(3) </w:t>
      </w:r>
      <w:r>
        <w:rPr>
          <w:sz w:val="24"/>
        </w:rPr>
        <w:t>PPP, per-protocol population</w:t>
      </w:r>
    </w:p>
    <w:p w14:paraId="79C88BFB">
      <w:pPr>
        <w:adjustRightInd w:val="0"/>
        <w:snapToGrid w:val="0"/>
        <w:spacing w:line="360" w:lineRule="auto"/>
        <w:ind w:left="480" w:hanging="480" w:hangingChars="200"/>
        <w:rPr>
          <w:rFonts w:eastAsia="微软雅黑"/>
          <w:sz w:val="24"/>
        </w:rPr>
      </w:pPr>
      <w:r>
        <w:rPr>
          <w:rFonts w:eastAsia="微软雅黑"/>
          <w:sz w:val="24"/>
        </w:rPr>
        <w:t xml:space="preserve">(4) </w:t>
      </w:r>
      <w:r>
        <w:rPr>
          <w:sz w:val="24"/>
        </w:rPr>
        <w:t>SAP, safety analysis population</w:t>
      </w:r>
    </w:p>
    <w:p w14:paraId="31FBA6AA">
      <w:pPr>
        <w:adjustRightInd w:val="0"/>
        <w:snapToGrid w:val="0"/>
        <w:spacing w:line="360" w:lineRule="auto"/>
        <w:rPr>
          <w:rFonts w:eastAsia="微软雅黑"/>
          <w:b/>
          <w:sz w:val="24"/>
        </w:rPr>
      </w:pPr>
      <w:r>
        <w:rPr>
          <w:rFonts w:eastAsia="微软雅黑"/>
          <w:b/>
          <w:sz w:val="24"/>
        </w:rPr>
        <w:t xml:space="preserve">10.2 </w:t>
      </w:r>
      <w:r>
        <w:rPr>
          <w:b/>
          <w:sz w:val="24"/>
        </w:rPr>
        <w:t>Statistical analysis plan</w:t>
      </w:r>
    </w:p>
    <w:p w14:paraId="40EDF8EA">
      <w:pPr>
        <w:numPr>
          <w:ilvl w:val="0"/>
          <w:numId w:val="28"/>
        </w:numPr>
        <w:spacing w:line="360" w:lineRule="auto"/>
        <w:rPr>
          <w:sz w:val="24"/>
        </w:rPr>
      </w:pPr>
      <w:r>
        <w:rPr>
          <w:sz w:val="24"/>
        </w:rPr>
        <w:t>Statistical software: We will use Epidata 3.0 to establish a database and to input data，and we will use SPSS 22.0 software to perform statistical analyses.</w:t>
      </w:r>
    </w:p>
    <w:p w14:paraId="3FEA519A">
      <w:pPr>
        <w:numPr>
          <w:ilvl w:val="0"/>
          <w:numId w:val="28"/>
        </w:numPr>
        <w:adjustRightInd w:val="0"/>
        <w:snapToGrid w:val="0"/>
        <w:spacing w:line="360" w:lineRule="auto"/>
        <w:rPr>
          <w:rFonts w:eastAsia="微软雅黑"/>
          <w:sz w:val="24"/>
        </w:rPr>
      </w:pPr>
      <w:r>
        <w:rPr>
          <w:sz w:val="24"/>
        </w:rPr>
        <w:t>Basic principle</w:t>
      </w:r>
      <w:r>
        <w:rPr>
          <w:rFonts w:eastAsia="微软雅黑"/>
          <w:sz w:val="24"/>
        </w:rPr>
        <w:t xml:space="preserve">: </w:t>
      </w:r>
      <w:r>
        <w:rPr>
          <w:sz w:val="24"/>
        </w:rPr>
        <w:t>The method of differential testing was adopted.</w:t>
      </w:r>
      <w:r>
        <w:rPr>
          <w:rFonts w:eastAsia="微软雅黑"/>
          <w:sz w:val="24"/>
        </w:rPr>
        <w:t xml:space="preserve"> </w:t>
      </w:r>
      <w:r>
        <w:rPr>
          <w:sz w:val="24"/>
        </w:rPr>
        <w:t>The safety population of the study consists of the patients who receive safety evaluation data after the intervention</w:t>
      </w:r>
      <w:r>
        <w:rPr>
          <w:rFonts w:eastAsia="微软雅黑"/>
          <w:sz w:val="24"/>
        </w:rPr>
        <w:t xml:space="preserve">. </w:t>
      </w:r>
      <w:r>
        <w:rPr>
          <w:sz w:val="24"/>
        </w:rPr>
        <w:t xml:space="preserve">Descriptive statistics and two-sided tests were conducted for the safety indicators and the incidence of adverse reactions. A </w:t>
      </w:r>
      <w:r>
        <w:rPr>
          <w:i/>
          <w:iCs/>
          <w:sz w:val="24"/>
        </w:rPr>
        <w:t>P</w:t>
      </w:r>
      <w:r>
        <w:rPr>
          <w:sz w:val="24"/>
        </w:rPr>
        <w:t>-value &lt;0.05 is considered statistically significant. The confidence interval of the parameters is estimated with a 95% confidence interval.</w:t>
      </w:r>
    </w:p>
    <w:p w14:paraId="7C7290B0">
      <w:pPr>
        <w:numPr>
          <w:ilvl w:val="0"/>
          <w:numId w:val="28"/>
        </w:numPr>
        <w:adjustRightInd w:val="0"/>
        <w:snapToGrid w:val="0"/>
        <w:spacing w:line="360" w:lineRule="auto"/>
        <w:rPr>
          <w:rFonts w:eastAsia="微软雅黑"/>
          <w:sz w:val="24"/>
        </w:rPr>
      </w:pPr>
      <w:r>
        <w:rPr>
          <w:rFonts w:eastAsia="微软雅黑"/>
          <w:sz w:val="24"/>
        </w:rPr>
        <w:t>Shedding analysis: Total shedding rate of two groups and loss rate due to adverse events will be compared using χ</w:t>
      </w:r>
      <w:r>
        <w:rPr>
          <w:rFonts w:eastAsia="微软雅黑"/>
          <w:sz w:val="24"/>
          <w:vertAlign w:val="superscript"/>
        </w:rPr>
        <w:t>2</w:t>
      </w:r>
      <w:r>
        <w:rPr>
          <w:rFonts w:eastAsia="微软雅黑"/>
          <w:sz w:val="24"/>
        </w:rPr>
        <w:t xml:space="preserve"> test</w:t>
      </w:r>
    </w:p>
    <w:p w14:paraId="77402F7A">
      <w:pPr>
        <w:numPr>
          <w:ilvl w:val="0"/>
          <w:numId w:val="28"/>
        </w:numPr>
        <w:adjustRightInd w:val="0"/>
        <w:snapToGrid w:val="0"/>
        <w:spacing w:line="360" w:lineRule="auto"/>
        <w:rPr>
          <w:rFonts w:eastAsia="微软雅黑"/>
          <w:sz w:val="24"/>
        </w:rPr>
      </w:pPr>
      <w:r>
        <w:rPr>
          <w:rFonts w:eastAsia="微软雅黑"/>
          <w:sz w:val="24"/>
        </w:rPr>
        <w:t>Statistical analysis of population division: baseline data and effective analysis using MITT analysis. The main therapeutic indicators are analyzed using both MITT and PP analysis. But the conclusion based on the result of PP analysis. If MITT analysis and PP analysis of the conclusions are consistent, it can increase the credibility of the conclusion. The data of laboratory examination, adverse events and adverse reactions were analyzed by SAP. The incidence rate of adverse reactions uses SAP as the denominator. The long-term outcomes are analyzed using PP analysis.</w:t>
      </w:r>
    </w:p>
    <w:p w14:paraId="013CC43A">
      <w:pPr>
        <w:numPr>
          <w:ilvl w:val="0"/>
          <w:numId w:val="28"/>
        </w:numPr>
        <w:adjustRightInd w:val="0"/>
        <w:snapToGrid w:val="0"/>
        <w:spacing w:line="360" w:lineRule="auto"/>
        <w:rPr>
          <w:rFonts w:eastAsia="微软雅黑"/>
          <w:sz w:val="24"/>
        </w:rPr>
      </w:pPr>
      <w:r>
        <w:rPr>
          <w:rFonts w:eastAsia="微软雅黑"/>
          <w:sz w:val="24"/>
        </w:rPr>
        <w:t>Method of outlier determination: the observation value is greater than P75 or less than P25, and the exceed value more than 3 times of the quartile spacing (=P75-P25), which will be sentenced to outlier data. During the analysis, the sensitivity analysis is used for outlier data, namely analyzing outcomes including or excluding, outliers’ data. and if the results are not contradictory, the data is retained; if the contradiction, it depends on the specific circumstances.</w:t>
      </w:r>
    </w:p>
    <w:p w14:paraId="3B0D4FD4">
      <w:pPr>
        <w:numPr>
          <w:ilvl w:val="0"/>
          <w:numId w:val="28"/>
        </w:numPr>
        <w:adjustRightInd w:val="0"/>
        <w:snapToGrid w:val="0"/>
        <w:spacing w:line="360" w:lineRule="auto"/>
        <w:rPr>
          <w:rFonts w:eastAsia="微软雅黑"/>
          <w:sz w:val="24"/>
        </w:rPr>
      </w:pPr>
      <w:r>
        <w:rPr>
          <w:rFonts w:eastAsia="微软雅黑"/>
          <w:sz w:val="24"/>
        </w:rPr>
        <w:t>Descriptive statistics: The measurement data gives the mean, the standard deviation and the confidence interval, and the minimum value, the maximum value, the P25, the median and the P75 are given when necessary; matched data also gives the mean and standard deviation of the gap-value, and the median and average rank of the non-parametric method. The nominal-scale data gives the frequency distribution and the corresponding percentages. The level data gives the frequency distribution and the corresponding percentages, as well as the median and the average rank. Qualitative data give positive rate, positive number, and denominator numbers. The survival data gives the number of events, the number of deletions, the median survival time, and the survival rate.</w:t>
      </w:r>
    </w:p>
    <w:p w14:paraId="037C9C97">
      <w:pPr>
        <w:numPr>
          <w:ilvl w:val="0"/>
          <w:numId w:val="29"/>
        </w:numPr>
        <w:adjustRightInd w:val="0"/>
        <w:snapToGrid w:val="0"/>
        <w:spacing w:line="360" w:lineRule="auto"/>
        <w:rPr>
          <w:rFonts w:eastAsia="微软雅黑"/>
          <w:sz w:val="24"/>
        </w:rPr>
      </w:pPr>
      <w:r>
        <w:rPr>
          <w:rFonts w:eastAsia="微软雅黑"/>
          <w:sz w:val="24"/>
        </w:rPr>
        <w:t xml:space="preserve">Frequencies of causes of first recurrence and death within 3 years after surgery in ICG and Non-ICG groups were compared with Pearson </w:t>
      </w:r>
      <w:r>
        <w:rPr>
          <w:rFonts w:eastAsia="微软雅黑"/>
          <w:sz w:val="24"/>
        </w:rPr>
        <w:sym w:font="Symbol" w:char="F063"/>
      </w:r>
      <w:r>
        <w:rPr>
          <w:rFonts w:eastAsia="微软雅黑"/>
          <w:sz w:val="24"/>
          <w:vertAlign w:val="superscript"/>
        </w:rPr>
        <w:t>2</w:t>
      </w:r>
      <w:r>
        <w:rPr>
          <w:rFonts w:eastAsia="微软雅黑"/>
          <w:sz w:val="24"/>
        </w:rPr>
        <w:t xml:space="preserve"> test, then </w:t>
      </w:r>
      <w:r>
        <w:rPr>
          <w:rFonts w:eastAsia="微软雅黑"/>
          <w:i/>
          <w:iCs/>
          <w:sz w:val="24"/>
        </w:rPr>
        <w:t>P</w:t>
      </w:r>
      <w:r>
        <w:rPr>
          <w:rFonts w:eastAsia="微软雅黑"/>
          <w:sz w:val="24"/>
        </w:rPr>
        <w:t xml:space="preserve"> for chi-square was calculated. </w:t>
      </w:r>
    </w:p>
    <w:p w14:paraId="42A19164">
      <w:pPr>
        <w:numPr>
          <w:ilvl w:val="0"/>
          <w:numId w:val="28"/>
        </w:numPr>
        <w:adjustRightInd w:val="0"/>
        <w:snapToGrid w:val="0"/>
        <w:spacing w:line="360" w:lineRule="auto"/>
        <w:rPr>
          <w:rFonts w:eastAsia="微软雅黑"/>
          <w:sz w:val="24"/>
        </w:rPr>
      </w:pPr>
      <w:r>
        <w:rPr>
          <w:rFonts w:eastAsia="微软雅黑"/>
          <w:sz w:val="24"/>
        </w:rPr>
        <w:t>Missing values handling: This study does not fill in missing values</w:t>
      </w:r>
    </w:p>
    <w:p w14:paraId="600CC215">
      <w:pPr>
        <w:numPr>
          <w:ilvl w:val="0"/>
          <w:numId w:val="28"/>
        </w:numPr>
        <w:adjustRightInd w:val="0"/>
        <w:snapToGrid w:val="0"/>
        <w:spacing w:line="360" w:lineRule="auto"/>
        <w:rPr>
          <w:rFonts w:eastAsia="微软雅黑"/>
          <w:sz w:val="24"/>
        </w:rPr>
      </w:pPr>
      <w:r>
        <w:rPr>
          <w:rFonts w:eastAsia="微软雅黑"/>
          <w:sz w:val="24"/>
        </w:rPr>
        <w:t xml:space="preserve">Effective analysis: Using Log-rank test for single factor analysis of survival time data, using Cox regression model analysis for multi-factor analysis. Quantitative data using t test or t' Test (variance is not homogeneous), qualitative data using Pearson </w:t>
      </w:r>
      <w:r>
        <w:rPr>
          <w:rFonts w:eastAsia="微软雅黑"/>
          <w:sz w:val="24"/>
        </w:rPr>
        <w:sym w:font="Symbol" w:char="F063"/>
      </w:r>
      <w:r>
        <w:rPr>
          <w:rFonts w:eastAsia="微软雅黑"/>
          <w:sz w:val="24"/>
          <w:vertAlign w:val="superscript"/>
        </w:rPr>
        <w:t>2</w:t>
      </w:r>
      <w:r>
        <w:rPr>
          <w:rFonts w:eastAsia="微软雅黑"/>
          <w:sz w:val="24"/>
        </w:rPr>
        <w:t xml:space="preserve"> test, grade data using Wilcoxon rank test.</w:t>
      </w:r>
    </w:p>
    <w:p w14:paraId="3AB0B122">
      <w:pPr>
        <w:numPr>
          <w:ilvl w:val="0"/>
          <w:numId w:val="28"/>
        </w:numPr>
        <w:adjustRightInd w:val="0"/>
        <w:snapToGrid w:val="0"/>
        <w:spacing w:line="360" w:lineRule="auto"/>
        <w:rPr>
          <w:rFonts w:eastAsia="微软雅黑"/>
          <w:sz w:val="24"/>
        </w:rPr>
      </w:pPr>
      <w:r>
        <w:rPr>
          <w:rFonts w:eastAsia="微软雅黑"/>
          <w:sz w:val="24"/>
        </w:rPr>
        <w:t>Safety analysis: counting adverse responds incidence and incidence of adverse events and make a list to describe the adverse events occurring in the study. describe the results of the laboratory tests before and after the normal/abnormal changes and the relationship between the abnormal changes and drugs in the research, and make a list on the “normal/abnormal” changes occurred in the study. More detailed statistical analysis is shown in the statistical analysis plan.</w:t>
      </w:r>
    </w:p>
    <w:p w14:paraId="5742E16D">
      <w:pPr>
        <w:numPr>
          <w:ilvl w:val="0"/>
          <w:numId w:val="30"/>
        </w:numPr>
        <w:adjustRightInd w:val="0"/>
        <w:snapToGrid w:val="0"/>
        <w:spacing w:line="360" w:lineRule="auto"/>
        <w:rPr>
          <w:rFonts w:eastAsia="微软雅黑"/>
          <w:sz w:val="24"/>
        </w:rPr>
      </w:pPr>
      <w:r>
        <w:rPr>
          <w:rFonts w:eastAsia="微软雅黑"/>
          <w:sz w:val="24"/>
        </w:rPr>
        <w:t>Follow-up period changed to 3 years after the final participant’s randomization date.</w:t>
      </w:r>
    </w:p>
    <w:p w14:paraId="7A8F2417">
      <w:pPr>
        <w:numPr>
          <w:ilvl w:val="0"/>
          <w:numId w:val="30"/>
        </w:numPr>
        <w:adjustRightInd w:val="0"/>
        <w:snapToGrid w:val="0"/>
        <w:spacing w:line="360" w:lineRule="auto"/>
        <w:rPr>
          <w:rFonts w:eastAsia="微软雅黑"/>
          <w:sz w:val="24"/>
        </w:rPr>
      </w:pPr>
      <w:r>
        <w:rPr>
          <w:rFonts w:eastAsia="微软雅黑"/>
          <w:sz w:val="24"/>
        </w:rPr>
        <w:t xml:space="preserve">Continuous variables are expressed as mean (standard deviation (SD)), and categorical variables are expressed as numbers. The differences between the groups were assessed using the t-test or </w:t>
      </w:r>
      <w:r>
        <w:rPr>
          <w:rFonts w:eastAsia="微软雅黑"/>
          <w:sz w:val="24"/>
        </w:rPr>
        <w:sym w:font="Symbol" w:char="F063"/>
      </w:r>
      <w:r>
        <w:rPr>
          <w:rFonts w:eastAsia="微软雅黑"/>
          <w:sz w:val="24"/>
          <w:vertAlign w:val="superscript"/>
        </w:rPr>
        <w:t>2</w:t>
      </w:r>
      <w:r>
        <w:rPr>
          <w:rFonts w:eastAsia="微软雅黑"/>
          <w:sz w:val="24"/>
        </w:rPr>
        <w:t xml:space="preserve"> test, as appropriate. All tests were two-sided, with a significance level set at P&lt;0.05.</w:t>
      </w:r>
    </w:p>
    <w:p w14:paraId="77C67A35">
      <w:pPr>
        <w:numPr>
          <w:ilvl w:val="0"/>
          <w:numId w:val="30"/>
        </w:numPr>
        <w:adjustRightInd w:val="0"/>
        <w:snapToGrid w:val="0"/>
        <w:spacing w:line="360" w:lineRule="auto"/>
        <w:rPr>
          <w:rFonts w:eastAsia="微软雅黑"/>
          <w:sz w:val="24"/>
        </w:rPr>
      </w:pPr>
      <w:r>
        <w:rPr>
          <w:rFonts w:eastAsia="微软雅黑"/>
          <w:sz w:val="24"/>
        </w:rPr>
        <w:t>The 3-year disease-free survival and overall survival rates were calculated using the Kaplan-Meier method, and the log-rank test was used to determine significance. The hazard ratios (HRs) comparing the ICG and Non-ICG groups were estimated using Cox regression after confirmation of the proportional hazards assumption. Multivariate Cox regression analyses were performed to evaluate the effect of surgery type on survival, after adjustment for clinicopathologic covariates that were significantly associated with the outcome in univariate analyses. All-cause mortality was treated as a competing event for recurrence. The cumulative incidence in the presence of competing risks was calculated, and competing-risk survival regression was used as an alternative to Cox regression.</w:t>
      </w:r>
    </w:p>
    <w:p w14:paraId="11446447">
      <w:pPr>
        <w:numPr>
          <w:ilvl w:val="0"/>
          <w:numId w:val="30"/>
        </w:numPr>
        <w:adjustRightInd w:val="0"/>
        <w:snapToGrid w:val="0"/>
        <w:spacing w:line="360" w:lineRule="auto"/>
        <w:rPr>
          <w:rFonts w:eastAsia="微软雅黑"/>
          <w:sz w:val="24"/>
        </w:rPr>
      </w:pPr>
      <w:r>
        <w:rPr>
          <w:rFonts w:eastAsia="微软雅黑"/>
          <w:sz w:val="24"/>
        </w:rPr>
        <w:t>LN noncompliance was defined as the absence of LNs that should have been excised from more than 1 LN stattion. Major LN noncompliance was defined as more than 2 intended LN stations that were not removed</w:t>
      </w:r>
      <w:r>
        <w:rPr>
          <w:rFonts w:eastAsia="微软雅黑"/>
          <w:sz w:val="24"/>
          <w:vertAlign w:val="superscript"/>
        </w:rPr>
        <w:t>35, 36</w:t>
      </w:r>
      <w:r>
        <w:rPr>
          <w:rFonts w:eastAsia="微软雅黑"/>
          <w:sz w:val="24"/>
        </w:rPr>
        <w:t>.</w:t>
      </w:r>
    </w:p>
    <w:p w14:paraId="71E5F744">
      <w:pPr>
        <w:numPr>
          <w:ilvl w:val="0"/>
          <w:numId w:val="30"/>
        </w:numPr>
        <w:adjustRightInd w:val="0"/>
        <w:snapToGrid w:val="0"/>
        <w:spacing w:line="360" w:lineRule="auto"/>
        <w:rPr>
          <w:rFonts w:eastAsia="微软雅黑"/>
          <w:sz w:val="24"/>
        </w:rPr>
      </w:pPr>
      <w:r>
        <w:rPr>
          <w:rFonts w:eastAsia="微软雅黑"/>
          <w:sz w:val="24"/>
        </w:rPr>
        <w:t>Current guidelines suggested that at least 16 regional LNs should be removed pathologically, and the removal of 30 or more nodes was desirable. The reference numbers 16 and 30 were used</w:t>
      </w:r>
      <w:r>
        <w:rPr>
          <w:rFonts w:eastAsia="微软雅黑"/>
          <w:sz w:val="24"/>
          <w:vertAlign w:val="superscript"/>
        </w:rPr>
        <w:t>37, 38</w:t>
      </w:r>
      <w:r>
        <w:rPr>
          <w:rFonts w:eastAsia="微软雅黑"/>
          <w:sz w:val="24"/>
        </w:rPr>
        <w:t>.</w:t>
      </w:r>
    </w:p>
    <w:p w14:paraId="51775386">
      <w:pPr>
        <w:numPr>
          <w:ilvl w:val="0"/>
          <w:numId w:val="30"/>
        </w:numPr>
        <w:adjustRightInd w:val="0"/>
        <w:snapToGrid w:val="0"/>
        <w:spacing w:line="360" w:lineRule="auto"/>
        <w:rPr>
          <w:rFonts w:eastAsia="微软雅黑"/>
          <w:sz w:val="24"/>
        </w:rPr>
      </w:pPr>
      <w:r>
        <w:rPr>
          <w:rFonts w:eastAsia="微软雅黑"/>
          <w:sz w:val="24"/>
        </w:rPr>
        <w:t>Subgroup analysis: Subgroup analysis is to find the factors that may affect prognostic according to the specific circumstances of the data.</w:t>
      </w:r>
      <w:r>
        <w:rPr>
          <w:sz w:val="24"/>
        </w:rPr>
        <w:t xml:space="preserve"> For example, </w:t>
      </w:r>
      <w:r>
        <w:rPr>
          <w:rFonts w:eastAsia="微软雅黑"/>
          <w:sz w:val="24"/>
        </w:rPr>
        <w:t>Subgroup analyses, using log-rank tests, were conducted for disease-free and overall survival stratified by LN noncompliance (ie. compliant vs. noncompliant lymphadenectomy), and number of LN dissection ((ie. ≥30 retrieved LNs vs. &lt;30 retrieved LNs).</w:t>
      </w:r>
    </w:p>
    <w:p w14:paraId="421AFD97">
      <w:pPr>
        <w:numPr>
          <w:ilvl w:val="0"/>
          <w:numId w:val="30"/>
        </w:numPr>
        <w:adjustRightInd w:val="0"/>
        <w:snapToGrid w:val="0"/>
        <w:spacing w:line="360" w:lineRule="auto"/>
        <w:rPr>
          <w:rFonts w:eastAsia="微软雅黑"/>
          <w:sz w:val="24"/>
        </w:rPr>
      </w:pPr>
      <w:r>
        <w:rPr>
          <w:rFonts w:eastAsia="微软雅黑"/>
          <w:sz w:val="24"/>
        </w:rPr>
        <w:t>Subgroup analysis and interaction tests: Use the </w:t>
      </w:r>
      <w:r>
        <w:rPr>
          <w:rFonts w:eastAsia="微软雅黑"/>
          <w:i/>
          <w:iCs/>
          <w:sz w:val="24"/>
        </w:rPr>
        <w:t>P</w:t>
      </w:r>
      <w:r>
        <w:rPr>
          <w:rFonts w:eastAsia="微软雅黑"/>
          <w:sz w:val="24"/>
        </w:rPr>
        <w:t>-value for an interaction term to test its significance.</w:t>
      </w:r>
    </w:p>
    <w:p w14:paraId="47DEFF34">
      <w:pPr>
        <w:numPr>
          <w:ilvl w:val="255"/>
          <w:numId w:val="0"/>
        </w:numPr>
        <w:adjustRightInd w:val="0"/>
        <w:snapToGrid w:val="0"/>
        <w:spacing w:line="360" w:lineRule="auto"/>
        <w:rPr>
          <w:rFonts w:eastAsia="微软雅黑"/>
          <w:sz w:val="24"/>
        </w:rPr>
      </w:pPr>
    </w:p>
    <w:p w14:paraId="0090342D">
      <w:pPr>
        <w:adjustRightInd w:val="0"/>
        <w:snapToGrid w:val="0"/>
        <w:spacing w:line="360" w:lineRule="auto"/>
        <w:outlineLvl w:val="0"/>
        <w:rPr>
          <w:rFonts w:eastAsia="微软雅黑"/>
          <w:b/>
          <w:sz w:val="30"/>
          <w:szCs w:val="30"/>
        </w:rPr>
      </w:pPr>
      <w:bookmarkStart w:id="141" w:name="_Toc29896"/>
      <w:r>
        <w:rPr>
          <w:rFonts w:eastAsia="微软雅黑"/>
          <w:b/>
          <w:sz w:val="30"/>
          <w:szCs w:val="30"/>
        </w:rPr>
        <w:t>11. Data management</w:t>
      </w:r>
      <w:bookmarkEnd w:id="141"/>
    </w:p>
    <w:p w14:paraId="58B0C83F">
      <w:pPr>
        <w:adjustRightInd w:val="0"/>
        <w:snapToGrid w:val="0"/>
        <w:spacing w:line="360" w:lineRule="auto"/>
        <w:jc w:val="left"/>
        <w:rPr>
          <w:rFonts w:eastAsia="微软雅黑"/>
          <w:b/>
          <w:sz w:val="24"/>
        </w:rPr>
      </w:pPr>
      <w:r>
        <w:rPr>
          <w:rFonts w:eastAsia="微软雅黑"/>
          <w:b/>
          <w:sz w:val="24"/>
        </w:rPr>
        <w:t>11.1 Case Report Form (CRF)</w:t>
      </w:r>
    </w:p>
    <w:p w14:paraId="01C4CF16">
      <w:pPr>
        <w:adjustRightInd w:val="0"/>
        <w:snapToGrid w:val="0"/>
        <w:spacing w:line="360" w:lineRule="auto"/>
        <w:rPr>
          <w:rFonts w:eastAsia="微软雅黑"/>
          <w:b/>
          <w:sz w:val="24"/>
        </w:rPr>
      </w:pPr>
      <w:r>
        <w:rPr>
          <w:rFonts w:eastAsia="微软雅黑"/>
          <w:b/>
          <w:sz w:val="24"/>
        </w:rPr>
        <w:t>11.1.1 CRF Types and Submission Deadline</w:t>
      </w:r>
    </w:p>
    <w:p w14:paraId="45300989">
      <w:pPr>
        <w:adjustRightInd w:val="0"/>
        <w:snapToGrid w:val="0"/>
        <w:spacing w:line="360" w:lineRule="auto"/>
        <w:ind w:firstLine="480" w:firstLineChars="200"/>
        <w:rPr>
          <w:rFonts w:eastAsia="微软雅黑"/>
          <w:sz w:val="24"/>
        </w:rPr>
      </w:pPr>
      <w:r>
        <w:rPr>
          <w:rFonts w:eastAsia="微软雅黑"/>
          <w:sz w:val="24"/>
        </w:rPr>
        <w:t>CRFs used in this study and their submission deadlines are as follows:</w:t>
      </w:r>
    </w:p>
    <w:p w14:paraId="4E06768F">
      <w:pPr>
        <w:adjustRightInd w:val="0"/>
        <w:snapToGrid w:val="0"/>
        <w:spacing w:line="360" w:lineRule="auto"/>
        <w:rPr>
          <w:rFonts w:eastAsia="微软雅黑"/>
          <w:sz w:val="24"/>
        </w:rPr>
      </w:pPr>
      <w:r>
        <w:rPr>
          <w:rFonts w:eastAsia="微软雅黑"/>
          <w:sz w:val="24"/>
        </w:rPr>
        <w:t>(1) Case Screening: 7 days prior to surgery (time frame of three days)</w:t>
      </w:r>
    </w:p>
    <w:p w14:paraId="68B6BD26">
      <w:pPr>
        <w:adjustRightInd w:val="0"/>
        <w:snapToGrid w:val="0"/>
        <w:spacing w:line="360" w:lineRule="auto"/>
        <w:rPr>
          <w:rFonts w:eastAsia="微软雅黑"/>
          <w:sz w:val="24"/>
        </w:rPr>
      </w:pPr>
      <w:r>
        <w:rPr>
          <w:rFonts w:eastAsia="微软雅黑"/>
          <w:sz w:val="24"/>
        </w:rPr>
        <w:t xml:space="preserve">(2) Enrolling: submitted to the data center at one day prior to surgery </w:t>
      </w:r>
    </w:p>
    <w:p w14:paraId="75F4B7BD">
      <w:pPr>
        <w:adjustRightInd w:val="0"/>
        <w:snapToGrid w:val="0"/>
        <w:spacing w:line="360" w:lineRule="auto"/>
        <w:rPr>
          <w:rFonts w:eastAsia="微软雅黑"/>
          <w:sz w:val="24"/>
        </w:rPr>
      </w:pPr>
      <w:r>
        <w:rPr>
          <w:rFonts w:eastAsia="微软雅黑"/>
          <w:sz w:val="24"/>
        </w:rPr>
        <w:t xml:space="preserve">(3) Surgery: within 1 day after surgery </w:t>
      </w:r>
    </w:p>
    <w:p w14:paraId="0A26E73B">
      <w:pPr>
        <w:adjustRightInd w:val="0"/>
        <w:snapToGrid w:val="0"/>
        <w:spacing w:line="360" w:lineRule="auto"/>
        <w:rPr>
          <w:rFonts w:eastAsia="微软雅黑"/>
          <w:sz w:val="24"/>
        </w:rPr>
      </w:pPr>
      <w:r>
        <w:rPr>
          <w:rFonts w:eastAsia="微软雅黑"/>
          <w:sz w:val="24"/>
        </w:rPr>
        <w:t xml:space="preserve">(4) Postoperative discharge: within three days after the first discharge </w:t>
      </w:r>
    </w:p>
    <w:p w14:paraId="08757773">
      <w:pPr>
        <w:adjustRightInd w:val="0"/>
        <w:snapToGrid w:val="0"/>
        <w:spacing w:line="360" w:lineRule="auto"/>
        <w:rPr>
          <w:rFonts w:eastAsia="微软雅黑"/>
          <w:sz w:val="24"/>
        </w:rPr>
      </w:pPr>
      <w:r>
        <w:rPr>
          <w:rFonts w:eastAsia="微软雅黑"/>
          <w:sz w:val="24"/>
        </w:rPr>
        <w:t xml:space="preserve">(5) Follow-up records: 7 days after each specified follow-up time point </w:t>
      </w:r>
    </w:p>
    <w:p w14:paraId="2A82C8C9">
      <w:pPr>
        <w:adjustRightInd w:val="0"/>
        <w:snapToGrid w:val="0"/>
        <w:spacing w:line="360" w:lineRule="auto"/>
        <w:rPr>
          <w:rFonts w:eastAsia="微软雅黑"/>
          <w:b/>
          <w:sz w:val="24"/>
        </w:rPr>
      </w:pPr>
      <w:r>
        <w:rPr>
          <w:rFonts w:eastAsia="微软雅黑"/>
          <w:b/>
          <w:sz w:val="24"/>
        </w:rPr>
        <w:t>11.1.2 Method of transmission of CRF</w:t>
      </w:r>
    </w:p>
    <w:p w14:paraId="08E6BE07">
      <w:pPr>
        <w:adjustRightInd w:val="0"/>
        <w:snapToGrid w:val="0"/>
        <w:spacing w:line="360" w:lineRule="auto"/>
        <w:ind w:firstLine="480" w:firstLineChars="200"/>
        <w:rPr>
          <w:rFonts w:eastAsia="微软雅黑"/>
          <w:sz w:val="24"/>
        </w:rPr>
      </w:pPr>
      <w:r>
        <w:rPr>
          <w:rFonts w:eastAsia="微软雅黑"/>
          <w:sz w:val="24"/>
        </w:rPr>
        <w:t xml:space="preserve">In this study, the paper CRF form are used for information and data transmittal. </w:t>
      </w:r>
    </w:p>
    <w:p w14:paraId="03BA245E">
      <w:pPr>
        <w:adjustRightInd w:val="0"/>
        <w:snapToGrid w:val="0"/>
        <w:spacing w:line="360" w:lineRule="auto"/>
        <w:rPr>
          <w:rFonts w:eastAsia="微软雅黑"/>
          <w:b/>
          <w:sz w:val="24"/>
        </w:rPr>
      </w:pPr>
      <w:r>
        <w:rPr>
          <w:rFonts w:eastAsia="微软雅黑"/>
          <w:b/>
          <w:sz w:val="24"/>
        </w:rPr>
        <w:t>11.1.3 Revision of CRF</w:t>
      </w:r>
    </w:p>
    <w:p w14:paraId="0A2929EE">
      <w:pPr>
        <w:adjustRightInd w:val="0"/>
        <w:snapToGrid w:val="0"/>
        <w:spacing w:line="360" w:lineRule="auto"/>
        <w:ind w:firstLine="480" w:firstLineChars="200"/>
        <w:rPr>
          <w:rFonts w:eastAsia="微软雅黑"/>
          <w:sz w:val="24"/>
        </w:rPr>
      </w:pPr>
      <w:r>
        <w:rPr>
          <w:rFonts w:eastAsia="微软雅黑"/>
          <w:sz w:val="24"/>
        </w:rPr>
        <w:t xml:space="preserve">After the start of the study, if the CRF is found to lack items that are then deemed pertinent, under the premises of ensuring the amendment of the CRF does not cause medical and economic burden and increased risks to the selected patients, the CRF can be modified after the Research Committee adopt it through discuss at the meeting. If the amendment of the CRF requires no changes to this study protocol, the latter will not be modified. </w:t>
      </w:r>
    </w:p>
    <w:p w14:paraId="29A7BA0A">
      <w:pPr>
        <w:adjustRightInd w:val="0"/>
        <w:snapToGrid w:val="0"/>
        <w:spacing w:line="360" w:lineRule="auto"/>
        <w:rPr>
          <w:rFonts w:eastAsia="微软雅黑"/>
          <w:b/>
          <w:sz w:val="24"/>
        </w:rPr>
      </w:pPr>
      <w:r>
        <w:rPr>
          <w:rFonts w:eastAsia="微软雅黑"/>
          <w:b/>
          <w:sz w:val="24"/>
        </w:rPr>
        <w:t xml:space="preserve">11.2 Monitoring and </w:t>
      </w:r>
      <w:r>
        <w:rPr>
          <w:b/>
          <w:sz w:val="24"/>
        </w:rPr>
        <w:t>Supervising</w:t>
      </w:r>
    </w:p>
    <w:p w14:paraId="37D4B0E6">
      <w:pPr>
        <w:adjustRightInd w:val="0"/>
        <w:snapToGrid w:val="0"/>
        <w:spacing w:line="360" w:lineRule="auto"/>
        <w:ind w:firstLine="480" w:firstLineChars="200"/>
        <w:rPr>
          <w:rFonts w:eastAsia="微软雅黑"/>
          <w:sz w:val="24"/>
        </w:rPr>
      </w:pPr>
      <w:r>
        <w:rPr>
          <w:rFonts w:eastAsia="微软雅黑"/>
          <w:sz w:val="24"/>
        </w:rPr>
        <w:t>To assess whether study implementation follows protocol and data are being collected properly, monitoring should be conducted every February during the follow-up period. Monitoring is to complete through visiting a hospital and comparing the original data. Data Safety Monitoring Board (DSMB) was responsible by Mi Lin who was medical doctor (M.D.) from Fujian Medical University Union Hospital. The DSMB will meet at least annually after study initiation to assess enrollment, retention (drop-out and drop-in rates), and safety data, and may meet more frequently if needed.</w:t>
      </w:r>
    </w:p>
    <w:p w14:paraId="0D8B01B3">
      <w:pPr>
        <w:adjustRightInd w:val="0"/>
        <w:snapToGrid w:val="0"/>
        <w:spacing w:line="360" w:lineRule="auto"/>
        <w:rPr>
          <w:rFonts w:eastAsia="微软雅黑"/>
          <w:b/>
          <w:sz w:val="24"/>
        </w:rPr>
      </w:pPr>
      <w:r>
        <w:rPr>
          <w:rFonts w:eastAsia="微软雅黑"/>
          <w:b/>
          <w:sz w:val="24"/>
        </w:rPr>
        <w:t>11.2.1 Monitoring item</w:t>
      </w:r>
    </w:p>
    <w:p w14:paraId="5EBC5ECC">
      <w:pPr>
        <w:pStyle w:val="25"/>
        <w:numPr>
          <w:ilvl w:val="0"/>
          <w:numId w:val="17"/>
        </w:numPr>
        <w:adjustRightInd w:val="0"/>
        <w:snapToGrid w:val="0"/>
        <w:spacing w:line="360" w:lineRule="auto"/>
        <w:ind w:firstLineChars="0"/>
        <w:rPr>
          <w:rFonts w:eastAsia="微软雅黑"/>
          <w:sz w:val="24"/>
        </w:rPr>
      </w:pPr>
      <w:r>
        <w:rPr>
          <w:rFonts w:eastAsia="微软雅黑"/>
          <w:sz w:val="24"/>
        </w:rPr>
        <w:t xml:space="preserve">Data Collection Completion Status: By selected registration numbers (cumulative and for each time period) </w:t>
      </w:r>
    </w:p>
    <w:p w14:paraId="18C63BCB">
      <w:pPr>
        <w:pStyle w:val="25"/>
        <w:numPr>
          <w:ilvl w:val="0"/>
          <w:numId w:val="17"/>
        </w:numPr>
        <w:adjustRightInd w:val="0"/>
        <w:snapToGrid w:val="0"/>
        <w:spacing w:line="360" w:lineRule="auto"/>
        <w:ind w:firstLineChars="0"/>
        <w:rPr>
          <w:rFonts w:eastAsia="微软雅黑"/>
          <w:sz w:val="24"/>
        </w:rPr>
      </w:pPr>
      <w:r>
        <w:rPr>
          <w:rFonts w:eastAsia="微软雅黑"/>
          <w:sz w:val="24"/>
        </w:rPr>
        <w:t>Eligibility: Not eligible patients/potentially ineligible patients</w:t>
      </w:r>
    </w:p>
    <w:p w14:paraId="3CB9D6AF">
      <w:pPr>
        <w:pStyle w:val="25"/>
        <w:numPr>
          <w:ilvl w:val="0"/>
          <w:numId w:val="17"/>
        </w:numPr>
        <w:adjustRightInd w:val="0"/>
        <w:snapToGrid w:val="0"/>
        <w:spacing w:line="360" w:lineRule="auto"/>
        <w:ind w:firstLineChars="0"/>
        <w:rPr>
          <w:rFonts w:eastAsia="微软雅黑"/>
          <w:sz w:val="24"/>
        </w:rPr>
      </w:pPr>
      <w:r>
        <w:rPr>
          <w:rFonts w:eastAsia="微软雅黑"/>
          <w:sz w:val="24"/>
        </w:rPr>
        <w:t xml:space="preserve">Different end of treatment, the reasons for suspension/end of the study protocol </w:t>
      </w:r>
    </w:p>
    <w:p w14:paraId="4703CE86">
      <w:pPr>
        <w:pStyle w:val="25"/>
        <w:numPr>
          <w:ilvl w:val="0"/>
          <w:numId w:val="17"/>
        </w:numPr>
        <w:adjustRightInd w:val="0"/>
        <w:snapToGrid w:val="0"/>
        <w:spacing w:line="360" w:lineRule="auto"/>
        <w:ind w:firstLineChars="0"/>
        <w:rPr>
          <w:rFonts w:eastAsia="微软雅黑"/>
          <w:sz w:val="24"/>
        </w:rPr>
      </w:pPr>
      <w:r>
        <w:rPr>
          <w:rFonts w:eastAsia="微软雅黑"/>
          <w:sz w:val="24"/>
        </w:rPr>
        <w:t>Background factors, pre-treatment report factors, post-treatment report factors when selected for registration</w:t>
      </w:r>
    </w:p>
    <w:p w14:paraId="546F269A">
      <w:pPr>
        <w:pStyle w:val="25"/>
        <w:numPr>
          <w:ilvl w:val="0"/>
          <w:numId w:val="17"/>
        </w:numPr>
        <w:adjustRightInd w:val="0"/>
        <w:snapToGrid w:val="0"/>
        <w:spacing w:line="360" w:lineRule="auto"/>
        <w:ind w:firstLineChars="0"/>
        <w:outlineLvl w:val="0"/>
        <w:rPr>
          <w:rFonts w:eastAsia="微软雅黑"/>
          <w:sz w:val="24"/>
        </w:rPr>
      </w:pPr>
      <w:bookmarkStart w:id="142" w:name="_Toc14379"/>
      <w:r>
        <w:rPr>
          <w:rFonts w:eastAsia="微软雅黑"/>
          <w:sz w:val="24"/>
        </w:rPr>
        <w:t>Severe adverse events</w:t>
      </w:r>
      <w:bookmarkEnd w:id="142"/>
    </w:p>
    <w:p w14:paraId="3FE2ACC8">
      <w:pPr>
        <w:pStyle w:val="25"/>
        <w:numPr>
          <w:ilvl w:val="0"/>
          <w:numId w:val="17"/>
        </w:numPr>
        <w:adjustRightInd w:val="0"/>
        <w:snapToGrid w:val="0"/>
        <w:spacing w:line="360" w:lineRule="auto"/>
        <w:ind w:firstLineChars="0"/>
        <w:rPr>
          <w:rFonts w:eastAsia="微软雅黑"/>
          <w:sz w:val="24"/>
        </w:rPr>
      </w:pPr>
      <w:r>
        <w:rPr>
          <w:rFonts w:eastAsia="微软雅黑"/>
          <w:sz w:val="24"/>
        </w:rPr>
        <w:t xml:space="preserve">Adverse events/adverse reactions </w:t>
      </w:r>
    </w:p>
    <w:p w14:paraId="3F8EF6BC">
      <w:pPr>
        <w:pStyle w:val="25"/>
        <w:numPr>
          <w:ilvl w:val="0"/>
          <w:numId w:val="17"/>
        </w:numPr>
        <w:adjustRightInd w:val="0"/>
        <w:snapToGrid w:val="0"/>
        <w:spacing w:line="360" w:lineRule="auto"/>
        <w:ind w:firstLineChars="0"/>
        <w:rPr>
          <w:rFonts w:eastAsia="微软雅黑"/>
          <w:sz w:val="24"/>
        </w:rPr>
      </w:pPr>
      <w:r>
        <w:rPr>
          <w:rFonts w:eastAsia="微软雅黑"/>
          <w:sz w:val="24"/>
        </w:rPr>
        <w:t xml:space="preserve">Laparoscopic surgery completion percentage </w:t>
      </w:r>
    </w:p>
    <w:p w14:paraId="055A11E9">
      <w:pPr>
        <w:pStyle w:val="25"/>
        <w:numPr>
          <w:ilvl w:val="0"/>
          <w:numId w:val="17"/>
        </w:numPr>
        <w:adjustRightInd w:val="0"/>
        <w:snapToGrid w:val="0"/>
        <w:spacing w:line="360" w:lineRule="auto"/>
        <w:ind w:firstLineChars="0"/>
        <w:rPr>
          <w:rFonts w:eastAsia="微软雅黑"/>
          <w:sz w:val="24"/>
        </w:rPr>
      </w:pPr>
      <w:r>
        <w:rPr>
          <w:rFonts w:eastAsia="微软雅黑"/>
          <w:sz w:val="24"/>
        </w:rPr>
        <w:t>Proportion of conversion to laparotomy</w:t>
      </w:r>
    </w:p>
    <w:p w14:paraId="2D3E8244">
      <w:pPr>
        <w:pStyle w:val="25"/>
        <w:numPr>
          <w:ilvl w:val="0"/>
          <w:numId w:val="17"/>
        </w:numPr>
        <w:adjustRightInd w:val="0"/>
        <w:snapToGrid w:val="0"/>
        <w:spacing w:line="360" w:lineRule="auto"/>
        <w:ind w:firstLineChars="0"/>
        <w:rPr>
          <w:rFonts w:eastAsia="微软雅黑"/>
          <w:sz w:val="24"/>
        </w:rPr>
      </w:pPr>
      <w:r>
        <w:rPr>
          <w:rFonts w:eastAsia="微软雅黑"/>
          <w:sz w:val="24"/>
        </w:rPr>
        <w:t xml:space="preserve">Protocol deviation </w:t>
      </w:r>
    </w:p>
    <w:p w14:paraId="28E155CC">
      <w:pPr>
        <w:pStyle w:val="25"/>
        <w:numPr>
          <w:ilvl w:val="0"/>
          <w:numId w:val="17"/>
        </w:numPr>
        <w:adjustRightInd w:val="0"/>
        <w:snapToGrid w:val="0"/>
        <w:spacing w:line="360" w:lineRule="auto"/>
        <w:ind w:firstLineChars="0"/>
        <w:rPr>
          <w:rFonts w:eastAsia="微软雅黑"/>
          <w:sz w:val="24"/>
        </w:rPr>
      </w:pPr>
      <w:r>
        <w:rPr>
          <w:rFonts w:eastAsia="微软雅黑"/>
          <w:sz w:val="24"/>
        </w:rPr>
        <w:t>Disease-free survival /overall survival (all enrolled Patients)</w:t>
      </w:r>
    </w:p>
    <w:p w14:paraId="714E3CA1">
      <w:pPr>
        <w:pStyle w:val="25"/>
        <w:numPr>
          <w:ilvl w:val="0"/>
          <w:numId w:val="17"/>
        </w:numPr>
        <w:adjustRightInd w:val="0"/>
        <w:snapToGrid w:val="0"/>
        <w:spacing w:line="360" w:lineRule="auto"/>
        <w:ind w:firstLineChars="0"/>
        <w:rPr>
          <w:rFonts w:eastAsia="微软雅黑"/>
          <w:sz w:val="24"/>
        </w:rPr>
      </w:pPr>
      <w:r>
        <w:rPr>
          <w:rFonts w:eastAsia="微软雅黑"/>
          <w:sz w:val="24"/>
        </w:rPr>
        <w:t>Progress and safety of the study, other issues</w:t>
      </w:r>
    </w:p>
    <w:p w14:paraId="678F0210">
      <w:pPr>
        <w:adjustRightInd w:val="0"/>
        <w:snapToGrid w:val="0"/>
        <w:spacing w:line="360" w:lineRule="auto"/>
        <w:rPr>
          <w:rFonts w:eastAsia="微软雅黑"/>
          <w:b/>
          <w:sz w:val="24"/>
        </w:rPr>
      </w:pPr>
      <w:r>
        <w:rPr>
          <w:rFonts w:eastAsia="微软雅黑"/>
          <w:b/>
          <w:sz w:val="24"/>
        </w:rPr>
        <w:t>11.2.2 Acceptable range of adverse events</w:t>
      </w:r>
    </w:p>
    <w:p w14:paraId="7AC49474">
      <w:pPr>
        <w:adjustRightInd w:val="0"/>
        <w:snapToGrid w:val="0"/>
        <w:spacing w:line="360" w:lineRule="auto"/>
        <w:ind w:firstLine="480" w:firstLineChars="200"/>
        <w:rPr>
          <w:rFonts w:eastAsia="微软雅黑"/>
          <w:sz w:val="24"/>
        </w:rPr>
      </w:pPr>
      <w:r>
        <w:rPr>
          <w:rFonts w:eastAsia="微软雅黑"/>
          <w:sz w:val="24"/>
        </w:rPr>
        <w:t>Treatment-related death and life-threatening complications caused by surgeries occur relatively rarely; a rate of over 3% is considered unacceptable. If treatment-related death is suspected or non-hematologic Grade 4 toxicity having a causal relationship with the surgery is determined, adverse events should be reported to the Efficacy and Safety Evaluation Committee. If the number of treatment-related deaths or the number of patients with determined non-hematologic Grade 4 toxicity having a causal relationship with the surgery reached 15, the final incidence proportion of adverse events would be expected to exceed 3%, and therefore the inclusion of patients must be immediately suspended. Whether the study can continue should be determined by the Efficacy and Safety Evaluation Committee.</w:t>
      </w:r>
    </w:p>
    <w:p w14:paraId="3BD5CC46">
      <w:pPr>
        <w:adjustRightInd w:val="0"/>
        <w:snapToGrid w:val="0"/>
        <w:spacing w:line="360" w:lineRule="auto"/>
        <w:outlineLvl w:val="0"/>
        <w:rPr>
          <w:rFonts w:eastAsia="微软雅黑"/>
          <w:b/>
          <w:sz w:val="30"/>
          <w:szCs w:val="30"/>
        </w:rPr>
      </w:pPr>
      <w:bookmarkStart w:id="143" w:name="_Toc19694"/>
      <w:r>
        <w:rPr>
          <w:rFonts w:eastAsia="微软雅黑"/>
          <w:b/>
          <w:sz w:val="30"/>
          <w:szCs w:val="30"/>
        </w:rPr>
        <w:t>12. Relevant Provisions on a</w:t>
      </w:r>
      <w:r>
        <w:rPr>
          <w:b/>
          <w:sz w:val="30"/>
          <w:szCs w:val="30"/>
        </w:rPr>
        <w:t>dverse events</w:t>
      </w:r>
      <w:bookmarkEnd w:id="143"/>
    </w:p>
    <w:p w14:paraId="47B7939C">
      <w:pPr>
        <w:adjustRightInd w:val="0"/>
        <w:snapToGrid w:val="0"/>
        <w:spacing w:line="360" w:lineRule="auto"/>
        <w:jc w:val="left"/>
        <w:rPr>
          <w:rFonts w:eastAsia="微软雅黑"/>
          <w:b/>
          <w:sz w:val="24"/>
        </w:rPr>
      </w:pPr>
      <w:r>
        <w:rPr>
          <w:rFonts w:eastAsia="微软雅黑"/>
          <w:b/>
          <w:sz w:val="24"/>
        </w:rPr>
        <w:t xml:space="preserve">12.1 </w:t>
      </w:r>
      <w:r>
        <w:rPr>
          <w:b/>
          <w:sz w:val="24"/>
        </w:rPr>
        <w:t>Surgery-related adverse events</w:t>
      </w:r>
    </w:p>
    <w:p w14:paraId="60D55B25">
      <w:pPr>
        <w:spacing w:line="360" w:lineRule="auto"/>
        <w:ind w:firstLine="480" w:firstLineChars="200"/>
        <w:rPr>
          <w:sz w:val="24"/>
        </w:rPr>
      </w:pPr>
      <w:r>
        <w:rPr>
          <w:sz w:val="24"/>
        </w:rPr>
        <w:t xml:space="preserve">See the adverse events mentioned for surgical complications in 8.1 Definition of the study endpoint. </w:t>
      </w:r>
    </w:p>
    <w:p w14:paraId="4C21B009">
      <w:pPr>
        <w:adjustRightInd w:val="0"/>
        <w:snapToGrid w:val="0"/>
        <w:spacing w:line="360" w:lineRule="auto"/>
        <w:jc w:val="left"/>
        <w:rPr>
          <w:rFonts w:eastAsia="微软雅黑"/>
          <w:b/>
          <w:sz w:val="24"/>
        </w:rPr>
      </w:pPr>
      <w:r>
        <w:rPr>
          <w:rFonts w:eastAsia="微软雅黑"/>
          <w:b/>
          <w:sz w:val="24"/>
        </w:rPr>
        <w:t xml:space="preserve">12.2 </w:t>
      </w:r>
      <w:r>
        <w:rPr>
          <w:b/>
          <w:bCs/>
          <w:sz w:val="24"/>
        </w:rPr>
        <w:t>Various forms of adverse events caused by original incidence</w:t>
      </w:r>
    </w:p>
    <w:p w14:paraId="4808977C">
      <w:pPr>
        <w:spacing w:line="360" w:lineRule="auto"/>
        <w:ind w:firstLine="480" w:firstLineChars="200"/>
        <w:rPr>
          <w:sz w:val="24"/>
        </w:rPr>
      </w:pPr>
      <w:r>
        <w:rPr>
          <w:sz w:val="24"/>
        </w:rPr>
        <w:t>Adverse events relating to various forms of deterioration in primary diseases should be recorded according to Short Name of CTCAEv3.0.</w:t>
      </w:r>
    </w:p>
    <w:p w14:paraId="6FEF748B">
      <w:pPr>
        <w:adjustRightInd w:val="0"/>
        <w:snapToGrid w:val="0"/>
        <w:spacing w:line="360" w:lineRule="auto"/>
        <w:jc w:val="left"/>
        <w:rPr>
          <w:rFonts w:eastAsia="微软雅黑"/>
          <w:b/>
          <w:sz w:val="24"/>
        </w:rPr>
      </w:pPr>
      <w:r>
        <w:rPr>
          <w:rFonts w:eastAsia="微软雅黑"/>
          <w:b/>
          <w:sz w:val="24"/>
        </w:rPr>
        <w:t xml:space="preserve">12.3 </w:t>
      </w:r>
      <w:r>
        <w:rPr>
          <w:b/>
          <w:sz w:val="24"/>
        </w:rPr>
        <w:t>Evaluation of adverse events</w:t>
      </w:r>
    </w:p>
    <w:p w14:paraId="1770F8B5">
      <w:pPr>
        <w:spacing w:line="360" w:lineRule="auto"/>
        <w:ind w:firstLine="480" w:firstLineChars="200"/>
        <w:rPr>
          <w:rFonts w:eastAsia="微软雅黑"/>
          <w:sz w:val="24"/>
        </w:rPr>
      </w:pPr>
      <w:r>
        <w:rPr>
          <w:rFonts w:eastAsia="微软雅黑"/>
          <w:sz w:val="24"/>
        </w:rPr>
        <w:sym w:font="Symbol" w:char="F0B7"/>
      </w:r>
      <w:r>
        <w:rPr>
          <w:rFonts w:eastAsia="微软雅黑"/>
          <w:sz w:val="24"/>
        </w:rPr>
        <w:t xml:space="preserve">Evaluation of adverse event/adverse reaction are based on </w:t>
      </w:r>
      <w:r>
        <w:rPr>
          <w:sz w:val="24"/>
        </w:rPr>
        <w:t>[Accordion Severity Grading System] and [CTCAE v3.0].</w:t>
      </w:r>
    </w:p>
    <w:p w14:paraId="152996CD">
      <w:pPr>
        <w:spacing w:line="360" w:lineRule="auto"/>
        <w:ind w:firstLine="480" w:firstLineChars="200"/>
        <w:rPr>
          <w:sz w:val="24"/>
        </w:rPr>
      </w:pPr>
      <w:r>
        <w:rPr>
          <w:rFonts w:eastAsia="微软雅黑"/>
          <w:sz w:val="24"/>
        </w:rPr>
        <w:sym w:font="Symbol" w:char="F0B7"/>
      </w:r>
      <w:r>
        <w:rPr>
          <w:rFonts w:eastAsia="微软雅黑"/>
          <w:sz w:val="24"/>
        </w:rPr>
        <w:t></w:t>
      </w:r>
      <w:r>
        <w:rPr>
          <w:sz w:val="24"/>
        </w:rPr>
        <w:t>Adverse events will be graded 0 ~ 4 as per definition. For treatment-related death, fatal adverse events are classified as Grade 5 in the original CTCAE.</w:t>
      </w:r>
    </w:p>
    <w:p w14:paraId="5716DBF5">
      <w:pPr>
        <w:numPr>
          <w:ilvl w:val="255"/>
          <w:numId w:val="0"/>
        </w:numPr>
        <w:spacing w:line="360" w:lineRule="auto"/>
        <w:ind w:firstLine="480" w:firstLineChars="200"/>
        <w:rPr>
          <w:sz w:val="24"/>
        </w:rPr>
      </w:pPr>
      <w:r>
        <w:rPr>
          <w:rFonts w:eastAsia="微软雅黑"/>
          <w:sz w:val="24"/>
        </w:rPr>
        <w:sym w:font="Symbol" w:char="F0B7"/>
      </w:r>
      <w:r>
        <w:rPr>
          <w:sz w:val="24"/>
        </w:rPr>
        <w:t>Toxicity items specified in the [surgery-related adverse events], Grade and the discovery date of Grade should be recorded in the treatment process report. For other toxicity items observed, observed Grade 3 toxicity items are only recorded in the freedom registration column of the treatment process report, as well as Grade and the discovery date of Grade. Grade recorded in the treatment process report must be recorded in the case report form.</w:t>
      </w:r>
    </w:p>
    <w:p w14:paraId="09AF93F6">
      <w:pPr>
        <w:numPr>
          <w:ilvl w:val="255"/>
          <w:numId w:val="0"/>
        </w:numPr>
        <w:spacing w:line="360" w:lineRule="auto"/>
        <w:ind w:firstLine="480" w:firstLineChars="200"/>
        <w:rPr>
          <w:sz w:val="24"/>
        </w:rPr>
      </w:pPr>
      <w:r>
        <w:rPr>
          <w:sz w:val="24"/>
        </w:rPr>
        <w:sym w:font="Symbol" w:char="F0B7"/>
      </w:r>
      <w:r>
        <w:rPr>
          <w:sz w:val="24"/>
        </w:rPr>
        <w:t>CTCAE v3.0, the so-called “Adverse Event”, “all observed, unexpected bad signs, symptoms and diseases (abnormal value of clinical examination are also included) in the treatment or disposal, regardless of a causal relationship with the treatment or handling, including determining whether there is a causal relationship or not”.</w:t>
      </w:r>
    </w:p>
    <w:p w14:paraId="627C1934">
      <w:pPr>
        <w:numPr>
          <w:ilvl w:val="255"/>
          <w:numId w:val="0"/>
        </w:numPr>
        <w:spacing w:line="360" w:lineRule="auto"/>
        <w:ind w:firstLine="480" w:firstLineChars="200"/>
        <w:rPr>
          <w:sz w:val="24"/>
        </w:rPr>
      </w:pPr>
      <w:r>
        <w:rPr>
          <w:sz w:val="24"/>
        </w:rPr>
        <w:sym w:font="Symbol" w:char="F0B7"/>
      </w:r>
      <w:r>
        <w:rPr>
          <w:sz w:val="24"/>
        </w:rPr>
        <w:t xml:space="preserve">Therefore, even if events were “obviously caused by primary disease (cancer)” or caused by supportive therapy or combination therapy rather than the study regimen treatment (protocol treatment), they are “adverse events”. </w:t>
      </w:r>
    </w:p>
    <w:p w14:paraId="60B137C6">
      <w:pPr>
        <w:numPr>
          <w:ilvl w:val="255"/>
          <w:numId w:val="0"/>
        </w:numPr>
        <w:spacing w:line="360" w:lineRule="auto"/>
        <w:ind w:firstLine="480" w:firstLineChars="200"/>
        <w:rPr>
          <w:sz w:val="24"/>
        </w:rPr>
      </w:pPr>
      <w:r>
        <w:rPr>
          <w:rFonts w:eastAsia="微软雅黑"/>
          <w:sz w:val="24"/>
        </w:rPr>
        <w:sym w:font="Symbol" w:char="F0B7"/>
      </w:r>
      <w:r>
        <w:rPr>
          <w:rFonts w:eastAsia="微软雅黑"/>
          <w:sz w:val="24"/>
        </w:rPr>
        <w:t></w:t>
      </w:r>
      <w:r>
        <w:rPr>
          <w:sz w:val="24"/>
        </w:rPr>
        <w:t xml:space="preserve">For adverse event data collection strategy, the following principles should be complied with in this study: </w:t>
      </w:r>
      <w:r>
        <w:rPr>
          <w:rFonts w:eastAsia="微软雅黑"/>
          <w:sz w:val="24"/>
        </w:rPr>
        <w:t xml:space="preserve">1) </w:t>
      </w:r>
      <w:r>
        <w:rPr>
          <w:sz w:val="24"/>
        </w:rPr>
        <w:t xml:space="preserve">Adverse events within 30 days from the last treatment day of the study regimen treatment (protocol treatment), regardless of the presence or absence of a causal relationship should be completely collected. (when adverse events are reported, the causality and classification of adverse events are separately discussed) </w:t>
      </w:r>
      <w:r>
        <w:rPr>
          <w:rFonts w:eastAsia="微软雅黑"/>
          <w:sz w:val="24"/>
        </w:rPr>
        <w:t>2)</w:t>
      </w:r>
      <w:r>
        <w:rPr>
          <w:sz w:val="24"/>
        </w:rPr>
        <w:t xml:space="preserve"> Adverse events within 30 days from the last treatment day of the study regimen treatment (protocol treatment), regardless of the presence or absence of a causal relationship should be completely collected. (When adverse events are reported, the causality and classification of adverse events are separately discussed)</w:t>
      </w:r>
    </w:p>
    <w:p w14:paraId="21647428">
      <w:pPr>
        <w:adjustRightInd w:val="0"/>
        <w:snapToGrid w:val="0"/>
        <w:spacing w:line="360" w:lineRule="auto"/>
        <w:jc w:val="left"/>
        <w:rPr>
          <w:rFonts w:eastAsia="微软雅黑"/>
          <w:b/>
          <w:sz w:val="24"/>
        </w:rPr>
      </w:pPr>
      <w:r>
        <w:rPr>
          <w:rFonts w:eastAsia="微软雅黑"/>
          <w:b/>
          <w:sz w:val="24"/>
        </w:rPr>
        <w:t>12.4 Reporting of Adverse Events</w:t>
      </w:r>
    </w:p>
    <w:p w14:paraId="00329FF1">
      <w:pPr>
        <w:autoSpaceDE w:val="0"/>
        <w:autoSpaceDN w:val="0"/>
        <w:adjustRightInd w:val="0"/>
        <w:snapToGrid w:val="0"/>
        <w:spacing w:line="360" w:lineRule="auto"/>
        <w:ind w:left="463" w:hanging="463" w:hangingChars="193"/>
        <w:jc w:val="left"/>
        <w:rPr>
          <w:rFonts w:eastAsia="微软雅黑"/>
          <w:sz w:val="24"/>
        </w:rPr>
      </w:pPr>
      <w:r>
        <w:rPr>
          <w:rFonts w:eastAsia="微软雅黑"/>
          <w:sz w:val="24"/>
        </w:rPr>
        <w:sym w:font="Symbol" w:char="F0B7"/>
      </w:r>
      <w:r>
        <w:rPr>
          <w:rFonts w:eastAsia="微软雅黑"/>
          <w:sz w:val="24"/>
        </w:rPr>
        <w:t xml:space="preserve">  When “severe adverse events” or “unexpected adverse events” occur, the research responsible person should report them to the Research Committee.</w:t>
      </w:r>
    </w:p>
    <w:p w14:paraId="294207AF">
      <w:pPr>
        <w:pStyle w:val="33"/>
        <w:snapToGrid w:val="0"/>
        <w:spacing w:line="360" w:lineRule="auto"/>
        <w:ind w:left="310" w:hanging="309" w:hangingChars="129"/>
        <w:rPr>
          <w:rFonts w:ascii="Times New Roman" w:hAnsi="Times New Roman" w:eastAsia="微软雅黑" w:cs="Times New Roman"/>
          <w:color w:val="auto"/>
          <w:kern w:val="2"/>
        </w:rPr>
      </w:pPr>
      <w:r>
        <w:rPr>
          <w:rFonts w:ascii="Times New Roman" w:hAnsi="Times New Roman" w:eastAsia="微软雅黑" w:cs="Times New Roman"/>
          <w:color w:val="auto"/>
        </w:rPr>
        <w:sym w:font="Symbol" w:char="F0B7"/>
      </w:r>
      <w:r>
        <w:rPr>
          <w:rFonts w:ascii="Times New Roman" w:hAnsi="Times New Roman" w:eastAsia="微软雅黑" w:cs="Times New Roman"/>
          <w:color w:val="auto"/>
        </w:rPr>
        <w:t></w:t>
      </w:r>
      <w:r>
        <w:rPr>
          <w:rFonts w:ascii="Times New Roman" w:hAnsi="Times New Roman" w:eastAsia="微软雅黑" w:cs="Times New Roman"/>
          <w:color w:val="auto"/>
          <w:kern w:val="2"/>
        </w:rPr>
        <w:t xml:space="preserve">Based on the relevant laws and regulations, adverse events should be reported to the Health Department. Severe adverse events based on clinical research-related ethical guideline should be reported to the person in overall charge of the medical institution. The appropriate reporting procedures should be completed in accordance with the relevant provisions of the medical institutions at the same time. The person in charge of research should hold accountability and responsibility for the emergency treatment of patients with any degree of adverse events to ensure patient safety. </w:t>
      </w:r>
    </w:p>
    <w:p w14:paraId="0661924A">
      <w:pPr>
        <w:adjustRightInd w:val="0"/>
        <w:snapToGrid w:val="0"/>
        <w:spacing w:line="360" w:lineRule="auto"/>
        <w:rPr>
          <w:rFonts w:eastAsia="微软雅黑"/>
          <w:b/>
          <w:sz w:val="24"/>
        </w:rPr>
      </w:pPr>
      <w:r>
        <w:rPr>
          <w:rFonts w:eastAsia="微软雅黑"/>
          <w:b/>
          <w:sz w:val="24"/>
        </w:rPr>
        <w:t xml:space="preserve">12.4.1 Adverse Events with Reporting Obligations </w:t>
      </w:r>
    </w:p>
    <w:p w14:paraId="2C537837">
      <w:pPr>
        <w:adjustRightInd w:val="0"/>
        <w:snapToGrid w:val="0"/>
        <w:spacing w:line="360" w:lineRule="auto"/>
        <w:rPr>
          <w:rFonts w:eastAsia="微软雅黑"/>
          <w:b/>
          <w:sz w:val="24"/>
        </w:rPr>
      </w:pPr>
      <w:r>
        <w:rPr>
          <w:rFonts w:eastAsia="微软雅黑"/>
          <w:b/>
          <w:sz w:val="24"/>
        </w:rPr>
        <w:t>12.4.1.1 Adverse Events with Emergency Reporting Obligations</w:t>
      </w:r>
    </w:p>
    <w:p w14:paraId="4A1A5361">
      <w:pPr>
        <w:autoSpaceDE w:val="0"/>
        <w:autoSpaceDN w:val="0"/>
        <w:adjustRightInd w:val="0"/>
        <w:snapToGrid w:val="0"/>
        <w:spacing w:line="360" w:lineRule="auto"/>
        <w:jc w:val="left"/>
        <w:rPr>
          <w:rFonts w:eastAsia="微软雅黑"/>
          <w:sz w:val="24"/>
        </w:rPr>
      </w:pPr>
      <w:r>
        <w:rPr>
          <w:rFonts w:eastAsia="微软雅黑"/>
          <w:sz w:val="24"/>
        </w:rPr>
        <w:t xml:space="preserve">Any of the following adverse events should be reported on an emergent basis: </w:t>
      </w:r>
    </w:p>
    <w:p w14:paraId="523813C1">
      <w:pPr>
        <w:autoSpaceDE w:val="0"/>
        <w:autoSpaceDN w:val="0"/>
        <w:adjustRightInd w:val="0"/>
        <w:snapToGrid w:val="0"/>
        <w:spacing w:line="360" w:lineRule="auto"/>
        <w:ind w:left="617" w:hanging="616" w:hangingChars="257"/>
        <w:jc w:val="left"/>
        <w:rPr>
          <w:rFonts w:eastAsia="微软雅黑"/>
          <w:sz w:val="24"/>
        </w:rPr>
      </w:pPr>
      <w:r>
        <w:rPr>
          <w:rFonts w:eastAsia="微软雅黑"/>
          <w:sz w:val="24"/>
        </w:rPr>
        <w:t></w:t>
      </w:r>
      <w:r>
        <w:rPr>
          <w:rFonts w:eastAsia="微软雅黑"/>
          <w:sz w:val="24"/>
        </w:rPr>
        <w:sym w:font="Symbol" w:char="F0B7"/>
      </w:r>
      <w:r>
        <w:rPr>
          <w:rFonts w:eastAsia="微软雅黑"/>
          <w:sz w:val="24"/>
        </w:rPr>
        <w:t xml:space="preserve">All patients who die during the course of treatment or within 30 days from the last treatment day, regardless of the presence or absence of a causal relationship with the study regimen treatment. Also, cases of discontinuation of treatment, even if within 30 days from the last treatment day, those patients are also emergent reporting objects. (“30 days” refers to day 0, the final treatment day, 30 days starting from the next day)  </w:t>
      </w:r>
    </w:p>
    <w:p w14:paraId="79F5259B">
      <w:pPr>
        <w:autoSpaceDE w:val="0"/>
        <w:autoSpaceDN w:val="0"/>
        <w:adjustRightInd w:val="0"/>
        <w:snapToGrid w:val="0"/>
        <w:spacing w:line="360" w:lineRule="auto"/>
        <w:ind w:left="617" w:hanging="616" w:hangingChars="257"/>
        <w:jc w:val="left"/>
        <w:rPr>
          <w:rFonts w:eastAsia="微软雅黑"/>
          <w:sz w:val="24"/>
        </w:rPr>
      </w:pPr>
      <w:r>
        <w:rPr>
          <w:rFonts w:eastAsia="微软雅黑"/>
          <w:sz w:val="24"/>
        </w:rPr>
        <w:t></w:t>
      </w:r>
      <w:r>
        <w:rPr>
          <w:rFonts w:eastAsia="微软雅黑"/>
          <w:sz w:val="24"/>
        </w:rPr>
        <w:sym w:font="Symbol" w:char="F0B7"/>
      </w:r>
      <w:r>
        <w:rPr>
          <w:rFonts w:eastAsia="微软雅黑"/>
          <w:sz w:val="24"/>
        </w:rPr>
        <w:t xml:space="preserve">Those patients with unexpected Grade 4 non-hematologic toxicity (CTCAE v3.0 adverse events other than the blood/bone marrow group), having a causality of treatment (any of definite, probable, possible) who emergent reporting objects are. </w:t>
      </w:r>
    </w:p>
    <w:p w14:paraId="7C8EE415">
      <w:pPr>
        <w:adjustRightInd w:val="0"/>
        <w:snapToGrid w:val="0"/>
        <w:spacing w:line="360" w:lineRule="auto"/>
        <w:rPr>
          <w:rFonts w:eastAsia="微软雅黑"/>
          <w:b/>
          <w:sz w:val="24"/>
        </w:rPr>
      </w:pPr>
      <w:r>
        <w:rPr>
          <w:rFonts w:eastAsia="微软雅黑"/>
          <w:b/>
          <w:sz w:val="24"/>
        </w:rPr>
        <w:t xml:space="preserve">12.4.1.2 Adverse Events with Regular Reporting Obligations </w:t>
      </w:r>
    </w:p>
    <w:p w14:paraId="3A6E52CB">
      <w:pPr>
        <w:autoSpaceDE w:val="0"/>
        <w:autoSpaceDN w:val="0"/>
        <w:adjustRightInd w:val="0"/>
        <w:snapToGrid w:val="0"/>
        <w:spacing w:line="360" w:lineRule="auto"/>
        <w:jc w:val="left"/>
        <w:rPr>
          <w:rFonts w:eastAsia="微软雅黑"/>
          <w:sz w:val="24"/>
        </w:rPr>
      </w:pPr>
      <w:r>
        <w:rPr>
          <w:rFonts w:eastAsia="微软雅黑"/>
          <w:sz w:val="24"/>
        </w:rPr>
        <w:t xml:space="preserve">One of the following adverse events are regular reporting objects: </w:t>
      </w:r>
    </w:p>
    <w:p w14:paraId="72E2CDA3">
      <w:pPr>
        <w:autoSpaceDE w:val="0"/>
        <w:autoSpaceDN w:val="0"/>
        <w:adjustRightInd w:val="0"/>
        <w:snapToGrid w:val="0"/>
        <w:spacing w:line="360" w:lineRule="auto"/>
        <w:jc w:val="left"/>
        <w:rPr>
          <w:rFonts w:eastAsia="微软雅黑"/>
          <w:sz w:val="24"/>
        </w:rPr>
      </w:pPr>
      <w:r>
        <w:rPr>
          <w:rFonts w:eastAsia="微软雅黑"/>
          <w:sz w:val="24"/>
        </w:rPr>
        <w:t xml:space="preserve">(1) After 31 days from the last treatment day, deaths for which a causal relationship with treatment cannot be denied, including suspected treatment-related death; death due </w:t>
      </w:r>
    </w:p>
    <w:p w14:paraId="5B632DCE">
      <w:pPr>
        <w:autoSpaceDE w:val="0"/>
        <w:autoSpaceDN w:val="0"/>
        <w:adjustRightInd w:val="0"/>
        <w:snapToGrid w:val="0"/>
        <w:spacing w:line="360" w:lineRule="auto"/>
        <w:jc w:val="left"/>
        <w:rPr>
          <w:rFonts w:eastAsia="微软雅黑"/>
          <w:sz w:val="24"/>
        </w:rPr>
      </w:pPr>
      <w:r>
        <w:rPr>
          <w:rFonts w:eastAsia="微软雅黑"/>
          <w:sz w:val="24"/>
        </w:rPr>
        <w:t xml:space="preserve">to obvious primary disease is included. </w:t>
      </w:r>
    </w:p>
    <w:p w14:paraId="4147C1E6">
      <w:pPr>
        <w:autoSpaceDE w:val="0"/>
        <w:autoSpaceDN w:val="0"/>
        <w:adjustRightInd w:val="0"/>
        <w:snapToGrid w:val="0"/>
        <w:spacing w:line="360" w:lineRule="auto"/>
        <w:jc w:val="left"/>
        <w:rPr>
          <w:rFonts w:eastAsia="微软雅黑"/>
          <w:sz w:val="24"/>
        </w:rPr>
      </w:pPr>
      <w:r>
        <w:rPr>
          <w:rFonts w:eastAsia="微软雅黑"/>
          <w:sz w:val="24"/>
        </w:rPr>
        <w:t xml:space="preserve">(2) Expected Grade 4 non-hematologic toxicity (CTCAE v3.0 adverse events other than </w:t>
      </w:r>
    </w:p>
    <w:p w14:paraId="2D7A3F48">
      <w:pPr>
        <w:autoSpaceDE w:val="0"/>
        <w:autoSpaceDN w:val="0"/>
        <w:adjustRightInd w:val="0"/>
        <w:snapToGrid w:val="0"/>
        <w:spacing w:line="360" w:lineRule="auto"/>
        <w:jc w:val="left"/>
        <w:rPr>
          <w:rFonts w:eastAsia="微软雅黑"/>
          <w:sz w:val="24"/>
        </w:rPr>
      </w:pPr>
      <w:r>
        <w:rPr>
          <w:rFonts w:eastAsia="微软雅黑"/>
          <w:sz w:val="24"/>
        </w:rPr>
        <w:t xml:space="preserve">the blood/bone marrow group).  </w:t>
      </w:r>
    </w:p>
    <w:p w14:paraId="37045924">
      <w:pPr>
        <w:autoSpaceDE w:val="0"/>
        <w:autoSpaceDN w:val="0"/>
        <w:adjustRightInd w:val="0"/>
        <w:snapToGrid w:val="0"/>
        <w:spacing w:line="360" w:lineRule="auto"/>
        <w:jc w:val="left"/>
        <w:rPr>
          <w:rFonts w:eastAsia="微软雅黑"/>
          <w:sz w:val="24"/>
        </w:rPr>
      </w:pPr>
      <w:r>
        <w:rPr>
          <w:rFonts w:eastAsia="微软雅黑"/>
          <w:sz w:val="24"/>
        </w:rPr>
        <w:t xml:space="preserve">(3) Unexpected Grade 3adverse events: Grade 3 adverse events are not recorded in the </w:t>
      </w:r>
    </w:p>
    <w:p w14:paraId="09EC7D7C">
      <w:pPr>
        <w:autoSpaceDE w:val="0"/>
        <w:autoSpaceDN w:val="0"/>
        <w:adjustRightInd w:val="0"/>
        <w:snapToGrid w:val="0"/>
        <w:spacing w:line="360" w:lineRule="auto"/>
        <w:jc w:val="left"/>
        <w:rPr>
          <w:rFonts w:eastAsia="微软雅黑"/>
          <w:sz w:val="24"/>
        </w:rPr>
      </w:pPr>
      <w:r>
        <w:rPr>
          <w:rFonts w:eastAsia="微软雅黑"/>
          <w:sz w:val="24"/>
        </w:rPr>
        <w:t xml:space="preserve">12.1 expected adverse events.  </w:t>
      </w:r>
    </w:p>
    <w:p w14:paraId="1C38F5C9">
      <w:pPr>
        <w:autoSpaceDE w:val="0"/>
        <w:autoSpaceDN w:val="0"/>
        <w:adjustRightInd w:val="0"/>
        <w:snapToGrid w:val="0"/>
        <w:spacing w:line="360" w:lineRule="auto"/>
        <w:jc w:val="left"/>
        <w:rPr>
          <w:rFonts w:eastAsia="微软雅黑"/>
          <w:sz w:val="24"/>
        </w:rPr>
      </w:pPr>
      <w:r>
        <w:rPr>
          <w:rFonts w:eastAsia="微软雅黑"/>
          <w:sz w:val="24"/>
        </w:rPr>
        <w:t xml:space="preserve">(4) Data on COVID-19 diagnoses (suspected and confirmed) will be collected as routine adverse events, for the purpose of identifying cases in the future as needed for ancillary research proposals in development. </w:t>
      </w:r>
    </w:p>
    <w:p w14:paraId="11DC7C9F">
      <w:pPr>
        <w:autoSpaceDE w:val="0"/>
        <w:autoSpaceDN w:val="0"/>
        <w:adjustRightInd w:val="0"/>
        <w:snapToGrid w:val="0"/>
        <w:spacing w:line="360" w:lineRule="auto"/>
        <w:jc w:val="left"/>
        <w:rPr>
          <w:rFonts w:eastAsia="微软雅黑"/>
          <w:sz w:val="24"/>
        </w:rPr>
      </w:pPr>
      <w:r>
        <w:rPr>
          <w:rFonts w:eastAsia="微软雅黑"/>
          <w:sz w:val="24"/>
        </w:rPr>
        <w:t xml:space="preserve">(5) Other significant medical events: adverse events that the study group deems cause </w:t>
      </w:r>
    </w:p>
    <w:p w14:paraId="3EAF27AB">
      <w:pPr>
        <w:autoSpaceDE w:val="0"/>
        <w:autoSpaceDN w:val="0"/>
        <w:adjustRightInd w:val="0"/>
        <w:snapToGrid w:val="0"/>
        <w:spacing w:line="360" w:lineRule="auto"/>
        <w:jc w:val="left"/>
        <w:rPr>
          <w:rFonts w:eastAsia="微软雅黑"/>
          <w:sz w:val="24"/>
        </w:rPr>
      </w:pPr>
      <w:r>
        <w:rPr>
          <w:rFonts w:eastAsia="微软雅黑"/>
          <w:sz w:val="24"/>
        </w:rPr>
        <w:t>Important and potentially permanent, significant impact on their offspring (MDS myelodysplastic syndrome, except for secondary cancer) Adverse events among above (2)-(5), determined to have a causal relationship (any of definite, probable, possible) with the study regimen are regular reporting objects.</w:t>
      </w:r>
    </w:p>
    <w:p w14:paraId="170FF66E">
      <w:pPr>
        <w:autoSpaceDE w:val="0"/>
        <w:autoSpaceDN w:val="0"/>
        <w:adjustRightInd w:val="0"/>
        <w:snapToGrid w:val="0"/>
        <w:spacing w:line="360" w:lineRule="auto"/>
        <w:jc w:val="left"/>
        <w:rPr>
          <w:rFonts w:eastAsia="微软雅黑"/>
          <w:b/>
          <w:sz w:val="24"/>
        </w:rPr>
      </w:pPr>
      <w:r>
        <w:rPr>
          <w:rFonts w:eastAsia="微软雅黑"/>
          <w:b/>
          <w:sz w:val="24"/>
        </w:rPr>
        <w:t xml:space="preserve">12.4.2 Reporting Procedure  </w:t>
      </w:r>
    </w:p>
    <w:p w14:paraId="2E142BDC">
      <w:pPr>
        <w:adjustRightInd w:val="0"/>
        <w:snapToGrid w:val="0"/>
        <w:spacing w:line="360" w:lineRule="auto"/>
        <w:rPr>
          <w:rFonts w:eastAsia="微软雅黑"/>
          <w:b/>
          <w:sz w:val="24"/>
        </w:rPr>
      </w:pPr>
      <w:r>
        <w:rPr>
          <w:rFonts w:eastAsia="微软雅黑"/>
          <w:b/>
          <w:sz w:val="24"/>
        </w:rPr>
        <w:t xml:space="preserve">12.4.2.1 Emergency Reporting </w:t>
      </w:r>
    </w:p>
    <w:p w14:paraId="79E211D6">
      <w:pPr>
        <w:pStyle w:val="33"/>
        <w:snapToGrid w:val="0"/>
        <w:spacing w:line="360" w:lineRule="auto"/>
        <w:ind w:left="463" w:hanging="463" w:hangingChars="193"/>
        <w:rPr>
          <w:rFonts w:ascii="Times New Roman" w:hAnsi="Times New Roman" w:eastAsia="微软雅黑" w:cs="Times New Roman"/>
          <w:color w:val="auto"/>
          <w:kern w:val="2"/>
        </w:rPr>
      </w:pPr>
      <w:r>
        <w:rPr>
          <w:rFonts w:ascii="Times New Roman" w:hAnsi="Times New Roman" w:eastAsia="微软雅黑" w:cs="Times New Roman"/>
          <w:color w:val="auto"/>
          <w:kern w:val="2"/>
        </w:rPr>
        <w:t></w:t>
      </w:r>
      <w:r>
        <w:rPr>
          <w:rFonts w:ascii="Times New Roman" w:hAnsi="Times New Roman" w:eastAsia="微软雅黑" w:cs="Times New Roman"/>
          <w:color w:val="auto"/>
        </w:rPr>
        <w:sym w:font="Symbol" w:char="F0B7"/>
      </w:r>
      <w:r>
        <w:rPr>
          <w:rFonts w:ascii="Times New Roman" w:hAnsi="Times New Roman" w:eastAsia="微软雅黑" w:cs="Times New Roman"/>
          <w:color w:val="auto"/>
          <w:kern w:val="2"/>
        </w:rPr>
        <w:t xml:space="preserve"> In case of any adverse event on emergency study reporting objects, the doctor in charge will quickly report it to the research responsible person. When the research responsible person cannot be contacted, the coordinator or the doctor in charge of the hospital must assume the responsibility on behalf of the research responsible person of the hospital. </w:t>
      </w:r>
    </w:p>
    <w:p w14:paraId="3DD08AB4">
      <w:pPr>
        <w:autoSpaceDE w:val="0"/>
        <w:autoSpaceDN w:val="0"/>
        <w:adjustRightInd w:val="0"/>
        <w:snapToGrid w:val="0"/>
        <w:spacing w:line="360" w:lineRule="auto"/>
        <w:ind w:left="463" w:hanging="463" w:hangingChars="193"/>
        <w:jc w:val="left"/>
        <w:rPr>
          <w:rFonts w:eastAsia="微软雅黑"/>
          <w:sz w:val="24"/>
        </w:rPr>
      </w:pPr>
      <w:r>
        <w:rPr>
          <w:rFonts w:eastAsia="微软雅黑"/>
          <w:sz w:val="24"/>
        </w:rPr>
        <w:t></w:t>
      </w:r>
      <w:r>
        <w:rPr>
          <w:rFonts w:eastAsia="微软雅黑"/>
          <w:sz w:val="24"/>
        </w:rPr>
        <w:sym w:font="Symbol" w:char="F0B7"/>
      </w:r>
      <w:r>
        <w:rPr>
          <w:rFonts w:eastAsia="微软雅黑"/>
          <w:sz w:val="24"/>
        </w:rPr>
        <w:t xml:space="preserve"> First Reporting: Within 72 hours after the occurrence of adverse events, the research responsible person should complete the “AE/AR/ADR first emergency report” and send it to the Research Committee by email and telephone.  </w:t>
      </w:r>
    </w:p>
    <w:p w14:paraId="66DE3CF8">
      <w:pPr>
        <w:autoSpaceDE w:val="0"/>
        <w:autoSpaceDN w:val="0"/>
        <w:adjustRightInd w:val="0"/>
        <w:snapToGrid w:val="0"/>
        <w:spacing w:line="360" w:lineRule="auto"/>
        <w:ind w:left="463" w:hanging="463" w:hangingChars="193"/>
        <w:jc w:val="left"/>
        <w:rPr>
          <w:rFonts w:eastAsia="微软雅黑"/>
          <w:sz w:val="24"/>
        </w:rPr>
      </w:pPr>
      <w:r>
        <w:rPr>
          <w:rFonts w:eastAsia="微软雅黑"/>
          <w:sz w:val="24"/>
        </w:rPr>
        <w:t></w:t>
      </w:r>
      <w:r>
        <w:rPr>
          <w:rFonts w:eastAsia="微软雅黑"/>
          <w:sz w:val="24"/>
        </w:rPr>
        <w:sym w:font="Symbol" w:char="F0B7"/>
      </w:r>
      <w:r>
        <w:rPr>
          <w:rFonts w:eastAsia="微软雅黑"/>
          <w:sz w:val="24"/>
        </w:rPr>
        <w:t xml:space="preserve"> Second Reporting: The research responsible person completes the “AE/AR/ADR Report” and a more detailed case information report (A4 format), and then faxes the two reports to the Research Committee within 15 days after the occurrence of adverse events. If any autopsy examination, the autopsy result report should be submitted to the Research Committee. </w:t>
      </w:r>
    </w:p>
    <w:p w14:paraId="4D5A0CAD">
      <w:pPr>
        <w:adjustRightInd w:val="0"/>
        <w:snapToGrid w:val="0"/>
        <w:spacing w:line="360" w:lineRule="auto"/>
        <w:rPr>
          <w:rFonts w:eastAsia="微软雅黑"/>
          <w:b/>
          <w:sz w:val="24"/>
        </w:rPr>
      </w:pPr>
      <w:r>
        <w:rPr>
          <w:rFonts w:eastAsia="微软雅黑"/>
          <w:b/>
          <w:sz w:val="24"/>
        </w:rPr>
        <w:t xml:space="preserve">12.4.2.2 General Reports </w:t>
      </w:r>
    </w:p>
    <w:p w14:paraId="310FD8CE">
      <w:pPr>
        <w:autoSpaceDE w:val="0"/>
        <w:autoSpaceDN w:val="0"/>
        <w:adjustRightInd w:val="0"/>
        <w:snapToGrid w:val="0"/>
        <w:spacing w:line="360" w:lineRule="auto"/>
        <w:ind w:left="463" w:hanging="463" w:hangingChars="193"/>
        <w:jc w:val="left"/>
        <w:rPr>
          <w:rFonts w:eastAsia="微软雅黑"/>
          <w:sz w:val="24"/>
        </w:rPr>
      </w:pPr>
      <w:r>
        <w:rPr>
          <w:rFonts w:eastAsia="微软雅黑"/>
          <w:sz w:val="24"/>
        </w:rPr>
        <w:t></w:t>
      </w:r>
      <w:r>
        <w:rPr>
          <w:rFonts w:eastAsia="微软雅黑"/>
          <w:sz w:val="24"/>
        </w:rPr>
        <w:sym w:font="Symbol" w:char="F0B7"/>
      </w:r>
      <w:r>
        <w:rPr>
          <w:rFonts w:eastAsia="微软雅黑"/>
          <w:sz w:val="24"/>
        </w:rPr>
        <w:t xml:space="preserve"> The research responsible person completes the “AE/AR/ADR report”, and then faxes it to the Research Committee within 15 days after the occurrence of adverse events. </w:t>
      </w:r>
    </w:p>
    <w:p w14:paraId="47B43963">
      <w:pPr>
        <w:autoSpaceDE w:val="0"/>
        <w:autoSpaceDN w:val="0"/>
        <w:adjustRightInd w:val="0"/>
        <w:snapToGrid w:val="0"/>
        <w:spacing w:line="360" w:lineRule="auto"/>
        <w:jc w:val="left"/>
        <w:rPr>
          <w:rFonts w:eastAsia="微软雅黑"/>
          <w:b/>
          <w:sz w:val="24"/>
        </w:rPr>
      </w:pPr>
      <w:r>
        <w:rPr>
          <w:rFonts w:eastAsia="微软雅黑"/>
          <w:b/>
          <w:sz w:val="24"/>
        </w:rPr>
        <w:t xml:space="preserve">12.5 Review of Efficacy and Safety Evaluation Committee  </w:t>
      </w:r>
    </w:p>
    <w:p w14:paraId="088AD6C1">
      <w:pPr>
        <w:autoSpaceDE w:val="0"/>
        <w:autoSpaceDN w:val="0"/>
        <w:adjustRightInd w:val="0"/>
        <w:snapToGrid w:val="0"/>
        <w:spacing w:line="360" w:lineRule="auto"/>
        <w:ind w:firstLine="463" w:firstLineChars="193"/>
        <w:jc w:val="left"/>
        <w:rPr>
          <w:rFonts w:eastAsia="微软雅黑"/>
          <w:sz w:val="24"/>
        </w:rPr>
      </w:pPr>
      <w:r>
        <w:rPr>
          <w:rFonts w:eastAsia="微软雅黑"/>
          <w:sz w:val="24"/>
        </w:rPr>
        <w:t xml:space="preserve">The Efficacy and Safety Evaluation Committee reviews and discusses the report in accordance with the procedures recorded in the </w:t>
      </w:r>
      <w:r>
        <w:rPr>
          <w:rFonts w:eastAsia="微软雅黑"/>
          <w:i/>
          <w:iCs/>
          <w:sz w:val="24"/>
        </w:rPr>
        <w:t>Clinical Safety Information Management Guideline</w:t>
      </w:r>
      <w:r>
        <w:rPr>
          <w:rFonts w:eastAsia="微软雅黑"/>
          <w:sz w:val="24"/>
        </w:rPr>
        <w:t>, and makes recommendations in writing for the research responsible person, including whether to continue to include study objects or to modify the study protocol.</w:t>
      </w:r>
    </w:p>
    <w:p w14:paraId="1265FA62">
      <w:pPr>
        <w:adjustRightInd w:val="0"/>
        <w:snapToGrid w:val="0"/>
        <w:spacing w:line="360" w:lineRule="auto"/>
        <w:outlineLvl w:val="0"/>
        <w:rPr>
          <w:rFonts w:eastAsia="微软雅黑"/>
          <w:b/>
          <w:sz w:val="28"/>
          <w:szCs w:val="28"/>
        </w:rPr>
      </w:pPr>
      <w:bookmarkStart w:id="144" w:name="_Toc13389"/>
      <w:r>
        <w:rPr>
          <w:rFonts w:eastAsia="微软雅黑"/>
          <w:b/>
          <w:sz w:val="30"/>
          <w:szCs w:val="30"/>
        </w:rPr>
        <w:t xml:space="preserve">13. </w:t>
      </w:r>
      <w:r>
        <w:rPr>
          <w:b/>
          <w:sz w:val="30"/>
          <w:szCs w:val="30"/>
        </w:rPr>
        <w:t>Ethical Considerations</w:t>
      </w:r>
      <w:bookmarkEnd w:id="144"/>
    </w:p>
    <w:p w14:paraId="4A608CAC">
      <w:pPr>
        <w:adjustRightInd w:val="0"/>
        <w:snapToGrid w:val="0"/>
        <w:spacing w:line="360" w:lineRule="auto"/>
        <w:jc w:val="left"/>
        <w:rPr>
          <w:rFonts w:eastAsia="微软雅黑"/>
          <w:b/>
          <w:sz w:val="24"/>
        </w:rPr>
      </w:pPr>
      <w:r>
        <w:rPr>
          <w:rFonts w:eastAsia="微软雅黑"/>
          <w:b/>
          <w:sz w:val="24"/>
        </w:rPr>
        <w:t xml:space="preserve">13.1 </w:t>
      </w:r>
      <w:r>
        <w:rPr>
          <w:b/>
          <w:sz w:val="24"/>
        </w:rPr>
        <w:t>Responsibilities of researchers</w:t>
      </w:r>
      <w:r>
        <w:rPr>
          <w:rFonts w:eastAsia="微软雅黑"/>
          <w:b/>
          <w:sz w:val="24"/>
        </w:rPr>
        <w:t xml:space="preserve"> </w:t>
      </w:r>
    </w:p>
    <w:p w14:paraId="5CC02ECE">
      <w:pPr>
        <w:spacing w:line="360" w:lineRule="auto"/>
        <w:ind w:firstLine="480" w:firstLineChars="200"/>
        <w:rPr>
          <w:rFonts w:eastAsia="微软雅黑"/>
          <w:sz w:val="24"/>
        </w:rPr>
      </w:pPr>
      <w:r>
        <w:rPr>
          <w:rFonts w:eastAsia="微软雅黑"/>
          <w:sz w:val="24"/>
        </w:rPr>
        <w:t xml:space="preserve">The investigators are responsible for the conduction of this study. The investigators will ensure the implementation of this study in accordance with the study protocol and in compliance with the Declaration of Helsinki, as well as domestic and international ethical guiding principles and applicable regulatory requirements. It is specially noted that, the investigators must ensure that only subjects providing informed consent can be enrolled in this study. </w:t>
      </w:r>
    </w:p>
    <w:p w14:paraId="15E82321">
      <w:pPr>
        <w:adjustRightInd w:val="0"/>
        <w:snapToGrid w:val="0"/>
        <w:spacing w:line="360" w:lineRule="auto"/>
        <w:jc w:val="left"/>
        <w:rPr>
          <w:rFonts w:eastAsia="微软雅黑"/>
          <w:b/>
          <w:sz w:val="24"/>
        </w:rPr>
      </w:pPr>
      <w:r>
        <w:rPr>
          <w:rFonts w:eastAsia="微软雅黑"/>
          <w:b/>
          <w:sz w:val="24"/>
        </w:rPr>
        <w:t>13.2</w:t>
      </w:r>
      <w:r>
        <w:rPr>
          <w:b/>
          <w:sz w:val="24"/>
        </w:rPr>
        <w:t xml:space="preserve"> Information and Informed Consent of Subjects </w:t>
      </w:r>
    </w:p>
    <w:p w14:paraId="606B258C">
      <w:pPr>
        <w:adjustRightInd w:val="0"/>
        <w:snapToGrid w:val="0"/>
        <w:spacing w:line="360" w:lineRule="auto"/>
        <w:ind w:firstLine="480" w:firstLineChars="200"/>
        <w:rPr>
          <w:rFonts w:eastAsia="微软雅黑"/>
          <w:sz w:val="24"/>
        </w:rPr>
      </w:pPr>
      <w:r>
        <w:rPr>
          <w:rFonts w:eastAsia="微软雅黑"/>
          <w:sz w:val="24"/>
        </w:rPr>
        <w:t xml:space="preserve">An unconditional prerequisite for subjects to participate in this study is his/her written informed consent. The written informed consent of subjects participating in this study must be given before study-related activities are conducted. </w:t>
      </w:r>
    </w:p>
    <w:p w14:paraId="574B7678">
      <w:pPr>
        <w:adjustRightInd w:val="0"/>
        <w:snapToGrid w:val="0"/>
        <w:spacing w:line="360" w:lineRule="auto"/>
        <w:ind w:firstLine="480" w:firstLineChars="200"/>
        <w:rPr>
          <w:rFonts w:eastAsia="微软雅黑"/>
          <w:sz w:val="24"/>
        </w:rPr>
      </w:pPr>
      <w:r>
        <w:rPr>
          <w:rFonts w:eastAsia="微软雅黑"/>
          <w:sz w:val="24"/>
        </w:rPr>
        <w:t xml:space="preserve">Therefore, before obtaining informed consent, the investigators must provide sufficient information to the subjects. In order to obtain the informed consent, the investigators will provide the information page to subjects, and the information required to comply with the applicable regulatory requirements. While providing written information, the investigators will orally inform the subjects of all the relevant circumstances of this study. In this process, the information must be fully and easily understood by non-professionals, so that they can sign the informed consent form according to their own will on the basis of their full understanding of this study. </w:t>
      </w:r>
    </w:p>
    <w:p w14:paraId="3EB7FBAC">
      <w:pPr>
        <w:adjustRightInd w:val="0"/>
        <w:snapToGrid w:val="0"/>
        <w:spacing w:line="360" w:lineRule="auto"/>
        <w:ind w:firstLine="480" w:firstLineChars="200"/>
        <w:rPr>
          <w:rFonts w:eastAsia="微软雅黑"/>
          <w:sz w:val="24"/>
        </w:rPr>
      </w:pPr>
      <w:r>
        <w:rPr>
          <w:rFonts w:eastAsia="微软雅黑"/>
          <w:sz w:val="24"/>
        </w:rPr>
        <w:t xml:space="preserve">The informed consent form must be signed and dated personally by the subjects and investigators. All subjects will be asked to sign the informed consent form to prove that they agree to participate in the study. The signed informed consent form should be kept at the research center and must be properly safe kept for future review at any time during audit and inspection throughout the inspection period. Before participating in the study, the subjects should provide a copy of signed and dated informed consent form. </w:t>
      </w:r>
    </w:p>
    <w:p w14:paraId="304DA315">
      <w:pPr>
        <w:adjustRightInd w:val="0"/>
        <w:snapToGrid w:val="0"/>
        <w:spacing w:line="360" w:lineRule="auto"/>
        <w:ind w:firstLine="480" w:firstLineChars="200"/>
        <w:rPr>
          <w:rFonts w:eastAsia="微软雅黑"/>
          <w:sz w:val="24"/>
        </w:rPr>
      </w:pPr>
      <w:r>
        <w:rPr>
          <w:rFonts w:eastAsia="微软雅黑"/>
          <w:sz w:val="24"/>
        </w:rPr>
        <w:t xml:space="preserve">At any time, if important new information becomes available that may be related to the consent of the subjects, the investigators will revise the information pages and any other written information which must be submitted to the IEC/IRB for review and approval. The revised information approved will be provided to each subject participating the study. The researchers will explain the changes made to the previous version of ICF to the subjects </w:t>
      </w:r>
    </w:p>
    <w:p w14:paraId="1050303A">
      <w:pPr>
        <w:adjustRightInd w:val="0"/>
        <w:snapToGrid w:val="0"/>
        <w:spacing w:line="360" w:lineRule="auto"/>
        <w:jc w:val="left"/>
        <w:rPr>
          <w:rFonts w:eastAsia="微软雅黑"/>
          <w:b/>
          <w:sz w:val="24"/>
        </w:rPr>
      </w:pPr>
      <w:r>
        <w:rPr>
          <w:rFonts w:eastAsia="微软雅黑"/>
          <w:b/>
          <w:sz w:val="24"/>
        </w:rPr>
        <w:t xml:space="preserve">13.3 </w:t>
      </w:r>
      <w:r>
        <w:rPr>
          <w:b/>
          <w:sz w:val="24"/>
        </w:rPr>
        <w:t>Identity and Privacy of Subjects</w:t>
      </w:r>
    </w:p>
    <w:p w14:paraId="1A2F4C9D">
      <w:pPr>
        <w:adjustRightInd w:val="0"/>
        <w:snapToGrid w:val="0"/>
        <w:spacing w:line="360" w:lineRule="auto"/>
        <w:ind w:firstLine="480" w:firstLineChars="200"/>
        <w:rPr>
          <w:rFonts w:eastAsia="微软雅黑"/>
          <w:sz w:val="24"/>
        </w:rPr>
      </w:pPr>
      <w:r>
        <w:rPr>
          <w:rFonts w:eastAsia="微软雅黑"/>
          <w:sz w:val="24"/>
        </w:rPr>
        <w:t xml:space="preserve">After obtaining an informed consent form, each selected subject is assigned a subject number (Allocation Number). This number will represent the identity of the subject during the entire study and for the clinical research database of the study. The collected data of subjects in the study will be stored in the ID. </w:t>
      </w:r>
    </w:p>
    <w:p w14:paraId="189F592B">
      <w:pPr>
        <w:adjustRightInd w:val="0"/>
        <w:snapToGrid w:val="0"/>
        <w:spacing w:line="360" w:lineRule="auto"/>
        <w:ind w:firstLine="480" w:firstLineChars="200"/>
        <w:rPr>
          <w:rFonts w:eastAsia="微软雅黑"/>
          <w:sz w:val="24"/>
        </w:rPr>
      </w:pPr>
      <w:r>
        <w:rPr>
          <w:rFonts w:eastAsia="微软雅黑"/>
          <w:sz w:val="24"/>
        </w:rPr>
        <w:t xml:space="preserve">Throughout the entire study, several measures will be taken to minimize any breaches of personal information, including: (1) only the investigators will be able to link to the research data of the subjects to themselves through the identify table kept at the research center after authorization; (2) during onsite auditing of raw data by the supervisors of this study, as well as relevant inspection and inspection visits by the  supervision departments, the personnel engaging in the above activities may view the original medical information of subjects that will be kept strictly confidential. </w:t>
      </w:r>
    </w:p>
    <w:p w14:paraId="752B4625">
      <w:pPr>
        <w:adjustRightInd w:val="0"/>
        <w:snapToGrid w:val="0"/>
        <w:spacing w:line="360" w:lineRule="auto"/>
        <w:ind w:firstLine="480" w:firstLineChars="200"/>
        <w:rPr>
          <w:rFonts w:eastAsia="微软雅黑"/>
          <w:sz w:val="24"/>
        </w:rPr>
      </w:pPr>
      <w:r>
        <w:rPr>
          <w:rFonts w:eastAsia="微软雅黑"/>
          <w:sz w:val="24"/>
        </w:rPr>
        <w:t>Collection, transmission, handling and storage of data on study subjects will comply with the data protection and privacy regulations. This information will be provided to the study subjects when their informed consent is being obtained for treatment procedures in accordance with national regulations.</w:t>
      </w:r>
    </w:p>
    <w:p w14:paraId="32DA893B">
      <w:pPr>
        <w:adjustRightInd w:val="0"/>
        <w:snapToGrid w:val="0"/>
        <w:spacing w:line="360" w:lineRule="auto"/>
        <w:jc w:val="left"/>
        <w:rPr>
          <w:rFonts w:eastAsia="微软雅黑"/>
          <w:b/>
          <w:sz w:val="24"/>
        </w:rPr>
      </w:pPr>
      <w:r>
        <w:rPr>
          <w:rFonts w:eastAsia="微软雅黑"/>
          <w:b/>
          <w:sz w:val="24"/>
        </w:rPr>
        <w:t xml:space="preserve">13.4 Independent Ethics Committee or Institutional Review Committee </w:t>
      </w:r>
    </w:p>
    <w:p w14:paraId="7E10F89D">
      <w:pPr>
        <w:adjustRightInd w:val="0"/>
        <w:snapToGrid w:val="0"/>
        <w:spacing w:line="360" w:lineRule="auto"/>
        <w:ind w:firstLine="480" w:firstLineChars="200"/>
        <w:rPr>
          <w:rFonts w:eastAsia="微软雅黑"/>
          <w:sz w:val="24"/>
        </w:rPr>
      </w:pPr>
      <w:r>
        <w:rPr>
          <w:rFonts w:eastAsia="微软雅黑"/>
          <w:sz w:val="24"/>
        </w:rPr>
        <w:t>Before beginning the study, the Research Center will be responsible for submitting the study protocol and relevant documents (informed consent form, subject information page, CRF, and other documents that may be required) to the Independent Ethics Committee (IEC)/ Institutional Review Board (IRB) to obtain their favorable opinion/approval. The favorable opinions/approval documents of the IEC/IRB will be archived in the research center folders of the investigators.</w:t>
      </w:r>
    </w:p>
    <w:p w14:paraId="49B40DCD">
      <w:pPr>
        <w:adjustRightInd w:val="0"/>
        <w:snapToGrid w:val="0"/>
        <w:spacing w:line="360" w:lineRule="auto"/>
        <w:ind w:firstLine="480" w:firstLineChars="200"/>
        <w:rPr>
          <w:rFonts w:eastAsia="微软雅黑"/>
          <w:sz w:val="24"/>
        </w:rPr>
      </w:pPr>
      <w:r>
        <w:rPr>
          <w:rFonts w:eastAsia="微软雅黑"/>
          <w:sz w:val="24"/>
        </w:rPr>
        <w:t xml:space="preserve">Before beginning the study at the center, the investigators must obtain written   proof of favorable opinions/approval by the IEC/IRB, and should provide written proof of the date of the favorable opinions/approval meeting, written proof of the members presenting at the meeting and voting members, written proof of recording the reviewed study, protocol version and Informed Consent Form version, and if possible, a copy of the minutes. </w:t>
      </w:r>
    </w:p>
    <w:p w14:paraId="5CAAAFE9">
      <w:pPr>
        <w:adjustRightInd w:val="0"/>
        <w:snapToGrid w:val="0"/>
        <w:spacing w:line="360" w:lineRule="auto"/>
        <w:ind w:firstLine="480" w:firstLineChars="200"/>
        <w:rPr>
          <w:rFonts w:eastAsia="微软雅黑"/>
          <w:sz w:val="24"/>
        </w:rPr>
      </w:pPr>
      <w:r>
        <w:rPr>
          <w:rFonts w:eastAsia="微软雅黑"/>
          <w:sz w:val="24"/>
        </w:rPr>
        <w:t xml:space="preserve">In case of major revisions to this study, the amendment of the study protocol will be submitted to the IEC/IRB prior to performing the study. In the course of the study, the relevant safety information will be submitted to the IEC/IRB in accordance with national regulations and requirements. </w:t>
      </w:r>
    </w:p>
    <w:p w14:paraId="270E8953">
      <w:pPr>
        <w:adjustRightInd w:val="0"/>
        <w:snapToGrid w:val="0"/>
        <w:spacing w:line="360" w:lineRule="auto"/>
        <w:jc w:val="left"/>
        <w:rPr>
          <w:rFonts w:eastAsia="微软雅黑"/>
          <w:b/>
          <w:sz w:val="24"/>
        </w:rPr>
      </w:pPr>
      <w:r>
        <w:rPr>
          <w:rFonts w:eastAsia="微软雅黑"/>
          <w:b/>
          <w:sz w:val="24"/>
        </w:rPr>
        <w:t xml:space="preserve">13.5 </w:t>
      </w:r>
      <w:r>
        <w:rPr>
          <w:b/>
          <w:sz w:val="24"/>
        </w:rPr>
        <w:t>Supervising</w:t>
      </w:r>
    </w:p>
    <w:p w14:paraId="13F596BE">
      <w:pPr>
        <w:spacing w:line="360" w:lineRule="auto"/>
        <w:ind w:firstLine="480" w:firstLineChars="200"/>
        <w:rPr>
          <w:sz w:val="24"/>
        </w:rPr>
      </w:pPr>
      <w:r>
        <w:rPr>
          <w:sz w:val="24"/>
        </w:rPr>
        <w:t>The research approach of the authorities and any associated files (such as the research protocol, subjects’ informed consent) will be in accordance with the requirements of the ethical review board of biomedical research involving humans (Trial) (2007) and the applicable Chinese laws and regulations. Studies should provide the main references or inform the ethics review guidance advisory organization of the provincial health administrative department.</w:t>
      </w:r>
    </w:p>
    <w:p w14:paraId="5043545F">
      <w:pPr>
        <w:adjustRightInd w:val="0"/>
        <w:snapToGrid w:val="0"/>
        <w:spacing w:line="360" w:lineRule="auto"/>
        <w:rPr>
          <w:rFonts w:eastAsia="微软雅黑"/>
          <w:b/>
          <w:sz w:val="28"/>
          <w:szCs w:val="28"/>
        </w:rPr>
      </w:pPr>
      <w:r>
        <w:rPr>
          <w:rFonts w:eastAsia="微软雅黑"/>
          <w:b/>
          <w:sz w:val="28"/>
          <w:szCs w:val="28"/>
        </w:rPr>
        <w:t>14. Organizations and Responsibilities of Study</w:t>
      </w:r>
    </w:p>
    <w:p w14:paraId="3AF167A6">
      <w:pPr>
        <w:adjustRightInd w:val="0"/>
        <w:snapToGrid w:val="0"/>
        <w:spacing w:line="360" w:lineRule="auto"/>
        <w:jc w:val="left"/>
        <w:rPr>
          <w:rFonts w:eastAsia="微软雅黑"/>
          <w:b/>
          <w:sz w:val="24"/>
        </w:rPr>
      </w:pPr>
      <w:r>
        <w:rPr>
          <w:rFonts w:eastAsia="微软雅黑"/>
          <w:b/>
          <w:sz w:val="24"/>
        </w:rPr>
        <w:t xml:space="preserve">14.1 Research Committee </w:t>
      </w:r>
    </w:p>
    <w:p w14:paraId="3EF9043E">
      <w:pPr>
        <w:pStyle w:val="25"/>
        <w:numPr>
          <w:ilvl w:val="0"/>
          <w:numId w:val="18"/>
        </w:numPr>
        <w:adjustRightInd w:val="0"/>
        <w:snapToGrid w:val="0"/>
        <w:spacing w:line="360" w:lineRule="auto"/>
        <w:ind w:firstLineChars="0"/>
        <w:rPr>
          <w:rFonts w:eastAsia="微软雅黑"/>
          <w:sz w:val="24"/>
        </w:rPr>
      </w:pPr>
      <w:r>
        <w:rPr>
          <w:rFonts w:eastAsia="微软雅黑"/>
          <w:sz w:val="24"/>
        </w:rPr>
        <w:t xml:space="preserve">Responsible for developing study protocol, auditing eligibility for inclusion and guiding the interpretation of informed consent; also responsible for the collection of adverse event reports, guiding the clinical diagnosis and treatment of such events and the emergency intervention of serious adverse events. </w:t>
      </w:r>
    </w:p>
    <w:p w14:paraId="0BFAE650">
      <w:pPr>
        <w:pStyle w:val="25"/>
        <w:numPr>
          <w:ilvl w:val="0"/>
          <w:numId w:val="18"/>
        </w:numPr>
        <w:adjustRightInd w:val="0"/>
        <w:snapToGrid w:val="0"/>
        <w:spacing w:line="360" w:lineRule="auto"/>
        <w:ind w:left="0" w:firstLine="0" w:firstLineChars="0"/>
        <w:rPr>
          <w:rFonts w:eastAsia="微软雅黑"/>
          <w:sz w:val="24"/>
        </w:rPr>
      </w:pPr>
      <w:r>
        <w:rPr>
          <w:rFonts w:eastAsia="微软雅黑"/>
          <w:sz w:val="24"/>
        </w:rPr>
        <w:t>Person in Charge of Research Committee: Chang-Ming Huang (</w:t>
      </w:r>
      <w:r>
        <w:rPr>
          <w:sz w:val="24"/>
          <w:lang w:bidi="ar"/>
        </w:rPr>
        <w:t xml:space="preserve">Department of      </w:t>
      </w:r>
    </w:p>
    <w:p w14:paraId="2F19A611">
      <w:pPr>
        <w:pStyle w:val="25"/>
        <w:adjustRightInd w:val="0"/>
        <w:snapToGrid w:val="0"/>
        <w:spacing w:line="360" w:lineRule="auto"/>
        <w:ind w:left="479" w:leftChars="228" w:firstLine="0" w:firstLineChars="0"/>
        <w:rPr>
          <w:rFonts w:eastAsia="微软雅黑"/>
          <w:sz w:val="24"/>
        </w:rPr>
      </w:pPr>
      <w:r>
        <w:rPr>
          <w:sz w:val="24"/>
          <w:lang w:bidi="ar"/>
        </w:rPr>
        <w:t>Gastric Surgery, Fujian Medical University Union Hospital</w:t>
      </w:r>
      <w:r>
        <w:rPr>
          <w:rFonts w:eastAsia="微软雅黑"/>
          <w:sz w:val="24"/>
        </w:rPr>
        <w:t xml:space="preserve">) Add: </w:t>
      </w:r>
      <w:r>
        <w:rPr>
          <w:sz w:val="24"/>
        </w:rPr>
        <w:t>Department of Gastric Surgery, Fujian Medical University Union Hospital, No.29 Xinquan Road, Fuzhou 350001, Fujian Province, China</w:t>
      </w:r>
      <w:r>
        <w:rPr>
          <w:rFonts w:eastAsia="微软雅黑"/>
          <w:sz w:val="24"/>
        </w:rPr>
        <w:t>; Post code:350001; Tel:0591-83357896-8011; Fax:0591-83363366; Mobile:13805069676; E-mail:</w:t>
      </w:r>
      <w:r>
        <w:fldChar w:fldCharType="begin"/>
      </w:r>
      <w:r>
        <w:instrText xml:space="preserve"> HYPERLINK "mailto:hcmlr2002@163.com" </w:instrText>
      </w:r>
      <w:r>
        <w:fldChar w:fldCharType="separate"/>
      </w:r>
      <w:r>
        <w:rPr>
          <w:rStyle w:val="17"/>
          <w:rFonts w:eastAsia="微软雅黑"/>
          <w:color w:val="auto"/>
          <w:sz w:val="24"/>
        </w:rPr>
        <w:t>hcmlr2002@163.com</w:t>
      </w:r>
      <w:r>
        <w:rPr>
          <w:rStyle w:val="17"/>
          <w:rFonts w:eastAsia="微软雅黑"/>
          <w:color w:val="auto"/>
          <w:sz w:val="24"/>
        </w:rPr>
        <w:fldChar w:fldCharType="end"/>
      </w:r>
    </w:p>
    <w:p w14:paraId="59EC1A22">
      <w:pPr>
        <w:pStyle w:val="25"/>
        <w:numPr>
          <w:ilvl w:val="0"/>
          <w:numId w:val="19"/>
        </w:numPr>
        <w:adjustRightInd w:val="0"/>
        <w:snapToGrid w:val="0"/>
        <w:spacing w:line="360" w:lineRule="auto"/>
        <w:ind w:firstLineChars="0"/>
        <w:rPr>
          <w:rFonts w:eastAsia="微软雅黑"/>
          <w:sz w:val="24"/>
        </w:rPr>
      </w:pPr>
      <w:r>
        <w:rPr>
          <w:rFonts w:eastAsia="微软雅黑"/>
          <w:sz w:val="24"/>
        </w:rPr>
        <w:t>Chief Statistical Expert of Research Committee: Zhi-Jian Hu (Department of Preventive Medicine statistics, School of Public health, Fujian Medical University)</w:t>
      </w:r>
    </w:p>
    <w:p w14:paraId="4045065C">
      <w:pPr>
        <w:adjustRightInd w:val="0"/>
        <w:snapToGrid w:val="0"/>
        <w:spacing w:line="360" w:lineRule="auto"/>
        <w:jc w:val="left"/>
        <w:rPr>
          <w:rFonts w:eastAsia="微软雅黑"/>
          <w:b/>
          <w:sz w:val="24"/>
        </w:rPr>
      </w:pPr>
      <w:r>
        <w:rPr>
          <w:rFonts w:eastAsia="微软雅黑"/>
          <w:b/>
          <w:sz w:val="24"/>
        </w:rPr>
        <w:t>14.2 Efficacy and Safety Evaluation Committee</w:t>
      </w:r>
    </w:p>
    <w:p w14:paraId="0FBAFE96">
      <w:pPr>
        <w:numPr>
          <w:ilvl w:val="0"/>
          <w:numId w:val="31"/>
        </w:numPr>
        <w:adjustRightInd w:val="0"/>
        <w:snapToGrid w:val="0"/>
        <w:spacing w:line="360" w:lineRule="auto"/>
        <w:rPr>
          <w:rFonts w:eastAsia="微软雅黑"/>
          <w:sz w:val="24"/>
        </w:rPr>
      </w:pPr>
      <w:r>
        <w:rPr>
          <w:rFonts w:eastAsia="微软雅黑"/>
          <w:sz w:val="24"/>
        </w:rPr>
        <w:t xml:space="preserve">Responsible for the supervision/monitoring of treatment safety and efficacy of this study. </w:t>
      </w:r>
    </w:p>
    <w:p w14:paraId="45A248C0">
      <w:pPr>
        <w:pStyle w:val="25"/>
        <w:numPr>
          <w:ilvl w:val="0"/>
          <w:numId w:val="31"/>
        </w:numPr>
        <w:spacing w:line="360" w:lineRule="auto"/>
        <w:ind w:firstLineChars="0"/>
        <w:rPr>
          <w:rFonts w:eastAsia="微软雅黑"/>
          <w:sz w:val="24"/>
        </w:rPr>
      </w:pPr>
      <w:r>
        <w:rPr>
          <w:rFonts w:eastAsia="微软雅黑"/>
          <w:sz w:val="24"/>
        </w:rPr>
        <w:t>Person in Charge of Efficacy and Safety Evaluation Committee: Changming Huang (</w:t>
      </w:r>
      <w:r>
        <w:rPr>
          <w:sz w:val="24"/>
          <w:lang w:bidi="ar"/>
        </w:rPr>
        <w:t>Department of Gastric Surgery, Fujian Medical University Union Hospital</w:t>
      </w:r>
      <w:r>
        <w:rPr>
          <w:rFonts w:eastAsia="微软雅黑"/>
          <w:sz w:val="24"/>
        </w:rPr>
        <w:t>)</w:t>
      </w:r>
    </w:p>
    <w:p w14:paraId="68DFB0F4">
      <w:pPr>
        <w:adjustRightInd w:val="0"/>
        <w:snapToGrid w:val="0"/>
        <w:spacing w:line="360" w:lineRule="auto"/>
        <w:jc w:val="left"/>
        <w:rPr>
          <w:rFonts w:eastAsia="微软雅黑"/>
          <w:b/>
          <w:sz w:val="24"/>
        </w:rPr>
      </w:pPr>
      <w:r>
        <w:rPr>
          <w:rFonts w:eastAsia="微软雅黑"/>
          <w:b/>
          <w:sz w:val="24"/>
        </w:rPr>
        <w:t xml:space="preserve">14.3 Independent Ethics Committee/Institutional Review Board (IEC/IRB) </w:t>
      </w:r>
    </w:p>
    <w:p w14:paraId="1E223F27">
      <w:pPr>
        <w:adjustRightInd w:val="0"/>
        <w:snapToGrid w:val="0"/>
        <w:spacing w:line="360" w:lineRule="auto"/>
        <w:rPr>
          <w:rFonts w:eastAsia="微软雅黑"/>
          <w:sz w:val="24"/>
        </w:rPr>
      </w:pPr>
      <w:r>
        <w:rPr>
          <w:rFonts w:eastAsia="微软雅黑"/>
          <w:sz w:val="24"/>
        </w:rPr>
        <w:t>  Responsible for evaluating this study to determine if risks to which subjects are exposed have been duly minimized and whether these risks are reasonable compared to expected benefits.</w:t>
      </w:r>
    </w:p>
    <w:p w14:paraId="32D1DA4A">
      <w:pPr>
        <w:adjustRightInd w:val="0"/>
        <w:snapToGrid w:val="0"/>
        <w:spacing w:line="360" w:lineRule="auto"/>
        <w:ind w:firstLine="480" w:firstLineChars="200"/>
        <w:rPr>
          <w:rFonts w:eastAsia="微软雅黑"/>
          <w:sz w:val="24"/>
        </w:rPr>
      </w:pPr>
      <w:r>
        <w:rPr>
          <w:rFonts w:eastAsia="微软雅黑"/>
          <w:sz w:val="24"/>
        </w:rPr>
        <w:t>The independent Ethics Committee/Institutional Review Board (IEC/IRB) is responsible for the ethics review.</w:t>
      </w:r>
    </w:p>
    <w:p w14:paraId="6C6C7822">
      <w:pPr>
        <w:adjustRightInd w:val="0"/>
        <w:snapToGrid w:val="0"/>
        <w:spacing w:line="360" w:lineRule="auto"/>
        <w:ind w:firstLine="480" w:firstLineChars="200"/>
        <w:rPr>
          <w:rFonts w:eastAsia="微软雅黑"/>
          <w:sz w:val="24"/>
        </w:rPr>
      </w:pPr>
    </w:p>
    <w:p w14:paraId="411FD4EE">
      <w:pPr>
        <w:adjustRightInd w:val="0"/>
        <w:snapToGrid w:val="0"/>
        <w:spacing w:line="360" w:lineRule="auto"/>
        <w:jc w:val="left"/>
        <w:outlineLvl w:val="0"/>
        <w:rPr>
          <w:rFonts w:eastAsia="微软雅黑"/>
          <w:b/>
          <w:sz w:val="30"/>
          <w:szCs w:val="30"/>
        </w:rPr>
      </w:pPr>
      <w:bookmarkStart w:id="145" w:name="_Toc1517"/>
      <w:r>
        <w:rPr>
          <w:rFonts w:eastAsia="微软雅黑"/>
          <w:b/>
          <w:sz w:val="30"/>
          <w:szCs w:val="30"/>
        </w:rPr>
        <w:t>15. References</w:t>
      </w:r>
      <w:bookmarkEnd w:id="145"/>
    </w:p>
    <w:p w14:paraId="793A9FCD">
      <w:pPr>
        <w:numPr>
          <w:ilvl w:val="0"/>
          <w:numId w:val="32"/>
        </w:numPr>
        <w:adjustRightInd w:val="0"/>
        <w:snapToGrid w:val="0"/>
        <w:spacing w:line="360" w:lineRule="auto"/>
        <w:jc w:val="left"/>
        <w:rPr>
          <w:rFonts w:eastAsia="微软雅黑"/>
          <w:bCs/>
          <w:sz w:val="24"/>
        </w:rPr>
      </w:pPr>
      <w:r>
        <w:rPr>
          <w:rFonts w:eastAsia="微软雅黑"/>
          <w:bCs/>
          <w:sz w:val="24"/>
        </w:rPr>
        <w:t xml:space="preserve">    </w:t>
      </w:r>
      <w:r>
        <w:rPr>
          <w:sz w:val="20"/>
        </w:rPr>
        <w:t xml:space="preserve">Sung H, Ferlay J, Siegel RL, et al. Global Cancer Statistics 2020: GLOBOCAN Estimates of   </w:t>
      </w:r>
    </w:p>
    <w:p w14:paraId="5A3378DC">
      <w:pPr>
        <w:numPr>
          <w:ilvl w:val="255"/>
          <w:numId w:val="0"/>
        </w:numPr>
        <w:adjustRightInd w:val="0"/>
        <w:snapToGrid w:val="0"/>
        <w:spacing w:line="360" w:lineRule="auto"/>
        <w:ind w:firstLine="800" w:firstLineChars="400"/>
        <w:jc w:val="left"/>
        <w:rPr>
          <w:sz w:val="20"/>
        </w:rPr>
      </w:pPr>
      <w:r>
        <w:rPr>
          <w:sz w:val="20"/>
        </w:rPr>
        <w:t xml:space="preserve">Incidence and Mortality Worldwide for 36 Cancers in 185 Countries. CA Cancer J Clin 2021;   </w:t>
      </w:r>
    </w:p>
    <w:p w14:paraId="66BCE5CF">
      <w:pPr>
        <w:numPr>
          <w:ilvl w:val="255"/>
          <w:numId w:val="0"/>
        </w:numPr>
        <w:adjustRightInd w:val="0"/>
        <w:snapToGrid w:val="0"/>
        <w:spacing w:line="360" w:lineRule="auto"/>
        <w:ind w:firstLine="800" w:firstLineChars="400"/>
        <w:jc w:val="left"/>
        <w:rPr>
          <w:rFonts w:eastAsia="微软雅黑"/>
          <w:bCs/>
          <w:sz w:val="24"/>
        </w:rPr>
      </w:pPr>
      <w:r>
        <w:rPr>
          <w:sz w:val="20"/>
        </w:rPr>
        <w:t>71(3):209-249.</w:t>
      </w:r>
    </w:p>
    <w:p w14:paraId="5744A372">
      <w:pPr>
        <w:pStyle w:val="39"/>
        <w:ind w:left="720" w:hanging="720"/>
      </w:pPr>
      <w:r>
        <w:rPr>
          <w:rFonts w:eastAsia="微软雅黑"/>
          <w:b/>
          <w:szCs w:val="21"/>
        </w:rPr>
        <w:fldChar w:fldCharType="begin"/>
      </w:r>
      <w:r>
        <w:rPr>
          <w:rFonts w:eastAsia="微软雅黑"/>
          <w:b/>
          <w:szCs w:val="21"/>
        </w:rPr>
        <w:instrText xml:space="preserve"> ADDIN EN.REFLIST </w:instrText>
      </w:r>
      <w:r>
        <w:rPr>
          <w:rFonts w:eastAsia="微软雅黑"/>
          <w:b/>
          <w:szCs w:val="21"/>
        </w:rPr>
        <w:fldChar w:fldCharType="separate"/>
      </w:r>
      <w:r>
        <w:t>2.</w:t>
      </w:r>
      <w:r>
        <w:tab/>
      </w:r>
      <w:r>
        <w:t xml:space="preserve">Smith DD, Schwarz RR, Schwarz RE. Impact of total LN count on staging and survival after gastrectomy for gastric cancer: data from a large US-population database. </w:t>
      </w:r>
      <w:r>
        <w:rPr>
          <w:i/>
        </w:rPr>
        <w:t xml:space="preserve">Journal of Clinical Oncology Official Journal of the American Society of Clinical Oncology. </w:t>
      </w:r>
      <w:r>
        <w:t>2005;23(28):7114.</w:t>
      </w:r>
    </w:p>
    <w:p w14:paraId="2143CE38">
      <w:pPr>
        <w:pStyle w:val="39"/>
        <w:ind w:left="720" w:hanging="720"/>
      </w:pPr>
      <w:r>
        <w:t>3.</w:t>
      </w:r>
      <w:r>
        <w:tab/>
      </w:r>
      <w:r>
        <w:t xml:space="preserve">Son T, Hyung WJ, Lee JH, et al. Clinical implication of an insufficient number of examined LNs after curative resection for gastric cancer. </w:t>
      </w:r>
      <w:r>
        <w:rPr>
          <w:i/>
        </w:rPr>
        <w:t xml:space="preserve">Cancer. </w:t>
      </w:r>
      <w:r>
        <w:t>2012;118(19):4687-4693.</w:t>
      </w:r>
    </w:p>
    <w:p w14:paraId="0A4D04FD">
      <w:pPr>
        <w:pStyle w:val="39"/>
        <w:ind w:left="720" w:hanging="720"/>
      </w:pPr>
      <w:r>
        <w:t>4.</w:t>
      </w:r>
      <w:r>
        <w:tab/>
      </w:r>
      <w:r>
        <w:t xml:space="preserve">Songun I, Putter H, Kranenbarg EM, Sasako M, van de Velde CJ. Surgical treatment of gastric cancer: 15-year follow-up results of the randomised nationwide Dutch D1D2 trial. </w:t>
      </w:r>
      <w:r>
        <w:rPr>
          <w:i/>
        </w:rPr>
        <w:t xml:space="preserve">The Lancet Oncology. </w:t>
      </w:r>
      <w:r>
        <w:t>2010;11(5):439-449.</w:t>
      </w:r>
    </w:p>
    <w:p w14:paraId="5569A2CA">
      <w:pPr>
        <w:pStyle w:val="39"/>
        <w:ind w:left="720" w:hanging="720"/>
      </w:pPr>
      <w:r>
        <w:t>5.</w:t>
      </w:r>
      <w:r>
        <w:tab/>
      </w:r>
      <w:r>
        <w:t xml:space="preserve">Association JGC. Japanese gastric cancer treatment guidelines 2014 (ver. 4). </w:t>
      </w:r>
      <w:r>
        <w:rPr>
          <w:i/>
        </w:rPr>
        <w:t xml:space="preserve">Gastric Cancer Official Journal of the International Gastric Cancer Association &amp; the Japanese Gastric Cancer Association. </w:t>
      </w:r>
      <w:r>
        <w:t>2017;20(1):1-19.</w:t>
      </w:r>
    </w:p>
    <w:p w14:paraId="6B415B0B">
      <w:pPr>
        <w:pStyle w:val="39"/>
        <w:ind w:left="720" w:hanging="720"/>
      </w:pPr>
      <w:r>
        <w:t>6.</w:t>
      </w:r>
      <w:r>
        <w:tab/>
      </w:r>
      <w:r>
        <w:t xml:space="preserve">Mocellin S, Nitti D. Lymphadenectomy extent and survival of patients with gastric carcinoma: a systematic review and meta-analysis of time-to-event data from randomized trials. </w:t>
      </w:r>
      <w:r>
        <w:rPr>
          <w:i/>
        </w:rPr>
        <w:t xml:space="preserve">Cancer treatment reviews. </w:t>
      </w:r>
      <w:r>
        <w:t>2015;41(5):448-454.</w:t>
      </w:r>
    </w:p>
    <w:p w14:paraId="3AA91055">
      <w:pPr>
        <w:pStyle w:val="39"/>
        <w:ind w:left="720" w:hanging="720"/>
      </w:pPr>
      <w:r>
        <w:t>7.</w:t>
      </w:r>
      <w:r>
        <w:tab/>
      </w:r>
      <w:r>
        <w:t xml:space="preserve">Korean Practice Guideline for Gastric Cancer 2018: an Evidence-based, Multi-disciplinary Approach. </w:t>
      </w:r>
      <w:r>
        <w:rPr>
          <w:i/>
        </w:rPr>
        <w:t xml:space="preserve">Journal of gastric cancer. </w:t>
      </w:r>
      <w:r>
        <w:t>2019;19(1):1-48.</w:t>
      </w:r>
    </w:p>
    <w:p w14:paraId="064359A5">
      <w:pPr>
        <w:pStyle w:val="39"/>
        <w:ind w:left="720" w:hanging="720"/>
      </w:pPr>
      <w:r>
        <w:t>8.</w:t>
      </w:r>
      <w:r>
        <w:tab/>
      </w:r>
      <w:r>
        <w:t xml:space="preserve">Ajani JA, D'Amico TA, Bentrem DJ, et al. Gastric Cancer, Version 1.2019, NCCN Clinical Practice Guidelines in Oncology. </w:t>
      </w:r>
      <w:r>
        <w:rPr>
          <w:i/>
        </w:rPr>
        <w:t xml:space="preserve">Journal of the National Comprehensive Cancer Network Jnccn. </w:t>
      </w:r>
      <w:r>
        <w:t>2019:MS-11-12.</w:t>
      </w:r>
    </w:p>
    <w:p w14:paraId="21E83527">
      <w:pPr>
        <w:pStyle w:val="39"/>
        <w:ind w:left="720" w:hanging="720"/>
      </w:pPr>
      <w:r>
        <w:t>9.</w:t>
      </w:r>
      <w:r>
        <w:tab/>
      </w:r>
      <w:r>
        <w:t xml:space="preserve">Kitano S, Iso Y, Moriyama M, Sugimachi K. Laparoscopy-assisted Billroth I gastrectomy. </w:t>
      </w:r>
      <w:r>
        <w:rPr>
          <w:i/>
        </w:rPr>
        <w:t xml:space="preserve">Surgical laparoscopy &amp; endoscopy. </w:t>
      </w:r>
      <w:r>
        <w:t>1994;4(2):146-148.</w:t>
      </w:r>
    </w:p>
    <w:p w14:paraId="29990074">
      <w:pPr>
        <w:pStyle w:val="39"/>
        <w:ind w:left="720" w:hanging="720"/>
      </w:pPr>
      <w:r>
        <w:t>10.</w:t>
      </w:r>
      <w:r>
        <w:tab/>
      </w:r>
      <w:r>
        <w:t xml:space="preserve">Yu J, Huang C, Sun Y, et al. Effect of Laparoscopic vs Open Distal Gastrectomy on 3-Year Disease-Free Survival in Patients With Locally Advanced Gastric Cancer: The CLASS-01 Randomized Clinical Trial. </w:t>
      </w:r>
      <w:r>
        <w:rPr>
          <w:i/>
        </w:rPr>
        <w:t xml:space="preserve">Jama. </w:t>
      </w:r>
      <w:r>
        <w:t>2019;321(20):1983-1992.</w:t>
      </w:r>
    </w:p>
    <w:p w14:paraId="2250604A">
      <w:pPr>
        <w:pStyle w:val="39"/>
        <w:ind w:left="720" w:hanging="720"/>
      </w:pPr>
      <w:r>
        <w:t>11.</w:t>
      </w:r>
      <w:r>
        <w:tab/>
      </w:r>
      <w:r>
        <w:t xml:space="preserve">Kim HH, Han SU, Kim MC, et al. Effect of Laparoscopic Distal Gastrectomy vs Open Distal Gastrectomy on Long-term Survival Among Patients With Stage I Gastric Cancer: The KLASS-01 Randomized Clinical Trial. </w:t>
      </w:r>
      <w:r>
        <w:rPr>
          <w:i/>
        </w:rPr>
        <w:t xml:space="preserve">JAMA oncology. </w:t>
      </w:r>
      <w:r>
        <w:t>2019.</w:t>
      </w:r>
    </w:p>
    <w:p w14:paraId="7C972AC2">
      <w:pPr>
        <w:pStyle w:val="39"/>
        <w:ind w:left="720" w:hanging="720"/>
      </w:pPr>
      <w:r>
        <w:t>12.</w:t>
      </w:r>
      <w:r>
        <w:tab/>
      </w:r>
      <w:r>
        <w:t xml:space="preserve">Bandoh T, Shiraishi N, Yamashita Y, et al. Endoscopic surgery in Japan: The 12th national survey(2012–2013) by the Japan Society for Endoscopic Surgery. </w:t>
      </w:r>
      <w:r>
        <w:rPr>
          <w:i/>
        </w:rPr>
        <w:t xml:space="preserve">Asian Journal of Endoscopic Surgery. </w:t>
      </w:r>
      <w:r>
        <w:t>2017;10(4).</w:t>
      </w:r>
    </w:p>
    <w:p w14:paraId="3582A153">
      <w:pPr>
        <w:pStyle w:val="39"/>
        <w:ind w:left="720" w:hanging="720"/>
      </w:pPr>
      <w:r>
        <w:t>13.</w:t>
      </w:r>
      <w:r>
        <w:tab/>
      </w:r>
      <w:r>
        <w:t xml:space="preserve">Vahrmeijer AL, Hutteman M, van der Vorst JR, van de Velde CJ, Frangioni JV. Image-guided cancer surgery using near-infrared fluorescence. </w:t>
      </w:r>
      <w:r>
        <w:rPr>
          <w:i/>
        </w:rPr>
        <w:t xml:space="preserve">Nature reviews Clinical oncology. </w:t>
      </w:r>
      <w:r>
        <w:t>2013;10(9):507-518.</w:t>
      </w:r>
    </w:p>
    <w:p w14:paraId="70548051">
      <w:pPr>
        <w:pStyle w:val="39"/>
        <w:ind w:left="720" w:hanging="720"/>
      </w:pPr>
      <w:r>
        <w:t>14.</w:t>
      </w:r>
      <w:r>
        <w:tab/>
      </w:r>
      <w:r>
        <w:t xml:space="preserve">Valente SA, Al-Hilli Z, Radford DM, Yanda C, Tu C, Grobmyer SR. Near Infrared Fluorescent Lymph Node Mapping with Indocyanine Green in Breast Cancer Patients: A Prospective Trial. </w:t>
      </w:r>
      <w:r>
        <w:rPr>
          <w:i/>
        </w:rPr>
        <w:t xml:space="preserve">Journal of the American College of Surgeons. </w:t>
      </w:r>
      <w:r>
        <w:t>2019;228(4):672-678.</w:t>
      </w:r>
    </w:p>
    <w:p w14:paraId="4437F7CA">
      <w:pPr>
        <w:pStyle w:val="39"/>
        <w:ind w:left="720" w:hanging="720"/>
      </w:pPr>
      <w:r>
        <w:t>15.</w:t>
      </w:r>
      <w:r>
        <w:tab/>
      </w:r>
      <w:r>
        <w:t xml:space="preserve">Yamashita S, Tokuishi K, Anami K, et al. Video-assisted thoracoscopic indocyanine green fluorescence imaging system shows sentinel LNs in non-small-cell lung cancer. </w:t>
      </w:r>
      <w:r>
        <w:rPr>
          <w:i/>
        </w:rPr>
        <w:t xml:space="preserve">The Journal of thoracic and cardiovascular surgery. </w:t>
      </w:r>
      <w:r>
        <w:t>2011;141(1):141-144.</w:t>
      </w:r>
    </w:p>
    <w:p w14:paraId="5CF1CD58">
      <w:pPr>
        <w:pStyle w:val="39"/>
        <w:ind w:left="720" w:hanging="720"/>
      </w:pPr>
      <w:r>
        <w:t>16.</w:t>
      </w:r>
      <w:r>
        <w:tab/>
      </w:r>
      <w:r>
        <w:t xml:space="preserve">Brouwer OR, Klop WM, Buckle T, et al. Feasibility of sentinel node biopsy in head and neck melanoma using a hybrid radioactive and fluorescent tracer. </w:t>
      </w:r>
      <w:r>
        <w:rPr>
          <w:i/>
        </w:rPr>
        <w:t xml:space="preserve">Ann Surg Oncol. </w:t>
      </w:r>
      <w:r>
        <w:t>2012;19(6):1988-1994.</w:t>
      </w:r>
    </w:p>
    <w:p w14:paraId="124BEC10">
      <w:pPr>
        <w:pStyle w:val="39"/>
        <w:ind w:left="720" w:hanging="720"/>
      </w:pPr>
      <w:r>
        <w:t>17.</w:t>
      </w:r>
      <w:r>
        <w:tab/>
      </w:r>
      <w:r>
        <w:t xml:space="preserve">Gioux S, Choi HS, Frangioni JV. Image-guided surgery using invisible near-infrared light: fundamentals of clinical translation. </w:t>
      </w:r>
      <w:r>
        <w:rPr>
          <w:i/>
        </w:rPr>
        <w:t xml:space="preserve">Molecular imaging. </w:t>
      </w:r>
      <w:r>
        <w:t>2010;9(5):237-255.</w:t>
      </w:r>
    </w:p>
    <w:p w14:paraId="51AAB20D">
      <w:pPr>
        <w:pStyle w:val="39"/>
        <w:ind w:left="720" w:hanging="720"/>
      </w:pPr>
      <w:r>
        <w:t>18.</w:t>
      </w:r>
      <w:r>
        <w:tab/>
      </w:r>
      <w:r>
        <w:t xml:space="preserve">Schaafsma BE, Mieog JS, Hutteman M, et al. The clinical use of indocyanine green as a near-infrared fluorescent contrast agent for image-guided oncologic surgery. </w:t>
      </w:r>
      <w:r>
        <w:rPr>
          <w:i/>
        </w:rPr>
        <w:t xml:space="preserve">J Surg Oncol. </w:t>
      </w:r>
      <w:r>
        <w:t>2011;104(3):323-332.</w:t>
      </w:r>
    </w:p>
    <w:p w14:paraId="27973848">
      <w:pPr>
        <w:pStyle w:val="39"/>
        <w:ind w:left="720" w:hanging="720"/>
      </w:pPr>
      <w:r>
        <w:t>19.</w:t>
      </w:r>
      <w:r>
        <w:tab/>
      </w:r>
      <w:r>
        <w:t xml:space="preserve">Desiderio J, Trastulli S, Gemini A, et al. Fluorescence image-guided lymphadenectomy using indocyanine green and near infrared technology in robotic gastrectomy. </w:t>
      </w:r>
      <w:r>
        <w:rPr>
          <w:i/>
        </w:rPr>
        <w:t xml:space="preserve">Chinese journal of cancer research = Chung-kuo yen cheng yen chiu. </w:t>
      </w:r>
      <w:r>
        <w:t>2018;30(5):568-570.</w:t>
      </w:r>
    </w:p>
    <w:p w14:paraId="0449BB77">
      <w:pPr>
        <w:pStyle w:val="39"/>
        <w:ind w:left="720" w:hanging="720"/>
      </w:pPr>
      <w:r>
        <w:t>20.</w:t>
      </w:r>
      <w:r>
        <w:tab/>
      </w:r>
      <w:r>
        <w:t xml:space="preserve">Yano K, Nimura H, Mitsumori N, Takahashi N, Kashiwagi H, Yanaga K. The efficiency of micrometastasis by sentinel node navigation surgery using indocyanine green and infrared ray laparoscopy system for gastric cancer. </w:t>
      </w:r>
      <w:r>
        <w:rPr>
          <w:i/>
        </w:rPr>
        <w:t xml:space="preserve">Gastric Cancer. </w:t>
      </w:r>
      <w:r>
        <w:t>2012;15(3):287-291.</w:t>
      </w:r>
    </w:p>
    <w:p w14:paraId="652BB421">
      <w:pPr>
        <w:pStyle w:val="39"/>
        <w:ind w:left="720" w:hanging="720"/>
      </w:pPr>
      <w:r>
        <w:t>21.</w:t>
      </w:r>
      <w:r>
        <w:tab/>
      </w:r>
      <w:r>
        <w:t xml:space="preserve">Tajima Y, Yamazaki K, Masuda Y, et al. Sentinel node mapping guided by indocyanine green fluorescence imaging in gastric cancer. </w:t>
      </w:r>
      <w:r>
        <w:rPr>
          <w:i/>
        </w:rPr>
        <w:t xml:space="preserve">Ann Surg. </w:t>
      </w:r>
      <w:r>
        <w:t>2009;249(1):58-62.</w:t>
      </w:r>
    </w:p>
    <w:p w14:paraId="10F22F34">
      <w:pPr>
        <w:pStyle w:val="39"/>
        <w:ind w:left="720" w:hanging="720"/>
      </w:pPr>
      <w:r>
        <w:t>22.</w:t>
      </w:r>
      <w:r>
        <w:tab/>
      </w:r>
      <w:r>
        <w:t xml:space="preserve">Huh YJ, Lee HJ, Kim TH, et al. Efficacy of Assessing Intraoperative Bowel Perfusion with Near-Infrared Camera in Laparoscopic Gastric Cancer Surgery. </w:t>
      </w:r>
      <w:r>
        <w:rPr>
          <w:i/>
        </w:rPr>
        <w:t xml:space="preserve">Journal of laparoendoscopic &amp; advanced surgical techniques Part A. </w:t>
      </w:r>
      <w:r>
        <w:t>2019;29(4):476-483.</w:t>
      </w:r>
    </w:p>
    <w:p w14:paraId="56DB06CA">
      <w:pPr>
        <w:pStyle w:val="39"/>
        <w:ind w:left="720" w:hanging="720"/>
      </w:pPr>
      <w:r>
        <w:t>23.</w:t>
      </w:r>
      <w:r>
        <w:tab/>
      </w:r>
      <w:r>
        <w:t>Lan YT, Huang KH, Chen PH, et al. A pilot study of LN mapping with indocyanine green in robotic gastrectomy for gastric cancer. 2017;5(114):2050312117727444.</w:t>
      </w:r>
    </w:p>
    <w:p w14:paraId="69C57E2E">
      <w:pPr>
        <w:pStyle w:val="39"/>
        <w:ind w:left="720" w:hanging="720"/>
      </w:pPr>
      <w:r>
        <w:t>24.</w:t>
      </w:r>
      <w:r>
        <w:tab/>
      </w:r>
      <w:r>
        <w:t xml:space="preserve">Kim TH, Kong SH, Park JH, et al. Assessment of the Completeness of Lymph Node Dissection Using Near-infrared Imaging with Indocyanine Green in Laparoscopic Gastrectomy for Gastric Cancer. </w:t>
      </w:r>
      <w:r>
        <w:rPr>
          <w:i/>
        </w:rPr>
        <w:t xml:space="preserve">Journal of gastric cancer. </w:t>
      </w:r>
      <w:r>
        <w:t>2018;18(2):161-171.</w:t>
      </w:r>
    </w:p>
    <w:p w14:paraId="16679688">
      <w:pPr>
        <w:pStyle w:val="39"/>
        <w:ind w:left="720" w:hanging="720"/>
      </w:pPr>
      <w:r>
        <w:t>25.</w:t>
      </w:r>
      <w:r>
        <w:tab/>
      </w:r>
      <w:r>
        <w:t xml:space="preserve">Kwon IG, Son T, Kim HI, Hyung WJ. Fluorescent Lymphography-Guided Lymphadenectomy During Robotic Radical Gastrectomy for Gastric Cancer. </w:t>
      </w:r>
      <w:r>
        <w:rPr>
          <w:i/>
        </w:rPr>
        <w:t xml:space="preserve">JAMA surgery. </w:t>
      </w:r>
      <w:r>
        <w:t>2019;154(2):150-158.</w:t>
      </w:r>
    </w:p>
    <w:p w14:paraId="7A0F2124">
      <w:pPr>
        <w:pStyle w:val="39"/>
        <w:ind w:left="720" w:hanging="720"/>
      </w:pPr>
      <w:r>
        <w:t>26.     Lin JX, Huang CM, Zheng CH, et al. Evaluation of laparoscopic total gastrectomy for</w:t>
      </w:r>
    </w:p>
    <w:p w14:paraId="3053EBF8">
      <w:pPr>
        <w:pStyle w:val="39"/>
        <w:ind w:left="798" w:leftChars="380"/>
      </w:pPr>
      <w:r>
        <w:t>advanced gastric cancer: results of a comparison with laparoscopic distal gastrectomy. Surg Endosc. 2016;30(5):1988-1998.</w:t>
      </w:r>
    </w:p>
    <w:p w14:paraId="430A4D7D">
      <w:pPr>
        <w:pStyle w:val="39"/>
        <w:ind w:left="720" w:hanging="720"/>
      </w:pPr>
      <w:r>
        <w:t>27.     Kim HH, Han SU, Kim MC, et al. Long-term results of laparoscopic gastrectomy for gastric</w:t>
      </w:r>
    </w:p>
    <w:p w14:paraId="174CE877">
      <w:pPr>
        <w:pStyle w:val="39"/>
        <w:ind w:left="798" w:leftChars="380"/>
      </w:pPr>
      <w:r>
        <w:t>cancer: a large-scale case-control and case-matched Korean multicenter study. J Clin Oncol. 2014;32(7):627-633.</w:t>
      </w:r>
    </w:p>
    <w:p w14:paraId="4001CC37">
      <w:pPr>
        <w:pStyle w:val="39"/>
      </w:pPr>
      <w:r>
        <w:t xml:space="preserve">28.     Lee JH, Han HS, Lee JH. A prospective randomized study comparing open vs  </w:t>
      </w:r>
    </w:p>
    <w:p w14:paraId="6675B9D2">
      <w:pPr>
        <w:pStyle w:val="39"/>
        <w:ind w:left="598" w:leftChars="285"/>
      </w:pPr>
      <w:r>
        <w:t>laparoscopy-assisted distal gastrectomy in early gastric cancer: early results. Surg Endosc. 2005;19(2):168-173</w:t>
      </w:r>
    </w:p>
    <w:p w14:paraId="2B719AC0">
      <w:pPr>
        <w:pStyle w:val="39"/>
        <w:ind w:left="720" w:hanging="720"/>
      </w:pPr>
      <w:r>
        <w:t>29.</w:t>
      </w:r>
      <w:r>
        <w:tab/>
      </w:r>
      <w:r>
        <w:t xml:space="preserve">Huang CM, Zheng CH. </w:t>
      </w:r>
      <w:r>
        <w:rPr>
          <w:i/>
        </w:rPr>
        <w:t>Laparoscopic Gastrectomy for Gastric Cancer.</w:t>
      </w:r>
      <w:r>
        <w:t xml:space="preserve"> 2015.</w:t>
      </w:r>
    </w:p>
    <w:p w14:paraId="68AB5A53">
      <w:pPr>
        <w:pStyle w:val="39"/>
        <w:ind w:left="720" w:hanging="720"/>
      </w:pPr>
      <w:r>
        <w:t>30.</w:t>
      </w:r>
      <w:r>
        <w:tab/>
      </w:r>
      <w:r>
        <w:t xml:space="preserve">Huang CM, Chen QY, Lin JX, et al. Laparoscopic Suprapancreatic Lymph Node Dissection for Advanced Gastric Cancer Using a Left-Sided Approach. </w:t>
      </w:r>
      <w:r>
        <w:rPr>
          <w:i/>
        </w:rPr>
        <w:t xml:space="preserve">Ann Surg Oncol. </w:t>
      </w:r>
      <w:r>
        <w:t>2015;22(7):2351.</w:t>
      </w:r>
    </w:p>
    <w:p w14:paraId="45C1ED36">
      <w:pPr>
        <w:pStyle w:val="39"/>
        <w:ind w:left="720" w:hanging="720"/>
      </w:pPr>
      <w:r>
        <w:t>31.</w:t>
      </w:r>
      <w:r>
        <w:tab/>
      </w:r>
      <w:r>
        <w:t xml:space="preserve">Huang CM, Zhang JR, Zheng CH, et al. A 346 Case Analysis for Laparoscopic Spleen-Preserving No.10 Lymph Node Dissection for Proximal Gastric Cancer: A Single Center Study. </w:t>
      </w:r>
      <w:r>
        <w:rPr>
          <w:i/>
        </w:rPr>
        <w:t xml:space="preserve">Plos One. </w:t>
      </w:r>
      <w:r>
        <w:t>2014;9(9):e108480.</w:t>
      </w:r>
    </w:p>
    <w:p w14:paraId="0DC6EBC9">
      <w:pPr>
        <w:pStyle w:val="39"/>
        <w:ind w:left="720" w:hanging="720"/>
      </w:pPr>
      <w:r>
        <w:t>32.</w:t>
      </w:r>
      <w:r>
        <w:tab/>
      </w:r>
      <w:r>
        <w:t xml:space="preserve">Chen QY, Huang CM, Zheng CH, et al. Strategies of laparoscopic spleen-preserving splenic hilar LN dissection for advanced proximal gastric cancer. </w:t>
      </w:r>
      <w:r>
        <w:rPr>
          <w:i/>
        </w:rPr>
        <w:t xml:space="preserve">World journal of gastrointestinal surgery. </w:t>
      </w:r>
      <w:r>
        <w:t>2016;8(6):402-406.</w:t>
      </w:r>
    </w:p>
    <w:p w14:paraId="010909AF">
      <w:pPr>
        <w:pStyle w:val="39"/>
        <w:ind w:left="720" w:hanging="720"/>
      </w:pPr>
      <w:r>
        <w:t>33.</w:t>
      </w:r>
      <w:r>
        <w:tab/>
      </w:r>
      <w:r>
        <w:t xml:space="preserve">Maezawa Y, Aoyama T, Yamada T, et al. Priority of LN dissection for proximal gastric cancer invading the greater curvature. </w:t>
      </w:r>
      <w:r>
        <w:rPr>
          <w:i/>
        </w:rPr>
        <w:t xml:space="preserve">Gastric Cancer. </w:t>
      </w:r>
      <w:r>
        <w:t>2018;21(3):569-572.</w:t>
      </w:r>
    </w:p>
    <w:p w14:paraId="138EC754">
      <w:pPr>
        <w:pStyle w:val="39"/>
        <w:ind w:left="720" w:hanging="720"/>
      </w:pPr>
      <w:r>
        <w:t>34.</w:t>
      </w:r>
      <w:r>
        <w:tab/>
      </w:r>
      <w:r>
        <w:t xml:space="preserve">Dindo D, Demartines N, Clavien PA. Classification of surgical complications: a new proposal with evaluation in a cohort of 6336 patients and results of a survey. </w:t>
      </w:r>
      <w:r>
        <w:rPr>
          <w:i/>
        </w:rPr>
        <w:t xml:space="preserve">Annals of Surgery. </w:t>
      </w:r>
      <w:r>
        <w:t>2004;240(2):205.</w:t>
      </w:r>
    </w:p>
    <w:p w14:paraId="7BEFBDF7">
      <w:pPr>
        <w:widowControl/>
        <w:ind w:left="618" w:hanging="618" w:hangingChars="309"/>
        <w:jc w:val="left"/>
        <w:rPr>
          <w:sz w:val="20"/>
        </w:rPr>
      </w:pPr>
      <w:r>
        <w:rPr>
          <w:sz w:val="20"/>
        </w:rPr>
        <w:t xml:space="preserve">35.    de Steur WO, Hartgrink HH, Dikken JL, Putter H, van de Velde CJH. Quality control of lymph node dissection in the Dutch gastric cancer trial. Br J Surg. 2015;102(11):1388-1393. </w:t>
      </w:r>
    </w:p>
    <w:p w14:paraId="01B02D8F">
      <w:pPr>
        <w:widowControl/>
        <w:ind w:left="600" w:hanging="600" w:hangingChars="300"/>
        <w:jc w:val="left"/>
        <w:rPr>
          <w:sz w:val="20"/>
        </w:rPr>
      </w:pPr>
      <w:r>
        <w:rPr>
          <w:sz w:val="20"/>
        </w:rPr>
        <w:t xml:space="preserve">36.    Chen Q-Y, Lin G-T, Zhong Q, et al. Laparoscopic total gastrectomy for upper-middle advanced </w:t>
      </w:r>
    </w:p>
    <w:p w14:paraId="4022433A">
      <w:pPr>
        <w:widowControl/>
        <w:ind w:left="598" w:leftChars="285"/>
        <w:jc w:val="left"/>
        <w:rPr>
          <w:sz w:val="20"/>
        </w:rPr>
      </w:pPr>
      <w:r>
        <w:rPr>
          <w:sz w:val="20"/>
        </w:rPr>
        <w:t xml:space="preserve">gastric cancer: analysis based on lymph node noncompliance. Gastric Cancer. 2020; 23(1):184-194. </w:t>
      </w:r>
    </w:p>
    <w:p w14:paraId="78AAC730">
      <w:pPr>
        <w:widowControl/>
        <w:ind w:left="600" w:hanging="600" w:hangingChars="300"/>
        <w:jc w:val="left"/>
        <w:rPr>
          <w:sz w:val="20"/>
        </w:rPr>
      </w:pPr>
      <w:r>
        <w:rPr>
          <w:sz w:val="20"/>
        </w:rPr>
        <w:t xml:space="preserve">37.    Kakar S, Pawlik TM, Allen PJ, et al. AJCC Cancer Staging Manual. 8th ed. New York, NY: Springer-Verlag; 2017. </w:t>
      </w:r>
    </w:p>
    <w:p w14:paraId="4275B844">
      <w:pPr>
        <w:widowControl/>
        <w:ind w:left="600" w:hanging="600" w:hangingChars="300"/>
        <w:jc w:val="left"/>
        <w:rPr>
          <w:sz w:val="20"/>
        </w:rPr>
      </w:pPr>
      <w:r>
        <w:rPr>
          <w:sz w:val="20"/>
        </w:rPr>
        <w:t xml:space="preserve">38.    Woo Y, Goldner B, Ituarte P, et al. Lymphadenectomy with optimum of 29 lymph nodes retrieved associated with improved survival in advanced gastric cancer: a 25,000 patient international database study. J Am Coll Surg. 2017; 224(4):546-555. </w:t>
      </w:r>
    </w:p>
    <w:p w14:paraId="67F2C617">
      <w:pPr>
        <w:pStyle w:val="39"/>
        <w:ind w:left="720" w:hanging="720"/>
      </w:pPr>
    </w:p>
    <w:p w14:paraId="0495FD4A">
      <w:pPr>
        <w:widowControl/>
        <w:adjustRightInd w:val="0"/>
        <w:snapToGrid w:val="0"/>
        <w:spacing w:line="360" w:lineRule="auto"/>
        <w:jc w:val="left"/>
        <w:outlineLvl w:val="0"/>
        <w:rPr>
          <w:rFonts w:eastAsia="微软雅黑"/>
          <w:sz w:val="24"/>
        </w:rPr>
      </w:pPr>
      <w:bookmarkStart w:id="146" w:name="_Toc20423"/>
      <w:r>
        <w:rPr>
          <w:rFonts w:eastAsia="微软雅黑"/>
          <w:b/>
          <w:szCs w:val="21"/>
        </w:rPr>
        <w:fldChar w:fldCharType="end"/>
      </w:r>
      <w:r>
        <w:rPr>
          <w:rFonts w:eastAsia="微软雅黑"/>
          <w:b/>
          <w:sz w:val="28"/>
        </w:rPr>
        <w:t>16 Annex</w:t>
      </w:r>
      <w:bookmarkEnd w:id="146"/>
      <w:r>
        <w:rPr>
          <w:rFonts w:eastAsia="微软雅黑"/>
          <w:b/>
          <w:sz w:val="28"/>
        </w:rPr>
        <w:t xml:space="preserve"> </w:t>
      </w:r>
    </w:p>
    <w:p w14:paraId="1E17B0AE">
      <w:pPr>
        <w:adjustRightInd w:val="0"/>
        <w:snapToGrid w:val="0"/>
        <w:spacing w:line="360" w:lineRule="auto"/>
        <w:rPr>
          <w:rFonts w:eastAsia="微软雅黑"/>
          <w:b/>
          <w:sz w:val="24"/>
        </w:rPr>
      </w:pPr>
      <w:r>
        <w:rPr>
          <w:rFonts w:eastAsia="微软雅黑"/>
          <w:b/>
          <w:sz w:val="24"/>
        </w:rPr>
        <w:t>16.1 Informed Consent Form</w:t>
      </w:r>
    </w:p>
    <w:p w14:paraId="2505BB12">
      <w:pPr>
        <w:adjustRightInd w:val="0"/>
        <w:snapToGrid w:val="0"/>
        <w:spacing w:line="360" w:lineRule="auto"/>
        <w:jc w:val="center"/>
        <w:rPr>
          <w:rFonts w:eastAsia="微软雅黑"/>
          <w:bCs/>
          <w:sz w:val="24"/>
        </w:rPr>
        <w:sectPr>
          <w:footerReference r:id="rId12" w:type="first"/>
          <w:headerReference r:id="rId10" w:type="default"/>
          <w:footerReference r:id="rId11" w:type="default"/>
          <w:pgSz w:w="11906" w:h="16838"/>
          <w:pgMar w:top="1440" w:right="1644" w:bottom="1440" w:left="1797" w:header="851" w:footer="992" w:gutter="0"/>
          <w:cols w:space="425" w:num="1"/>
          <w:titlePg/>
          <w:docGrid w:type="lines" w:linePitch="312" w:charSpace="0"/>
        </w:sectPr>
      </w:pPr>
    </w:p>
    <w:p w14:paraId="75B9F91A">
      <w:pPr>
        <w:adjustRightInd w:val="0"/>
        <w:snapToGrid w:val="0"/>
        <w:spacing w:line="360" w:lineRule="auto"/>
        <w:jc w:val="center"/>
        <w:outlineLvl w:val="0"/>
        <w:rPr>
          <w:rFonts w:eastAsia="微软雅黑"/>
          <w:b/>
          <w:sz w:val="24"/>
        </w:rPr>
      </w:pPr>
      <w:bookmarkStart w:id="147" w:name="_Toc29755"/>
      <w:r>
        <w:rPr>
          <w:rFonts w:eastAsia="微软雅黑"/>
          <w:b/>
          <w:sz w:val="24"/>
        </w:rPr>
        <w:t>Summary of changes to the protocol approved by the IRB</w:t>
      </w:r>
      <w:bookmarkEnd w:id="147"/>
    </w:p>
    <w:p w14:paraId="48A6BCC3">
      <w:pPr>
        <w:adjustRightInd w:val="0"/>
        <w:snapToGrid w:val="0"/>
        <w:spacing w:line="360" w:lineRule="auto"/>
        <w:jc w:val="center"/>
        <w:rPr>
          <w:rFonts w:eastAsia="微软雅黑"/>
          <w:bCs/>
          <w:sz w:val="24"/>
        </w:rPr>
      </w:pPr>
    </w:p>
    <w:p w14:paraId="4DE4A78D">
      <w:pPr>
        <w:adjustRightInd w:val="0"/>
        <w:snapToGrid w:val="0"/>
        <w:spacing w:line="360" w:lineRule="auto"/>
        <w:jc w:val="left"/>
        <w:rPr>
          <w:rFonts w:eastAsia="微软雅黑"/>
          <w:bCs/>
          <w:sz w:val="24"/>
        </w:rPr>
      </w:pPr>
      <w:r>
        <w:rPr>
          <w:rFonts w:eastAsia="微软雅黑"/>
          <w:bCs/>
          <w:sz w:val="24"/>
        </w:rPr>
        <w:t>All procedure changes were adjudicated with the IRBs and added in the initial approval process to start the trial before any enrollment.</w:t>
      </w:r>
    </w:p>
    <w:p w14:paraId="34A7812E">
      <w:pPr>
        <w:adjustRightInd w:val="0"/>
        <w:snapToGrid w:val="0"/>
        <w:spacing w:line="360" w:lineRule="auto"/>
        <w:jc w:val="left"/>
        <w:rPr>
          <w:rFonts w:eastAsia="微软雅黑"/>
          <w:bCs/>
          <w:sz w:val="24"/>
        </w:rPr>
      </w:pPr>
    </w:p>
    <w:p w14:paraId="10C182BD">
      <w:pPr>
        <w:numPr>
          <w:ilvl w:val="0"/>
          <w:numId w:val="33"/>
        </w:numPr>
        <w:adjustRightInd w:val="0"/>
        <w:snapToGrid w:val="0"/>
        <w:spacing w:line="360" w:lineRule="auto"/>
        <w:jc w:val="left"/>
        <w:rPr>
          <w:rFonts w:eastAsia="微软雅黑"/>
          <w:bCs/>
          <w:szCs w:val="21"/>
        </w:rPr>
      </w:pPr>
      <w:r>
        <w:rPr>
          <w:rFonts w:eastAsia="微软雅黑"/>
          <w:bCs/>
          <w:szCs w:val="21"/>
        </w:rPr>
        <w:t>The title was correspondingly changed.</w:t>
      </w:r>
    </w:p>
    <w:p w14:paraId="135648D7">
      <w:pPr>
        <w:numPr>
          <w:ilvl w:val="0"/>
          <w:numId w:val="33"/>
        </w:numPr>
        <w:adjustRightInd w:val="0"/>
        <w:snapToGrid w:val="0"/>
        <w:spacing w:line="360" w:lineRule="auto"/>
        <w:jc w:val="left"/>
        <w:rPr>
          <w:rFonts w:eastAsia="微软雅黑"/>
          <w:bCs/>
          <w:szCs w:val="21"/>
        </w:rPr>
      </w:pPr>
      <w:r>
        <w:rPr>
          <w:rFonts w:eastAsia="微软雅黑"/>
          <w:bCs/>
          <w:szCs w:val="21"/>
        </w:rPr>
        <w:t>The Clinicaltrials.gov number and the IRB approval numbers were added.</w:t>
      </w:r>
    </w:p>
    <w:p w14:paraId="762B013E">
      <w:pPr>
        <w:numPr>
          <w:ilvl w:val="0"/>
          <w:numId w:val="33"/>
        </w:numPr>
        <w:adjustRightInd w:val="0"/>
        <w:snapToGrid w:val="0"/>
        <w:spacing w:line="360" w:lineRule="auto"/>
        <w:jc w:val="left"/>
        <w:rPr>
          <w:rFonts w:eastAsia="微软雅黑"/>
          <w:bCs/>
          <w:szCs w:val="21"/>
        </w:rPr>
      </w:pPr>
      <w:r>
        <w:rPr>
          <w:rFonts w:eastAsia="微软雅黑"/>
          <w:bCs/>
          <w:szCs w:val="21"/>
        </w:rPr>
        <w:t>The DSMB was named.</w:t>
      </w:r>
    </w:p>
    <w:p w14:paraId="1653DAD2">
      <w:pPr>
        <w:numPr>
          <w:ilvl w:val="0"/>
          <w:numId w:val="33"/>
        </w:numPr>
        <w:adjustRightInd w:val="0"/>
        <w:snapToGrid w:val="0"/>
        <w:spacing w:line="360" w:lineRule="auto"/>
        <w:jc w:val="left"/>
        <w:rPr>
          <w:rFonts w:eastAsia="微软雅黑"/>
          <w:bCs/>
          <w:szCs w:val="21"/>
        </w:rPr>
      </w:pPr>
      <w:r>
        <w:rPr>
          <w:rFonts w:eastAsia="微软雅黑"/>
          <w:bCs/>
          <w:szCs w:val="21"/>
        </w:rPr>
        <w:t>Background was revised.</w:t>
      </w:r>
    </w:p>
    <w:p w14:paraId="0C145155">
      <w:pPr>
        <w:numPr>
          <w:ilvl w:val="0"/>
          <w:numId w:val="33"/>
        </w:numPr>
        <w:adjustRightInd w:val="0"/>
        <w:snapToGrid w:val="0"/>
        <w:spacing w:line="360" w:lineRule="auto"/>
        <w:jc w:val="left"/>
        <w:rPr>
          <w:rFonts w:eastAsia="微软雅黑"/>
          <w:bCs/>
          <w:szCs w:val="21"/>
        </w:rPr>
      </w:pPr>
      <w:r>
        <w:rPr>
          <w:rFonts w:eastAsia="微软雅黑"/>
          <w:bCs/>
          <w:szCs w:val="21"/>
        </w:rPr>
        <w:t>Inclusion criteria were further clarified.</w:t>
      </w:r>
    </w:p>
    <w:p w14:paraId="71A52304">
      <w:pPr>
        <w:numPr>
          <w:ilvl w:val="0"/>
          <w:numId w:val="33"/>
        </w:numPr>
        <w:adjustRightInd w:val="0"/>
        <w:snapToGrid w:val="0"/>
        <w:spacing w:line="360" w:lineRule="auto"/>
        <w:jc w:val="left"/>
        <w:rPr>
          <w:rFonts w:eastAsia="微软雅黑"/>
          <w:bCs/>
          <w:szCs w:val="21"/>
        </w:rPr>
      </w:pPr>
      <w:r>
        <w:rPr>
          <w:rFonts w:eastAsia="微软雅黑"/>
          <w:bCs/>
          <w:szCs w:val="21"/>
        </w:rPr>
        <w:t>Secondary outcomes were updated.</w:t>
      </w:r>
    </w:p>
    <w:p w14:paraId="7E2A9B84">
      <w:pPr>
        <w:numPr>
          <w:ilvl w:val="0"/>
          <w:numId w:val="33"/>
        </w:numPr>
        <w:adjustRightInd w:val="0"/>
        <w:snapToGrid w:val="0"/>
        <w:spacing w:line="360" w:lineRule="auto"/>
        <w:jc w:val="left"/>
        <w:rPr>
          <w:rFonts w:eastAsia="微软雅黑"/>
          <w:bCs/>
          <w:szCs w:val="21"/>
        </w:rPr>
      </w:pPr>
      <w:r>
        <w:rPr>
          <w:rFonts w:eastAsia="微软雅黑"/>
          <w:bCs/>
          <w:szCs w:val="21"/>
        </w:rPr>
        <w:t>Qualifications of the participated Surgeons were further defined.</w:t>
      </w:r>
    </w:p>
    <w:p w14:paraId="293A05CD">
      <w:pPr>
        <w:numPr>
          <w:ilvl w:val="0"/>
          <w:numId w:val="33"/>
        </w:numPr>
        <w:adjustRightInd w:val="0"/>
        <w:snapToGrid w:val="0"/>
        <w:spacing w:line="360" w:lineRule="auto"/>
        <w:jc w:val="left"/>
        <w:rPr>
          <w:rFonts w:eastAsia="微软雅黑"/>
          <w:bCs/>
          <w:szCs w:val="21"/>
        </w:rPr>
      </w:pPr>
      <w:r>
        <w:rPr>
          <w:rFonts w:eastAsia="微软雅黑"/>
          <w:bCs/>
          <w:szCs w:val="21"/>
        </w:rPr>
        <w:t>Reference 1, 26-28 was added and original Reference 3 was deleted.</w:t>
      </w:r>
    </w:p>
    <w:p w14:paraId="232FD8E4">
      <w:pPr>
        <w:numPr>
          <w:ilvl w:val="0"/>
          <w:numId w:val="33"/>
        </w:numPr>
        <w:adjustRightInd w:val="0"/>
        <w:snapToGrid w:val="0"/>
        <w:spacing w:line="360" w:lineRule="auto"/>
        <w:jc w:val="left"/>
        <w:rPr>
          <w:rFonts w:eastAsia="微软雅黑"/>
          <w:bCs/>
          <w:szCs w:val="21"/>
        </w:rPr>
      </w:pPr>
      <w:r>
        <w:rPr>
          <w:rFonts w:eastAsia="微软雅黑"/>
          <w:bCs/>
          <w:szCs w:val="21"/>
        </w:rPr>
        <w:t>Time point of randomization were added.</w:t>
      </w:r>
    </w:p>
    <w:p w14:paraId="6C2B4119">
      <w:pPr>
        <w:numPr>
          <w:ilvl w:val="0"/>
          <w:numId w:val="33"/>
        </w:numPr>
        <w:adjustRightInd w:val="0"/>
        <w:snapToGrid w:val="0"/>
        <w:spacing w:line="360" w:lineRule="auto"/>
        <w:jc w:val="left"/>
        <w:rPr>
          <w:rFonts w:eastAsia="微软雅黑"/>
          <w:bCs/>
          <w:szCs w:val="21"/>
        </w:rPr>
      </w:pPr>
      <w:r>
        <w:rPr>
          <w:rFonts w:eastAsia="微软雅黑"/>
          <w:bCs/>
          <w:szCs w:val="21"/>
        </w:rPr>
        <w:t>The information of postoperative adjuvant chemotherapy was updated.</w:t>
      </w:r>
    </w:p>
    <w:p w14:paraId="711D147B">
      <w:pPr>
        <w:numPr>
          <w:ilvl w:val="0"/>
          <w:numId w:val="33"/>
        </w:numPr>
        <w:adjustRightInd w:val="0"/>
        <w:snapToGrid w:val="0"/>
        <w:spacing w:line="360" w:lineRule="auto"/>
        <w:jc w:val="left"/>
        <w:rPr>
          <w:rFonts w:eastAsia="微软雅黑"/>
          <w:bCs/>
          <w:szCs w:val="21"/>
        </w:rPr>
      </w:pPr>
      <w:r>
        <w:rPr>
          <w:rFonts w:eastAsia="微软雅黑"/>
          <w:bCs/>
          <w:szCs w:val="21"/>
        </w:rPr>
        <w:t>The information of s</w:t>
      </w:r>
      <w:r>
        <w:rPr>
          <w:rFonts w:eastAsia="微软雅黑"/>
          <w:szCs w:val="21"/>
        </w:rPr>
        <w:t xml:space="preserve">tatistical analysis of population division </w:t>
      </w:r>
      <w:r>
        <w:rPr>
          <w:rFonts w:eastAsia="微软雅黑"/>
          <w:bCs/>
          <w:szCs w:val="21"/>
        </w:rPr>
        <w:t>was updated.</w:t>
      </w:r>
    </w:p>
    <w:p w14:paraId="46E2A614">
      <w:pPr>
        <w:numPr>
          <w:ilvl w:val="0"/>
          <w:numId w:val="33"/>
        </w:numPr>
        <w:adjustRightInd w:val="0"/>
        <w:snapToGrid w:val="0"/>
        <w:spacing w:line="360" w:lineRule="auto"/>
        <w:jc w:val="left"/>
        <w:rPr>
          <w:rFonts w:eastAsia="微软雅黑"/>
          <w:bCs/>
          <w:szCs w:val="21"/>
        </w:rPr>
      </w:pPr>
      <w:bookmarkStart w:id="148" w:name="_Toc1606"/>
      <w:r>
        <w:rPr>
          <w:rFonts w:eastAsia="微软雅黑"/>
          <w:bCs/>
          <w:szCs w:val="21"/>
        </w:rPr>
        <w:t>A version number was added.</w:t>
      </w:r>
      <w:bookmarkEnd w:id="148"/>
    </w:p>
    <w:p w14:paraId="1682A203">
      <w:pPr>
        <w:numPr>
          <w:ilvl w:val="0"/>
          <w:numId w:val="33"/>
        </w:numPr>
        <w:adjustRightInd w:val="0"/>
        <w:snapToGrid w:val="0"/>
        <w:spacing w:line="360" w:lineRule="auto"/>
        <w:jc w:val="left"/>
        <w:rPr>
          <w:rFonts w:eastAsia="微软雅黑"/>
          <w:bCs/>
          <w:szCs w:val="21"/>
        </w:rPr>
      </w:pPr>
      <w:r>
        <w:rPr>
          <w:rFonts w:eastAsia="微软雅黑"/>
          <w:bCs/>
          <w:szCs w:val="21"/>
        </w:rPr>
        <w:t>The number of picture (9.3.1.9). was further clarified.</w:t>
      </w:r>
    </w:p>
    <w:p w14:paraId="6EFD1554">
      <w:pPr>
        <w:numPr>
          <w:ilvl w:val="0"/>
          <w:numId w:val="33"/>
        </w:numPr>
        <w:adjustRightInd w:val="0"/>
        <w:snapToGrid w:val="0"/>
        <w:spacing w:line="360" w:lineRule="auto"/>
        <w:jc w:val="left"/>
        <w:rPr>
          <w:rFonts w:eastAsia="微软雅黑"/>
          <w:bCs/>
          <w:szCs w:val="21"/>
        </w:rPr>
      </w:pPr>
      <w:r>
        <w:rPr>
          <w:rFonts w:eastAsia="微软雅黑"/>
          <w:bCs/>
          <w:szCs w:val="21"/>
        </w:rPr>
        <w:t>Added drop-in / drop-out definitions, and follow-up requirement for participants who cannot attend visits.</w:t>
      </w:r>
    </w:p>
    <w:p w14:paraId="7946FB63">
      <w:pPr>
        <w:numPr>
          <w:ilvl w:val="0"/>
          <w:numId w:val="33"/>
        </w:numPr>
        <w:adjustRightInd w:val="0"/>
        <w:snapToGrid w:val="0"/>
        <w:spacing w:line="360" w:lineRule="auto"/>
        <w:jc w:val="left"/>
        <w:rPr>
          <w:rFonts w:eastAsia="微软雅黑"/>
          <w:bCs/>
          <w:szCs w:val="21"/>
        </w:rPr>
      </w:pPr>
      <w:r>
        <w:rPr>
          <w:rFonts w:eastAsia="微软雅黑"/>
          <w:bCs/>
          <w:szCs w:val="21"/>
        </w:rPr>
        <w:t>Actual follow-up time was further clarified.</w:t>
      </w:r>
    </w:p>
    <w:p w14:paraId="105965B2">
      <w:pPr>
        <w:numPr>
          <w:ilvl w:val="0"/>
          <w:numId w:val="33"/>
        </w:numPr>
        <w:adjustRightInd w:val="0"/>
        <w:snapToGrid w:val="0"/>
        <w:spacing w:line="360" w:lineRule="auto"/>
        <w:jc w:val="left"/>
        <w:rPr>
          <w:rFonts w:eastAsia="微软雅黑"/>
          <w:bCs/>
          <w:szCs w:val="21"/>
        </w:rPr>
      </w:pPr>
      <w:r>
        <w:rPr>
          <w:rFonts w:eastAsia="微软雅黑"/>
          <w:bCs/>
          <w:szCs w:val="21"/>
        </w:rPr>
        <w:t>The contents of requirement for the retention follow up call was recommended.</w:t>
      </w:r>
    </w:p>
    <w:p w14:paraId="3E533BB6">
      <w:pPr>
        <w:numPr>
          <w:ilvl w:val="0"/>
          <w:numId w:val="33"/>
        </w:numPr>
        <w:adjustRightInd w:val="0"/>
        <w:snapToGrid w:val="0"/>
        <w:spacing w:line="360" w:lineRule="auto"/>
        <w:jc w:val="left"/>
        <w:rPr>
          <w:rFonts w:eastAsia="微软雅黑"/>
          <w:bCs/>
          <w:szCs w:val="21"/>
        </w:rPr>
      </w:pPr>
      <w:r>
        <w:rPr>
          <w:rFonts w:eastAsia="微软雅黑"/>
          <w:bCs/>
          <w:szCs w:val="21"/>
        </w:rPr>
        <w:t xml:space="preserve">Data on COVID-19 diagnoses (suspected and confirmed) will be collected as routine adverse events, for the purpose of identifying cases in the future as needed for ancillary research proposals in development. </w:t>
      </w:r>
    </w:p>
    <w:p w14:paraId="04433D8C">
      <w:pPr>
        <w:numPr>
          <w:ilvl w:val="0"/>
          <w:numId w:val="33"/>
        </w:numPr>
        <w:adjustRightInd w:val="0"/>
        <w:snapToGrid w:val="0"/>
        <w:spacing w:line="360" w:lineRule="auto"/>
        <w:jc w:val="left"/>
        <w:rPr>
          <w:rFonts w:eastAsia="微软雅黑"/>
          <w:bCs/>
          <w:szCs w:val="21"/>
        </w:rPr>
      </w:pPr>
      <w:r>
        <w:rPr>
          <w:rFonts w:eastAsia="微软雅黑"/>
          <w:bCs/>
          <w:szCs w:val="21"/>
        </w:rPr>
        <w:t>Telephone follow-up procedures were added to the protocol for visits unable to be conducted due to COVID-19. Missed clinic visits were to be reported as such and considered protocol deviations.</w:t>
      </w:r>
    </w:p>
    <w:p w14:paraId="2627F0DA">
      <w:pPr>
        <w:numPr>
          <w:ilvl w:val="0"/>
          <w:numId w:val="33"/>
        </w:numPr>
        <w:adjustRightInd w:val="0"/>
        <w:snapToGrid w:val="0"/>
        <w:spacing w:line="360" w:lineRule="auto"/>
        <w:jc w:val="left"/>
        <w:rPr>
          <w:rFonts w:eastAsia="微软雅黑"/>
          <w:bCs/>
          <w:szCs w:val="21"/>
        </w:rPr>
      </w:pPr>
      <w:r>
        <w:rPr>
          <w:rFonts w:eastAsia="微软雅黑"/>
          <w:bCs/>
          <w:szCs w:val="21"/>
        </w:rPr>
        <w:t>The study was changed from including patients with age from 18 to 75 years (not including 18 and 75 years old) to patients with age from 18 to 75 years (including 18 and 75 years old).</w:t>
      </w:r>
    </w:p>
    <w:p w14:paraId="0F5BEB92">
      <w:pPr>
        <w:numPr>
          <w:ilvl w:val="0"/>
          <w:numId w:val="33"/>
        </w:numPr>
        <w:adjustRightInd w:val="0"/>
        <w:snapToGrid w:val="0"/>
        <w:spacing w:line="360" w:lineRule="auto"/>
        <w:jc w:val="left"/>
        <w:rPr>
          <w:rFonts w:eastAsia="微软雅黑"/>
          <w:bCs/>
          <w:szCs w:val="21"/>
        </w:rPr>
      </w:pPr>
      <w:r>
        <w:rPr>
          <w:rFonts w:eastAsia="微软雅黑"/>
          <w:bCs/>
          <w:szCs w:val="21"/>
        </w:rPr>
        <w:t>Outcome analysis were updated, including adding the description of P for chi-square in the protocol and the results of subgroup analysis for both &lt;30 or ≥30 LNs and noncompliant and compliant lymphadenectomy.</w:t>
      </w:r>
    </w:p>
    <w:p w14:paraId="57367A16">
      <w:pPr>
        <w:adjustRightInd w:val="0"/>
        <w:snapToGrid w:val="0"/>
        <w:spacing w:line="360" w:lineRule="auto"/>
        <w:jc w:val="left"/>
        <w:rPr>
          <w:rFonts w:eastAsia="微软雅黑"/>
          <w:bCs/>
          <w:sz w:val="24"/>
        </w:rPr>
      </w:pPr>
    </w:p>
    <w:p w14:paraId="35664925">
      <w:pPr>
        <w:adjustRightInd w:val="0"/>
        <w:snapToGrid w:val="0"/>
        <w:spacing w:line="360" w:lineRule="auto"/>
        <w:jc w:val="left"/>
        <w:rPr>
          <w:rFonts w:eastAsia="微软雅黑"/>
          <w:bCs/>
          <w:sz w:val="24"/>
        </w:rPr>
      </w:pPr>
    </w:p>
    <w:p w14:paraId="12D3E492">
      <w:pPr>
        <w:adjustRightInd w:val="0"/>
        <w:snapToGrid w:val="0"/>
        <w:spacing w:line="360" w:lineRule="auto"/>
        <w:jc w:val="left"/>
        <w:rPr>
          <w:rFonts w:eastAsia="微软雅黑"/>
          <w:bCs/>
          <w:sz w:val="24"/>
        </w:rPr>
      </w:pPr>
    </w:p>
    <w:p w14:paraId="2DBB0ECC">
      <w:pPr>
        <w:adjustRightInd w:val="0"/>
        <w:snapToGrid w:val="0"/>
        <w:spacing w:line="360" w:lineRule="auto"/>
        <w:jc w:val="left"/>
        <w:rPr>
          <w:rFonts w:eastAsia="微软雅黑"/>
          <w:bCs/>
          <w:sz w:val="24"/>
        </w:rPr>
      </w:pPr>
    </w:p>
    <w:p w14:paraId="1705BC93">
      <w:pPr>
        <w:adjustRightInd w:val="0"/>
        <w:snapToGrid w:val="0"/>
        <w:spacing w:line="360" w:lineRule="auto"/>
        <w:jc w:val="left"/>
        <w:rPr>
          <w:rFonts w:eastAsia="微软雅黑"/>
          <w:bCs/>
          <w:sz w:val="24"/>
        </w:rPr>
      </w:pPr>
    </w:p>
    <w:p w14:paraId="002DC831">
      <w:pPr>
        <w:adjustRightInd w:val="0"/>
        <w:snapToGrid w:val="0"/>
        <w:spacing w:line="360" w:lineRule="auto"/>
        <w:jc w:val="left"/>
        <w:rPr>
          <w:rFonts w:eastAsia="微软雅黑"/>
          <w:bCs/>
          <w:sz w:val="24"/>
        </w:rPr>
      </w:pPr>
    </w:p>
    <w:p w14:paraId="640A3EC1">
      <w:pPr>
        <w:adjustRightInd w:val="0"/>
        <w:snapToGrid w:val="0"/>
        <w:spacing w:line="360" w:lineRule="auto"/>
        <w:jc w:val="left"/>
        <w:rPr>
          <w:rFonts w:eastAsia="微软雅黑"/>
          <w:bCs/>
          <w:sz w:val="24"/>
        </w:rPr>
      </w:pPr>
    </w:p>
    <w:p w14:paraId="7FD1851E">
      <w:pPr>
        <w:adjustRightInd w:val="0"/>
        <w:snapToGrid w:val="0"/>
        <w:spacing w:line="360" w:lineRule="auto"/>
        <w:jc w:val="left"/>
        <w:rPr>
          <w:rFonts w:eastAsia="微软雅黑"/>
          <w:bCs/>
          <w:sz w:val="24"/>
        </w:rPr>
      </w:pPr>
    </w:p>
    <w:p w14:paraId="2D133537">
      <w:pPr>
        <w:adjustRightInd w:val="0"/>
        <w:snapToGrid w:val="0"/>
        <w:spacing w:line="360" w:lineRule="auto"/>
        <w:jc w:val="left"/>
        <w:rPr>
          <w:rFonts w:eastAsia="微软雅黑"/>
          <w:bCs/>
          <w:sz w:val="24"/>
        </w:rPr>
      </w:pPr>
    </w:p>
    <w:p w14:paraId="178C9C2A">
      <w:pPr>
        <w:adjustRightInd w:val="0"/>
        <w:snapToGrid w:val="0"/>
        <w:spacing w:line="360" w:lineRule="auto"/>
        <w:jc w:val="left"/>
        <w:rPr>
          <w:rFonts w:eastAsia="微软雅黑"/>
          <w:bCs/>
          <w:sz w:val="24"/>
        </w:rPr>
      </w:pPr>
    </w:p>
    <w:p w14:paraId="517883EC">
      <w:pPr>
        <w:adjustRightInd w:val="0"/>
        <w:snapToGrid w:val="0"/>
        <w:spacing w:line="360" w:lineRule="auto"/>
        <w:jc w:val="left"/>
        <w:rPr>
          <w:rFonts w:eastAsia="微软雅黑"/>
          <w:bCs/>
          <w:sz w:val="24"/>
        </w:rPr>
      </w:pPr>
    </w:p>
    <w:p w14:paraId="69460387">
      <w:pPr>
        <w:adjustRightInd w:val="0"/>
        <w:snapToGrid w:val="0"/>
        <w:spacing w:line="360" w:lineRule="auto"/>
        <w:jc w:val="left"/>
        <w:rPr>
          <w:rFonts w:eastAsia="微软雅黑"/>
          <w:bCs/>
          <w:sz w:val="24"/>
        </w:rPr>
      </w:pPr>
    </w:p>
    <w:p w14:paraId="01FA36D7">
      <w:pPr>
        <w:adjustRightInd w:val="0"/>
        <w:snapToGrid w:val="0"/>
        <w:spacing w:line="360" w:lineRule="auto"/>
        <w:jc w:val="left"/>
        <w:rPr>
          <w:rFonts w:eastAsia="微软雅黑"/>
          <w:bCs/>
          <w:sz w:val="24"/>
        </w:rPr>
      </w:pPr>
    </w:p>
    <w:p w14:paraId="035E7195">
      <w:pPr>
        <w:adjustRightInd w:val="0"/>
        <w:snapToGrid w:val="0"/>
        <w:spacing w:line="360" w:lineRule="auto"/>
        <w:jc w:val="left"/>
        <w:rPr>
          <w:rFonts w:eastAsia="微软雅黑"/>
          <w:bCs/>
          <w:sz w:val="24"/>
        </w:rPr>
      </w:pPr>
    </w:p>
    <w:p w14:paraId="5EEAE698">
      <w:pPr>
        <w:adjustRightInd w:val="0"/>
        <w:snapToGrid w:val="0"/>
        <w:spacing w:line="360" w:lineRule="auto"/>
        <w:jc w:val="left"/>
        <w:rPr>
          <w:rFonts w:eastAsia="微软雅黑"/>
          <w:bCs/>
          <w:sz w:val="24"/>
        </w:rPr>
      </w:pPr>
    </w:p>
    <w:p w14:paraId="0A39B400">
      <w:pPr>
        <w:adjustRightInd w:val="0"/>
        <w:snapToGrid w:val="0"/>
        <w:spacing w:line="360" w:lineRule="auto"/>
        <w:jc w:val="left"/>
        <w:rPr>
          <w:rFonts w:eastAsia="微软雅黑"/>
          <w:bCs/>
          <w:sz w:val="24"/>
        </w:rPr>
      </w:pPr>
    </w:p>
    <w:p w14:paraId="4BFB7EF8">
      <w:pPr>
        <w:adjustRightInd w:val="0"/>
        <w:snapToGrid w:val="0"/>
        <w:spacing w:line="360" w:lineRule="auto"/>
        <w:jc w:val="left"/>
        <w:rPr>
          <w:rFonts w:eastAsia="微软雅黑"/>
          <w:bCs/>
          <w:sz w:val="24"/>
        </w:rPr>
      </w:pPr>
    </w:p>
    <w:p w14:paraId="364E01C8">
      <w:pPr>
        <w:adjustRightInd w:val="0"/>
        <w:snapToGrid w:val="0"/>
        <w:spacing w:line="360" w:lineRule="auto"/>
        <w:jc w:val="left"/>
        <w:rPr>
          <w:rFonts w:eastAsia="微软雅黑"/>
          <w:bCs/>
          <w:sz w:val="24"/>
        </w:rPr>
      </w:pPr>
    </w:p>
    <w:p w14:paraId="7AC2977D">
      <w:pPr>
        <w:adjustRightInd w:val="0"/>
        <w:snapToGrid w:val="0"/>
        <w:spacing w:line="360" w:lineRule="auto"/>
        <w:jc w:val="left"/>
        <w:rPr>
          <w:rFonts w:eastAsia="微软雅黑"/>
          <w:bCs/>
          <w:sz w:val="24"/>
        </w:rPr>
      </w:pPr>
    </w:p>
    <w:p w14:paraId="21DCCEA2">
      <w:pPr>
        <w:adjustRightInd w:val="0"/>
        <w:snapToGrid w:val="0"/>
        <w:spacing w:line="360" w:lineRule="auto"/>
        <w:jc w:val="center"/>
        <w:outlineLvl w:val="0"/>
        <w:rPr>
          <w:rFonts w:eastAsia="微软雅黑"/>
          <w:b/>
          <w:sz w:val="40"/>
          <w:szCs w:val="40"/>
        </w:rPr>
      </w:pPr>
      <w:bookmarkStart w:id="149" w:name="_Toc414"/>
      <w:r>
        <w:rPr>
          <w:rFonts w:eastAsia="微软雅黑"/>
          <w:b/>
          <w:sz w:val="40"/>
          <w:szCs w:val="40"/>
        </w:rPr>
        <w:t>Original Statistical Analysis Plan</w:t>
      </w:r>
      <w:bookmarkEnd w:id="149"/>
    </w:p>
    <w:p w14:paraId="56BC7BF8">
      <w:pPr>
        <w:adjustRightInd w:val="0"/>
        <w:snapToGrid w:val="0"/>
        <w:spacing w:line="360" w:lineRule="auto"/>
        <w:jc w:val="center"/>
        <w:rPr>
          <w:rFonts w:eastAsia="微软雅黑"/>
          <w:bCs/>
          <w:sz w:val="24"/>
        </w:rPr>
      </w:pPr>
    </w:p>
    <w:p w14:paraId="763017C6">
      <w:pPr>
        <w:adjustRightInd w:val="0"/>
        <w:snapToGrid w:val="0"/>
        <w:spacing w:line="360" w:lineRule="auto"/>
        <w:jc w:val="center"/>
        <w:rPr>
          <w:rFonts w:eastAsia="微软雅黑"/>
          <w:bCs/>
          <w:sz w:val="24"/>
        </w:rPr>
      </w:pPr>
    </w:p>
    <w:p w14:paraId="7929B218">
      <w:pPr>
        <w:adjustRightInd w:val="0"/>
        <w:snapToGrid w:val="0"/>
        <w:spacing w:line="360" w:lineRule="auto"/>
        <w:jc w:val="center"/>
        <w:rPr>
          <w:rFonts w:eastAsia="微软雅黑"/>
          <w:bCs/>
          <w:sz w:val="24"/>
        </w:rPr>
      </w:pPr>
    </w:p>
    <w:p w14:paraId="21E753C8">
      <w:pPr>
        <w:adjustRightInd w:val="0"/>
        <w:snapToGrid w:val="0"/>
        <w:spacing w:line="360" w:lineRule="auto"/>
        <w:jc w:val="center"/>
        <w:rPr>
          <w:rFonts w:eastAsia="微软雅黑"/>
          <w:bCs/>
          <w:sz w:val="24"/>
        </w:rPr>
      </w:pPr>
    </w:p>
    <w:p w14:paraId="7841984C">
      <w:pPr>
        <w:adjustRightInd w:val="0"/>
        <w:snapToGrid w:val="0"/>
        <w:spacing w:line="360" w:lineRule="auto"/>
        <w:jc w:val="center"/>
        <w:rPr>
          <w:rFonts w:eastAsia="微软雅黑"/>
          <w:bCs/>
          <w:sz w:val="24"/>
        </w:rPr>
      </w:pPr>
    </w:p>
    <w:p w14:paraId="13D8E131">
      <w:pPr>
        <w:adjustRightInd w:val="0"/>
        <w:snapToGrid w:val="0"/>
        <w:spacing w:line="360" w:lineRule="auto"/>
        <w:jc w:val="center"/>
        <w:rPr>
          <w:rFonts w:eastAsia="微软雅黑"/>
          <w:bCs/>
          <w:sz w:val="24"/>
        </w:rPr>
      </w:pPr>
    </w:p>
    <w:p w14:paraId="1BACF9E7">
      <w:pPr>
        <w:adjustRightInd w:val="0"/>
        <w:snapToGrid w:val="0"/>
        <w:spacing w:line="360" w:lineRule="auto"/>
        <w:jc w:val="center"/>
        <w:rPr>
          <w:rFonts w:eastAsia="微软雅黑"/>
          <w:bCs/>
          <w:sz w:val="24"/>
        </w:rPr>
      </w:pPr>
    </w:p>
    <w:p w14:paraId="30EC12DB">
      <w:pPr>
        <w:adjustRightInd w:val="0"/>
        <w:snapToGrid w:val="0"/>
        <w:spacing w:line="360" w:lineRule="auto"/>
        <w:jc w:val="center"/>
        <w:rPr>
          <w:rFonts w:eastAsia="微软雅黑"/>
          <w:bCs/>
          <w:sz w:val="24"/>
        </w:rPr>
      </w:pPr>
    </w:p>
    <w:p w14:paraId="701AC966">
      <w:pPr>
        <w:adjustRightInd w:val="0"/>
        <w:snapToGrid w:val="0"/>
        <w:spacing w:line="360" w:lineRule="auto"/>
        <w:jc w:val="center"/>
        <w:rPr>
          <w:rFonts w:eastAsia="微软雅黑"/>
          <w:bCs/>
          <w:sz w:val="24"/>
        </w:rPr>
      </w:pPr>
    </w:p>
    <w:p w14:paraId="1520940A">
      <w:pPr>
        <w:adjustRightInd w:val="0"/>
        <w:snapToGrid w:val="0"/>
        <w:spacing w:line="360" w:lineRule="auto"/>
        <w:jc w:val="center"/>
        <w:rPr>
          <w:rFonts w:eastAsia="微软雅黑"/>
          <w:bCs/>
          <w:sz w:val="24"/>
        </w:rPr>
      </w:pPr>
    </w:p>
    <w:p w14:paraId="3CAD82DC">
      <w:pPr>
        <w:adjustRightInd w:val="0"/>
        <w:snapToGrid w:val="0"/>
        <w:spacing w:line="360" w:lineRule="auto"/>
        <w:jc w:val="center"/>
        <w:rPr>
          <w:rFonts w:eastAsia="微软雅黑"/>
          <w:bCs/>
          <w:sz w:val="24"/>
        </w:rPr>
      </w:pPr>
    </w:p>
    <w:p w14:paraId="77BF1859">
      <w:pPr>
        <w:adjustRightInd w:val="0"/>
        <w:snapToGrid w:val="0"/>
        <w:spacing w:line="360" w:lineRule="auto"/>
        <w:jc w:val="center"/>
        <w:rPr>
          <w:rFonts w:eastAsia="微软雅黑"/>
          <w:bCs/>
          <w:sz w:val="24"/>
        </w:rPr>
      </w:pPr>
    </w:p>
    <w:p w14:paraId="304BE8B2">
      <w:pPr>
        <w:adjustRightInd w:val="0"/>
        <w:snapToGrid w:val="0"/>
        <w:spacing w:line="360" w:lineRule="auto"/>
        <w:jc w:val="center"/>
        <w:rPr>
          <w:rFonts w:eastAsia="微软雅黑"/>
          <w:bCs/>
          <w:sz w:val="24"/>
        </w:rPr>
      </w:pPr>
    </w:p>
    <w:p w14:paraId="575650F2">
      <w:pPr>
        <w:adjustRightInd w:val="0"/>
        <w:snapToGrid w:val="0"/>
        <w:spacing w:line="360" w:lineRule="auto"/>
        <w:jc w:val="center"/>
        <w:rPr>
          <w:rFonts w:eastAsia="微软雅黑"/>
          <w:bCs/>
          <w:sz w:val="24"/>
        </w:rPr>
      </w:pPr>
    </w:p>
    <w:p w14:paraId="3529A796">
      <w:pPr>
        <w:adjustRightInd w:val="0"/>
        <w:snapToGrid w:val="0"/>
        <w:spacing w:line="360" w:lineRule="auto"/>
        <w:jc w:val="center"/>
        <w:rPr>
          <w:rFonts w:eastAsia="微软雅黑"/>
          <w:bCs/>
          <w:sz w:val="24"/>
        </w:rPr>
      </w:pPr>
    </w:p>
    <w:p w14:paraId="3482ECC7">
      <w:pPr>
        <w:adjustRightInd w:val="0"/>
        <w:snapToGrid w:val="0"/>
        <w:spacing w:line="360" w:lineRule="auto"/>
        <w:jc w:val="center"/>
        <w:rPr>
          <w:rFonts w:eastAsia="微软雅黑"/>
          <w:bCs/>
          <w:sz w:val="24"/>
        </w:rPr>
      </w:pPr>
    </w:p>
    <w:p w14:paraId="0875D821">
      <w:pPr>
        <w:adjustRightInd w:val="0"/>
        <w:snapToGrid w:val="0"/>
        <w:spacing w:line="360" w:lineRule="auto"/>
        <w:jc w:val="center"/>
        <w:rPr>
          <w:rFonts w:eastAsia="微软雅黑"/>
          <w:bCs/>
          <w:sz w:val="24"/>
        </w:rPr>
      </w:pPr>
    </w:p>
    <w:p w14:paraId="5C2ED60B">
      <w:pPr>
        <w:spacing w:line="360" w:lineRule="auto"/>
        <w:jc w:val="center"/>
        <w:rPr>
          <w:rFonts w:eastAsia="微软雅黑"/>
          <w:b/>
          <w:sz w:val="24"/>
        </w:rPr>
      </w:pPr>
      <w:r>
        <w:rPr>
          <w:rFonts w:eastAsia="微软雅黑"/>
          <w:b/>
          <w:sz w:val="24"/>
        </w:rPr>
        <w:t>Prospective Randomized Controlled Trials on Clinical Outcomes of Indocyanine Green Tracer Using in Laparoscopic Gastrectomy with Lymph Node Dissection for Gastric Cancer</w:t>
      </w:r>
      <w:r>
        <w:rPr>
          <w:sz w:val="24"/>
        </w:rPr>
        <w:t xml:space="preserve"> </w:t>
      </w:r>
      <w:r>
        <w:rPr>
          <w:b/>
          <w:bCs/>
          <w:sz w:val="24"/>
        </w:rPr>
        <w:t>(</w:t>
      </w:r>
      <w:r>
        <w:rPr>
          <w:rFonts w:eastAsia="微软雅黑"/>
          <w:b/>
          <w:bCs/>
          <w:sz w:val="24"/>
        </w:rPr>
        <w:t>F</w:t>
      </w:r>
      <w:r>
        <w:rPr>
          <w:rFonts w:eastAsia="微软雅黑"/>
          <w:b/>
          <w:sz w:val="24"/>
        </w:rPr>
        <w:t>UGES-012)</w:t>
      </w:r>
    </w:p>
    <w:p w14:paraId="2FFC7480">
      <w:pPr>
        <w:spacing w:line="360" w:lineRule="auto"/>
        <w:jc w:val="center"/>
        <w:rPr>
          <w:rFonts w:eastAsia="微软雅黑"/>
          <w:b/>
          <w:sz w:val="24"/>
        </w:rPr>
      </w:pPr>
    </w:p>
    <w:p w14:paraId="49EA57ED">
      <w:pPr>
        <w:adjustRightInd w:val="0"/>
        <w:snapToGrid w:val="0"/>
        <w:spacing w:line="360" w:lineRule="auto"/>
        <w:jc w:val="center"/>
        <w:rPr>
          <w:rFonts w:eastAsia="微软雅黑"/>
          <w:bCs/>
          <w:sz w:val="24"/>
        </w:rPr>
      </w:pPr>
      <w:r>
        <w:rPr>
          <w:rFonts w:eastAsia="微软雅黑"/>
          <w:bCs/>
          <w:sz w:val="24"/>
        </w:rPr>
        <w:t xml:space="preserve">Chang-Ming Huang, </w:t>
      </w:r>
      <w:r>
        <w:rPr>
          <w:rFonts w:eastAsia="微软雅黑"/>
          <w:bCs/>
          <w:sz w:val="24"/>
          <w:lang w:bidi="ar"/>
        </w:rPr>
        <w:t xml:space="preserve">M.D., FACS </w:t>
      </w:r>
    </w:p>
    <w:p w14:paraId="1B95D171">
      <w:pPr>
        <w:adjustRightInd w:val="0"/>
        <w:snapToGrid w:val="0"/>
        <w:spacing w:line="360" w:lineRule="auto"/>
        <w:jc w:val="center"/>
        <w:rPr>
          <w:rFonts w:eastAsia="微软雅黑"/>
          <w:bCs/>
          <w:sz w:val="24"/>
        </w:rPr>
      </w:pPr>
      <w:r>
        <w:rPr>
          <w:rFonts w:eastAsia="微软雅黑"/>
          <w:bCs/>
          <w:sz w:val="24"/>
        </w:rPr>
        <w:t>Department of Gastric Surgery, Fujian Medical University Union Hospital</w:t>
      </w:r>
    </w:p>
    <w:p w14:paraId="43274ED6">
      <w:pPr>
        <w:adjustRightInd w:val="0"/>
        <w:snapToGrid w:val="0"/>
        <w:spacing w:line="360" w:lineRule="auto"/>
        <w:jc w:val="center"/>
        <w:rPr>
          <w:rFonts w:eastAsia="微软雅黑"/>
          <w:bCs/>
          <w:sz w:val="24"/>
        </w:rPr>
      </w:pPr>
    </w:p>
    <w:p w14:paraId="3192B10C">
      <w:pPr>
        <w:adjustRightInd w:val="0"/>
        <w:snapToGrid w:val="0"/>
        <w:spacing w:line="360" w:lineRule="auto"/>
        <w:jc w:val="left"/>
        <w:rPr>
          <w:rFonts w:eastAsia="微软雅黑"/>
          <w:b/>
          <w:sz w:val="24"/>
        </w:rPr>
      </w:pPr>
      <w:r>
        <w:rPr>
          <w:rFonts w:eastAsia="微软雅黑"/>
          <w:b/>
          <w:sz w:val="24"/>
        </w:rPr>
        <w:t>Study Objective</w:t>
      </w:r>
    </w:p>
    <w:p w14:paraId="3E8C2308">
      <w:pPr>
        <w:adjustRightInd w:val="0"/>
        <w:snapToGrid w:val="0"/>
        <w:spacing w:line="360" w:lineRule="auto"/>
        <w:jc w:val="left"/>
        <w:rPr>
          <w:rFonts w:eastAsia="微软雅黑"/>
          <w:sz w:val="24"/>
        </w:rPr>
      </w:pPr>
      <w:r>
        <w:rPr>
          <w:sz w:val="24"/>
          <w:lang w:bidi="ar"/>
        </w:rPr>
        <w:t xml:space="preserve">The objective of this study is to investigate </w:t>
      </w:r>
      <w:r>
        <w:rPr>
          <w:rFonts w:eastAsia="微软雅黑"/>
          <w:sz w:val="24"/>
        </w:rPr>
        <w:t>the safety, efficacy, and feasibility of ICG near-infrared imaging tracing in guiding laparoscopic D2 lymph node (LN) dissection for gastric cancer.</w:t>
      </w:r>
    </w:p>
    <w:p w14:paraId="4E8FC48E">
      <w:pPr>
        <w:adjustRightInd w:val="0"/>
        <w:snapToGrid w:val="0"/>
        <w:spacing w:line="360" w:lineRule="auto"/>
        <w:jc w:val="left"/>
        <w:rPr>
          <w:rFonts w:eastAsia="微软雅黑"/>
          <w:bCs/>
          <w:sz w:val="24"/>
        </w:rPr>
      </w:pPr>
    </w:p>
    <w:p w14:paraId="63BA242E">
      <w:pPr>
        <w:adjustRightInd w:val="0"/>
        <w:snapToGrid w:val="0"/>
        <w:spacing w:line="360" w:lineRule="auto"/>
        <w:jc w:val="left"/>
        <w:rPr>
          <w:rFonts w:eastAsia="微软雅黑"/>
          <w:b/>
          <w:sz w:val="24"/>
        </w:rPr>
      </w:pPr>
      <w:r>
        <w:rPr>
          <w:rFonts w:eastAsia="微软雅黑"/>
          <w:b/>
          <w:sz w:val="24"/>
        </w:rPr>
        <w:t>Primary outcome</w:t>
      </w:r>
    </w:p>
    <w:p w14:paraId="131DB5A1">
      <w:pPr>
        <w:numPr>
          <w:ilvl w:val="0"/>
          <w:numId w:val="34"/>
        </w:numPr>
        <w:adjustRightInd w:val="0"/>
        <w:snapToGrid w:val="0"/>
        <w:spacing w:line="360" w:lineRule="auto"/>
        <w:jc w:val="left"/>
        <w:rPr>
          <w:rFonts w:eastAsia="微软雅黑"/>
          <w:b/>
          <w:sz w:val="24"/>
        </w:rPr>
      </w:pPr>
      <w:r>
        <w:rPr>
          <w:rFonts w:eastAsia="微软雅黑"/>
          <w:sz w:val="24"/>
        </w:rPr>
        <w:t>Total number of retrieved LNs</w:t>
      </w:r>
    </w:p>
    <w:p w14:paraId="525F9650">
      <w:pPr>
        <w:adjustRightInd w:val="0"/>
        <w:snapToGrid w:val="0"/>
        <w:spacing w:line="360" w:lineRule="auto"/>
        <w:jc w:val="left"/>
        <w:rPr>
          <w:rFonts w:eastAsia="微软雅黑"/>
          <w:b/>
          <w:sz w:val="24"/>
        </w:rPr>
      </w:pPr>
      <w:r>
        <w:rPr>
          <w:rFonts w:eastAsia="微软雅黑"/>
          <w:b/>
          <w:sz w:val="24"/>
        </w:rPr>
        <w:t>Secondary Outcome</w:t>
      </w:r>
    </w:p>
    <w:p w14:paraId="020AEB23">
      <w:pPr>
        <w:pStyle w:val="25"/>
        <w:numPr>
          <w:ilvl w:val="0"/>
          <w:numId w:val="4"/>
        </w:numPr>
        <w:spacing w:line="360" w:lineRule="auto"/>
        <w:ind w:firstLineChars="0"/>
        <w:rPr>
          <w:rFonts w:eastAsia="微软雅黑"/>
          <w:sz w:val="24"/>
        </w:rPr>
      </w:pPr>
      <w:r>
        <w:rPr>
          <w:rFonts w:eastAsia="微软雅黑"/>
          <w:sz w:val="24"/>
        </w:rPr>
        <w:t xml:space="preserve">The rate of fluorescence </w:t>
      </w:r>
    </w:p>
    <w:p w14:paraId="646C6418">
      <w:pPr>
        <w:pStyle w:val="25"/>
        <w:numPr>
          <w:ilvl w:val="0"/>
          <w:numId w:val="4"/>
        </w:numPr>
        <w:spacing w:line="360" w:lineRule="auto"/>
        <w:ind w:firstLineChars="0"/>
        <w:rPr>
          <w:rFonts w:eastAsia="微软雅黑"/>
          <w:sz w:val="24"/>
        </w:rPr>
      </w:pPr>
      <w:r>
        <w:rPr>
          <w:rFonts w:eastAsia="微软雅黑"/>
          <w:sz w:val="24"/>
        </w:rPr>
        <w:t>Positive rate</w:t>
      </w:r>
    </w:p>
    <w:p w14:paraId="68F7EA85">
      <w:pPr>
        <w:pStyle w:val="25"/>
        <w:numPr>
          <w:ilvl w:val="0"/>
          <w:numId w:val="4"/>
        </w:numPr>
        <w:spacing w:line="360" w:lineRule="auto"/>
        <w:ind w:firstLineChars="0"/>
        <w:rPr>
          <w:rFonts w:eastAsia="微软雅黑"/>
          <w:sz w:val="24"/>
        </w:rPr>
      </w:pPr>
      <w:r>
        <w:rPr>
          <w:rFonts w:eastAsia="微软雅黑"/>
          <w:sz w:val="24"/>
        </w:rPr>
        <w:t>False positive rate</w:t>
      </w:r>
    </w:p>
    <w:p w14:paraId="184F7CD6">
      <w:pPr>
        <w:pStyle w:val="25"/>
        <w:numPr>
          <w:ilvl w:val="0"/>
          <w:numId w:val="4"/>
        </w:numPr>
        <w:spacing w:line="360" w:lineRule="auto"/>
        <w:ind w:firstLineChars="0"/>
        <w:rPr>
          <w:rFonts w:eastAsia="微软雅黑"/>
          <w:sz w:val="24"/>
        </w:rPr>
      </w:pPr>
      <w:r>
        <w:rPr>
          <w:rFonts w:eastAsia="微软雅黑"/>
          <w:sz w:val="24"/>
        </w:rPr>
        <w:t>Negative rate</w:t>
      </w:r>
    </w:p>
    <w:p w14:paraId="655DC738">
      <w:pPr>
        <w:pStyle w:val="25"/>
        <w:numPr>
          <w:ilvl w:val="0"/>
          <w:numId w:val="4"/>
        </w:numPr>
        <w:spacing w:line="360" w:lineRule="auto"/>
        <w:ind w:firstLineChars="0"/>
        <w:rPr>
          <w:rFonts w:eastAsia="微软雅黑"/>
          <w:sz w:val="24"/>
        </w:rPr>
      </w:pPr>
      <w:r>
        <w:rPr>
          <w:rFonts w:eastAsia="微软雅黑"/>
          <w:sz w:val="24"/>
        </w:rPr>
        <w:t>False negative rate</w:t>
      </w:r>
    </w:p>
    <w:p w14:paraId="04705F9C">
      <w:pPr>
        <w:pStyle w:val="25"/>
        <w:numPr>
          <w:ilvl w:val="0"/>
          <w:numId w:val="4"/>
        </w:numPr>
        <w:spacing w:line="360" w:lineRule="auto"/>
        <w:ind w:firstLineChars="0"/>
        <w:rPr>
          <w:rFonts w:eastAsia="微软雅黑"/>
          <w:sz w:val="24"/>
        </w:rPr>
      </w:pPr>
      <w:r>
        <w:rPr>
          <w:rFonts w:eastAsia="微软雅黑"/>
          <w:sz w:val="24"/>
        </w:rPr>
        <w:t>Number of Metastatic LNs</w:t>
      </w:r>
    </w:p>
    <w:p w14:paraId="68943F3F">
      <w:pPr>
        <w:pStyle w:val="25"/>
        <w:numPr>
          <w:ilvl w:val="0"/>
          <w:numId w:val="4"/>
        </w:numPr>
        <w:spacing w:line="360" w:lineRule="auto"/>
        <w:ind w:firstLineChars="0"/>
        <w:rPr>
          <w:rFonts w:eastAsia="微软雅黑"/>
          <w:sz w:val="24"/>
        </w:rPr>
      </w:pPr>
      <w:r>
        <w:rPr>
          <w:rFonts w:eastAsia="微软雅黑"/>
          <w:sz w:val="24"/>
        </w:rPr>
        <w:t>Metastatic rate of LN</w:t>
      </w:r>
    </w:p>
    <w:p w14:paraId="2E6CC0D1">
      <w:pPr>
        <w:pStyle w:val="25"/>
        <w:numPr>
          <w:ilvl w:val="0"/>
          <w:numId w:val="4"/>
        </w:numPr>
        <w:spacing w:line="360" w:lineRule="auto"/>
        <w:ind w:firstLineChars="0"/>
        <w:rPr>
          <w:rFonts w:eastAsia="微软雅黑"/>
          <w:sz w:val="24"/>
        </w:rPr>
      </w:pPr>
      <w:r>
        <w:rPr>
          <w:rFonts w:eastAsia="微软雅黑"/>
          <w:sz w:val="24"/>
        </w:rPr>
        <w:t>Morbidity and mortality rates</w:t>
      </w:r>
    </w:p>
    <w:p w14:paraId="22F24E86">
      <w:pPr>
        <w:pStyle w:val="25"/>
        <w:numPr>
          <w:ilvl w:val="0"/>
          <w:numId w:val="4"/>
        </w:numPr>
        <w:spacing w:line="360" w:lineRule="auto"/>
        <w:ind w:firstLineChars="0"/>
        <w:rPr>
          <w:rFonts w:eastAsia="微软雅黑"/>
          <w:sz w:val="24"/>
        </w:rPr>
      </w:pPr>
      <w:r>
        <w:rPr>
          <w:rFonts w:eastAsia="微软雅黑"/>
          <w:sz w:val="24"/>
        </w:rPr>
        <w:t>3-year disease-free survival rate</w:t>
      </w:r>
    </w:p>
    <w:p w14:paraId="3B2E19AB">
      <w:pPr>
        <w:pStyle w:val="25"/>
        <w:numPr>
          <w:ilvl w:val="0"/>
          <w:numId w:val="4"/>
        </w:numPr>
        <w:spacing w:line="360" w:lineRule="auto"/>
        <w:ind w:firstLineChars="0"/>
        <w:rPr>
          <w:rFonts w:eastAsia="微软雅黑"/>
          <w:sz w:val="24"/>
        </w:rPr>
      </w:pPr>
      <w:r>
        <w:rPr>
          <w:rFonts w:eastAsia="微软雅黑"/>
          <w:sz w:val="24"/>
        </w:rPr>
        <w:t>3-year overall survival rate</w:t>
      </w:r>
    </w:p>
    <w:p w14:paraId="4A4E3F10">
      <w:pPr>
        <w:pStyle w:val="25"/>
        <w:numPr>
          <w:ilvl w:val="0"/>
          <w:numId w:val="4"/>
        </w:numPr>
        <w:spacing w:line="360" w:lineRule="auto"/>
        <w:ind w:firstLineChars="0"/>
        <w:rPr>
          <w:rFonts w:eastAsia="微软雅黑"/>
          <w:sz w:val="24"/>
        </w:rPr>
      </w:pPr>
      <w:r>
        <w:rPr>
          <w:rFonts w:eastAsia="微软雅黑"/>
          <w:sz w:val="24"/>
        </w:rPr>
        <w:t>3-year recurrence pattern</w:t>
      </w:r>
    </w:p>
    <w:p w14:paraId="14977BD1">
      <w:pPr>
        <w:pStyle w:val="25"/>
        <w:numPr>
          <w:ilvl w:val="0"/>
          <w:numId w:val="4"/>
        </w:numPr>
        <w:spacing w:line="360" w:lineRule="auto"/>
        <w:ind w:firstLineChars="0"/>
        <w:rPr>
          <w:rFonts w:eastAsia="微软雅黑"/>
          <w:sz w:val="24"/>
        </w:rPr>
      </w:pPr>
      <w:r>
        <w:rPr>
          <w:rFonts w:eastAsia="微软雅黑"/>
          <w:sz w:val="24"/>
        </w:rPr>
        <w:t>Postoperative recovery course</w:t>
      </w:r>
    </w:p>
    <w:p w14:paraId="688061D0">
      <w:pPr>
        <w:pStyle w:val="25"/>
        <w:numPr>
          <w:ilvl w:val="0"/>
          <w:numId w:val="4"/>
        </w:numPr>
        <w:spacing w:line="360" w:lineRule="auto"/>
        <w:ind w:firstLineChars="0"/>
        <w:rPr>
          <w:rFonts w:eastAsia="微软雅黑"/>
          <w:sz w:val="24"/>
        </w:rPr>
      </w:pPr>
      <w:r>
        <w:rPr>
          <w:rFonts w:eastAsia="微软雅黑"/>
          <w:sz w:val="24"/>
        </w:rPr>
        <w:t>Operation time</w:t>
      </w:r>
    </w:p>
    <w:p w14:paraId="7079669A">
      <w:pPr>
        <w:pStyle w:val="25"/>
        <w:numPr>
          <w:ilvl w:val="0"/>
          <w:numId w:val="4"/>
        </w:numPr>
        <w:spacing w:line="360" w:lineRule="auto"/>
        <w:ind w:firstLineChars="0"/>
        <w:rPr>
          <w:rFonts w:eastAsia="微软雅黑"/>
          <w:sz w:val="24"/>
        </w:rPr>
      </w:pPr>
      <w:r>
        <w:rPr>
          <w:rFonts w:eastAsia="微软雅黑"/>
          <w:sz w:val="24"/>
        </w:rPr>
        <w:t>The variation of weight</w:t>
      </w:r>
    </w:p>
    <w:p w14:paraId="27362FC9">
      <w:pPr>
        <w:pStyle w:val="25"/>
        <w:numPr>
          <w:ilvl w:val="0"/>
          <w:numId w:val="4"/>
        </w:numPr>
        <w:spacing w:line="360" w:lineRule="auto"/>
        <w:ind w:firstLineChars="0"/>
        <w:rPr>
          <w:rFonts w:eastAsia="微软雅黑"/>
          <w:sz w:val="24"/>
        </w:rPr>
      </w:pPr>
      <w:r>
        <w:rPr>
          <w:rFonts w:eastAsia="微软雅黑"/>
          <w:sz w:val="24"/>
        </w:rPr>
        <w:t>Intraoperative blood loss</w:t>
      </w:r>
    </w:p>
    <w:p w14:paraId="11C89501">
      <w:pPr>
        <w:pStyle w:val="25"/>
        <w:numPr>
          <w:ilvl w:val="0"/>
          <w:numId w:val="4"/>
        </w:numPr>
        <w:spacing w:line="360" w:lineRule="auto"/>
        <w:ind w:firstLineChars="0"/>
        <w:rPr>
          <w:rFonts w:eastAsia="微软雅黑"/>
          <w:sz w:val="24"/>
        </w:rPr>
      </w:pPr>
      <w:r>
        <w:rPr>
          <w:rFonts w:eastAsia="微软雅黑"/>
          <w:sz w:val="24"/>
        </w:rPr>
        <w:t>Conversive rate</w:t>
      </w:r>
    </w:p>
    <w:p w14:paraId="067FC441">
      <w:pPr>
        <w:pStyle w:val="25"/>
        <w:numPr>
          <w:ilvl w:val="0"/>
          <w:numId w:val="4"/>
        </w:numPr>
        <w:spacing w:line="360" w:lineRule="auto"/>
        <w:ind w:firstLineChars="0"/>
        <w:rPr>
          <w:rFonts w:eastAsia="微软雅黑"/>
          <w:sz w:val="24"/>
        </w:rPr>
      </w:pPr>
      <w:r>
        <w:rPr>
          <w:rFonts w:eastAsia="微软雅黑"/>
          <w:sz w:val="24"/>
        </w:rPr>
        <w:t>Intraoperative morbidity rates</w:t>
      </w:r>
    </w:p>
    <w:p w14:paraId="402F5C07">
      <w:pPr>
        <w:pStyle w:val="25"/>
        <w:numPr>
          <w:ilvl w:val="0"/>
          <w:numId w:val="4"/>
        </w:numPr>
        <w:spacing w:line="360" w:lineRule="auto"/>
        <w:ind w:firstLineChars="0"/>
        <w:rPr>
          <w:rFonts w:eastAsia="微软雅黑"/>
          <w:sz w:val="24"/>
        </w:rPr>
      </w:pPr>
      <w:r>
        <w:rPr>
          <w:rFonts w:eastAsia="微软雅黑"/>
          <w:sz w:val="24"/>
        </w:rPr>
        <w:t>Incision length</w:t>
      </w:r>
    </w:p>
    <w:p w14:paraId="4168FC0D">
      <w:pPr>
        <w:pStyle w:val="25"/>
        <w:numPr>
          <w:ilvl w:val="0"/>
          <w:numId w:val="4"/>
        </w:numPr>
        <w:spacing w:line="360" w:lineRule="auto"/>
        <w:ind w:firstLineChars="0"/>
        <w:rPr>
          <w:rFonts w:eastAsia="微软雅黑"/>
          <w:sz w:val="24"/>
        </w:rPr>
      </w:pPr>
      <w:r>
        <w:rPr>
          <w:rFonts w:eastAsia="微软雅黑"/>
          <w:sz w:val="24"/>
        </w:rPr>
        <w:t>The variation of cholesterol</w:t>
      </w:r>
    </w:p>
    <w:p w14:paraId="4248B212">
      <w:pPr>
        <w:pStyle w:val="25"/>
        <w:numPr>
          <w:ilvl w:val="0"/>
          <w:numId w:val="4"/>
        </w:numPr>
        <w:spacing w:line="360" w:lineRule="auto"/>
        <w:ind w:firstLineChars="0"/>
        <w:rPr>
          <w:rFonts w:eastAsia="微软雅黑"/>
          <w:sz w:val="24"/>
        </w:rPr>
      </w:pPr>
      <w:r>
        <w:rPr>
          <w:rFonts w:eastAsia="微软雅黑"/>
          <w:sz w:val="24"/>
        </w:rPr>
        <w:t>The variation of album</w:t>
      </w:r>
    </w:p>
    <w:p w14:paraId="319CD39F">
      <w:pPr>
        <w:pStyle w:val="25"/>
        <w:numPr>
          <w:ilvl w:val="0"/>
          <w:numId w:val="4"/>
        </w:numPr>
        <w:spacing w:line="360" w:lineRule="auto"/>
        <w:ind w:firstLineChars="0"/>
        <w:rPr>
          <w:rFonts w:eastAsia="微软雅黑"/>
          <w:sz w:val="24"/>
        </w:rPr>
      </w:pPr>
      <w:r>
        <w:rPr>
          <w:rFonts w:eastAsia="微软雅黑"/>
          <w:sz w:val="24"/>
        </w:rPr>
        <w:t>The results of endoscopy</w:t>
      </w:r>
    </w:p>
    <w:p w14:paraId="0DBB8183">
      <w:pPr>
        <w:pStyle w:val="25"/>
        <w:numPr>
          <w:ilvl w:val="0"/>
          <w:numId w:val="4"/>
        </w:numPr>
        <w:spacing w:line="360" w:lineRule="auto"/>
        <w:ind w:firstLineChars="0"/>
        <w:rPr>
          <w:rFonts w:eastAsia="微软雅黑"/>
          <w:sz w:val="24"/>
        </w:rPr>
      </w:pPr>
      <w:r>
        <w:rPr>
          <w:rFonts w:eastAsia="微软雅黑"/>
          <w:sz w:val="24"/>
        </w:rPr>
        <w:t>The variation of body temperature</w:t>
      </w:r>
    </w:p>
    <w:p w14:paraId="5D91D77B">
      <w:pPr>
        <w:pStyle w:val="25"/>
        <w:numPr>
          <w:ilvl w:val="0"/>
          <w:numId w:val="4"/>
        </w:numPr>
        <w:spacing w:line="360" w:lineRule="auto"/>
        <w:ind w:firstLineChars="0"/>
        <w:rPr>
          <w:rFonts w:eastAsia="微软雅黑"/>
          <w:sz w:val="24"/>
        </w:rPr>
      </w:pPr>
      <w:r>
        <w:rPr>
          <w:rFonts w:eastAsia="微软雅黑"/>
          <w:sz w:val="24"/>
        </w:rPr>
        <w:t>The variation of white blood cell count</w:t>
      </w:r>
    </w:p>
    <w:p w14:paraId="19CB4F58">
      <w:pPr>
        <w:pStyle w:val="25"/>
        <w:numPr>
          <w:ilvl w:val="0"/>
          <w:numId w:val="4"/>
        </w:numPr>
        <w:spacing w:line="360" w:lineRule="auto"/>
        <w:ind w:firstLineChars="0"/>
        <w:rPr>
          <w:rFonts w:eastAsia="微软雅黑"/>
          <w:sz w:val="24"/>
        </w:rPr>
      </w:pPr>
      <w:r>
        <w:rPr>
          <w:rFonts w:eastAsia="微软雅黑"/>
          <w:sz w:val="24"/>
        </w:rPr>
        <w:t>The variation of hemoglobin</w:t>
      </w:r>
    </w:p>
    <w:p w14:paraId="5C0CAF0C">
      <w:pPr>
        <w:pStyle w:val="25"/>
        <w:numPr>
          <w:ilvl w:val="0"/>
          <w:numId w:val="35"/>
        </w:numPr>
        <w:spacing w:line="360" w:lineRule="auto"/>
        <w:ind w:firstLineChars="0"/>
        <w:rPr>
          <w:rFonts w:eastAsia="微软雅黑"/>
          <w:sz w:val="24"/>
        </w:rPr>
      </w:pPr>
      <w:r>
        <w:rPr>
          <w:rFonts w:eastAsia="微软雅黑"/>
          <w:sz w:val="24"/>
        </w:rPr>
        <w:t>The variation of C-reactive protein</w:t>
      </w:r>
    </w:p>
    <w:p w14:paraId="5F0823C0">
      <w:pPr>
        <w:numPr>
          <w:ilvl w:val="0"/>
          <w:numId w:val="35"/>
        </w:numPr>
        <w:adjustRightInd w:val="0"/>
        <w:snapToGrid w:val="0"/>
        <w:spacing w:line="360" w:lineRule="auto"/>
        <w:jc w:val="left"/>
        <w:rPr>
          <w:rFonts w:eastAsia="微软雅黑"/>
          <w:sz w:val="24"/>
        </w:rPr>
      </w:pPr>
      <w:r>
        <w:rPr>
          <w:rFonts w:eastAsia="微软雅黑"/>
          <w:sz w:val="24"/>
        </w:rPr>
        <w:t>The variation of prealbumin</w:t>
      </w:r>
    </w:p>
    <w:p w14:paraId="1C29CD57">
      <w:pPr>
        <w:adjustRightInd w:val="0"/>
        <w:snapToGrid w:val="0"/>
        <w:spacing w:line="360" w:lineRule="auto"/>
        <w:jc w:val="left"/>
        <w:rPr>
          <w:rFonts w:eastAsia="微软雅黑"/>
          <w:bCs/>
          <w:sz w:val="24"/>
        </w:rPr>
      </w:pPr>
    </w:p>
    <w:p w14:paraId="5D7662D7">
      <w:pPr>
        <w:adjustRightInd w:val="0"/>
        <w:snapToGrid w:val="0"/>
        <w:spacing w:line="360" w:lineRule="auto"/>
        <w:jc w:val="left"/>
        <w:rPr>
          <w:rFonts w:eastAsia="微软雅黑"/>
          <w:b/>
          <w:sz w:val="24"/>
        </w:rPr>
      </w:pPr>
      <w:r>
        <w:rPr>
          <w:rFonts w:eastAsia="微软雅黑"/>
          <w:b/>
          <w:sz w:val="24"/>
        </w:rPr>
        <w:t>Randomization</w:t>
      </w:r>
    </w:p>
    <w:p w14:paraId="5E00EB3A">
      <w:pPr>
        <w:adjustRightInd w:val="0"/>
        <w:snapToGrid w:val="0"/>
        <w:spacing w:line="360" w:lineRule="auto"/>
        <w:jc w:val="left"/>
        <w:rPr>
          <w:rFonts w:eastAsia="微软雅黑"/>
          <w:sz w:val="24"/>
        </w:rPr>
      </w:pPr>
      <w:r>
        <w:rPr>
          <w:rFonts w:eastAsia="微软雅黑"/>
          <w:sz w:val="24"/>
        </w:rPr>
        <w:t>Eligible patients were randomly assigned by a 1:1 ratio to either the ICG or Non-ICG group. The data manager, who was not involved in the eligibility assessment and recruitment of patients, performed randomization with a list of randomly ordered treatment identifiers generated by a permuted block design using SAS (version 9.2; SAS Institute Inc.). The allocation sequence was concealed from the surgeons who enrolled the patients until they were formally randomized to their groups. However, it was not feasible to blind the surgeons and participants owing to the nature of the surgical clinical trial.</w:t>
      </w:r>
    </w:p>
    <w:p w14:paraId="795F1993">
      <w:pPr>
        <w:adjustRightInd w:val="0"/>
        <w:snapToGrid w:val="0"/>
        <w:spacing w:line="360" w:lineRule="auto"/>
        <w:jc w:val="left"/>
        <w:rPr>
          <w:rFonts w:eastAsia="微软雅黑"/>
          <w:b/>
          <w:sz w:val="24"/>
        </w:rPr>
      </w:pPr>
    </w:p>
    <w:p w14:paraId="4CD413EA">
      <w:pPr>
        <w:adjustRightInd w:val="0"/>
        <w:snapToGrid w:val="0"/>
        <w:spacing w:line="360" w:lineRule="auto"/>
        <w:jc w:val="left"/>
        <w:rPr>
          <w:rFonts w:eastAsia="微软雅黑"/>
          <w:b/>
          <w:sz w:val="24"/>
        </w:rPr>
      </w:pPr>
      <w:r>
        <w:rPr>
          <w:rFonts w:eastAsia="微软雅黑"/>
          <w:b/>
          <w:sz w:val="24"/>
        </w:rPr>
        <w:t>Data Management</w:t>
      </w:r>
    </w:p>
    <w:p w14:paraId="0826CF36">
      <w:pPr>
        <w:adjustRightInd w:val="0"/>
        <w:snapToGrid w:val="0"/>
        <w:spacing w:line="360" w:lineRule="auto"/>
        <w:rPr>
          <w:rFonts w:eastAsia="微软雅黑"/>
          <w:sz w:val="24"/>
        </w:rPr>
      </w:pPr>
      <w:r>
        <w:rPr>
          <w:rFonts w:eastAsia="微软雅黑"/>
          <w:sz w:val="24"/>
        </w:rPr>
        <w:t>In this study, the paper CRF form are used for information and data transmittal. After the start of the study, if the CRF is found to lack items that are then deemed pertinent, under the premises of ensuring the amendment of the CRF does not cause medical and economic burden and increased risks to the selected patients, the CRF can be modified after the Research Committee adopt it through discuss at the meeting. If the amendment of the CRF requires no changes to this study protocol, the latter will not be modified. To assess whether study implementation follows protocol and data are being collected properly, monitoring should be conducted every February during the follow-up period. Monitoring is to complete through visiting a hospital and comparing the original Data.</w:t>
      </w:r>
    </w:p>
    <w:p w14:paraId="5A77523D">
      <w:pPr>
        <w:adjustRightInd w:val="0"/>
        <w:snapToGrid w:val="0"/>
        <w:spacing w:line="360" w:lineRule="auto"/>
        <w:jc w:val="left"/>
        <w:rPr>
          <w:rFonts w:eastAsia="微软雅黑"/>
          <w:b/>
          <w:sz w:val="24"/>
        </w:rPr>
      </w:pPr>
    </w:p>
    <w:p w14:paraId="502B9767">
      <w:pPr>
        <w:adjustRightInd w:val="0"/>
        <w:snapToGrid w:val="0"/>
        <w:spacing w:line="360" w:lineRule="auto"/>
        <w:jc w:val="left"/>
        <w:rPr>
          <w:rFonts w:eastAsia="微软雅黑"/>
          <w:b/>
          <w:sz w:val="24"/>
        </w:rPr>
      </w:pPr>
      <w:r>
        <w:rPr>
          <w:rFonts w:eastAsia="微软雅黑"/>
          <w:b/>
          <w:sz w:val="24"/>
        </w:rPr>
        <w:t>Sample size</w:t>
      </w:r>
    </w:p>
    <w:p w14:paraId="7BBC970D">
      <w:pPr>
        <w:adjustRightInd w:val="0"/>
        <w:snapToGrid w:val="0"/>
        <w:spacing w:line="360" w:lineRule="auto"/>
        <w:rPr>
          <w:rFonts w:eastAsia="微软雅黑"/>
          <w:sz w:val="24"/>
        </w:rPr>
      </w:pPr>
      <w:r>
        <w:rPr>
          <w:rFonts w:eastAsia="微软雅黑"/>
          <w:sz w:val="24"/>
        </w:rPr>
        <w:t>This study is a superiority test (unilateral), whose primary outcome measure is the total number of retrieving LNs. According to the previous study results and related literature reports, the total number of LN dissections in the control group was about 32.9, This analysis was based on an α of 0.05, a power of 80%, and a margin delta of 15%, revealing that at least 107 patients would be necessary per group. Considering an expected dropout rate of 20%, it was determined that each group needed at least 133 patients, for a total of 266 cases.</w:t>
      </w:r>
    </w:p>
    <w:p w14:paraId="743E576D">
      <w:pPr>
        <w:adjustRightInd w:val="0"/>
        <w:snapToGrid w:val="0"/>
        <w:spacing w:line="360" w:lineRule="auto"/>
        <w:jc w:val="left"/>
        <w:rPr>
          <w:rFonts w:eastAsia="微软雅黑"/>
          <w:b/>
          <w:sz w:val="24"/>
        </w:rPr>
      </w:pPr>
    </w:p>
    <w:p w14:paraId="1518BE2C">
      <w:pPr>
        <w:adjustRightInd w:val="0"/>
        <w:snapToGrid w:val="0"/>
        <w:spacing w:line="360" w:lineRule="auto"/>
        <w:jc w:val="left"/>
        <w:rPr>
          <w:rFonts w:eastAsia="微软雅黑"/>
          <w:b/>
          <w:sz w:val="24"/>
        </w:rPr>
      </w:pPr>
      <w:r>
        <w:rPr>
          <w:rFonts w:eastAsia="微软雅黑"/>
          <w:b/>
          <w:sz w:val="24"/>
        </w:rPr>
        <w:t xml:space="preserve">Statistical Analysis </w:t>
      </w:r>
    </w:p>
    <w:p w14:paraId="7215646F">
      <w:pPr>
        <w:numPr>
          <w:ilvl w:val="0"/>
          <w:numId w:val="35"/>
        </w:numPr>
        <w:spacing w:line="360" w:lineRule="auto"/>
        <w:rPr>
          <w:sz w:val="24"/>
        </w:rPr>
      </w:pPr>
      <w:r>
        <w:rPr>
          <w:sz w:val="24"/>
        </w:rPr>
        <w:t>Statistical software: We will use Epidata 3.0 to establish a database and to input data，and we will use SPSS 18.0 software to perform statistical analyses.</w:t>
      </w:r>
    </w:p>
    <w:p w14:paraId="7C349EAF">
      <w:pPr>
        <w:numPr>
          <w:ilvl w:val="0"/>
          <w:numId w:val="35"/>
        </w:numPr>
        <w:adjustRightInd w:val="0"/>
        <w:snapToGrid w:val="0"/>
        <w:spacing w:line="360" w:lineRule="auto"/>
        <w:rPr>
          <w:sz w:val="24"/>
        </w:rPr>
      </w:pPr>
      <w:r>
        <w:rPr>
          <w:sz w:val="24"/>
        </w:rPr>
        <w:t>Basic principle</w:t>
      </w:r>
      <w:r>
        <w:rPr>
          <w:rFonts w:eastAsia="微软雅黑"/>
          <w:sz w:val="24"/>
        </w:rPr>
        <w:t xml:space="preserve">: </w:t>
      </w:r>
      <w:r>
        <w:rPr>
          <w:sz w:val="24"/>
        </w:rPr>
        <w:t>The method of differential testing was adopted.</w:t>
      </w:r>
      <w:r>
        <w:rPr>
          <w:rFonts w:eastAsia="微软雅黑"/>
          <w:sz w:val="24"/>
        </w:rPr>
        <w:t xml:space="preserve"> </w:t>
      </w:r>
      <w:r>
        <w:rPr>
          <w:sz w:val="24"/>
        </w:rPr>
        <w:t>The safety population of the study consists of the patients who receive safety evaluation data after the intervention</w:t>
      </w:r>
      <w:r>
        <w:rPr>
          <w:rFonts w:eastAsia="微软雅黑"/>
          <w:sz w:val="24"/>
        </w:rPr>
        <w:t xml:space="preserve">. </w:t>
      </w:r>
      <w:r>
        <w:rPr>
          <w:sz w:val="24"/>
        </w:rPr>
        <w:t xml:space="preserve">Descriptive statistics and two-sided tests were conducted for the safety indicators and the incidence of adverse reactions. A </w:t>
      </w:r>
      <w:r>
        <w:rPr>
          <w:i/>
          <w:iCs/>
          <w:sz w:val="24"/>
        </w:rPr>
        <w:t>P</w:t>
      </w:r>
      <w:r>
        <w:rPr>
          <w:sz w:val="24"/>
        </w:rPr>
        <w:t>-value &lt;0.05 is considered statistically significant. The confidence interval of the parameters is estimated with a 95% confidence interval.</w:t>
      </w:r>
    </w:p>
    <w:p w14:paraId="54739693">
      <w:pPr>
        <w:numPr>
          <w:ilvl w:val="0"/>
          <w:numId w:val="35"/>
        </w:numPr>
        <w:adjustRightInd w:val="0"/>
        <w:snapToGrid w:val="0"/>
        <w:spacing w:line="360" w:lineRule="auto"/>
        <w:rPr>
          <w:rFonts w:eastAsia="微软雅黑"/>
          <w:sz w:val="24"/>
        </w:rPr>
      </w:pPr>
      <w:r>
        <w:rPr>
          <w:rFonts w:eastAsia="微软雅黑"/>
          <w:sz w:val="24"/>
        </w:rPr>
        <w:t>Shedding analysis: Total shedding rate of two groups and loss rate due to adverse events will be compared using χ</w:t>
      </w:r>
      <w:r>
        <w:rPr>
          <w:rFonts w:eastAsia="微软雅黑"/>
          <w:sz w:val="24"/>
          <w:vertAlign w:val="superscript"/>
        </w:rPr>
        <w:t>2</w:t>
      </w:r>
      <w:r>
        <w:rPr>
          <w:rFonts w:eastAsia="微软雅黑"/>
          <w:sz w:val="24"/>
        </w:rPr>
        <w:t xml:space="preserve"> test</w:t>
      </w:r>
    </w:p>
    <w:p w14:paraId="640B0D3B">
      <w:pPr>
        <w:numPr>
          <w:ilvl w:val="0"/>
          <w:numId w:val="35"/>
        </w:numPr>
        <w:adjustRightInd w:val="0"/>
        <w:snapToGrid w:val="0"/>
        <w:spacing w:line="360" w:lineRule="auto"/>
        <w:rPr>
          <w:rFonts w:eastAsia="微软雅黑"/>
          <w:sz w:val="24"/>
        </w:rPr>
      </w:pPr>
      <w:r>
        <w:rPr>
          <w:rFonts w:eastAsia="微软雅黑"/>
          <w:sz w:val="24"/>
        </w:rPr>
        <w:t>Statistical analysis of population division: baseline data and effective analysis using MITT analysis. The main therapeutic indicators are analyzed using both MITT and PP analysis. But based on the conclusion of PP analysis. If MITT analysis and PP analysis of the conclusions are consistent, it can increase the credibility of the conclusion. The data of laboratory examination, adverse events and adverse reactions were analyzed by SAP. The incidence rate of adverse reactions uses SAP as the denominator.</w:t>
      </w:r>
    </w:p>
    <w:p w14:paraId="2618124E">
      <w:pPr>
        <w:numPr>
          <w:ilvl w:val="0"/>
          <w:numId w:val="35"/>
        </w:numPr>
        <w:adjustRightInd w:val="0"/>
        <w:snapToGrid w:val="0"/>
        <w:spacing w:line="360" w:lineRule="auto"/>
        <w:rPr>
          <w:rFonts w:eastAsia="微软雅黑"/>
          <w:sz w:val="24"/>
        </w:rPr>
      </w:pPr>
      <w:r>
        <w:rPr>
          <w:rFonts w:eastAsia="微软雅黑"/>
          <w:sz w:val="24"/>
        </w:rPr>
        <w:t>Method of outlier determination: the observation value is greater than P75 or less than P25, and the exceed value more than 3 times of the quartile spacing (=P75-P25), which will be sentenced to outlier data. During the analysis, the sensitivity analysis is used for outlier data, namely analyzing outcomes including or excluding, outliers data. and if the results are not contradictory, the data is retained; if the contradiction, it depends on the specific circumstances.</w:t>
      </w:r>
    </w:p>
    <w:p w14:paraId="632CF4C5">
      <w:pPr>
        <w:numPr>
          <w:ilvl w:val="0"/>
          <w:numId w:val="35"/>
        </w:numPr>
        <w:adjustRightInd w:val="0"/>
        <w:snapToGrid w:val="0"/>
        <w:spacing w:line="360" w:lineRule="auto"/>
        <w:rPr>
          <w:rFonts w:eastAsia="微软雅黑"/>
          <w:sz w:val="24"/>
        </w:rPr>
      </w:pPr>
      <w:r>
        <w:rPr>
          <w:rFonts w:eastAsia="微软雅黑"/>
          <w:sz w:val="24"/>
        </w:rPr>
        <w:t>Descriptive statistics: The measurement data gives the mean, the standard deviation and the confidence interval, and the minimum value, the maximum value, the P25, the median and the P75 are given when necessary; matched data also gives the mean and standard deviation of the gap-value, and the median and average rank of the non-parametric method. The nominal-scale data gives the frequency distribution and the corresponding percentages. The level data gives the frequency distribution and the corresponding percentages, as well as the median and the average rank. Qualitative data give positive rate, positive number, and denominator numbers. The survival data gives the number of events, the number of deletions, the median survival time, and the survival rate.</w:t>
      </w:r>
    </w:p>
    <w:p w14:paraId="14FD21D8">
      <w:pPr>
        <w:numPr>
          <w:ilvl w:val="0"/>
          <w:numId w:val="35"/>
        </w:numPr>
        <w:adjustRightInd w:val="0"/>
        <w:snapToGrid w:val="0"/>
        <w:spacing w:line="360" w:lineRule="auto"/>
        <w:rPr>
          <w:rFonts w:eastAsia="微软雅黑"/>
          <w:sz w:val="24"/>
        </w:rPr>
      </w:pPr>
      <w:r>
        <w:rPr>
          <w:rFonts w:eastAsia="微软雅黑"/>
          <w:sz w:val="24"/>
        </w:rPr>
        <w:t>Subgroup analysis: Sub-group analysis is to find the factors that may affect prognostic according to the specific circumstances of the data.</w:t>
      </w:r>
    </w:p>
    <w:p w14:paraId="5F02F386">
      <w:pPr>
        <w:numPr>
          <w:ilvl w:val="0"/>
          <w:numId w:val="35"/>
        </w:numPr>
        <w:adjustRightInd w:val="0"/>
        <w:snapToGrid w:val="0"/>
        <w:spacing w:line="360" w:lineRule="auto"/>
        <w:rPr>
          <w:rFonts w:eastAsia="微软雅黑"/>
          <w:sz w:val="24"/>
        </w:rPr>
      </w:pPr>
      <w:r>
        <w:rPr>
          <w:rFonts w:eastAsia="微软雅黑"/>
          <w:sz w:val="24"/>
        </w:rPr>
        <w:t>Missing values handling: This study does not fill in missing values</w:t>
      </w:r>
    </w:p>
    <w:p w14:paraId="2E9A53F7">
      <w:pPr>
        <w:numPr>
          <w:ilvl w:val="0"/>
          <w:numId w:val="35"/>
        </w:numPr>
        <w:adjustRightInd w:val="0"/>
        <w:snapToGrid w:val="0"/>
        <w:spacing w:line="360" w:lineRule="auto"/>
        <w:rPr>
          <w:rFonts w:eastAsia="微软雅黑"/>
          <w:sz w:val="24"/>
        </w:rPr>
      </w:pPr>
      <w:r>
        <w:rPr>
          <w:rFonts w:eastAsia="微软雅黑"/>
          <w:sz w:val="24"/>
        </w:rPr>
        <w:t xml:space="preserve">Effective analysis: Using Log-rank test for single factor analysis of survival time data, using Cox regression model analysis for multi-factor analysis. Quantitative data using t test or t' test (variance is not homogeneous), qualitative data using Pearson </w:t>
      </w:r>
      <w:r>
        <w:rPr>
          <w:rFonts w:eastAsia="微软雅黑"/>
          <w:sz w:val="24"/>
        </w:rPr>
        <w:sym w:font="Symbol" w:char="F063"/>
      </w:r>
      <w:r>
        <w:rPr>
          <w:rFonts w:eastAsia="微软雅黑"/>
          <w:sz w:val="24"/>
          <w:vertAlign w:val="superscript"/>
        </w:rPr>
        <w:t>2</w:t>
      </w:r>
      <w:r>
        <w:rPr>
          <w:rFonts w:eastAsia="微软雅黑"/>
          <w:sz w:val="24"/>
        </w:rPr>
        <w:t xml:space="preserve"> test, grade data using Wilcoxon rank test.</w:t>
      </w:r>
    </w:p>
    <w:p w14:paraId="4B802F67">
      <w:pPr>
        <w:numPr>
          <w:ilvl w:val="0"/>
          <w:numId w:val="35"/>
        </w:numPr>
        <w:adjustRightInd w:val="0"/>
        <w:snapToGrid w:val="0"/>
        <w:spacing w:line="360" w:lineRule="auto"/>
        <w:rPr>
          <w:rFonts w:eastAsia="微软雅黑"/>
          <w:sz w:val="24"/>
        </w:rPr>
      </w:pPr>
      <w:r>
        <w:rPr>
          <w:rFonts w:eastAsia="微软雅黑"/>
          <w:sz w:val="24"/>
        </w:rPr>
        <w:t>Safety analysis: counting adverse responds incidence and incidence of adverse events and make a list to describe the adverse events occurring in the study. describe the results of the laboratory tests before and after the normal/abnormal changes and the relationship between the abnormal changes and drugs in the research, and make a list on the "normal/abnormal" changes occurred in the study. More detailed statistical analysis is shown in the statistical analysis plan.</w:t>
      </w:r>
    </w:p>
    <w:p w14:paraId="4F977C64">
      <w:pPr>
        <w:adjustRightInd w:val="0"/>
        <w:snapToGrid w:val="0"/>
        <w:spacing w:line="360" w:lineRule="auto"/>
        <w:jc w:val="left"/>
        <w:rPr>
          <w:rFonts w:eastAsia="微软雅黑"/>
          <w:bCs/>
          <w:sz w:val="24"/>
        </w:rPr>
      </w:pPr>
    </w:p>
    <w:p w14:paraId="1868DA4A">
      <w:pPr>
        <w:adjustRightInd w:val="0"/>
        <w:snapToGrid w:val="0"/>
        <w:spacing w:line="360" w:lineRule="auto"/>
        <w:jc w:val="center"/>
        <w:outlineLvl w:val="0"/>
        <w:rPr>
          <w:rFonts w:eastAsia="微软雅黑"/>
          <w:b/>
          <w:sz w:val="24"/>
        </w:rPr>
      </w:pPr>
      <w:bookmarkStart w:id="150" w:name="_Toc11296"/>
    </w:p>
    <w:p w14:paraId="38FB0842">
      <w:pPr>
        <w:adjustRightInd w:val="0"/>
        <w:snapToGrid w:val="0"/>
        <w:spacing w:line="360" w:lineRule="auto"/>
        <w:jc w:val="center"/>
        <w:outlineLvl w:val="0"/>
        <w:rPr>
          <w:rFonts w:eastAsia="微软雅黑"/>
          <w:b/>
          <w:sz w:val="24"/>
        </w:rPr>
      </w:pPr>
    </w:p>
    <w:p w14:paraId="74E19176">
      <w:pPr>
        <w:adjustRightInd w:val="0"/>
        <w:snapToGrid w:val="0"/>
        <w:spacing w:line="360" w:lineRule="auto"/>
        <w:jc w:val="center"/>
        <w:outlineLvl w:val="0"/>
        <w:rPr>
          <w:rFonts w:eastAsia="微软雅黑"/>
          <w:b/>
          <w:sz w:val="24"/>
        </w:rPr>
      </w:pPr>
    </w:p>
    <w:p w14:paraId="2626478B">
      <w:pPr>
        <w:adjustRightInd w:val="0"/>
        <w:snapToGrid w:val="0"/>
        <w:spacing w:line="360" w:lineRule="auto"/>
        <w:jc w:val="center"/>
        <w:outlineLvl w:val="0"/>
        <w:rPr>
          <w:rFonts w:eastAsia="微软雅黑"/>
          <w:b/>
          <w:sz w:val="24"/>
        </w:rPr>
      </w:pPr>
    </w:p>
    <w:p w14:paraId="756B3EFA">
      <w:pPr>
        <w:adjustRightInd w:val="0"/>
        <w:snapToGrid w:val="0"/>
        <w:spacing w:line="360" w:lineRule="auto"/>
        <w:jc w:val="center"/>
        <w:outlineLvl w:val="0"/>
        <w:rPr>
          <w:rFonts w:eastAsia="微软雅黑"/>
          <w:b/>
          <w:sz w:val="24"/>
        </w:rPr>
      </w:pPr>
    </w:p>
    <w:p w14:paraId="19BBFB3A">
      <w:pPr>
        <w:adjustRightInd w:val="0"/>
        <w:snapToGrid w:val="0"/>
        <w:spacing w:line="360" w:lineRule="auto"/>
        <w:jc w:val="center"/>
        <w:outlineLvl w:val="0"/>
        <w:rPr>
          <w:rFonts w:eastAsia="微软雅黑"/>
          <w:b/>
          <w:sz w:val="24"/>
        </w:rPr>
      </w:pPr>
    </w:p>
    <w:p w14:paraId="22BD4BB8">
      <w:pPr>
        <w:adjustRightInd w:val="0"/>
        <w:snapToGrid w:val="0"/>
        <w:spacing w:line="360" w:lineRule="auto"/>
        <w:jc w:val="center"/>
        <w:outlineLvl w:val="0"/>
        <w:rPr>
          <w:rFonts w:eastAsia="微软雅黑"/>
          <w:b/>
          <w:sz w:val="24"/>
        </w:rPr>
      </w:pPr>
    </w:p>
    <w:p w14:paraId="7C9609C5">
      <w:pPr>
        <w:adjustRightInd w:val="0"/>
        <w:snapToGrid w:val="0"/>
        <w:spacing w:line="360" w:lineRule="auto"/>
        <w:jc w:val="center"/>
        <w:outlineLvl w:val="0"/>
        <w:rPr>
          <w:rFonts w:eastAsia="微软雅黑"/>
          <w:b/>
          <w:sz w:val="24"/>
        </w:rPr>
      </w:pPr>
    </w:p>
    <w:p w14:paraId="36FF06FA">
      <w:pPr>
        <w:adjustRightInd w:val="0"/>
        <w:snapToGrid w:val="0"/>
        <w:spacing w:line="360" w:lineRule="auto"/>
        <w:jc w:val="center"/>
        <w:outlineLvl w:val="0"/>
        <w:rPr>
          <w:rFonts w:eastAsia="微软雅黑"/>
          <w:b/>
          <w:sz w:val="24"/>
        </w:rPr>
      </w:pPr>
    </w:p>
    <w:p w14:paraId="1F01F369">
      <w:pPr>
        <w:adjustRightInd w:val="0"/>
        <w:snapToGrid w:val="0"/>
        <w:spacing w:line="360" w:lineRule="auto"/>
        <w:jc w:val="center"/>
        <w:outlineLvl w:val="0"/>
        <w:rPr>
          <w:rFonts w:eastAsia="微软雅黑"/>
          <w:b/>
          <w:sz w:val="24"/>
        </w:rPr>
      </w:pPr>
    </w:p>
    <w:p w14:paraId="2F7F6E37">
      <w:pPr>
        <w:adjustRightInd w:val="0"/>
        <w:snapToGrid w:val="0"/>
        <w:spacing w:line="360" w:lineRule="auto"/>
        <w:jc w:val="center"/>
        <w:outlineLvl w:val="0"/>
        <w:rPr>
          <w:rFonts w:eastAsia="微软雅黑"/>
          <w:b/>
          <w:sz w:val="24"/>
        </w:rPr>
      </w:pPr>
    </w:p>
    <w:p w14:paraId="68A997E3">
      <w:pPr>
        <w:adjustRightInd w:val="0"/>
        <w:snapToGrid w:val="0"/>
        <w:spacing w:line="360" w:lineRule="auto"/>
        <w:jc w:val="center"/>
        <w:outlineLvl w:val="0"/>
        <w:rPr>
          <w:rFonts w:eastAsia="微软雅黑"/>
          <w:b/>
          <w:sz w:val="24"/>
        </w:rPr>
      </w:pPr>
    </w:p>
    <w:p w14:paraId="3A7F4C67">
      <w:pPr>
        <w:adjustRightInd w:val="0"/>
        <w:snapToGrid w:val="0"/>
        <w:spacing w:line="360" w:lineRule="auto"/>
        <w:jc w:val="center"/>
        <w:outlineLvl w:val="0"/>
        <w:rPr>
          <w:rFonts w:eastAsia="微软雅黑"/>
          <w:b/>
          <w:sz w:val="24"/>
        </w:rPr>
      </w:pPr>
    </w:p>
    <w:p w14:paraId="6372AD2E">
      <w:pPr>
        <w:adjustRightInd w:val="0"/>
        <w:snapToGrid w:val="0"/>
        <w:spacing w:line="360" w:lineRule="auto"/>
        <w:jc w:val="center"/>
        <w:outlineLvl w:val="0"/>
        <w:rPr>
          <w:rFonts w:eastAsia="微软雅黑"/>
          <w:b/>
          <w:sz w:val="24"/>
        </w:rPr>
      </w:pPr>
    </w:p>
    <w:p w14:paraId="5D2F7AD3">
      <w:pPr>
        <w:adjustRightInd w:val="0"/>
        <w:snapToGrid w:val="0"/>
        <w:spacing w:line="360" w:lineRule="auto"/>
        <w:jc w:val="center"/>
        <w:outlineLvl w:val="0"/>
        <w:rPr>
          <w:rFonts w:eastAsia="微软雅黑"/>
          <w:b/>
          <w:sz w:val="24"/>
        </w:rPr>
      </w:pPr>
    </w:p>
    <w:p w14:paraId="156974BE">
      <w:pPr>
        <w:adjustRightInd w:val="0"/>
        <w:snapToGrid w:val="0"/>
        <w:spacing w:line="360" w:lineRule="auto"/>
        <w:jc w:val="center"/>
        <w:outlineLvl w:val="0"/>
        <w:rPr>
          <w:rFonts w:eastAsia="微软雅黑"/>
          <w:b/>
          <w:sz w:val="24"/>
        </w:rPr>
      </w:pPr>
    </w:p>
    <w:p w14:paraId="67252140">
      <w:pPr>
        <w:adjustRightInd w:val="0"/>
        <w:snapToGrid w:val="0"/>
        <w:spacing w:line="360" w:lineRule="auto"/>
        <w:jc w:val="center"/>
        <w:outlineLvl w:val="0"/>
        <w:rPr>
          <w:rFonts w:eastAsia="微软雅黑"/>
          <w:b/>
          <w:sz w:val="24"/>
        </w:rPr>
      </w:pPr>
    </w:p>
    <w:p w14:paraId="4AE83988">
      <w:pPr>
        <w:adjustRightInd w:val="0"/>
        <w:snapToGrid w:val="0"/>
        <w:spacing w:line="360" w:lineRule="auto"/>
        <w:jc w:val="center"/>
        <w:outlineLvl w:val="0"/>
        <w:rPr>
          <w:rFonts w:eastAsia="微软雅黑"/>
          <w:b/>
          <w:sz w:val="24"/>
        </w:rPr>
      </w:pPr>
    </w:p>
    <w:p w14:paraId="278D7011">
      <w:pPr>
        <w:adjustRightInd w:val="0"/>
        <w:snapToGrid w:val="0"/>
        <w:spacing w:line="360" w:lineRule="auto"/>
        <w:jc w:val="center"/>
        <w:outlineLvl w:val="0"/>
        <w:rPr>
          <w:rFonts w:eastAsia="微软雅黑"/>
          <w:b/>
          <w:sz w:val="24"/>
        </w:rPr>
      </w:pPr>
    </w:p>
    <w:p w14:paraId="1590A8FE">
      <w:pPr>
        <w:adjustRightInd w:val="0"/>
        <w:snapToGrid w:val="0"/>
        <w:spacing w:line="360" w:lineRule="auto"/>
        <w:jc w:val="center"/>
        <w:outlineLvl w:val="0"/>
        <w:rPr>
          <w:rFonts w:eastAsia="微软雅黑"/>
          <w:b/>
          <w:sz w:val="24"/>
        </w:rPr>
      </w:pPr>
    </w:p>
    <w:p w14:paraId="5C152A6E">
      <w:pPr>
        <w:adjustRightInd w:val="0"/>
        <w:snapToGrid w:val="0"/>
        <w:spacing w:line="360" w:lineRule="auto"/>
        <w:jc w:val="center"/>
        <w:outlineLvl w:val="0"/>
        <w:rPr>
          <w:rFonts w:eastAsia="微软雅黑"/>
          <w:b/>
          <w:sz w:val="24"/>
        </w:rPr>
      </w:pPr>
    </w:p>
    <w:p w14:paraId="34B7CF31">
      <w:pPr>
        <w:adjustRightInd w:val="0"/>
        <w:snapToGrid w:val="0"/>
        <w:spacing w:line="360" w:lineRule="auto"/>
        <w:jc w:val="center"/>
        <w:outlineLvl w:val="0"/>
        <w:rPr>
          <w:rFonts w:eastAsia="微软雅黑"/>
          <w:b/>
          <w:sz w:val="24"/>
        </w:rPr>
      </w:pPr>
    </w:p>
    <w:p w14:paraId="1EC195BA">
      <w:pPr>
        <w:adjustRightInd w:val="0"/>
        <w:snapToGrid w:val="0"/>
        <w:spacing w:line="360" w:lineRule="auto"/>
        <w:jc w:val="center"/>
        <w:outlineLvl w:val="0"/>
        <w:rPr>
          <w:rFonts w:eastAsia="微软雅黑"/>
          <w:b/>
          <w:sz w:val="24"/>
        </w:rPr>
      </w:pPr>
    </w:p>
    <w:p w14:paraId="19AB754C">
      <w:pPr>
        <w:adjustRightInd w:val="0"/>
        <w:snapToGrid w:val="0"/>
        <w:spacing w:line="360" w:lineRule="auto"/>
        <w:jc w:val="center"/>
        <w:outlineLvl w:val="0"/>
        <w:rPr>
          <w:rFonts w:eastAsia="微软雅黑"/>
          <w:b/>
          <w:sz w:val="24"/>
        </w:rPr>
      </w:pPr>
    </w:p>
    <w:p w14:paraId="413EBF1B">
      <w:pPr>
        <w:adjustRightInd w:val="0"/>
        <w:snapToGrid w:val="0"/>
        <w:spacing w:line="360" w:lineRule="auto"/>
        <w:jc w:val="center"/>
        <w:outlineLvl w:val="0"/>
        <w:rPr>
          <w:rFonts w:eastAsia="微软雅黑"/>
          <w:b/>
          <w:sz w:val="24"/>
        </w:rPr>
      </w:pPr>
    </w:p>
    <w:p w14:paraId="4260F236">
      <w:pPr>
        <w:adjustRightInd w:val="0"/>
        <w:snapToGrid w:val="0"/>
        <w:spacing w:line="360" w:lineRule="auto"/>
        <w:jc w:val="center"/>
        <w:outlineLvl w:val="0"/>
        <w:rPr>
          <w:rFonts w:eastAsia="微软雅黑"/>
          <w:b/>
          <w:sz w:val="24"/>
        </w:rPr>
      </w:pPr>
    </w:p>
    <w:p w14:paraId="76D1D67A">
      <w:pPr>
        <w:adjustRightInd w:val="0"/>
        <w:snapToGrid w:val="0"/>
        <w:spacing w:line="360" w:lineRule="auto"/>
        <w:jc w:val="center"/>
        <w:outlineLvl w:val="0"/>
        <w:rPr>
          <w:rFonts w:eastAsia="微软雅黑"/>
          <w:b/>
          <w:sz w:val="24"/>
        </w:rPr>
      </w:pPr>
    </w:p>
    <w:p w14:paraId="4F019507">
      <w:pPr>
        <w:adjustRightInd w:val="0"/>
        <w:snapToGrid w:val="0"/>
        <w:spacing w:line="360" w:lineRule="auto"/>
        <w:jc w:val="center"/>
        <w:outlineLvl w:val="0"/>
        <w:rPr>
          <w:rFonts w:eastAsia="微软雅黑"/>
          <w:b/>
          <w:sz w:val="24"/>
        </w:rPr>
      </w:pPr>
    </w:p>
    <w:p w14:paraId="159D4209">
      <w:pPr>
        <w:adjustRightInd w:val="0"/>
        <w:snapToGrid w:val="0"/>
        <w:spacing w:line="360" w:lineRule="auto"/>
        <w:jc w:val="center"/>
        <w:outlineLvl w:val="0"/>
        <w:rPr>
          <w:rFonts w:eastAsia="微软雅黑"/>
          <w:b/>
          <w:sz w:val="24"/>
        </w:rPr>
      </w:pPr>
    </w:p>
    <w:p w14:paraId="6E0DDC9A">
      <w:pPr>
        <w:adjustRightInd w:val="0"/>
        <w:snapToGrid w:val="0"/>
        <w:spacing w:line="360" w:lineRule="auto"/>
        <w:jc w:val="center"/>
        <w:outlineLvl w:val="0"/>
        <w:rPr>
          <w:rFonts w:eastAsia="微软雅黑"/>
          <w:b/>
          <w:sz w:val="24"/>
        </w:rPr>
      </w:pPr>
    </w:p>
    <w:p w14:paraId="6AFCD550">
      <w:pPr>
        <w:adjustRightInd w:val="0"/>
        <w:snapToGrid w:val="0"/>
        <w:spacing w:line="360" w:lineRule="auto"/>
        <w:jc w:val="center"/>
        <w:outlineLvl w:val="0"/>
        <w:rPr>
          <w:rFonts w:eastAsia="微软雅黑"/>
          <w:b/>
          <w:sz w:val="24"/>
        </w:rPr>
      </w:pPr>
    </w:p>
    <w:p w14:paraId="567239E8">
      <w:pPr>
        <w:adjustRightInd w:val="0"/>
        <w:snapToGrid w:val="0"/>
        <w:spacing w:line="360" w:lineRule="auto"/>
        <w:jc w:val="center"/>
        <w:outlineLvl w:val="0"/>
        <w:rPr>
          <w:rFonts w:eastAsia="微软雅黑"/>
          <w:b/>
          <w:sz w:val="24"/>
        </w:rPr>
      </w:pPr>
    </w:p>
    <w:p w14:paraId="77EB52FC">
      <w:pPr>
        <w:adjustRightInd w:val="0"/>
        <w:snapToGrid w:val="0"/>
        <w:spacing w:line="360" w:lineRule="auto"/>
        <w:jc w:val="center"/>
        <w:outlineLvl w:val="0"/>
        <w:rPr>
          <w:rFonts w:eastAsia="微软雅黑"/>
          <w:b/>
          <w:sz w:val="24"/>
        </w:rPr>
      </w:pPr>
    </w:p>
    <w:p w14:paraId="4C84F564">
      <w:pPr>
        <w:adjustRightInd w:val="0"/>
        <w:snapToGrid w:val="0"/>
        <w:spacing w:line="360" w:lineRule="auto"/>
        <w:jc w:val="center"/>
        <w:outlineLvl w:val="0"/>
        <w:rPr>
          <w:rFonts w:eastAsia="微软雅黑"/>
          <w:b/>
          <w:sz w:val="24"/>
        </w:rPr>
      </w:pPr>
    </w:p>
    <w:p w14:paraId="7D3BCCEB">
      <w:pPr>
        <w:adjustRightInd w:val="0"/>
        <w:snapToGrid w:val="0"/>
        <w:spacing w:line="360" w:lineRule="auto"/>
        <w:jc w:val="center"/>
        <w:outlineLvl w:val="0"/>
        <w:rPr>
          <w:rFonts w:eastAsia="微软雅黑"/>
          <w:b/>
          <w:sz w:val="24"/>
        </w:rPr>
      </w:pPr>
    </w:p>
    <w:p w14:paraId="35902C38">
      <w:pPr>
        <w:adjustRightInd w:val="0"/>
        <w:snapToGrid w:val="0"/>
        <w:spacing w:line="360" w:lineRule="auto"/>
        <w:jc w:val="center"/>
        <w:outlineLvl w:val="0"/>
        <w:rPr>
          <w:rFonts w:eastAsia="微软雅黑"/>
          <w:b/>
          <w:sz w:val="24"/>
        </w:rPr>
      </w:pPr>
    </w:p>
    <w:p w14:paraId="11BD52BD">
      <w:pPr>
        <w:adjustRightInd w:val="0"/>
        <w:snapToGrid w:val="0"/>
        <w:spacing w:line="360" w:lineRule="auto"/>
        <w:jc w:val="center"/>
        <w:outlineLvl w:val="0"/>
        <w:rPr>
          <w:rFonts w:eastAsia="微软雅黑"/>
          <w:b/>
          <w:sz w:val="24"/>
        </w:rPr>
      </w:pPr>
    </w:p>
    <w:p w14:paraId="1E693F15">
      <w:pPr>
        <w:adjustRightInd w:val="0"/>
        <w:snapToGrid w:val="0"/>
        <w:spacing w:line="360" w:lineRule="auto"/>
        <w:jc w:val="center"/>
        <w:outlineLvl w:val="0"/>
        <w:rPr>
          <w:rFonts w:eastAsia="微软雅黑"/>
          <w:b/>
          <w:sz w:val="24"/>
        </w:rPr>
      </w:pPr>
    </w:p>
    <w:p w14:paraId="7921785E">
      <w:pPr>
        <w:adjustRightInd w:val="0"/>
        <w:snapToGrid w:val="0"/>
        <w:spacing w:line="360" w:lineRule="auto"/>
        <w:jc w:val="center"/>
        <w:outlineLvl w:val="0"/>
        <w:rPr>
          <w:rFonts w:eastAsia="微软雅黑"/>
          <w:b/>
          <w:sz w:val="24"/>
        </w:rPr>
      </w:pPr>
    </w:p>
    <w:p w14:paraId="5DF3A4C1">
      <w:pPr>
        <w:adjustRightInd w:val="0"/>
        <w:snapToGrid w:val="0"/>
        <w:spacing w:line="360" w:lineRule="auto"/>
        <w:jc w:val="center"/>
        <w:outlineLvl w:val="0"/>
        <w:rPr>
          <w:rFonts w:eastAsia="微软雅黑"/>
          <w:b/>
          <w:sz w:val="24"/>
        </w:rPr>
      </w:pPr>
    </w:p>
    <w:p w14:paraId="790EA1A1">
      <w:pPr>
        <w:adjustRightInd w:val="0"/>
        <w:snapToGrid w:val="0"/>
        <w:spacing w:line="360" w:lineRule="auto"/>
        <w:jc w:val="both"/>
        <w:outlineLvl w:val="0"/>
        <w:rPr>
          <w:rFonts w:eastAsia="微软雅黑"/>
          <w:b/>
          <w:sz w:val="24"/>
        </w:rPr>
      </w:pPr>
    </w:p>
    <w:p w14:paraId="4EB3BA15">
      <w:pPr>
        <w:adjustRightInd w:val="0"/>
        <w:snapToGrid w:val="0"/>
        <w:spacing w:line="360" w:lineRule="auto"/>
        <w:jc w:val="center"/>
        <w:outlineLvl w:val="0"/>
        <w:rPr>
          <w:rFonts w:eastAsia="微软雅黑"/>
          <w:b/>
          <w:sz w:val="24"/>
        </w:rPr>
      </w:pPr>
    </w:p>
    <w:p w14:paraId="755E4946">
      <w:pPr>
        <w:adjustRightInd w:val="0"/>
        <w:snapToGrid w:val="0"/>
        <w:spacing w:line="360" w:lineRule="auto"/>
        <w:jc w:val="center"/>
        <w:outlineLvl w:val="0"/>
        <w:rPr>
          <w:rFonts w:eastAsia="微软雅黑"/>
          <w:b/>
          <w:bCs w:val="0"/>
          <w:sz w:val="44"/>
          <w:szCs w:val="44"/>
        </w:rPr>
      </w:pPr>
      <w:r>
        <w:rPr>
          <w:rFonts w:eastAsia="微软雅黑"/>
          <w:b/>
          <w:bCs w:val="0"/>
          <w:sz w:val="44"/>
          <w:szCs w:val="44"/>
        </w:rPr>
        <w:t>Final Statistical Analysis Plan</w:t>
      </w:r>
      <w:bookmarkEnd w:id="150"/>
    </w:p>
    <w:p w14:paraId="7F89CA68">
      <w:pPr>
        <w:adjustRightInd w:val="0"/>
        <w:snapToGrid w:val="0"/>
        <w:spacing w:line="360" w:lineRule="auto"/>
        <w:jc w:val="center"/>
        <w:rPr>
          <w:rFonts w:eastAsia="微软雅黑"/>
          <w:bCs/>
          <w:sz w:val="24"/>
        </w:rPr>
      </w:pPr>
    </w:p>
    <w:p w14:paraId="0054887A">
      <w:pPr>
        <w:adjustRightInd w:val="0"/>
        <w:snapToGrid w:val="0"/>
        <w:spacing w:line="360" w:lineRule="auto"/>
        <w:jc w:val="center"/>
        <w:rPr>
          <w:rFonts w:eastAsia="微软雅黑"/>
          <w:bCs/>
          <w:sz w:val="24"/>
        </w:rPr>
      </w:pPr>
    </w:p>
    <w:p w14:paraId="206422C4">
      <w:pPr>
        <w:adjustRightInd w:val="0"/>
        <w:snapToGrid w:val="0"/>
        <w:spacing w:line="360" w:lineRule="auto"/>
        <w:jc w:val="center"/>
        <w:rPr>
          <w:rFonts w:eastAsia="微软雅黑"/>
          <w:bCs/>
          <w:sz w:val="24"/>
        </w:rPr>
      </w:pPr>
    </w:p>
    <w:p w14:paraId="5CC7A7E1">
      <w:pPr>
        <w:adjustRightInd w:val="0"/>
        <w:snapToGrid w:val="0"/>
        <w:spacing w:line="360" w:lineRule="auto"/>
        <w:jc w:val="center"/>
        <w:rPr>
          <w:rFonts w:eastAsia="微软雅黑"/>
          <w:bCs/>
          <w:sz w:val="24"/>
        </w:rPr>
      </w:pPr>
    </w:p>
    <w:p w14:paraId="61B92669">
      <w:pPr>
        <w:adjustRightInd w:val="0"/>
        <w:snapToGrid w:val="0"/>
        <w:spacing w:line="360" w:lineRule="auto"/>
        <w:jc w:val="center"/>
        <w:rPr>
          <w:rFonts w:eastAsia="微软雅黑"/>
          <w:bCs/>
          <w:sz w:val="24"/>
        </w:rPr>
      </w:pPr>
    </w:p>
    <w:p w14:paraId="37CA0825">
      <w:pPr>
        <w:adjustRightInd w:val="0"/>
        <w:snapToGrid w:val="0"/>
        <w:spacing w:line="360" w:lineRule="auto"/>
        <w:jc w:val="center"/>
        <w:rPr>
          <w:rFonts w:eastAsia="微软雅黑"/>
          <w:bCs/>
          <w:sz w:val="24"/>
        </w:rPr>
      </w:pPr>
    </w:p>
    <w:p w14:paraId="5D5368B1">
      <w:pPr>
        <w:adjustRightInd w:val="0"/>
        <w:snapToGrid w:val="0"/>
        <w:spacing w:line="360" w:lineRule="auto"/>
        <w:jc w:val="center"/>
        <w:rPr>
          <w:rFonts w:eastAsia="微软雅黑"/>
          <w:bCs/>
          <w:sz w:val="24"/>
        </w:rPr>
      </w:pPr>
    </w:p>
    <w:p w14:paraId="381FD031">
      <w:pPr>
        <w:adjustRightInd w:val="0"/>
        <w:snapToGrid w:val="0"/>
        <w:spacing w:line="360" w:lineRule="auto"/>
        <w:jc w:val="center"/>
        <w:rPr>
          <w:rFonts w:eastAsia="微软雅黑"/>
          <w:bCs/>
          <w:sz w:val="24"/>
        </w:rPr>
      </w:pPr>
    </w:p>
    <w:p w14:paraId="5072588A">
      <w:pPr>
        <w:adjustRightInd w:val="0"/>
        <w:snapToGrid w:val="0"/>
        <w:spacing w:line="360" w:lineRule="auto"/>
        <w:jc w:val="center"/>
        <w:rPr>
          <w:rFonts w:eastAsia="微软雅黑"/>
          <w:bCs/>
          <w:sz w:val="24"/>
        </w:rPr>
      </w:pPr>
    </w:p>
    <w:p w14:paraId="16CDE14D">
      <w:pPr>
        <w:adjustRightInd w:val="0"/>
        <w:snapToGrid w:val="0"/>
        <w:spacing w:line="360" w:lineRule="auto"/>
        <w:jc w:val="center"/>
        <w:rPr>
          <w:rFonts w:eastAsia="微软雅黑"/>
          <w:bCs/>
          <w:sz w:val="24"/>
        </w:rPr>
      </w:pPr>
    </w:p>
    <w:p w14:paraId="4DAF3D62">
      <w:pPr>
        <w:adjustRightInd w:val="0"/>
        <w:snapToGrid w:val="0"/>
        <w:spacing w:line="360" w:lineRule="auto"/>
        <w:jc w:val="center"/>
        <w:rPr>
          <w:rFonts w:eastAsia="微软雅黑"/>
          <w:bCs/>
          <w:sz w:val="24"/>
        </w:rPr>
      </w:pPr>
    </w:p>
    <w:p w14:paraId="1CBB0C9F">
      <w:pPr>
        <w:adjustRightInd w:val="0"/>
        <w:snapToGrid w:val="0"/>
        <w:spacing w:line="360" w:lineRule="auto"/>
        <w:jc w:val="center"/>
        <w:rPr>
          <w:rFonts w:eastAsia="微软雅黑"/>
          <w:bCs/>
          <w:sz w:val="24"/>
        </w:rPr>
      </w:pPr>
    </w:p>
    <w:p w14:paraId="1B926531">
      <w:pPr>
        <w:adjustRightInd w:val="0"/>
        <w:snapToGrid w:val="0"/>
        <w:spacing w:line="360" w:lineRule="auto"/>
        <w:jc w:val="center"/>
        <w:rPr>
          <w:rFonts w:eastAsia="微软雅黑"/>
          <w:bCs/>
          <w:sz w:val="24"/>
        </w:rPr>
      </w:pPr>
    </w:p>
    <w:p w14:paraId="4E417E89">
      <w:pPr>
        <w:adjustRightInd w:val="0"/>
        <w:snapToGrid w:val="0"/>
        <w:spacing w:line="360" w:lineRule="auto"/>
        <w:jc w:val="center"/>
        <w:rPr>
          <w:rFonts w:eastAsia="微软雅黑"/>
          <w:bCs/>
          <w:sz w:val="24"/>
        </w:rPr>
      </w:pPr>
    </w:p>
    <w:p w14:paraId="4F1904CB">
      <w:pPr>
        <w:adjustRightInd w:val="0"/>
        <w:snapToGrid w:val="0"/>
        <w:spacing w:line="360" w:lineRule="auto"/>
        <w:jc w:val="center"/>
        <w:rPr>
          <w:rFonts w:eastAsia="微软雅黑"/>
          <w:bCs/>
          <w:sz w:val="24"/>
        </w:rPr>
      </w:pPr>
    </w:p>
    <w:p w14:paraId="288CB4BB">
      <w:pPr>
        <w:adjustRightInd w:val="0"/>
        <w:snapToGrid w:val="0"/>
        <w:spacing w:line="360" w:lineRule="auto"/>
        <w:jc w:val="center"/>
        <w:rPr>
          <w:rFonts w:eastAsia="微软雅黑"/>
          <w:bCs/>
          <w:sz w:val="24"/>
        </w:rPr>
      </w:pPr>
    </w:p>
    <w:p w14:paraId="7DE24941">
      <w:pPr>
        <w:adjustRightInd w:val="0"/>
        <w:snapToGrid w:val="0"/>
        <w:spacing w:line="360" w:lineRule="auto"/>
        <w:jc w:val="center"/>
        <w:rPr>
          <w:rFonts w:eastAsia="微软雅黑"/>
          <w:bCs/>
          <w:sz w:val="24"/>
        </w:rPr>
      </w:pPr>
    </w:p>
    <w:p w14:paraId="2FD82D76">
      <w:pPr>
        <w:adjustRightInd w:val="0"/>
        <w:snapToGrid w:val="0"/>
        <w:spacing w:line="360" w:lineRule="auto"/>
        <w:jc w:val="center"/>
        <w:rPr>
          <w:rFonts w:eastAsia="微软雅黑"/>
          <w:bCs/>
          <w:sz w:val="24"/>
        </w:rPr>
      </w:pPr>
    </w:p>
    <w:p w14:paraId="0F02E7F3">
      <w:pPr>
        <w:adjustRightInd w:val="0"/>
        <w:snapToGrid w:val="0"/>
        <w:spacing w:line="360" w:lineRule="auto"/>
        <w:jc w:val="center"/>
        <w:rPr>
          <w:rFonts w:eastAsia="微软雅黑"/>
          <w:bCs/>
          <w:sz w:val="24"/>
        </w:rPr>
      </w:pPr>
    </w:p>
    <w:p w14:paraId="161E0942">
      <w:pPr>
        <w:adjustRightInd w:val="0"/>
        <w:snapToGrid w:val="0"/>
        <w:spacing w:line="360" w:lineRule="auto"/>
        <w:jc w:val="center"/>
        <w:rPr>
          <w:rFonts w:eastAsia="微软雅黑"/>
          <w:bCs/>
          <w:sz w:val="24"/>
        </w:rPr>
        <w:sectPr>
          <w:headerReference r:id="rId14" w:type="first"/>
          <w:headerReference r:id="rId13" w:type="default"/>
          <w:pgSz w:w="11906" w:h="16838"/>
          <w:pgMar w:top="1440" w:right="1644" w:bottom="1440" w:left="1797" w:header="851" w:footer="992" w:gutter="0"/>
          <w:cols w:space="425" w:num="1"/>
          <w:titlePg/>
          <w:docGrid w:type="lines" w:linePitch="312" w:charSpace="0"/>
        </w:sectPr>
      </w:pPr>
    </w:p>
    <w:p w14:paraId="13416DFD">
      <w:pPr>
        <w:adjustRightInd w:val="0"/>
        <w:snapToGrid w:val="0"/>
        <w:spacing w:line="360" w:lineRule="auto"/>
        <w:jc w:val="center"/>
        <w:rPr>
          <w:rFonts w:eastAsia="微软雅黑"/>
          <w:bCs/>
          <w:sz w:val="24"/>
        </w:rPr>
      </w:pPr>
      <w:r>
        <w:rPr>
          <w:rFonts w:eastAsia="微软雅黑"/>
          <w:bCs/>
          <w:sz w:val="24"/>
        </w:rPr>
        <w:t xml:space="preserve">Statistical Analysis Plan for </w:t>
      </w:r>
    </w:p>
    <w:p w14:paraId="4C34226E">
      <w:pPr>
        <w:adjustRightInd w:val="0"/>
        <w:snapToGrid w:val="0"/>
        <w:spacing w:line="360" w:lineRule="auto"/>
        <w:jc w:val="center"/>
        <w:rPr>
          <w:rFonts w:eastAsia="微软雅黑"/>
          <w:bCs/>
          <w:sz w:val="24"/>
        </w:rPr>
      </w:pPr>
    </w:p>
    <w:p w14:paraId="2A57AB5C">
      <w:pPr>
        <w:spacing w:line="360" w:lineRule="auto"/>
        <w:jc w:val="center"/>
        <w:rPr>
          <w:rFonts w:eastAsia="微软雅黑"/>
          <w:b/>
          <w:sz w:val="24"/>
        </w:rPr>
      </w:pPr>
      <w:r>
        <w:rPr>
          <w:rFonts w:eastAsia="微软雅黑"/>
          <w:b/>
          <w:sz w:val="24"/>
        </w:rPr>
        <w:t>Randomized Controlled Trials on Clinical Outcomes of Indocyanine Green Fluorescence Imaging-Guided Lymphadenectomy versus Conventional Laparoscopic Lymphadenectomy for Gastric Cancer</w:t>
      </w:r>
      <w:r>
        <w:rPr>
          <w:b/>
          <w:sz w:val="24"/>
        </w:rPr>
        <w:t xml:space="preserve"> (</w:t>
      </w:r>
      <w:r>
        <w:rPr>
          <w:rFonts w:eastAsia="微软雅黑"/>
          <w:b/>
          <w:sz w:val="24"/>
        </w:rPr>
        <w:t>FUGES-012 Study)</w:t>
      </w:r>
    </w:p>
    <w:p w14:paraId="6C243B08">
      <w:pPr>
        <w:adjustRightInd w:val="0"/>
        <w:snapToGrid w:val="0"/>
        <w:spacing w:line="360" w:lineRule="auto"/>
        <w:jc w:val="center"/>
        <w:rPr>
          <w:rFonts w:eastAsia="微软雅黑"/>
          <w:bCs/>
          <w:sz w:val="24"/>
        </w:rPr>
      </w:pPr>
    </w:p>
    <w:p w14:paraId="04099BF1">
      <w:pPr>
        <w:adjustRightInd w:val="0"/>
        <w:snapToGrid w:val="0"/>
        <w:spacing w:line="360" w:lineRule="auto"/>
        <w:jc w:val="left"/>
        <w:rPr>
          <w:rFonts w:eastAsia="微软雅黑"/>
          <w:bCs/>
          <w:sz w:val="24"/>
        </w:rPr>
      </w:pPr>
      <w:r>
        <w:rPr>
          <w:rFonts w:eastAsia="微软雅黑"/>
          <w:bCs/>
          <w:sz w:val="24"/>
        </w:rPr>
        <w:t xml:space="preserve">Overall Principal Investigator (PI), Fujian Medical University PI: </w:t>
      </w:r>
    </w:p>
    <w:p w14:paraId="6DAA5DA4">
      <w:pPr>
        <w:adjustRightInd w:val="0"/>
        <w:snapToGrid w:val="0"/>
        <w:spacing w:line="360" w:lineRule="auto"/>
        <w:jc w:val="left"/>
        <w:rPr>
          <w:rFonts w:eastAsia="微软雅黑"/>
          <w:bCs/>
          <w:sz w:val="24"/>
        </w:rPr>
      </w:pPr>
      <w:r>
        <w:rPr>
          <w:rFonts w:eastAsia="微软雅黑"/>
          <w:bCs/>
          <w:sz w:val="24"/>
        </w:rPr>
        <w:t xml:space="preserve">Chang-Ming Huang, M.D. </w:t>
      </w:r>
    </w:p>
    <w:p w14:paraId="4E5D0A5D">
      <w:pPr>
        <w:adjustRightInd w:val="0"/>
        <w:snapToGrid w:val="0"/>
        <w:spacing w:line="360" w:lineRule="auto"/>
        <w:jc w:val="left"/>
        <w:rPr>
          <w:rFonts w:eastAsia="微软雅黑"/>
          <w:bCs/>
          <w:sz w:val="24"/>
        </w:rPr>
      </w:pPr>
      <w:r>
        <w:rPr>
          <w:rFonts w:eastAsia="微软雅黑"/>
          <w:bCs/>
          <w:sz w:val="24"/>
        </w:rPr>
        <w:t>Department of Gastric Surgery</w:t>
      </w:r>
    </w:p>
    <w:p w14:paraId="760D06F0">
      <w:pPr>
        <w:adjustRightInd w:val="0"/>
        <w:snapToGrid w:val="0"/>
        <w:spacing w:line="360" w:lineRule="auto"/>
        <w:jc w:val="left"/>
        <w:rPr>
          <w:rFonts w:eastAsia="微软雅黑"/>
          <w:bCs/>
          <w:sz w:val="24"/>
        </w:rPr>
      </w:pPr>
      <w:r>
        <w:rPr>
          <w:rFonts w:eastAsia="微软雅黑"/>
          <w:bCs/>
          <w:sz w:val="24"/>
        </w:rPr>
        <w:t>Fujian Medical University Union Hospital</w:t>
      </w:r>
    </w:p>
    <w:p w14:paraId="17D5D18F">
      <w:pPr>
        <w:adjustRightInd w:val="0"/>
        <w:snapToGrid w:val="0"/>
        <w:spacing w:line="360" w:lineRule="auto"/>
        <w:jc w:val="left"/>
        <w:rPr>
          <w:rFonts w:eastAsia="微软雅黑"/>
          <w:bCs/>
          <w:sz w:val="24"/>
        </w:rPr>
      </w:pPr>
    </w:p>
    <w:p w14:paraId="3195F322">
      <w:pPr>
        <w:adjustRightInd w:val="0"/>
        <w:snapToGrid w:val="0"/>
        <w:spacing w:line="360" w:lineRule="auto"/>
        <w:jc w:val="left"/>
        <w:rPr>
          <w:rFonts w:eastAsia="微软雅黑"/>
          <w:bCs/>
          <w:sz w:val="24"/>
        </w:rPr>
      </w:pPr>
    </w:p>
    <w:p w14:paraId="279636CD">
      <w:pPr>
        <w:adjustRightInd w:val="0"/>
        <w:snapToGrid w:val="0"/>
        <w:spacing w:line="360" w:lineRule="auto"/>
        <w:jc w:val="left"/>
        <w:rPr>
          <w:rFonts w:eastAsia="微软雅黑"/>
          <w:bCs/>
          <w:sz w:val="24"/>
        </w:rPr>
      </w:pPr>
      <w:r>
        <w:rPr>
          <w:rFonts w:eastAsia="微软雅黑"/>
          <w:bCs/>
          <w:sz w:val="24"/>
        </w:rPr>
        <w:t xml:space="preserve">Site PIs: Chang-Ming Huang, M.D. </w:t>
      </w:r>
    </w:p>
    <w:p w14:paraId="1465CD7D">
      <w:pPr>
        <w:adjustRightInd w:val="0"/>
        <w:snapToGrid w:val="0"/>
        <w:spacing w:line="360" w:lineRule="auto"/>
        <w:jc w:val="left"/>
        <w:rPr>
          <w:rFonts w:eastAsia="微软雅黑"/>
          <w:bCs/>
          <w:sz w:val="24"/>
        </w:rPr>
      </w:pPr>
    </w:p>
    <w:p w14:paraId="6B1819BA">
      <w:pPr>
        <w:adjustRightInd w:val="0"/>
        <w:snapToGrid w:val="0"/>
        <w:spacing w:line="360" w:lineRule="auto"/>
        <w:jc w:val="left"/>
        <w:rPr>
          <w:rFonts w:eastAsia="微软雅黑"/>
          <w:bCs/>
          <w:sz w:val="24"/>
        </w:rPr>
      </w:pPr>
    </w:p>
    <w:p w14:paraId="30C03002">
      <w:pPr>
        <w:adjustRightInd w:val="0"/>
        <w:snapToGrid w:val="0"/>
        <w:spacing w:line="360" w:lineRule="auto"/>
        <w:jc w:val="left"/>
        <w:rPr>
          <w:rFonts w:eastAsia="微软雅黑"/>
          <w:bCs/>
          <w:sz w:val="24"/>
        </w:rPr>
      </w:pPr>
      <w:r>
        <w:rPr>
          <w:rFonts w:eastAsia="微软雅黑"/>
          <w:bCs/>
          <w:sz w:val="24"/>
        </w:rPr>
        <w:t>Trial Sponsor: Chang-Ming Huang, M.D.</w:t>
      </w:r>
    </w:p>
    <w:p w14:paraId="58456F70">
      <w:pPr>
        <w:adjustRightInd w:val="0"/>
        <w:snapToGrid w:val="0"/>
        <w:spacing w:line="360" w:lineRule="auto"/>
        <w:jc w:val="left"/>
        <w:rPr>
          <w:rFonts w:eastAsia="微软雅黑"/>
          <w:bCs/>
          <w:sz w:val="24"/>
        </w:rPr>
      </w:pPr>
    </w:p>
    <w:p w14:paraId="3400BCF4">
      <w:pPr>
        <w:adjustRightInd w:val="0"/>
        <w:snapToGrid w:val="0"/>
        <w:spacing w:line="360" w:lineRule="auto"/>
        <w:jc w:val="left"/>
        <w:rPr>
          <w:rFonts w:eastAsia="微软雅黑"/>
          <w:bCs/>
          <w:sz w:val="24"/>
        </w:rPr>
      </w:pPr>
    </w:p>
    <w:p w14:paraId="416A13E2">
      <w:pPr>
        <w:adjustRightInd w:val="0"/>
        <w:snapToGrid w:val="0"/>
        <w:spacing w:line="360" w:lineRule="auto"/>
        <w:jc w:val="left"/>
        <w:rPr>
          <w:rFonts w:eastAsia="微软雅黑"/>
          <w:bCs/>
          <w:sz w:val="24"/>
        </w:rPr>
      </w:pPr>
      <w:r>
        <w:rPr>
          <w:rFonts w:eastAsia="微软雅黑"/>
          <w:bCs/>
          <w:sz w:val="24"/>
        </w:rPr>
        <w:t>Protocol Signatures:</w:t>
      </w:r>
    </w:p>
    <w:p w14:paraId="1450F496">
      <w:pPr>
        <w:adjustRightInd w:val="0"/>
        <w:snapToGrid w:val="0"/>
        <w:spacing w:line="360" w:lineRule="auto"/>
        <w:jc w:val="left"/>
        <w:rPr>
          <w:rFonts w:eastAsia="微软雅黑"/>
          <w:bCs/>
          <w:sz w:val="24"/>
        </w:rPr>
      </w:pPr>
      <w:r>
        <w:rPr>
          <w:rFonts w:eastAsia="微软雅黑"/>
          <w:bCs/>
          <w:sz w:val="24"/>
        </w:rPr>
        <w:t>Chang-Ming Huang</w:t>
      </w:r>
    </w:p>
    <w:p w14:paraId="16EDEC42">
      <w:pPr>
        <w:adjustRightInd w:val="0"/>
        <w:snapToGrid w:val="0"/>
        <w:spacing w:line="360" w:lineRule="auto"/>
        <w:jc w:val="left"/>
        <w:rPr>
          <w:rFonts w:eastAsia="微软雅黑"/>
          <w:bCs/>
          <w:sz w:val="24"/>
        </w:rPr>
      </w:pPr>
    </w:p>
    <w:p w14:paraId="487E9D3C">
      <w:pPr>
        <w:adjustRightInd w:val="0"/>
        <w:snapToGrid w:val="0"/>
        <w:spacing w:line="360" w:lineRule="auto"/>
        <w:jc w:val="left"/>
        <w:rPr>
          <w:rFonts w:eastAsia="微软雅黑"/>
          <w:bCs/>
          <w:sz w:val="24"/>
        </w:rPr>
      </w:pPr>
    </w:p>
    <w:p w14:paraId="6A8559E7">
      <w:pPr>
        <w:adjustRightInd w:val="0"/>
        <w:snapToGrid w:val="0"/>
        <w:spacing w:line="360" w:lineRule="auto"/>
        <w:jc w:val="left"/>
        <w:rPr>
          <w:rFonts w:eastAsia="微软雅黑"/>
          <w:bCs/>
          <w:sz w:val="24"/>
        </w:rPr>
      </w:pPr>
      <w:r>
        <w:rPr>
          <w:rFonts w:eastAsia="微软雅黑"/>
          <w:bCs/>
          <w:sz w:val="24"/>
        </w:rPr>
        <w:t>Data Safety Monitoring Board (DSMB): Mi Lin, M.D. Department of Gastric Surgery</w:t>
      </w:r>
    </w:p>
    <w:p w14:paraId="41B253A0">
      <w:pPr>
        <w:adjustRightInd w:val="0"/>
        <w:snapToGrid w:val="0"/>
        <w:spacing w:line="360" w:lineRule="auto"/>
        <w:jc w:val="left"/>
        <w:rPr>
          <w:rFonts w:eastAsia="微软雅黑"/>
          <w:bCs/>
          <w:sz w:val="24"/>
        </w:rPr>
      </w:pPr>
      <w:r>
        <w:rPr>
          <w:rFonts w:eastAsia="微软雅黑"/>
          <w:bCs/>
          <w:sz w:val="24"/>
        </w:rPr>
        <w:t>Fujian Medical University Union Hospital</w:t>
      </w:r>
    </w:p>
    <w:p w14:paraId="4DC22960">
      <w:pPr>
        <w:adjustRightInd w:val="0"/>
        <w:snapToGrid w:val="0"/>
        <w:spacing w:line="360" w:lineRule="auto"/>
        <w:jc w:val="left"/>
        <w:rPr>
          <w:rFonts w:eastAsia="微软雅黑"/>
          <w:bCs/>
          <w:sz w:val="24"/>
        </w:rPr>
      </w:pPr>
    </w:p>
    <w:p w14:paraId="7EF92657">
      <w:pPr>
        <w:adjustRightInd w:val="0"/>
        <w:snapToGrid w:val="0"/>
        <w:spacing w:line="360" w:lineRule="auto"/>
        <w:jc w:val="left"/>
        <w:rPr>
          <w:rFonts w:eastAsia="微软雅黑"/>
          <w:bCs/>
          <w:sz w:val="24"/>
        </w:rPr>
      </w:pPr>
    </w:p>
    <w:p w14:paraId="35A45823">
      <w:pPr>
        <w:adjustRightInd w:val="0"/>
        <w:snapToGrid w:val="0"/>
        <w:spacing w:line="360" w:lineRule="auto"/>
        <w:jc w:val="left"/>
        <w:rPr>
          <w:rFonts w:eastAsia="微软雅黑"/>
          <w:bCs/>
          <w:sz w:val="24"/>
        </w:rPr>
      </w:pPr>
    </w:p>
    <w:p w14:paraId="43DB2C11">
      <w:pPr>
        <w:adjustRightInd w:val="0"/>
        <w:snapToGrid w:val="0"/>
        <w:spacing w:line="360" w:lineRule="auto"/>
        <w:jc w:val="left"/>
        <w:rPr>
          <w:rFonts w:eastAsia="微软雅黑"/>
          <w:bCs/>
          <w:sz w:val="24"/>
        </w:rPr>
      </w:pPr>
    </w:p>
    <w:p w14:paraId="734498CD">
      <w:pPr>
        <w:adjustRightInd w:val="0"/>
        <w:snapToGrid w:val="0"/>
        <w:spacing w:line="360" w:lineRule="auto"/>
        <w:jc w:val="left"/>
        <w:rPr>
          <w:rFonts w:eastAsia="微软雅黑"/>
          <w:bCs/>
          <w:sz w:val="24"/>
        </w:rPr>
      </w:pPr>
      <w:r>
        <w:rPr>
          <w:rFonts w:eastAsia="微软雅黑"/>
          <w:bCs/>
          <w:sz w:val="24"/>
        </w:rPr>
        <w:t xml:space="preserve">Short title: ICG-Guided </w:t>
      </w:r>
      <w:bookmarkStart w:id="151" w:name="_Hlk105942930"/>
      <w:r>
        <w:rPr>
          <w:rFonts w:eastAsia="微软雅黑"/>
          <w:bCs/>
          <w:sz w:val="24"/>
        </w:rPr>
        <w:t>Laparoscopic</w:t>
      </w:r>
      <w:bookmarkEnd w:id="151"/>
      <w:r>
        <w:rPr>
          <w:rFonts w:eastAsia="微软雅黑"/>
          <w:bCs/>
          <w:sz w:val="24"/>
        </w:rPr>
        <w:t xml:space="preserve"> Gastrectomy Trial</w:t>
      </w:r>
    </w:p>
    <w:p w14:paraId="20976A2C">
      <w:pPr>
        <w:adjustRightInd w:val="0"/>
        <w:snapToGrid w:val="0"/>
        <w:spacing w:line="360" w:lineRule="auto"/>
        <w:jc w:val="left"/>
        <w:rPr>
          <w:rFonts w:eastAsia="微软雅黑"/>
          <w:bCs/>
          <w:sz w:val="24"/>
        </w:rPr>
      </w:pPr>
      <w:r>
        <w:rPr>
          <w:rFonts w:eastAsia="微软雅黑"/>
          <w:bCs/>
          <w:sz w:val="24"/>
        </w:rPr>
        <w:t>Version: 2.1</w:t>
      </w:r>
    </w:p>
    <w:p w14:paraId="2D9FF8B5">
      <w:pPr>
        <w:adjustRightInd w:val="0"/>
        <w:snapToGrid w:val="0"/>
        <w:spacing w:line="360" w:lineRule="auto"/>
        <w:jc w:val="left"/>
        <w:rPr>
          <w:rFonts w:eastAsia="微软雅黑"/>
          <w:bCs/>
          <w:sz w:val="24"/>
        </w:rPr>
      </w:pPr>
    </w:p>
    <w:p w14:paraId="3162F098">
      <w:pPr>
        <w:adjustRightInd w:val="0"/>
        <w:snapToGrid w:val="0"/>
        <w:spacing w:line="360" w:lineRule="auto"/>
        <w:jc w:val="left"/>
        <w:rPr>
          <w:rFonts w:eastAsia="微软雅黑"/>
          <w:bCs/>
          <w:sz w:val="24"/>
        </w:rPr>
      </w:pPr>
    </w:p>
    <w:p w14:paraId="1F7B5F09">
      <w:pPr>
        <w:adjustRightInd w:val="0"/>
        <w:snapToGrid w:val="0"/>
        <w:spacing w:line="360" w:lineRule="auto"/>
        <w:jc w:val="left"/>
        <w:rPr>
          <w:rFonts w:eastAsia="微软雅黑"/>
          <w:bCs/>
          <w:sz w:val="24"/>
        </w:rPr>
      </w:pPr>
    </w:p>
    <w:p w14:paraId="2E0B3C4E">
      <w:pPr>
        <w:adjustRightInd w:val="0"/>
        <w:snapToGrid w:val="0"/>
        <w:spacing w:line="360" w:lineRule="auto"/>
        <w:jc w:val="left"/>
        <w:rPr>
          <w:rFonts w:eastAsia="微软雅黑"/>
          <w:b/>
          <w:sz w:val="24"/>
        </w:rPr>
      </w:pPr>
      <w:r>
        <w:rPr>
          <w:rFonts w:eastAsia="微软雅黑"/>
          <w:b/>
          <w:sz w:val="24"/>
        </w:rPr>
        <w:t>Study Objective</w:t>
      </w:r>
    </w:p>
    <w:p w14:paraId="3E16368A">
      <w:pPr>
        <w:adjustRightInd w:val="0"/>
        <w:snapToGrid w:val="0"/>
        <w:spacing w:line="360" w:lineRule="auto"/>
        <w:jc w:val="left"/>
        <w:rPr>
          <w:rFonts w:eastAsia="微软雅黑"/>
          <w:sz w:val="24"/>
        </w:rPr>
      </w:pPr>
      <w:r>
        <w:rPr>
          <w:sz w:val="24"/>
          <w:lang w:bidi="ar"/>
        </w:rPr>
        <w:t xml:space="preserve">The objective of this study is to investigate </w:t>
      </w:r>
      <w:r>
        <w:rPr>
          <w:rFonts w:eastAsia="微软雅黑"/>
          <w:sz w:val="24"/>
        </w:rPr>
        <w:t>the safety, efficacy, and feasibility of ICG near-infrared imaging tracing in guiding laparoscopic D2 lymph node (LN) dissection for gastric cancer.</w:t>
      </w:r>
    </w:p>
    <w:p w14:paraId="64A5026D">
      <w:pPr>
        <w:adjustRightInd w:val="0"/>
        <w:snapToGrid w:val="0"/>
        <w:spacing w:line="360" w:lineRule="auto"/>
        <w:jc w:val="left"/>
        <w:rPr>
          <w:rFonts w:eastAsia="微软雅黑"/>
        </w:rPr>
      </w:pPr>
    </w:p>
    <w:p w14:paraId="0BC44E7B">
      <w:pPr>
        <w:adjustRightInd w:val="0"/>
        <w:snapToGrid w:val="0"/>
        <w:spacing w:line="360" w:lineRule="auto"/>
        <w:jc w:val="left"/>
        <w:rPr>
          <w:rFonts w:eastAsia="微软雅黑"/>
          <w:b/>
          <w:sz w:val="24"/>
        </w:rPr>
      </w:pPr>
      <w:r>
        <w:rPr>
          <w:rFonts w:eastAsia="微软雅黑"/>
          <w:b/>
          <w:sz w:val="24"/>
        </w:rPr>
        <w:t>Background</w:t>
      </w:r>
    </w:p>
    <w:p w14:paraId="4D4C8520">
      <w:pPr>
        <w:spacing w:line="360" w:lineRule="auto"/>
        <w:ind w:firstLine="480" w:firstLineChars="200"/>
        <w:rPr>
          <w:bCs/>
          <w:sz w:val="24"/>
        </w:rPr>
      </w:pPr>
      <w:r>
        <w:rPr>
          <w:bCs/>
          <w:sz w:val="24"/>
        </w:rPr>
        <w:t>Gastric cancer (GC) is the fifth most common malignancy worldwide and ranks fourth in cancer-related mortality.</w:t>
      </w:r>
      <w:r>
        <w:rPr>
          <w:bCs/>
          <w:sz w:val="24"/>
          <w:vertAlign w:val="superscript"/>
        </w:rPr>
        <w:t>1</w:t>
      </w:r>
      <w:r>
        <w:rPr>
          <w:bCs/>
          <w:sz w:val="24"/>
        </w:rPr>
        <w:t xml:space="preserve"> The </w:t>
      </w:r>
      <w:r>
        <w:rPr>
          <w:bCs/>
          <w:sz w:val="24"/>
          <w:u w:color="19A0DC"/>
        </w:rPr>
        <w:t>effective</w:t>
      </w:r>
      <w:r>
        <w:rPr>
          <w:bCs/>
          <w:sz w:val="24"/>
        </w:rPr>
        <w:t xml:space="preserve"> treatment of gastric cancer (GC) relies on surgery-centre comprehensive treatment, and complete resection of the tumor and radical LN (LN) dissection are the focus of surgery. Radical LN dissection can significantly improve the long-term survival and the accuracy of tumor staging of GC patients.</w:t>
      </w:r>
      <w:r>
        <w:rPr>
          <w:bCs/>
          <w:sz w:val="24"/>
        </w:rPr>
        <w:fldChar w:fldCharType="begin">
          <w:fldData xml:space="preserve">PEVuZE5vdGU+PENpdGU+PEF1dGhvcj5TbWl0aDwvQXV0aG9yPjxZZWFyPjIwMDU8L1llYXI+PFJl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</w:fldData>
        </w:fldChar>
      </w:r>
      <w:r>
        <w:rPr>
          <w:bCs/>
          <w:sz w:val="24"/>
        </w:rPr>
        <w:instrText xml:space="preserve"> ADDIN EN.CITE </w:instrText>
      </w:r>
      <w:r>
        <w:rPr>
          <w:bCs/>
          <w:sz w:val="24"/>
        </w:rPr>
        <w:fldChar w:fldCharType="begin">
          <w:fldData xml:space="preserve">PEVuZE5vdGU+PENpdGU+PEF1dGhvcj5TbWl0aDwvQXV0aG9yPjxZZWFyPjIwMDU8L1llYXI+PFJl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</w:fldData>
        </w:fldChar>
      </w:r>
      <w:r>
        <w:rPr>
          <w:bCs/>
          <w:sz w:val="24"/>
        </w:rPr>
        <w:instrText xml:space="preserve"> ADDIN EN.CITE.DATA </w:instrText>
      </w:r>
      <w:r>
        <w:rPr>
          <w:bCs/>
          <w:sz w:val="24"/>
        </w:rPr>
        <w:fldChar w:fldCharType="end"/>
      </w:r>
      <w:r>
        <w:rPr>
          <w:bCs/>
          <w:sz w:val="24"/>
        </w:rPr>
        <w:fldChar w:fldCharType="separate"/>
      </w:r>
      <w:r>
        <w:rPr>
          <w:bCs/>
          <w:sz w:val="24"/>
          <w:vertAlign w:val="superscript"/>
        </w:rPr>
        <w:t>2-4</w:t>
      </w:r>
      <w:r>
        <w:rPr>
          <w:bCs/>
          <w:sz w:val="24"/>
        </w:rPr>
        <w:fldChar w:fldCharType="end"/>
      </w:r>
      <w:r>
        <w:rPr>
          <w:bCs/>
          <w:sz w:val="24"/>
        </w:rPr>
        <w:t xml:space="preserve"> Therefore, D2 LN dissection has become the standard for radical surgery of GC.</w:t>
      </w:r>
      <w:r>
        <w:rPr>
          <w:bCs/>
          <w:sz w:val="24"/>
        </w:rPr>
        <w:fldChar w:fldCharType="begin">
          <w:fldData xml:space="preserve">PEVuZE5vdGU+PENpdGU+PEF1dGhvcj5Bc3NvY2lhdGlvbjwvQXV0aG9yPjxZZWFyPjIwMTc8L1ll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</w:fldData>
        </w:fldChar>
      </w:r>
      <w:r>
        <w:rPr>
          <w:bCs/>
          <w:sz w:val="24"/>
        </w:rPr>
        <w:instrText xml:space="preserve"> ADDIN EN.CITE </w:instrText>
      </w:r>
      <w:r>
        <w:rPr>
          <w:bCs/>
          <w:sz w:val="24"/>
        </w:rPr>
        <w:fldChar w:fldCharType="begin">
          <w:fldData xml:space="preserve">PEVuZE5vdGU+PENpdGU+PEF1dGhvcj5Bc3NvY2lhdGlvbjwvQXV0aG9yPjxZZWFyPjIwMTc8L1ll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</w:fldData>
        </w:fldChar>
      </w:r>
      <w:r>
        <w:rPr>
          <w:bCs/>
          <w:sz w:val="24"/>
        </w:rPr>
        <w:instrText xml:space="preserve"> ADDIN EN.CITE.DATA </w:instrText>
      </w:r>
      <w:r>
        <w:rPr>
          <w:bCs/>
          <w:sz w:val="24"/>
        </w:rPr>
        <w:fldChar w:fldCharType="end"/>
      </w:r>
      <w:r>
        <w:rPr>
          <w:bCs/>
          <w:sz w:val="24"/>
        </w:rPr>
        <w:fldChar w:fldCharType="separate"/>
      </w:r>
      <w:r>
        <w:rPr>
          <w:bCs/>
          <w:sz w:val="24"/>
          <w:vertAlign w:val="superscript"/>
        </w:rPr>
        <w:t>5,6</w:t>
      </w:r>
      <w:r>
        <w:rPr>
          <w:bCs/>
          <w:sz w:val="24"/>
        </w:rPr>
        <w:fldChar w:fldCharType="end"/>
      </w:r>
      <w:r>
        <w:rPr>
          <w:bCs/>
          <w:sz w:val="24"/>
        </w:rPr>
        <w:t xml:space="preserve"> And retrieving as many LN as possible has gradually become the current surgeon requirements.</w:t>
      </w:r>
      <w:r>
        <w:rPr>
          <w:bCs/>
          <w:sz w:val="24"/>
        </w:rPr>
        <w:fldChar w:fldCharType="begin">
          <w:fldData xml:space="preserve">PEVuZE5vdGU+PENpdGU+PEF1dGhvcj5Bc3NvY2lhdGlvbjwvQXV0aG9yPjxZZWFyPjIwMTc8L1ll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</w:fldData>
        </w:fldChar>
      </w:r>
      <w:r>
        <w:rPr>
          <w:bCs/>
          <w:sz w:val="24"/>
        </w:rPr>
        <w:instrText xml:space="preserve"> ADDIN EN.CITE </w:instrText>
      </w:r>
      <w:r>
        <w:rPr>
          <w:bCs/>
          <w:sz w:val="24"/>
        </w:rPr>
        <w:fldChar w:fldCharType="begin">
          <w:fldData xml:space="preserve">PEVuZE5vdGU+PENpdGU+PEF1dGhvcj5Bc3NvY2lhdGlvbjwvQXV0aG9yPjxZZWFyPjIwMTc8L1ll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</w:fldData>
        </w:fldChar>
      </w:r>
      <w:r>
        <w:rPr>
          <w:bCs/>
          <w:sz w:val="24"/>
        </w:rPr>
        <w:instrText xml:space="preserve"> ADDIN EN.CITE.DATA </w:instrText>
      </w:r>
      <w:r>
        <w:rPr>
          <w:bCs/>
          <w:sz w:val="24"/>
        </w:rPr>
        <w:fldChar w:fldCharType="end"/>
      </w:r>
      <w:r>
        <w:rPr>
          <w:bCs/>
          <w:sz w:val="24"/>
        </w:rPr>
        <w:fldChar w:fldCharType="separate"/>
      </w:r>
      <w:r>
        <w:rPr>
          <w:bCs/>
          <w:sz w:val="24"/>
          <w:vertAlign w:val="superscript"/>
        </w:rPr>
        <w:t>5,7,8</w:t>
      </w:r>
      <w:r>
        <w:rPr>
          <w:bCs/>
          <w:sz w:val="24"/>
        </w:rPr>
        <w:fldChar w:fldCharType="end"/>
      </w:r>
    </w:p>
    <w:p w14:paraId="2C99C6DF">
      <w:pPr>
        <w:spacing w:line="360" w:lineRule="auto"/>
        <w:ind w:firstLine="480" w:firstLineChars="200"/>
        <w:rPr>
          <w:kern w:val="0"/>
          <w:sz w:val="24"/>
        </w:rPr>
      </w:pPr>
      <w:r>
        <w:rPr>
          <w:bCs/>
          <w:sz w:val="24"/>
        </w:rPr>
        <w:t>Since Kitano</w:t>
      </w:r>
      <w:r>
        <w:rPr>
          <w:bCs/>
          <w:sz w:val="24"/>
        </w:rPr>
        <w:fldChar w:fldCharType="begin"/>
      </w:r>
      <w:r>
        <w:rPr>
          <w:bCs/>
          <w:sz w:val="24"/>
        </w:rPr>
        <w:instrText xml:space="preserve"> ADDIN EN.CITE &lt;EndNote&gt;&lt;</w:instrText>
      </w:r>
      <w:r>
        <w:rPr>
          <w:bCs/>
          <w:sz w:val="24"/>
          <w:u w:color="FA5050"/>
        </w:rPr>
        <w:instrText xml:space="preserve">Cite&gt;&lt;Author</w:instrText>
      </w:r>
      <w:r>
        <w:rPr>
          <w:bCs/>
          <w:sz w:val="24"/>
        </w:rPr>
        <w:instrText xml:space="preserve">&gt;Kitano&lt;/Author&gt;&lt;Year&gt;1994&lt;/Year&gt;&lt;RecNum&gt;499&lt;/RecNum&gt;&lt;DisplayText&gt;&lt;style face</w:instrText>
      </w:r>
      <w:r>
        <w:rPr>
          <w:bCs/>
          <w:sz w:val="24"/>
          <w:u w:color="FA5050"/>
        </w:rPr>
        <w:instrText xml:space="preserve">="superscrip</w:instrText>
      </w:r>
      <w:r>
        <w:rPr>
          <w:bCs/>
          <w:sz w:val="24"/>
        </w:rPr>
        <w:instrText xml:space="preserve">t"&gt;9&lt;/style&gt;&lt;/DisplayText&gt;&lt;record&gt;&lt;rec-number&gt;499&lt;/rec-number&gt;&lt;foreign-keys&gt;&lt;key app="EN" db-id="xpzr0erzmxsa9se0rf4p20fqfa5wtvd0fxfr" timestamp="1541067470"&gt;499&lt;/key&gt;&lt;/foreign-keys&gt;&lt;ref-type name="Journal Article"&gt;17&lt;/ref-type&gt;&lt;contributors&gt;&lt;authors&gt;&lt;author&gt;Kitano, S.&lt;/author&gt;&lt;author&gt;Iso, Y.&lt;/author&gt;&lt;author&gt;Moriyama, M.&lt;/author&gt;&lt;author&gt;Sugimachi, K.&lt;/author&gt;&lt;/authors&gt;&lt;/contributors&gt;&lt;auth-address&gt;Department of Surgery II, Kyushu University, FUkuoka, Japan.&lt;/auth-address&gt;&lt;titles&gt;&lt;title&gt;Laparoscopy-assisted Billroth I gastrectomy&lt;/title&gt;&lt;secondary-title&gt;Surg Laparosc Endosc&lt;/secondary-title&gt;&lt;alt-title&gt;Surgical laparoscopy &amp;amp; endoscopy&lt;/alt-title&gt;&lt;/titles&gt;&lt;periodical&gt;&lt;full-title&gt;Surg Laparosc Endosc&lt;/full-title&gt;&lt;abbr-1&gt;Surgical laparoscopy &amp;amp; endoscopy&lt;/abbr-1&gt;&lt;/periodical&gt;&lt;alt-periodical&gt;&lt;full-title&gt;Surg Laparosc Endosc&lt;/full-title&gt;&lt;abbr-1&gt;Surgical laparoscopy &amp;amp; endoscopy&lt;/abbr-1&gt;&lt;/alt-periodical&gt;&lt;pages&gt;146-8&lt;/pages&gt;&lt;volume&gt;4&lt;/volume&gt;&lt;number&gt;2&lt;/number&gt;&lt;edition&gt;1994/04/01&lt;/edition&gt;&lt;keywords&gt;&lt;keyword&gt;Aged&lt;/keyword&gt;&lt;keyword&gt;Gastrectomy/*methods&lt;/keyword&gt;&lt;keyword&gt;Humans&lt;/keyword&gt;&lt;keyword&gt;Laparoscopy/*methods&lt;/keyword&gt;&lt;keyword&gt;Male&lt;/keyword&gt;&lt;keyword&gt;Stomach Neoplasms/surgery&lt;/keyword&gt;&lt;/keywords&gt;&lt;dates&gt;&lt;year&gt;1994&lt;/year&gt;&lt;pub-dates&gt;&lt;date&gt;Apr&lt;/date&gt;&lt;/pub-dates&gt;&lt;/dates&gt;&lt;isbn&gt;1051-7200 (Print)&amp;#xD;1051-7200&lt;/isbn&gt;&lt;accession-num&gt;8180768&lt;/accession-num&gt;&lt;urls&gt;&lt;/urls&gt;&lt;remote-database-provider&gt;Nlm&lt;/remote-database-provider&gt;&lt;language&gt;eng&lt;/language&gt;&lt;/record&gt;&lt;/Cite&gt;&lt;/EndNote&gt;</w:instrText>
      </w:r>
      <w:r>
        <w:rPr>
          <w:bCs/>
          <w:sz w:val="24"/>
        </w:rPr>
        <w:fldChar w:fldCharType="separate"/>
      </w:r>
      <w:r>
        <w:rPr>
          <w:bCs/>
          <w:sz w:val="24"/>
          <w:vertAlign w:val="superscript"/>
        </w:rPr>
        <w:t>9</w:t>
      </w:r>
      <w:r>
        <w:rPr>
          <w:bCs/>
          <w:sz w:val="24"/>
        </w:rPr>
        <w:fldChar w:fldCharType="end"/>
      </w:r>
      <w:r>
        <w:rPr>
          <w:sz w:val="24"/>
        </w:rPr>
        <w:t xml:space="preserve"> </w:t>
      </w:r>
      <w:r>
        <w:rPr>
          <w:bCs/>
          <w:sz w:val="24"/>
        </w:rPr>
        <w:t>in Japan first reported laparoscopic distal gastrectomy for GC in 1994, after more than 20 years of development, laparoscopic radical gastrectomy has been widely used in clinical practice.</w:t>
      </w:r>
      <w:r>
        <w:rPr>
          <w:bCs/>
          <w:sz w:val="24"/>
        </w:rPr>
        <w:fldChar w:fldCharType="begin">
          <w:fldData xml:space="preserve">PEVuZE5vdGU+PENpdGU+PEF1dGhvcj5ZdTwvQXV0aG9yPjxZZWFyPjIwMTk8L1llYXI+PFJlY051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</w:fldData>
        </w:fldChar>
      </w:r>
      <w:r>
        <w:rPr>
          <w:bCs/>
          <w:sz w:val="24"/>
        </w:rPr>
        <w:instrText xml:space="preserve"> ADDIN EN.CITE </w:instrText>
      </w:r>
      <w:r>
        <w:rPr>
          <w:bCs/>
          <w:sz w:val="24"/>
        </w:rPr>
        <w:fldChar w:fldCharType="begin">
          <w:fldData xml:space="preserve">PEVuZE5vdGU+PENpdGU+PEF1dGhvcj5ZdTwvQXV0aG9yPjxZZWFyPjIwMTk8L1llYXI+PFJlY051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</w:fldData>
        </w:fldChar>
      </w:r>
      <w:r>
        <w:rPr>
          <w:bCs/>
          <w:sz w:val="24"/>
        </w:rPr>
        <w:instrText xml:space="preserve"> ADDIN EN.CITE.DATA </w:instrText>
      </w:r>
      <w:r>
        <w:rPr>
          <w:bCs/>
          <w:sz w:val="24"/>
        </w:rPr>
        <w:fldChar w:fldCharType="end"/>
      </w:r>
      <w:r>
        <w:rPr>
          <w:bCs/>
          <w:sz w:val="24"/>
        </w:rPr>
        <w:fldChar w:fldCharType="separate"/>
      </w:r>
      <w:r>
        <w:rPr>
          <w:bCs/>
          <w:sz w:val="24"/>
          <w:vertAlign w:val="superscript"/>
        </w:rPr>
        <w:t>10-12</w:t>
      </w:r>
      <w:r>
        <w:rPr>
          <w:bCs/>
          <w:sz w:val="24"/>
        </w:rPr>
        <w:fldChar w:fldCharType="end"/>
      </w:r>
      <w:r>
        <w:rPr>
          <w:sz w:val="24"/>
        </w:rPr>
        <w:t xml:space="preserve"> </w:t>
      </w:r>
      <w:r>
        <w:rPr>
          <w:bCs/>
          <w:sz w:val="24"/>
        </w:rPr>
        <w:t xml:space="preserve">Nowadays, the lymphadenectomy is often performed under the naked eye according to the surgeon's experience. However, due to the complex vascular anatomy and lymphatic drainage around the stomach, it </w:t>
      </w:r>
      <w:r>
        <w:rPr>
          <w:bCs/>
          <w:sz w:val="24"/>
          <w:u w:color="19A0DC"/>
        </w:rPr>
        <w:t>remains</w:t>
      </w:r>
      <w:r>
        <w:rPr>
          <w:bCs/>
          <w:sz w:val="24"/>
        </w:rPr>
        <w:t xml:space="preserve"> a </w:t>
      </w:r>
      <w:r>
        <w:rPr>
          <w:bCs/>
          <w:sz w:val="24"/>
          <w:u w:color="19A0DC"/>
        </w:rPr>
        <w:t>huge</w:t>
      </w:r>
      <w:r>
        <w:rPr>
          <w:bCs/>
          <w:sz w:val="24"/>
        </w:rPr>
        <w:t xml:space="preserve"> challenge for surgeons, especially young surgeons, to dissect enough LNs efficiently and accurately without increasing operate-related complications. Therefore, with the advent of the era of precision minimally invasive surgery, </w:t>
      </w:r>
      <w:r>
        <w:rPr>
          <w:bCs/>
          <w:sz w:val="24"/>
          <w:u w:color="FA5050"/>
        </w:rPr>
        <w:t>laparoscopic</w:t>
      </w:r>
      <w:r>
        <w:rPr>
          <w:bCs/>
          <w:sz w:val="24"/>
        </w:rPr>
        <w:t xml:space="preserve"> surgeons are still exploring how </w:t>
      </w:r>
      <w:r>
        <w:rPr>
          <w:bCs/>
          <w:sz w:val="24"/>
          <w:u w:color="19A0DC"/>
        </w:rPr>
        <w:t>to perform</w:t>
      </w:r>
      <w:r>
        <w:rPr>
          <w:bCs/>
          <w:sz w:val="24"/>
        </w:rPr>
        <w:t xml:space="preserve"> convenient and accurate real-time LN navigation under laparoscope, so as </w:t>
      </w:r>
      <w:r>
        <w:rPr>
          <w:bCs/>
          <w:sz w:val="24"/>
          <w:u w:color="19A0DC"/>
        </w:rPr>
        <w:t>to perform</w:t>
      </w:r>
      <w:r>
        <w:rPr>
          <w:bCs/>
          <w:sz w:val="24"/>
        </w:rPr>
        <w:t xml:space="preserve"> systematic, accurate and sufficient LN dissection. As a new surgical navigation technique, </w:t>
      </w:r>
      <w:r>
        <w:rPr>
          <w:bCs/>
          <w:sz w:val="24"/>
          <w:u w:color="FA5050"/>
        </w:rPr>
        <w:t>indocyanine</w:t>
      </w:r>
      <w:r>
        <w:rPr>
          <w:bCs/>
          <w:sz w:val="24"/>
        </w:rPr>
        <w:t xml:space="preserve"> green (ICG) </w:t>
      </w:r>
      <w:r>
        <w:rPr>
          <w:bCs/>
          <w:sz w:val="24"/>
          <w:u w:color="FA5050"/>
        </w:rPr>
        <w:t>near-infrared</w:t>
      </w:r>
      <w:r>
        <w:rPr>
          <w:bCs/>
          <w:sz w:val="24"/>
        </w:rPr>
        <w:t xml:space="preserve"> (NIR) fluorescent imaging has achieved relatively positive results in the localization of sentinel LN in breast cancer, </w:t>
      </w:r>
      <w:r>
        <w:rPr>
          <w:bCs/>
          <w:sz w:val="24"/>
          <w:u w:color="FA5050"/>
        </w:rPr>
        <w:t>non-small-cell</w:t>
      </w:r>
      <w:r>
        <w:rPr>
          <w:bCs/>
          <w:sz w:val="24"/>
        </w:rPr>
        <w:t xml:space="preserve"> lung cancer and other cancers.</w:t>
      </w:r>
      <w:r>
        <w:rPr>
          <w:kern w:val="0"/>
          <w:sz w:val="24"/>
        </w:rPr>
        <w:fldChar w:fldCharType="begin">
          <w:fldData xml:space="preserve">PEVuZE5vdGU+PENpdGU+PEF1dGhvcj5WYWhybWVpamVyPC9BdXRob3I+PFllYXI+MjAxMzwvWWVh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</w:fldData>
        </w:fldChar>
      </w:r>
      <w:r>
        <w:rPr>
          <w:kern w:val="0"/>
          <w:sz w:val="24"/>
        </w:rPr>
        <w:instrText xml:space="preserve"> ADDIN EN.CITE </w:instrText>
      </w:r>
      <w:r>
        <w:rPr>
          <w:kern w:val="0"/>
          <w:sz w:val="24"/>
        </w:rPr>
        <w:fldChar w:fldCharType="begin">
          <w:fldData xml:space="preserve">PEVuZE5vdGU+PENpdGU+PEF1dGhvcj5WYWhybWVpamVyPC9BdXRob3I+PFllYXI+MjAxMzwvWWVh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</w:fldData>
        </w:fldChar>
      </w:r>
      <w:r>
        <w:rPr>
          <w:kern w:val="0"/>
          <w:sz w:val="24"/>
        </w:rPr>
        <w:instrText xml:space="preserve"> ADDIN EN.CITE.DATA </w:instrText>
      </w:r>
      <w:r>
        <w:rPr>
          <w:kern w:val="0"/>
          <w:sz w:val="24"/>
        </w:rPr>
        <w:fldChar w:fldCharType="end"/>
      </w:r>
      <w:r>
        <w:rPr>
          <w:kern w:val="0"/>
          <w:sz w:val="24"/>
        </w:rPr>
        <w:fldChar w:fldCharType="separate"/>
      </w:r>
      <w:r>
        <w:rPr>
          <w:kern w:val="0"/>
          <w:sz w:val="24"/>
          <w:vertAlign w:val="superscript"/>
        </w:rPr>
        <w:t>13-16</w:t>
      </w:r>
      <w:r>
        <w:rPr>
          <w:kern w:val="0"/>
          <w:sz w:val="24"/>
        </w:rPr>
        <w:fldChar w:fldCharType="end"/>
      </w:r>
      <w:r>
        <w:fldChar w:fldCharType="begin"/>
      </w:r>
      <w:r>
        <w:instrText xml:space="preserve"> HYPERLINK \l "_ENREF_8" \o "Guo, 2017 #589" </w:instrText>
      </w:r>
      <w:r>
        <w:fldChar w:fldCharType="separate"/>
      </w:r>
      <w:r>
        <w:fldChar w:fldCharType="end"/>
      </w:r>
      <w:r>
        <w:rPr>
          <w:sz w:val="24"/>
        </w:rPr>
        <w:t xml:space="preserve"> </w:t>
      </w:r>
      <w:r>
        <w:rPr>
          <w:kern w:val="0"/>
          <w:sz w:val="24"/>
        </w:rPr>
        <w:t xml:space="preserve">With the successful application </w:t>
      </w:r>
      <w:r>
        <w:rPr>
          <w:kern w:val="0"/>
          <w:sz w:val="24"/>
          <w:u w:color="FA5050"/>
        </w:rPr>
        <w:t>of ICG fluore</w:t>
      </w:r>
      <w:r>
        <w:rPr>
          <w:kern w:val="0"/>
          <w:sz w:val="24"/>
        </w:rPr>
        <w:t>scence imaging technology in laparoscopic devices, scholars have found that NIR imaging has better tissue penetration and can better identify LNs in hypertrophic adipose tissue than other dyes in visible light.</w:t>
      </w:r>
      <w:r>
        <w:rPr>
          <w:kern w:val="0"/>
          <w:sz w:val="24"/>
        </w:rPr>
        <w:fldChar w:fldCharType="begin">
          <w:fldData xml:space="preserve">PEVuZE5vdGU+PENpdGU+PEF1dGhvcj5HaW91eDwvQXV0aG9yPjxZZWFyPjIwMTA8L1llYXI+PFJl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==
</w:fldData>
        </w:fldChar>
      </w:r>
      <w:r>
        <w:rPr>
          <w:kern w:val="0"/>
          <w:sz w:val="24"/>
        </w:rPr>
        <w:instrText xml:space="preserve"> ADDIN EN.CITE </w:instrText>
      </w:r>
      <w:r>
        <w:rPr>
          <w:kern w:val="0"/>
          <w:sz w:val="24"/>
        </w:rPr>
        <w:fldChar w:fldCharType="begin">
          <w:fldData xml:space="preserve">PEVuZE5vdGU+PENpdGU+PEF1dGhvcj5HaW91eDwvQXV0aG9yPjxZZWFyPjIwMTA8L1llYXI+PFJl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==
</w:fldData>
        </w:fldChar>
      </w:r>
      <w:r>
        <w:rPr>
          <w:kern w:val="0"/>
          <w:sz w:val="24"/>
        </w:rPr>
        <w:instrText xml:space="preserve"> ADDIN EN.CITE.DATA </w:instrText>
      </w:r>
      <w:r>
        <w:rPr>
          <w:kern w:val="0"/>
          <w:sz w:val="24"/>
        </w:rPr>
        <w:fldChar w:fldCharType="end"/>
      </w:r>
      <w:r>
        <w:rPr>
          <w:kern w:val="0"/>
          <w:sz w:val="24"/>
        </w:rPr>
        <w:fldChar w:fldCharType="separate"/>
      </w:r>
      <w:r>
        <w:rPr>
          <w:kern w:val="0"/>
          <w:sz w:val="24"/>
          <w:vertAlign w:val="superscript"/>
        </w:rPr>
        <w:t>17,18</w:t>
      </w:r>
      <w:r>
        <w:rPr>
          <w:kern w:val="0"/>
          <w:sz w:val="24"/>
        </w:rPr>
        <w:fldChar w:fldCharType="end"/>
      </w:r>
      <w:r>
        <w:rPr>
          <w:kern w:val="0"/>
          <w:sz w:val="24"/>
        </w:rPr>
        <w:t xml:space="preserve"> It has important research value, good application prospect and broad development space, which has attracted wide atte</w:t>
      </w:r>
      <w:r>
        <w:rPr>
          <w:kern w:val="0"/>
          <w:sz w:val="24"/>
          <w:u w:color="FA5050"/>
        </w:rPr>
        <w:t>ntion, so that</w:t>
      </w:r>
      <w:r>
        <w:rPr>
          <w:kern w:val="0"/>
          <w:sz w:val="24"/>
        </w:rPr>
        <w:t xml:space="preserve"> ICG fluorescence imaging guided minimally invasive treatment such as laparoscopic or robotic radical resection of GC has b</w:t>
      </w:r>
      <w:r>
        <w:rPr>
          <w:kern w:val="0"/>
          <w:sz w:val="24"/>
          <w:u w:color="FA5050"/>
        </w:rPr>
        <w:t>ecome a new ex</w:t>
      </w:r>
      <w:r>
        <w:rPr>
          <w:kern w:val="0"/>
          <w:sz w:val="24"/>
        </w:rPr>
        <w:t>ploration direction.</w:t>
      </w:r>
      <w:r>
        <w:rPr>
          <w:kern w:val="0"/>
          <w:sz w:val="24"/>
        </w:rPr>
        <w:fldChar w:fldCharType="begin"/>
      </w:r>
      <w:r>
        <w:rPr>
          <w:kern w:val="0"/>
          <w:sz w:val="24"/>
        </w:rPr>
        <w:instrText xml:space="preserve"> ADDIN EN.CITE &lt;EndNote&gt;&lt;Cite&gt;&lt;Author&gt;Desiderio&lt;/Author&gt;&lt;Year&gt;2018&lt;/Year&gt;&lt;RecNum&gt;749&lt;/RecNum&gt;&lt;DisplayText&gt;&lt;style face="superscript"&gt;19&lt;/style&gt;&lt;/DisplayText&gt;&lt;record&gt;&lt;rec-number&gt;749&lt;/rec-number&gt;&lt;foreign-keys&gt;&lt;key app="EN" db-id="xpzr0erzmxsa9se0rf4p20fqfa5wtvd0fxfr" timestamp="1567933915"&gt;749&lt;/key&gt;&lt;/foreign-keys&gt;&lt;ref-type name="Journal Article"&gt;17&lt;/ref-type&gt;&lt;contributors&gt;&lt;authors&gt;&lt;author&gt;Desiderio, J.&lt;/author&gt;&lt;author&gt;Trastulli, S.&lt;/author&gt;&lt;author&gt;Gemini, A.&lt;/author&gt;&lt;author&gt;Di Nardo, D.&lt;/author&gt;&lt;author&gt;Palazzini, G.&lt;/author&gt;&lt;author&gt;Parisi, A.&lt;/author&gt;&lt;author&gt;D&amp;apos;Andrea, V.&lt;/author&gt;&lt;/authors&gt;&lt;/contributors&gt;&lt;auth-address&gt;Department of Digestive Surgery, St. Mary&amp;apos;s Hospital, Terni 05100, Italy.&amp;#xD;Department of Surgical Sciences, &amp;quot;La Sapienza&amp;quot; University of Rome, Rome 00161, Italy.&lt;/auth-address&gt;&lt;titles&gt;&lt;title&gt;Fluorescence image-guided lymphadenectomy using indocyanine green and near infrared technology in robotic gastrectomy&lt;/title&gt;&lt;secondary-title&gt;Chin J Cancer Res&lt;/secondary-title&gt;&lt;alt-title&gt;Chinese journal of cancer research = Chung-kuo yen cheng yen chiu&lt;/alt-title&gt;&lt;/titles&gt;&lt;periodical&gt;&lt;full-title&gt;Chin J Cancer Res&lt;/full-title&gt;&lt;abbr-1&gt;Chinese journal of cancer research = Chung-kuo yen cheng yen chiu&lt;/abbr-1&gt;&lt;/periodical&gt;&lt;alt-periodical&gt;&lt;full-title&gt;Chin J Cancer Res&lt;/full-title&gt;&lt;abbr-1&gt;Chinese journal of cancer research = Chung-kuo yen cheng yen chiu&lt;/abbr-1&gt;&lt;/alt-periodical&gt;&lt;pages&gt;568-570&lt;/pages&gt;&lt;volume&gt;30&lt;/volume&gt;&lt;number&gt;5&lt;/number&gt;&lt;edition&gt;2018/12/05&lt;/edition&gt;&lt;keywords&gt;&lt;keyword&gt;Gastric cancer&lt;/keyword&gt;&lt;keyword&gt;fluorescence guided surgery&lt;/keyword&gt;&lt;keyword&gt;robotic surgery&lt;/keyword&gt;&lt;/keywords&gt;&lt;dates&gt;&lt;year&gt;2018&lt;/year&gt;&lt;pub-dates&gt;&lt;date&gt;Oct&lt;/date&gt;&lt;/pub-dates&gt;&lt;/dates&gt;&lt;isbn&gt;1000-9604 (Print)&amp;#xD;1000-9604&lt;/isbn&gt;&lt;accession-num&gt;30510369&lt;/accession-num&gt;&lt;urls&gt;&lt;/urls&gt;&lt;custom2&gt;PMC6232360&lt;/custom2&gt;&lt;electronic-resource-num&gt;10.21147/j.issn.1000-9604.2018.05.11&lt;/electronic-resource-num&gt;&lt;remote-database-provider&gt;NLM&lt;/remote-database-provider&gt;&lt;language&gt;eng&lt;/language&gt;&lt;/record&gt;&lt;/Cite&gt;&lt;/EndNote&gt;</w:instrText>
      </w:r>
      <w:r>
        <w:rPr>
          <w:kern w:val="0"/>
          <w:sz w:val="24"/>
        </w:rPr>
        <w:fldChar w:fldCharType="separate"/>
      </w:r>
      <w:r>
        <w:rPr>
          <w:kern w:val="0"/>
          <w:sz w:val="24"/>
          <w:vertAlign w:val="superscript"/>
        </w:rPr>
        <w:t>19</w:t>
      </w:r>
      <w:r>
        <w:rPr>
          <w:kern w:val="0"/>
          <w:sz w:val="24"/>
        </w:rPr>
        <w:fldChar w:fldCharType="end"/>
      </w:r>
      <w:r>
        <w:rPr>
          <w:kern w:val="0"/>
          <w:sz w:val="24"/>
        </w:rPr>
        <w:t xml:space="preserve"> However, at present, the application of ICG in laparoscopic lymphadenectomy of GC is still in the preliminary stage in clinical practice. Most of the studies are low-sample retrospective studies to evaluate sentinel LN,</w:t>
      </w:r>
      <w:r>
        <w:rPr>
          <w:kern w:val="0"/>
          <w:sz w:val="24"/>
        </w:rPr>
        <w:fldChar w:fldCharType="begin">
          <w:fldData xml:space="preserve">PEVuZE5vdGU+PENpdGU+PEF1dGhvcj5ZYW5vPC9BdXRob3I+PFllYXI+MjAxMjwvWWVhcj48UmVj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</w:fldData>
        </w:fldChar>
      </w:r>
      <w:r>
        <w:rPr>
          <w:kern w:val="0"/>
          <w:sz w:val="24"/>
        </w:rPr>
        <w:instrText xml:space="preserve"> ADDIN EN.CITE </w:instrText>
      </w:r>
      <w:r>
        <w:rPr>
          <w:kern w:val="0"/>
          <w:sz w:val="24"/>
        </w:rPr>
        <w:fldChar w:fldCharType="begin">
          <w:fldData xml:space="preserve">PEVuZE5vdGU+PENpdGU+PEF1dGhvcj5ZYW5vPC9BdXRob3I+PFllYXI+MjAxMjwvWWVhcj48UmVj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</w:fldData>
        </w:fldChar>
      </w:r>
      <w:r>
        <w:rPr>
          <w:kern w:val="0"/>
          <w:sz w:val="24"/>
        </w:rPr>
        <w:instrText xml:space="preserve"> ADDIN EN.CITE.DATA </w:instrText>
      </w:r>
      <w:r>
        <w:rPr>
          <w:kern w:val="0"/>
          <w:sz w:val="24"/>
        </w:rPr>
        <w:fldChar w:fldCharType="end"/>
      </w:r>
      <w:r>
        <w:rPr>
          <w:kern w:val="0"/>
          <w:sz w:val="24"/>
        </w:rPr>
        <w:fldChar w:fldCharType="separate"/>
      </w:r>
      <w:r>
        <w:rPr>
          <w:kern w:val="0"/>
          <w:sz w:val="24"/>
          <w:vertAlign w:val="superscript"/>
        </w:rPr>
        <w:t>20,21</w:t>
      </w:r>
      <w:r>
        <w:rPr>
          <w:kern w:val="0"/>
          <w:sz w:val="24"/>
        </w:rPr>
        <w:fldChar w:fldCharType="end"/>
      </w:r>
      <w:r>
        <w:rPr>
          <w:sz w:val="24"/>
        </w:rPr>
        <w:t xml:space="preserve"> </w:t>
      </w:r>
      <w:r>
        <w:rPr>
          <w:kern w:val="0"/>
          <w:sz w:val="24"/>
        </w:rPr>
        <w:t>postoperative a</w:t>
      </w:r>
      <w:r>
        <w:rPr>
          <w:kern w:val="0"/>
          <w:sz w:val="24"/>
          <w:u w:color="FA5050"/>
        </w:rPr>
        <w:t>nastomotic bl</w:t>
      </w:r>
      <w:r>
        <w:rPr>
          <w:kern w:val="0"/>
          <w:sz w:val="24"/>
        </w:rPr>
        <w:t>ood flow judgment.</w:t>
      </w:r>
      <w:r>
        <w:rPr>
          <w:kern w:val="0"/>
          <w:sz w:val="24"/>
        </w:rPr>
        <w:fldChar w:fldCharType="begin">
          <w:fldData xml:space="preserve">PEVuZE5vdGU+PENpdGU+PEF1dGhvcj5IdWg8L0F1dGhvcj48WWVhcj4yMDE5PC9ZZWFyPjxSZWNO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</w:fldData>
        </w:fldChar>
      </w:r>
      <w:r>
        <w:rPr>
          <w:kern w:val="0"/>
          <w:sz w:val="24"/>
        </w:rPr>
        <w:instrText xml:space="preserve"> ADDIN EN.CITE </w:instrText>
      </w:r>
      <w:r>
        <w:rPr>
          <w:kern w:val="0"/>
          <w:sz w:val="24"/>
        </w:rPr>
        <w:fldChar w:fldCharType="begin">
          <w:fldData xml:space="preserve">PEVuZE5vdGU+PENpdGU+PEF1dGhvcj5IdWg8L0F1dGhvcj48WWVhcj4yMDE5PC9ZZWFyPjxSZWNO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</w:fldData>
        </w:fldChar>
      </w:r>
      <w:r>
        <w:rPr>
          <w:kern w:val="0"/>
          <w:sz w:val="24"/>
        </w:rPr>
        <w:instrText xml:space="preserve"> ADDIN EN.CITE.DATA </w:instrText>
      </w:r>
      <w:r>
        <w:rPr>
          <w:kern w:val="0"/>
          <w:sz w:val="24"/>
        </w:rPr>
        <w:fldChar w:fldCharType="end"/>
      </w:r>
      <w:r>
        <w:rPr>
          <w:kern w:val="0"/>
          <w:sz w:val="24"/>
        </w:rPr>
        <w:fldChar w:fldCharType="separate"/>
      </w:r>
      <w:r>
        <w:rPr>
          <w:kern w:val="0"/>
          <w:sz w:val="24"/>
          <w:vertAlign w:val="superscript"/>
        </w:rPr>
        <w:t>22</w:t>
      </w:r>
      <w:r>
        <w:rPr>
          <w:kern w:val="0"/>
          <w:sz w:val="24"/>
        </w:rPr>
        <w:fldChar w:fldCharType="end"/>
      </w:r>
      <w:r>
        <w:rPr>
          <w:kern w:val="0"/>
          <w:sz w:val="24"/>
        </w:rPr>
        <w:t xml:space="preserve"> What's more, current studies have shown different results as to whether ICG can help surgeons with safe and effective LN dissection.</w:t>
      </w:r>
      <w:r>
        <w:rPr>
          <w:kern w:val="0"/>
          <w:sz w:val="24"/>
        </w:rPr>
        <w:fldChar w:fldCharType="begin">
          <w:fldData xml:space="preserve">PEVuZE5vdGU+PENpdGU+PEF1dGhvcj5MYW48L0F1dGhvcj48WWVhcj4yMDE3PC9ZZWFyPjxSZWNO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</w:fldData>
        </w:fldChar>
      </w:r>
      <w:r>
        <w:rPr>
          <w:kern w:val="0"/>
          <w:sz w:val="24"/>
        </w:rPr>
        <w:instrText xml:space="preserve"> ADDIN EN.CITE </w:instrText>
      </w:r>
      <w:r>
        <w:rPr>
          <w:kern w:val="0"/>
          <w:sz w:val="24"/>
        </w:rPr>
        <w:fldChar w:fldCharType="begin">
          <w:fldData xml:space="preserve">PEVuZE5vdGU+PENpdGU+PEF1dGhvcj5MYW48L0F1dGhvcj48WWVhcj4yMDE3PC9ZZWFyPjxSZWNO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</w:fldData>
        </w:fldChar>
      </w:r>
      <w:r>
        <w:rPr>
          <w:kern w:val="0"/>
          <w:sz w:val="24"/>
        </w:rPr>
        <w:instrText xml:space="preserve"> ADDIN EN.CITE.DATA </w:instrText>
      </w:r>
      <w:r>
        <w:rPr>
          <w:kern w:val="0"/>
          <w:sz w:val="24"/>
        </w:rPr>
        <w:fldChar w:fldCharType="end"/>
      </w:r>
      <w:r>
        <w:rPr>
          <w:kern w:val="0"/>
          <w:sz w:val="24"/>
        </w:rPr>
        <w:fldChar w:fldCharType="separate"/>
      </w:r>
      <w:r>
        <w:rPr>
          <w:kern w:val="0"/>
          <w:sz w:val="24"/>
          <w:vertAlign w:val="superscript"/>
        </w:rPr>
        <w:t>23,24</w:t>
      </w:r>
      <w:r>
        <w:rPr>
          <w:kern w:val="0"/>
          <w:sz w:val="24"/>
        </w:rPr>
        <w:fldChar w:fldCharType="end"/>
      </w:r>
      <w:r>
        <w:rPr>
          <w:sz w:val="24"/>
        </w:rPr>
        <w:t xml:space="preserve"> </w:t>
      </w:r>
      <w:r>
        <w:rPr>
          <w:kern w:val="0"/>
          <w:sz w:val="24"/>
        </w:rPr>
        <w:t xml:space="preserve">And Kwon et al. </w:t>
      </w:r>
      <w:r>
        <w:rPr>
          <w:kern w:val="0"/>
          <w:sz w:val="24"/>
          <w:u w:color="FA5050"/>
        </w:rPr>
        <w:t>only</w:t>
      </w:r>
      <w:r>
        <w:rPr>
          <w:kern w:val="0"/>
          <w:sz w:val="24"/>
        </w:rPr>
        <w:t xml:space="preserve"> carried out a prospective single-arm study that analyzed a small number of patients who underwent robotic gastrectomy after </w:t>
      </w:r>
      <w:r>
        <w:rPr>
          <w:kern w:val="0"/>
          <w:sz w:val="24"/>
          <w:u w:color="FA5050"/>
        </w:rPr>
        <w:t>peritumoral</w:t>
      </w:r>
      <w:r>
        <w:rPr>
          <w:kern w:val="0"/>
          <w:sz w:val="24"/>
        </w:rPr>
        <w:t xml:space="preserve"> injection of ICG.</w:t>
      </w:r>
      <w:r>
        <w:rPr>
          <w:kern w:val="0"/>
          <w:sz w:val="24"/>
        </w:rPr>
        <w:fldChar w:fldCharType="begin"/>
      </w:r>
      <w:r>
        <w:rPr>
          <w:kern w:val="0"/>
          <w:sz w:val="24"/>
        </w:rPr>
        <w:instrText xml:space="preserve"> ADDIN EN.CITE &lt;EndNote&gt;&lt;Cite&gt;&lt;Author&gt;Kwon&lt;/Author&gt;&lt;Year&gt;2019&lt;/Year&gt;&lt;RecNum&gt;748&lt;/RecNum&gt;&lt;DisplayText&gt;&lt;style face="superscript"&gt;25&lt;/style&gt;&lt;/DisplayText&gt;&lt;record&gt;&lt;rec-number&gt;748&lt;/rec-number&gt;&lt;foreign-keys&gt;&lt;key app="EN" db-id="xpzr0erzmxsa9se0rf4p20fqfa5wtvd0fxfr" timestamp="1567933690"&gt;748&lt;/key&gt;&lt;/foreign-keys&gt;&lt;ref-type name="Journal Article"&gt;17&lt;/ref-type&gt;&lt;contributors&gt;&lt;authors&gt;&lt;author&gt;Kwon, I. G.&lt;/author&gt;&lt;author&gt;Son, T.&lt;/author&gt;&lt;author&gt;Kim, H. I.&lt;/author&gt;&lt;author&gt;Hyung, W. J.&lt;/author&gt;&lt;/authors&gt;&lt;/contributors&gt;&lt;auth-address&gt;Department of Surgery, Yonsei University College of Medicine, Seoul, Republic of Korea.&amp;#xD;Gastric Cancer Center, Yonsei Cancer Center, Yonsei University Health System, Seoul, Republic of Korea.&lt;/auth-address&gt;&lt;titles&gt;&lt;title&gt;Fluorescent Lymphography-Guided Lymphadenectomy During Robotic Radical Gastrectomy for Gastric Cancer&lt;/title&gt;&lt;secondary-title&gt;JAMA Surg&lt;/secondary-title&gt;&lt;alt-title&gt;JAMA surgery&lt;/alt-title&gt;&lt;/titles&gt;&lt;periodical&gt;&lt;full-title&gt;JAMA Surg&lt;/full-title&gt;&lt;abbr-1&gt;JAMA surgery&lt;/abbr-1&gt;&lt;/periodical&gt;&lt;alt-periodical&gt;&lt;full-title&gt;JAMA Surg&lt;/full-title&gt;&lt;abbr-1&gt;JAMA surgery&lt;/abbr-1&gt;&lt;/alt-periodical&gt;&lt;pages&gt;150-158&lt;/pages&gt;&lt;volume&gt;154&lt;/volume&gt;&lt;number&gt;2&lt;/number&gt;&lt;edition&gt;2018/11/15&lt;/edition&gt;&lt;dates&gt;&lt;year&gt;2019&lt;/year&gt;&lt;pub-dates&gt;&lt;date&gt;Feb 1&lt;/date&gt;&lt;/pub-dates&gt;&lt;/dates&gt;&lt;isbn&gt;2168-6254&lt;/isbn&gt;&lt;accession-num&gt;30427990&lt;/accession-num&gt;&lt;urls&gt;&lt;/urls&gt;&lt;custom2&gt;PMC6439673&lt;/custom2&gt;&lt;electronic-resource-num&gt;10.1001/jamasurg.2018.4267&lt;/electronic-resource-num&gt;&lt;remote-database-provider&gt;NLM&lt;/remote-database-provider&gt;&lt;language&gt;eng&lt;/language&gt;&lt;/record&gt;&lt;/Cite&gt;&lt;/EndNote&gt;</w:instrText>
      </w:r>
      <w:r>
        <w:rPr>
          <w:kern w:val="0"/>
          <w:sz w:val="24"/>
        </w:rPr>
        <w:fldChar w:fldCharType="separate"/>
      </w:r>
      <w:r>
        <w:rPr>
          <w:kern w:val="0"/>
          <w:sz w:val="24"/>
          <w:vertAlign w:val="superscript"/>
        </w:rPr>
        <w:t>25</w:t>
      </w:r>
      <w:r>
        <w:rPr>
          <w:kern w:val="0"/>
          <w:sz w:val="24"/>
        </w:rPr>
        <w:fldChar w:fldCharType="end"/>
      </w:r>
      <w:r>
        <w:rPr>
          <w:kern w:val="0"/>
          <w:sz w:val="24"/>
        </w:rPr>
        <w:t xml:space="preserve"> Individualized radical lymphadenectomy is becoming the goal of every surgeon performing minimally invasive procedures. </w:t>
      </w:r>
    </w:p>
    <w:p w14:paraId="7714D67F">
      <w:pPr>
        <w:adjustRightInd w:val="0"/>
        <w:snapToGrid w:val="0"/>
        <w:spacing w:line="360" w:lineRule="auto"/>
        <w:ind w:firstLine="480" w:firstLineChars="200"/>
        <w:jc w:val="left"/>
        <w:rPr>
          <w:rFonts w:eastAsia="微软雅黑"/>
          <w:bCs/>
          <w:sz w:val="24"/>
        </w:rPr>
      </w:pPr>
      <w:r>
        <w:rPr>
          <w:kern w:val="0"/>
          <w:sz w:val="24"/>
        </w:rPr>
        <w:t xml:space="preserve">Therefore, there </w:t>
      </w:r>
      <w:r>
        <w:rPr>
          <w:kern w:val="0"/>
          <w:sz w:val="24"/>
          <w:u w:color="19A0DC"/>
        </w:rPr>
        <w:t>is still</w:t>
      </w:r>
      <w:r>
        <w:rPr>
          <w:kern w:val="0"/>
          <w:sz w:val="24"/>
        </w:rPr>
        <w:t xml:space="preserve"> a lack of high-level evidence-based large sample prospective randomized controlled trials (RCTs) to evaluate the safety, efficacy and feasibility of ICG in guiding </w:t>
      </w:r>
      <w:r>
        <w:rPr>
          <w:kern w:val="0"/>
          <w:sz w:val="24"/>
          <w:u w:color="FA5050"/>
        </w:rPr>
        <w:t>laparoscopic</w:t>
      </w:r>
      <w:r>
        <w:rPr>
          <w:kern w:val="0"/>
          <w:sz w:val="24"/>
        </w:rPr>
        <w:t xml:space="preserve"> D2 lymphadenectomy of GC worldwide. This RCT </w:t>
      </w:r>
      <w:r>
        <w:rPr>
          <w:kern w:val="0"/>
          <w:sz w:val="24"/>
          <w:u w:color="19A0DC"/>
        </w:rPr>
        <w:t>was intended to assess</w:t>
      </w:r>
      <w:r>
        <w:rPr>
          <w:kern w:val="0"/>
          <w:sz w:val="24"/>
        </w:rPr>
        <w:t xml:space="preserve"> LN harvest and </w:t>
      </w:r>
      <w:r>
        <w:rPr>
          <w:kern w:val="0"/>
          <w:sz w:val="24"/>
          <w:u w:color="FA5050"/>
        </w:rPr>
        <w:t>perioperative</w:t>
      </w:r>
      <w:r>
        <w:rPr>
          <w:kern w:val="0"/>
          <w:sz w:val="24"/>
        </w:rPr>
        <w:t xml:space="preserve"> safety during </w:t>
      </w:r>
      <w:r>
        <w:rPr>
          <w:kern w:val="0"/>
          <w:sz w:val="24"/>
          <w:u w:color="FA5050"/>
        </w:rPr>
        <w:t>laparoscopic</w:t>
      </w:r>
      <w:r>
        <w:rPr>
          <w:kern w:val="0"/>
          <w:sz w:val="24"/>
        </w:rPr>
        <w:t xml:space="preserve"> ICG-guide radical gastrectomy for GC patients by comparing injection ICG group and non-injection ICG group at a simultaneous, </w:t>
      </w:r>
      <w:r>
        <w:rPr>
          <w:kern w:val="0"/>
          <w:sz w:val="24"/>
          <w:u w:color="FA5050"/>
        </w:rPr>
        <w:t>large-scale</w:t>
      </w:r>
      <w:r>
        <w:rPr>
          <w:kern w:val="0"/>
          <w:sz w:val="24"/>
        </w:rPr>
        <w:t xml:space="preserve"> center. So as to promote the standardization of NIR imaging in </w:t>
      </w:r>
      <w:r>
        <w:rPr>
          <w:kern w:val="0"/>
          <w:sz w:val="24"/>
          <w:u w:color="FA5050"/>
        </w:rPr>
        <w:t>laparoscopic</w:t>
      </w:r>
      <w:r>
        <w:rPr>
          <w:kern w:val="0"/>
          <w:sz w:val="24"/>
        </w:rPr>
        <w:t xml:space="preserve"> resection of GC, and </w:t>
      </w:r>
      <w:r>
        <w:rPr>
          <w:kern w:val="0"/>
          <w:sz w:val="24"/>
          <w:u w:color="19A0DC"/>
        </w:rPr>
        <w:t>to establish</w:t>
      </w:r>
      <w:r>
        <w:rPr>
          <w:kern w:val="0"/>
          <w:sz w:val="24"/>
        </w:rPr>
        <w:t xml:space="preserve"> </w:t>
      </w:r>
      <w:r>
        <w:rPr>
          <w:kern w:val="0"/>
          <w:sz w:val="24"/>
          <w:u w:color="FA5050"/>
        </w:rPr>
        <w:t>a reference</w:t>
      </w:r>
      <w:r>
        <w:rPr>
          <w:kern w:val="0"/>
          <w:sz w:val="24"/>
        </w:rPr>
        <w:t xml:space="preserve"> for the application of ICG imaging in radical resection of cancers in digest system (such as esophageal and colorectal cancer).</w:t>
      </w:r>
    </w:p>
    <w:p w14:paraId="4C076254">
      <w:pPr>
        <w:adjustRightInd w:val="0"/>
        <w:snapToGrid w:val="0"/>
        <w:spacing w:line="360" w:lineRule="auto"/>
        <w:jc w:val="left"/>
        <w:rPr>
          <w:rFonts w:eastAsia="微软雅黑"/>
          <w:bCs/>
          <w:sz w:val="24"/>
        </w:rPr>
      </w:pPr>
    </w:p>
    <w:p w14:paraId="64D63933">
      <w:pPr>
        <w:adjustRightInd w:val="0"/>
        <w:snapToGrid w:val="0"/>
        <w:spacing w:line="360" w:lineRule="auto"/>
        <w:jc w:val="left"/>
        <w:rPr>
          <w:rFonts w:eastAsia="微软雅黑"/>
          <w:b/>
          <w:sz w:val="24"/>
        </w:rPr>
      </w:pPr>
      <w:r>
        <w:rPr>
          <w:rFonts w:eastAsia="微软雅黑"/>
          <w:b/>
          <w:sz w:val="24"/>
        </w:rPr>
        <w:t>Inclusion Criteria</w:t>
      </w:r>
    </w:p>
    <w:p w14:paraId="41C60196">
      <w:pPr>
        <w:pStyle w:val="25"/>
        <w:numPr>
          <w:ilvl w:val="0"/>
          <w:numId w:val="36"/>
        </w:numPr>
        <w:adjustRightInd w:val="0"/>
        <w:snapToGrid w:val="0"/>
        <w:spacing w:line="360" w:lineRule="auto"/>
        <w:ind w:firstLineChars="0"/>
        <w:rPr>
          <w:rFonts w:eastAsia="微软雅黑"/>
          <w:sz w:val="24"/>
        </w:rPr>
      </w:pPr>
      <w:r>
        <w:rPr>
          <w:rFonts w:eastAsia="微软雅黑"/>
          <w:sz w:val="24"/>
        </w:rPr>
        <w:t>Age from 18 to 75 years (not including 18 and 75 years old)</w:t>
      </w:r>
    </w:p>
    <w:p w14:paraId="06346C50">
      <w:pPr>
        <w:pStyle w:val="25"/>
        <w:numPr>
          <w:ilvl w:val="0"/>
          <w:numId w:val="36"/>
        </w:numPr>
        <w:adjustRightInd w:val="0"/>
        <w:snapToGrid w:val="0"/>
        <w:spacing w:line="360" w:lineRule="auto"/>
        <w:ind w:firstLineChars="0"/>
        <w:rPr>
          <w:rFonts w:eastAsia="微软雅黑"/>
          <w:sz w:val="24"/>
        </w:rPr>
      </w:pPr>
      <w:r>
        <w:rPr>
          <w:rFonts w:eastAsia="微软雅黑"/>
          <w:sz w:val="24"/>
        </w:rPr>
        <w:t>Primary gastric adenocarcinoma (papillary, tubular, mucinous, signet ring cell, or poorly differentiated) confirmed pathologically by endoscopic biopsy</w:t>
      </w:r>
    </w:p>
    <w:p w14:paraId="30A92D2C">
      <w:pPr>
        <w:pStyle w:val="25"/>
        <w:numPr>
          <w:ilvl w:val="0"/>
          <w:numId w:val="36"/>
        </w:numPr>
        <w:adjustRightInd w:val="0"/>
        <w:snapToGrid w:val="0"/>
        <w:spacing w:line="360" w:lineRule="auto"/>
        <w:ind w:firstLineChars="0"/>
        <w:rPr>
          <w:rFonts w:eastAsia="微软雅黑"/>
          <w:sz w:val="24"/>
        </w:rPr>
      </w:pPr>
      <w:r>
        <w:rPr>
          <w:rFonts w:eastAsia="微软雅黑"/>
          <w:sz w:val="24"/>
        </w:rPr>
        <w:t xml:space="preserve">Clinical stage tumor T1-4a (cT1-4a), N-/+, M0 at preoperative evaluation according to the American Joint Committee on Cancer (AJCC) Cancer Staging Manual Seventh Edition </w:t>
      </w:r>
    </w:p>
    <w:p w14:paraId="3F33B1AD">
      <w:pPr>
        <w:pStyle w:val="25"/>
        <w:numPr>
          <w:ilvl w:val="0"/>
          <w:numId w:val="36"/>
        </w:numPr>
        <w:adjustRightInd w:val="0"/>
        <w:snapToGrid w:val="0"/>
        <w:spacing w:line="360" w:lineRule="auto"/>
        <w:ind w:firstLineChars="0"/>
        <w:rPr>
          <w:rFonts w:eastAsia="微软雅黑"/>
          <w:sz w:val="24"/>
        </w:rPr>
      </w:pPr>
      <w:r>
        <w:rPr>
          <w:rFonts w:eastAsia="微软雅黑"/>
          <w:sz w:val="24"/>
        </w:rPr>
        <w:t xml:space="preserve">No distant metastasis, no direct invasion of pancreas, spleen or other organs nearby in the preoperative examinations </w:t>
      </w:r>
    </w:p>
    <w:p w14:paraId="5D182A25">
      <w:pPr>
        <w:pStyle w:val="25"/>
        <w:numPr>
          <w:ilvl w:val="0"/>
          <w:numId w:val="36"/>
        </w:numPr>
        <w:adjustRightInd w:val="0"/>
        <w:snapToGrid w:val="0"/>
        <w:spacing w:line="360" w:lineRule="auto"/>
        <w:ind w:firstLineChars="0"/>
        <w:rPr>
          <w:rFonts w:eastAsia="微软雅黑"/>
          <w:sz w:val="24"/>
        </w:rPr>
      </w:pPr>
      <w:r>
        <w:rPr>
          <w:rFonts w:eastAsia="微软雅黑"/>
          <w:sz w:val="24"/>
        </w:rPr>
        <w:t>Performance status of 0 or 1 on the ECOG (Eastern Cooperative Oncology Group) scale</w:t>
      </w:r>
    </w:p>
    <w:p w14:paraId="7752C574">
      <w:pPr>
        <w:pStyle w:val="25"/>
        <w:numPr>
          <w:ilvl w:val="0"/>
          <w:numId w:val="36"/>
        </w:numPr>
        <w:adjustRightInd w:val="0"/>
        <w:snapToGrid w:val="0"/>
        <w:spacing w:line="360" w:lineRule="auto"/>
        <w:ind w:firstLineChars="0"/>
        <w:rPr>
          <w:rFonts w:eastAsia="微软雅黑"/>
          <w:sz w:val="24"/>
        </w:rPr>
      </w:pPr>
      <w:r>
        <w:rPr>
          <w:rFonts w:eastAsia="微软雅黑"/>
          <w:sz w:val="24"/>
        </w:rPr>
        <w:t>ASA (American Society of Anesthesiology) class I to III</w:t>
      </w:r>
    </w:p>
    <w:p w14:paraId="312C3DD1">
      <w:pPr>
        <w:pStyle w:val="25"/>
        <w:numPr>
          <w:ilvl w:val="0"/>
          <w:numId w:val="36"/>
        </w:numPr>
        <w:adjustRightInd w:val="0"/>
        <w:snapToGrid w:val="0"/>
        <w:spacing w:line="360" w:lineRule="auto"/>
        <w:ind w:firstLineChars="0"/>
        <w:rPr>
          <w:rFonts w:eastAsia="微软雅黑"/>
          <w:sz w:val="24"/>
        </w:rPr>
      </w:pPr>
      <w:r>
        <w:rPr>
          <w:rFonts w:eastAsia="微软雅黑"/>
          <w:sz w:val="24"/>
        </w:rPr>
        <w:t>The written informed consent of subjects must be given before study-related activities are conducted.</w:t>
      </w:r>
    </w:p>
    <w:p w14:paraId="29A8A770">
      <w:pPr>
        <w:pStyle w:val="25"/>
        <w:adjustRightInd w:val="0"/>
        <w:snapToGrid w:val="0"/>
        <w:spacing w:line="360" w:lineRule="auto"/>
        <w:ind w:firstLine="0" w:firstLineChars="0"/>
        <w:jc w:val="left"/>
        <w:rPr>
          <w:rFonts w:eastAsia="微软雅黑"/>
          <w:b/>
          <w:bCs/>
          <w:sz w:val="24"/>
        </w:rPr>
      </w:pPr>
      <w:r>
        <w:rPr>
          <w:rFonts w:eastAsia="微软雅黑"/>
          <w:b/>
          <w:bCs/>
          <w:sz w:val="24"/>
        </w:rPr>
        <w:t>Exclusion criteria</w:t>
      </w:r>
    </w:p>
    <w:p w14:paraId="299FD51D">
      <w:pPr>
        <w:pStyle w:val="25"/>
        <w:numPr>
          <w:ilvl w:val="0"/>
          <w:numId w:val="36"/>
        </w:numPr>
        <w:adjustRightInd w:val="0"/>
        <w:snapToGrid w:val="0"/>
        <w:spacing w:line="360" w:lineRule="auto"/>
        <w:ind w:firstLineChars="0"/>
        <w:rPr>
          <w:rFonts w:eastAsia="微软雅黑"/>
          <w:sz w:val="24"/>
        </w:rPr>
      </w:pPr>
      <w:r>
        <w:rPr>
          <w:rFonts w:eastAsia="微软雅黑"/>
          <w:sz w:val="24"/>
        </w:rPr>
        <w:t>Women during pregnancy or breast-feeding</w:t>
      </w:r>
    </w:p>
    <w:p w14:paraId="7695C392">
      <w:pPr>
        <w:pStyle w:val="25"/>
        <w:numPr>
          <w:ilvl w:val="0"/>
          <w:numId w:val="36"/>
        </w:numPr>
        <w:adjustRightInd w:val="0"/>
        <w:snapToGrid w:val="0"/>
        <w:spacing w:line="360" w:lineRule="auto"/>
        <w:ind w:firstLineChars="0"/>
        <w:rPr>
          <w:rFonts w:eastAsia="微软雅黑"/>
          <w:sz w:val="24"/>
        </w:rPr>
      </w:pPr>
      <w:r>
        <w:rPr>
          <w:rFonts w:eastAsia="微软雅黑"/>
          <w:sz w:val="24"/>
        </w:rPr>
        <w:t>Severe mental disorder</w:t>
      </w:r>
    </w:p>
    <w:p w14:paraId="4A06933F">
      <w:pPr>
        <w:pStyle w:val="25"/>
        <w:numPr>
          <w:ilvl w:val="0"/>
          <w:numId w:val="36"/>
        </w:numPr>
        <w:adjustRightInd w:val="0"/>
        <w:snapToGrid w:val="0"/>
        <w:spacing w:line="360" w:lineRule="auto"/>
        <w:ind w:firstLineChars="0"/>
        <w:rPr>
          <w:rFonts w:eastAsia="微软雅黑"/>
          <w:sz w:val="24"/>
        </w:rPr>
      </w:pPr>
      <w:r>
        <w:rPr>
          <w:rFonts w:eastAsia="微软雅黑"/>
          <w:sz w:val="24"/>
        </w:rPr>
        <w:t>History of previous upper abdominal surgery (except for laparoscopic cholecystectomy)</w:t>
      </w:r>
    </w:p>
    <w:p w14:paraId="6B7A2A4C">
      <w:pPr>
        <w:pStyle w:val="25"/>
        <w:numPr>
          <w:ilvl w:val="0"/>
          <w:numId w:val="36"/>
        </w:numPr>
        <w:adjustRightInd w:val="0"/>
        <w:snapToGrid w:val="0"/>
        <w:spacing w:line="360" w:lineRule="auto"/>
        <w:ind w:firstLineChars="0"/>
        <w:rPr>
          <w:rFonts w:eastAsia="微软雅黑"/>
          <w:sz w:val="24"/>
        </w:rPr>
      </w:pPr>
      <w:r>
        <w:rPr>
          <w:rFonts w:eastAsia="微软雅黑"/>
          <w:sz w:val="24"/>
        </w:rPr>
        <w:t>History of previous gastric surgery (including ESD/EMR for gastric cancer)</w:t>
      </w:r>
    </w:p>
    <w:p w14:paraId="503E5E26">
      <w:pPr>
        <w:pStyle w:val="25"/>
        <w:numPr>
          <w:ilvl w:val="0"/>
          <w:numId w:val="36"/>
        </w:numPr>
        <w:adjustRightInd w:val="0"/>
        <w:snapToGrid w:val="0"/>
        <w:spacing w:line="360" w:lineRule="auto"/>
        <w:ind w:firstLineChars="0"/>
        <w:rPr>
          <w:rFonts w:eastAsia="微软雅黑"/>
          <w:sz w:val="24"/>
        </w:rPr>
      </w:pPr>
      <w:r>
        <w:rPr>
          <w:rFonts w:eastAsia="微软雅黑"/>
          <w:sz w:val="24"/>
        </w:rPr>
        <w:t>Rejection of laparoscopic resection</w:t>
      </w:r>
    </w:p>
    <w:p w14:paraId="5890C7BE">
      <w:pPr>
        <w:pStyle w:val="25"/>
        <w:numPr>
          <w:ilvl w:val="0"/>
          <w:numId w:val="36"/>
        </w:numPr>
        <w:adjustRightInd w:val="0"/>
        <w:snapToGrid w:val="0"/>
        <w:spacing w:line="360" w:lineRule="auto"/>
        <w:ind w:firstLineChars="0"/>
        <w:rPr>
          <w:rFonts w:eastAsia="微软雅黑"/>
          <w:sz w:val="24"/>
        </w:rPr>
      </w:pPr>
      <w:r>
        <w:rPr>
          <w:rFonts w:eastAsia="微软雅黑"/>
          <w:sz w:val="24"/>
        </w:rPr>
        <w:t>History of allergy to iodine agents</w:t>
      </w:r>
    </w:p>
    <w:p w14:paraId="056B7A04">
      <w:pPr>
        <w:pStyle w:val="25"/>
        <w:numPr>
          <w:ilvl w:val="0"/>
          <w:numId w:val="36"/>
        </w:numPr>
        <w:adjustRightInd w:val="0"/>
        <w:snapToGrid w:val="0"/>
        <w:spacing w:line="360" w:lineRule="auto"/>
        <w:ind w:firstLineChars="0"/>
        <w:rPr>
          <w:rFonts w:eastAsia="微软雅黑"/>
          <w:sz w:val="24"/>
        </w:rPr>
      </w:pPr>
      <w:r>
        <w:rPr>
          <w:rFonts w:eastAsia="微软雅黑"/>
          <w:sz w:val="24"/>
        </w:rPr>
        <w:t>Enlarged or bulky regional LN diameter over 3cm by preoperative imaging</w:t>
      </w:r>
    </w:p>
    <w:p w14:paraId="19BB753E">
      <w:pPr>
        <w:pStyle w:val="25"/>
        <w:numPr>
          <w:ilvl w:val="0"/>
          <w:numId w:val="36"/>
        </w:numPr>
        <w:adjustRightInd w:val="0"/>
        <w:snapToGrid w:val="0"/>
        <w:spacing w:line="360" w:lineRule="auto"/>
        <w:ind w:firstLineChars="0"/>
        <w:rPr>
          <w:rFonts w:eastAsia="微软雅黑"/>
          <w:sz w:val="24"/>
        </w:rPr>
      </w:pPr>
      <w:r>
        <w:rPr>
          <w:rFonts w:eastAsia="微软雅黑"/>
          <w:sz w:val="24"/>
        </w:rPr>
        <w:t>History of other malignant disease within past five years</w:t>
      </w:r>
    </w:p>
    <w:p w14:paraId="0B80CBFD">
      <w:pPr>
        <w:pStyle w:val="25"/>
        <w:numPr>
          <w:ilvl w:val="0"/>
          <w:numId w:val="36"/>
        </w:numPr>
        <w:adjustRightInd w:val="0"/>
        <w:snapToGrid w:val="0"/>
        <w:spacing w:line="360" w:lineRule="auto"/>
        <w:ind w:firstLineChars="0"/>
        <w:rPr>
          <w:rFonts w:eastAsia="微软雅黑"/>
          <w:sz w:val="24"/>
        </w:rPr>
      </w:pPr>
      <w:r>
        <w:rPr>
          <w:rFonts w:eastAsia="微软雅黑"/>
          <w:sz w:val="24"/>
        </w:rPr>
        <w:t>History of previous neoadjuvant chemotherapy or radiotherapy</w:t>
      </w:r>
    </w:p>
    <w:p w14:paraId="76C528BD">
      <w:pPr>
        <w:pStyle w:val="25"/>
        <w:numPr>
          <w:ilvl w:val="0"/>
          <w:numId w:val="36"/>
        </w:numPr>
        <w:adjustRightInd w:val="0"/>
        <w:snapToGrid w:val="0"/>
        <w:spacing w:line="360" w:lineRule="auto"/>
        <w:ind w:firstLineChars="0"/>
        <w:rPr>
          <w:rFonts w:eastAsia="微软雅黑"/>
          <w:sz w:val="24"/>
        </w:rPr>
      </w:pPr>
      <w:r>
        <w:rPr>
          <w:rFonts w:eastAsia="微软雅黑"/>
          <w:sz w:val="24"/>
        </w:rPr>
        <w:t>History of unstable angina or myocardial infarction within the past six months</w:t>
      </w:r>
    </w:p>
    <w:p w14:paraId="44274E53">
      <w:pPr>
        <w:pStyle w:val="25"/>
        <w:numPr>
          <w:ilvl w:val="0"/>
          <w:numId w:val="36"/>
        </w:numPr>
        <w:adjustRightInd w:val="0"/>
        <w:snapToGrid w:val="0"/>
        <w:spacing w:line="360" w:lineRule="auto"/>
        <w:ind w:firstLineChars="0"/>
        <w:rPr>
          <w:rFonts w:eastAsia="微软雅黑"/>
          <w:sz w:val="24"/>
        </w:rPr>
      </w:pPr>
      <w:r>
        <w:rPr>
          <w:rFonts w:eastAsia="微软雅黑"/>
          <w:sz w:val="24"/>
        </w:rPr>
        <w:t>History of unstable angina or myocardial infarction within past six months</w:t>
      </w:r>
    </w:p>
    <w:p w14:paraId="353AFB1A">
      <w:pPr>
        <w:pStyle w:val="25"/>
        <w:numPr>
          <w:ilvl w:val="0"/>
          <w:numId w:val="36"/>
        </w:numPr>
        <w:adjustRightInd w:val="0"/>
        <w:snapToGrid w:val="0"/>
        <w:spacing w:line="360" w:lineRule="auto"/>
        <w:ind w:firstLineChars="0"/>
        <w:rPr>
          <w:rFonts w:eastAsia="微软雅黑"/>
          <w:sz w:val="24"/>
        </w:rPr>
      </w:pPr>
      <w:r>
        <w:rPr>
          <w:rFonts w:eastAsia="微软雅黑"/>
          <w:sz w:val="24"/>
        </w:rPr>
        <w:t>History of continuous systematic administration of corticosteroids within one month</w:t>
      </w:r>
    </w:p>
    <w:p w14:paraId="3A5772D4">
      <w:pPr>
        <w:pStyle w:val="25"/>
        <w:numPr>
          <w:ilvl w:val="0"/>
          <w:numId w:val="36"/>
        </w:numPr>
        <w:adjustRightInd w:val="0"/>
        <w:snapToGrid w:val="0"/>
        <w:spacing w:line="360" w:lineRule="auto"/>
        <w:ind w:firstLineChars="0"/>
        <w:rPr>
          <w:rFonts w:eastAsia="微软雅黑"/>
          <w:sz w:val="24"/>
        </w:rPr>
      </w:pPr>
      <w:r>
        <w:rPr>
          <w:rFonts w:eastAsia="微软雅黑"/>
          <w:sz w:val="24"/>
        </w:rPr>
        <w:t>Requirement of simultaneous surgery for another disease</w:t>
      </w:r>
    </w:p>
    <w:p w14:paraId="36C39031">
      <w:pPr>
        <w:pStyle w:val="25"/>
        <w:numPr>
          <w:ilvl w:val="0"/>
          <w:numId w:val="36"/>
        </w:numPr>
        <w:adjustRightInd w:val="0"/>
        <w:snapToGrid w:val="0"/>
        <w:spacing w:line="360" w:lineRule="auto"/>
        <w:ind w:firstLineChars="0"/>
        <w:rPr>
          <w:rFonts w:eastAsia="微软雅黑"/>
          <w:sz w:val="24"/>
        </w:rPr>
      </w:pPr>
      <w:r>
        <w:rPr>
          <w:rFonts w:eastAsia="微软雅黑"/>
          <w:sz w:val="24"/>
        </w:rPr>
        <w:t>Emergency surgery due to complications (bleeding, obstruction or perforation) caused by gastric cancer</w:t>
      </w:r>
    </w:p>
    <w:p w14:paraId="1426080E">
      <w:pPr>
        <w:pStyle w:val="25"/>
        <w:numPr>
          <w:ilvl w:val="0"/>
          <w:numId w:val="36"/>
        </w:numPr>
        <w:adjustRightInd w:val="0"/>
        <w:snapToGrid w:val="0"/>
        <w:ind w:firstLineChars="0"/>
        <w:rPr>
          <w:rFonts w:eastAsia="微软雅黑"/>
          <w:sz w:val="24"/>
        </w:rPr>
      </w:pPr>
      <w:r>
        <w:rPr>
          <w:rFonts w:eastAsia="微软雅黑"/>
          <w:sz w:val="24"/>
        </w:rPr>
        <w:t>FEV1＜50% of the predicted values</w:t>
      </w:r>
    </w:p>
    <w:p w14:paraId="7AFDFDF0">
      <w:pPr>
        <w:numPr>
          <w:ilvl w:val="0"/>
          <w:numId w:val="36"/>
        </w:numPr>
        <w:adjustRightInd w:val="0"/>
        <w:snapToGrid w:val="0"/>
        <w:spacing w:line="360" w:lineRule="auto"/>
        <w:jc w:val="left"/>
        <w:rPr>
          <w:rFonts w:eastAsia="微软雅黑"/>
          <w:b/>
          <w:sz w:val="24"/>
        </w:rPr>
      </w:pPr>
      <w:r>
        <w:rPr>
          <w:rFonts w:eastAsia="微软雅黑"/>
          <w:sz w:val="24"/>
        </w:rPr>
        <w:t>Linitis plastica, Widespread</w:t>
      </w:r>
    </w:p>
    <w:p w14:paraId="5F951ACC">
      <w:pPr>
        <w:adjustRightInd w:val="0"/>
        <w:snapToGrid w:val="0"/>
        <w:spacing w:line="360" w:lineRule="auto"/>
        <w:jc w:val="left"/>
        <w:rPr>
          <w:rFonts w:eastAsia="微软雅黑"/>
          <w:b/>
          <w:sz w:val="24"/>
        </w:rPr>
      </w:pPr>
    </w:p>
    <w:p w14:paraId="33D02375">
      <w:pPr>
        <w:adjustRightInd w:val="0"/>
        <w:snapToGrid w:val="0"/>
        <w:spacing w:line="360" w:lineRule="auto"/>
        <w:jc w:val="left"/>
        <w:rPr>
          <w:rFonts w:eastAsia="微软雅黑"/>
          <w:b/>
          <w:sz w:val="24"/>
        </w:rPr>
      </w:pPr>
      <w:r>
        <w:rPr>
          <w:rFonts w:eastAsia="微软雅黑"/>
          <w:b/>
          <w:sz w:val="24"/>
        </w:rPr>
        <w:t>Consent</w:t>
      </w:r>
    </w:p>
    <w:p w14:paraId="13B0D025">
      <w:pPr>
        <w:adjustRightInd w:val="0"/>
        <w:snapToGrid w:val="0"/>
        <w:spacing w:line="360" w:lineRule="auto"/>
        <w:ind w:firstLine="480" w:firstLineChars="200"/>
        <w:rPr>
          <w:rFonts w:eastAsia="微软雅黑"/>
          <w:sz w:val="24"/>
        </w:rPr>
      </w:pPr>
      <w:r>
        <w:rPr>
          <w:rFonts w:eastAsia="微软雅黑"/>
          <w:sz w:val="24"/>
        </w:rPr>
        <w:t xml:space="preserve">An unconditional prerequisite for subjects to participate in this study is his/her written informed consent. The written informed consent of subjects participating in this study must be given before study-related activities are conducted. </w:t>
      </w:r>
    </w:p>
    <w:p w14:paraId="3AC17C9F">
      <w:pPr>
        <w:adjustRightInd w:val="0"/>
        <w:snapToGrid w:val="0"/>
        <w:spacing w:line="360" w:lineRule="auto"/>
        <w:ind w:firstLine="480" w:firstLineChars="200"/>
        <w:rPr>
          <w:rFonts w:eastAsia="微软雅黑"/>
          <w:sz w:val="24"/>
        </w:rPr>
      </w:pPr>
      <w:r>
        <w:rPr>
          <w:rFonts w:eastAsia="微软雅黑"/>
          <w:sz w:val="24"/>
        </w:rPr>
        <w:t xml:space="preserve">Therefore, before obtaining informed consent, the investigators must provide sufficient information to the subjects. In order to obtain the informed consent, the   investigators will provide the information page to subjects, and the information required </w:t>
      </w:r>
    </w:p>
    <w:p w14:paraId="5C815EFD">
      <w:pPr>
        <w:adjustRightInd w:val="0"/>
        <w:snapToGrid w:val="0"/>
        <w:spacing w:line="360" w:lineRule="auto"/>
        <w:rPr>
          <w:rFonts w:eastAsia="微软雅黑"/>
          <w:sz w:val="24"/>
        </w:rPr>
      </w:pPr>
      <w:r>
        <w:rPr>
          <w:rFonts w:eastAsia="微软雅黑"/>
          <w:sz w:val="24"/>
        </w:rPr>
        <w:t xml:space="preserve">to comply with the applicable regulatory requirements. While providing written information, the investigators will orally inform the subjects of all the relevant circumstances of this study. In this process, the information must be fully and easily understood by non-professionals, so that they can sign the informed consent form according to their own will on the basis of their full understanding of this study. </w:t>
      </w:r>
    </w:p>
    <w:p w14:paraId="56CF14FB">
      <w:pPr>
        <w:adjustRightInd w:val="0"/>
        <w:snapToGrid w:val="0"/>
        <w:spacing w:line="360" w:lineRule="auto"/>
        <w:ind w:firstLine="480" w:firstLineChars="200"/>
        <w:rPr>
          <w:rFonts w:eastAsia="微软雅黑"/>
          <w:sz w:val="24"/>
        </w:rPr>
      </w:pPr>
      <w:r>
        <w:rPr>
          <w:rFonts w:eastAsia="微软雅黑"/>
          <w:sz w:val="24"/>
        </w:rPr>
        <w:t xml:space="preserve">The informed consent form must be signed and dated personally by the subjects and investigators. All subjects will be asked to sign the informed consent form to prove that they agree to participate in the study. The signed informed consent form should be kept at the research center where the investigator is located and must be properly safe kept for future review at any time during audit and inspection throughout the inspection period. Before participating in the study, the subjects should provide a copy of signed and dated informed consent form. </w:t>
      </w:r>
    </w:p>
    <w:p w14:paraId="60F0FDD9">
      <w:pPr>
        <w:adjustRightInd w:val="0"/>
        <w:snapToGrid w:val="0"/>
        <w:spacing w:line="360" w:lineRule="auto"/>
        <w:ind w:firstLine="480" w:firstLineChars="200"/>
        <w:rPr>
          <w:rFonts w:eastAsia="微软雅黑"/>
          <w:sz w:val="24"/>
        </w:rPr>
      </w:pPr>
      <w:r>
        <w:rPr>
          <w:rFonts w:eastAsia="微软雅黑"/>
          <w:sz w:val="24"/>
        </w:rPr>
        <w:t xml:space="preserve">At any time, if important new information becomes available that may be related to the consent of the subjects, the investigators will revise the information pages and any other written information which must be submitted to the IEC/IRB for review and approval. The revised information approved will be provided to each subject participating the study. The researchers will explain the changes made to the previous version of ICF to the subjects </w:t>
      </w:r>
    </w:p>
    <w:p w14:paraId="51FB8902">
      <w:pPr>
        <w:adjustRightInd w:val="0"/>
        <w:snapToGrid w:val="0"/>
        <w:spacing w:line="360" w:lineRule="auto"/>
        <w:jc w:val="left"/>
        <w:rPr>
          <w:rFonts w:eastAsia="微软雅黑"/>
          <w:b/>
          <w:sz w:val="24"/>
        </w:rPr>
      </w:pPr>
    </w:p>
    <w:p w14:paraId="23228FFF">
      <w:pPr>
        <w:adjustRightInd w:val="0"/>
        <w:snapToGrid w:val="0"/>
        <w:spacing w:line="360" w:lineRule="auto"/>
        <w:jc w:val="left"/>
        <w:rPr>
          <w:rFonts w:eastAsia="微软雅黑"/>
          <w:b/>
          <w:sz w:val="24"/>
        </w:rPr>
      </w:pPr>
      <w:r>
        <w:rPr>
          <w:rFonts w:eastAsia="微软雅黑"/>
          <w:b/>
          <w:sz w:val="24"/>
        </w:rPr>
        <w:t>Primary outcome</w:t>
      </w:r>
    </w:p>
    <w:p w14:paraId="3BC29850">
      <w:pPr>
        <w:numPr>
          <w:ilvl w:val="0"/>
          <w:numId w:val="34"/>
        </w:numPr>
        <w:adjustRightInd w:val="0"/>
        <w:snapToGrid w:val="0"/>
        <w:spacing w:line="360" w:lineRule="auto"/>
        <w:jc w:val="left"/>
        <w:rPr>
          <w:rFonts w:eastAsia="微软雅黑"/>
          <w:b/>
          <w:sz w:val="24"/>
        </w:rPr>
      </w:pPr>
      <w:r>
        <w:rPr>
          <w:rFonts w:eastAsia="微软雅黑"/>
          <w:sz w:val="24"/>
        </w:rPr>
        <w:t>Total number of retrieved LNs</w:t>
      </w:r>
    </w:p>
    <w:p w14:paraId="02D89D3F">
      <w:pPr>
        <w:adjustRightInd w:val="0"/>
        <w:snapToGrid w:val="0"/>
        <w:spacing w:line="360" w:lineRule="auto"/>
        <w:jc w:val="left"/>
        <w:rPr>
          <w:rFonts w:eastAsia="微软雅黑"/>
          <w:b/>
          <w:sz w:val="24"/>
        </w:rPr>
      </w:pPr>
      <w:r>
        <w:rPr>
          <w:rFonts w:eastAsia="微软雅黑"/>
          <w:b/>
          <w:sz w:val="24"/>
        </w:rPr>
        <w:t>Secondary Outcome</w:t>
      </w:r>
    </w:p>
    <w:p w14:paraId="7538C92B">
      <w:pPr>
        <w:pStyle w:val="25"/>
        <w:numPr>
          <w:ilvl w:val="0"/>
          <w:numId w:val="4"/>
        </w:numPr>
        <w:spacing w:line="360" w:lineRule="auto"/>
        <w:ind w:firstLineChars="0"/>
        <w:rPr>
          <w:rFonts w:eastAsia="微软雅黑"/>
          <w:sz w:val="24"/>
        </w:rPr>
      </w:pPr>
      <w:r>
        <w:rPr>
          <w:rFonts w:eastAsia="微软雅黑"/>
          <w:sz w:val="24"/>
        </w:rPr>
        <w:t xml:space="preserve">The rate of fluorescence </w:t>
      </w:r>
    </w:p>
    <w:p w14:paraId="140D588D">
      <w:pPr>
        <w:pStyle w:val="25"/>
        <w:numPr>
          <w:ilvl w:val="0"/>
          <w:numId w:val="4"/>
        </w:numPr>
        <w:spacing w:line="360" w:lineRule="auto"/>
        <w:ind w:firstLineChars="0"/>
        <w:rPr>
          <w:rFonts w:eastAsia="微软雅黑"/>
          <w:sz w:val="24"/>
        </w:rPr>
      </w:pPr>
      <w:r>
        <w:rPr>
          <w:rFonts w:eastAsia="微软雅黑"/>
          <w:sz w:val="24"/>
        </w:rPr>
        <w:t>Positive rate</w:t>
      </w:r>
    </w:p>
    <w:p w14:paraId="7AE104D6">
      <w:pPr>
        <w:pStyle w:val="25"/>
        <w:numPr>
          <w:ilvl w:val="0"/>
          <w:numId w:val="4"/>
        </w:numPr>
        <w:spacing w:line="360" w:lineRule="auto"/>
        <w:ind w:firstLineChars="0"/>
        <w:rPr>
          <w:rFonts w:eastAsia="微软雅黑"/>
          <w:sz w:val="24"/>
        </w:rPr>
      </w:pPr>
      <w:r>
        <w:rPr>
          <w:rFonts w:eastAsia="微软雅黑"/>
          <w:sz w:val="24"/>
        </w:rPr>
        <w:t>False positive rate</w:t>
      </w:r>
    </w:p>
    <w:p w14:paraId="0DA6588A">
      <w:pPr>
        <w:pStyle w:val="25"/>
        <w:numPr>
          <w:ilvl w:val="0"/>
          <w:numId w:val="4"/>
        </w:numPr>
        <w:spacing w:line="360" w:lineRule="auto"/>
        <w:ind w:firstLineChars="0"/>
        <w:rPr>
          <w:rFonts w:eastAsia="微软雅黑"/>
          <w:sz w:val="24"/>
        </w:rPr>
      </w:pPr>
      <w:r>
        <w:rPr>
          <w:rFonts w:eastAsia="微软雅黑"/>
          <w:sz w:val="24"/>
        </w:rPr>
        <w:t>Negative rate</w:t>
      </w:r>
    </w:p>
    <w:p w14:paraId="452EEF65">
      <w:pPr>
        <w:pStyle w:val="25"/>
        <w:numPr>
          <w:ilvl w:val="0"/>
          <w:numId w:val="4"/>
        </w:numPr>
        <w:spacing w:line="360" w:lineRule="auto"/>
        <w:ind w:firstLineChars="0"/>
        <w:rPr>
          <w:rFonts w:eastAsia="微软雅黑"/>
          <w:sz w:val="24"/>
        </w:rPr>
      </w:pPr>
      <w:r>
        <w:rPr>
          <w:rFonts w:eastAsia="微软雅黑"/>
          <w:sz w:val="24"/>
        </w:rPr>
        <w:t>False negative rate</w:t>
      </w:r>
    </w:p>
    <w:p w14:paraId="1BE7D52F">
      <w:pPr>
        <w:pStyle w:val="25"/>
        <w:numPr>
          <w:ilvl w:val="0"/>
          <w:numId w:val="4"/>
        </w:numPr>
        <w:spacing w:line="360" w:lineRule="auto"/>
        <w:ind w:firstLineChars="0"/>
        <w:rPr>
          <w:rFonts w:eastAsia="微软雅黑"/>
          <w:sz w:val="24"/>
        </w:rPr>
      </w:pPr>
      <w:r>
        <w:rPr>
          <w:rFonts w:eastAsia="微软雅黑"/>
          <w:sz w:val="24"/>
        </w:rPr>
        <w:t>Number of metastatic LNs</w:t>
      </w:r>
    </w:p>
    <w:p w14:paraId="25BEB11A">
      <w:pPr>
        <w:pStyle w:val="25"/>
        <w:numPr>
          <w:ilvl w:val="0"/>
          <w:numId w:val="4"/>
        </w:numPr>
        <w:spacing w:line="360" w:lineRule="auto"/>
        <w:ind w:firstLineChars="0"/>
        <w:rPr>
          <w:rFonts w:eastAsia="微软雅黑"/>
          <w:bCs/>
          <w:sz w:val="24"/>
        </w:rPr>
      </w:pPr>
      <w:r>
        <w:rPr>
          <w:rFonts w:eastAsia="微软雅黑"/>
          <w:sz w:val="24"/>
        </w:rPr>
        <w:t>Metastatic rate of LN</w:t>
      </w:r>
    </w:p>
    <w:p w14:paraId="0EE1D6C9">
      <w:pPr>
        <w:pStyle w:val="25"/>
        <w:numPr>
          <w:ilvl w:val="0"/>
          <w:numId w:val="4"/>
        </w:numPr>
        <w:spacing w:line="360" w:lineRule="auto"/>
        <w:ind w:firstLineChars="0"/>
        <w:rPr>
          <w:rFonts w:eastAsia="微软雅黑"/>
          <w:sz w:val="24"/>
        </w:rPr>
      </w:pPr>
      <w:r>
        <w:rPr>
          <w:rFonts w:eastAsia="微软雅黑"/>
          <w:sz w:val="24"/>
        </w:rPr>
        <w:t>Morbidity and mortality rates</w:t>
      </w:r>
    </w:p>
    <w:p w14:paraId="11FCB3A8">
      <w:pPr>
        <w:pStyle w:val="25"/>
        <w:numPr>
          <w:ilvl w:val="0"/>
          <w:numId w:val="4"/>
        </w:numPr>
        <w:spacing w:line="360" w:lineRule="auto"/>
        <w:ind w:firstLineChars="0"/>
        <w:rPr>
          <w:rFonts w:eastAsia="微软雅黑"/>
          <w:sz w:val="24"/>
        </w:rPr>
      </w:pPr>
      <w:r>
        <w:rPr>
          <w:rFonts w:eastAsia="微软雅黑"/>
          <w:sz w:val="24"/>
        </w:rPr>
        <w:t>3-year disease-free survival rate</w:t>
      </w:r>
    </w:p>
    <w:p w14:paraId="7BA106E0">
      <w:pPr>
        <w:pStyle w:val="25"/>
        <w:numPr>
          <w:ilvl w:val="0"/>
          <w:numId w:val="4"/>
        </w:numPr>
        <w:spacing w:line="360" w:lineRule="auto"/>
        <w:ind w:firstLineChars="0"/>
        <w:rPr>
          <w:rFonts w:eastAsia="微软雅黑"/>
          <w:sz w:val="24"/>
        </w:rPr>
      </w:pPr>
      <w:r>
        <w:rPr>
          <w:rFonts w:eastAsia="微软雅黑"/>
          <w:sz w:val="24"/>
        </w:rPr>
        <w:t>3-year overall survival rate</w:t>
      </w:r>
    </w:p>
    <w:p w14:paraId="6158578A">
      <w:pPr>
        <w:pStyle w:val="25"/>
        <w:numPr>
          <w:ilvl w:val="0"/>
          <w:numId w:val="4"/>
        </w:numPr>
        <w:spacing w:line="360" w:lineRule="auto"/>
        <w:ind w:firstLineChars="0"/>
        <w:rPr>
          <w:rFonts w:eastAsia="微软雅黑"/>
          <w:sz w:val="24"/>
        </w:rPr>
      </w:pPr>
      <w:r>
        <w:rPr>
          <w:rFonts w:eastAsia="微软雅黑"/>
          <w:sz w:val="24"/>
        </w:rPr>
        <w:t>3-year recurrence pattern</w:t>
      </w:r>
    </w:p>
    <w:p w14:paraId="7ED081A9">
      <w:pPr>
        <w:pStyle w:val="25"/>
        <w:numPr>
          <w:ilvl w:val="0"/>
          <w:numId w:val="4"/>
        </w:numPr>
        <w:spacing w:line="360" w:lineRule="auto"/>
        <w:ind w:firstLineChars="0"/>
        <w:rPr>
          <w:rFonts w:eastAsia="微软雅黑"/>
          <w:sz w:val="24"/>
        </w:rPr>
      </w:pPr>
      <w:r>
        <w:rPr>
          <w:rFonts w:eastAsia="微软雅黑"/>
          <w:sz w:val="24"/>
        </w:rPr>
        <w:t>Postoperative recovery course</w:t>
      </w:r>
    </w:p>
    <w:p w14:paraId="7B6D95CA">
      <w:pPr>
        <w:pStyle w:val="25"/>
        <w:numPr>
          <w:ilvl w:val="0"/>
          <w:numId w:val="4"/>
        </w:numPr>
        <w:spacing w:line="360" w:lineRule="auto"/>
        <w:ind w:firstLineChars="0"/>
        <w:rPr>
          <w:rFonts w:eastAsia="微软雅黑"/>
          <w:sz w:val="24"/>
        </w:rPr>
      </w:pPr>
      <w:r>
        <w:rPr>
          <w:rFonts w:eastAsia="微软雅黑"/>
          <w:sz w:val="24"/>
        </w:rPr>
        <w:t>Operation time</w:t>
      </w:r>
    </w:p>
    <w:p w14:paraId="268070A4">
      <w:pPr>
        <w:pStyle w:val="25"/>
        <w:numPr>
          <w:ilvl w:val="0"/>
          <w:numId w:val="4"/>
        </w:numPr>
        <w:spacing w:line="360" w:lineRule="auto"/>
        <w:ind w:firstLineChars="0"/>
        <w:rPr>
          <w:rFonts w:eastAsia="微软雅黑"/>
          <w:sz w:val="24"/>
        </w:rPr>
      </w:pPr>
      <w:r>
        <w:rPr>
          <w:rFonts w:eastAsia="微软雅黑"/>
          <w:sz w:val="24"/>
        </w:rPr>
        <w:t>The variation of weight</w:t>
      </w:r>
    </w:p>
    <w:p w14:paraId="6C882C25">
      <w:pPr>
        <w:pStyle w:val="25"/>
        <w:numPr>
          <w:ilvl w:val="0"/>
          <w:numId w:val="4"/>
        </w:numPr>
        <w:spacing w:line="360" w:lineRule="auto"/>
        <w:ind w:firstLineChars="0"/>
        <w:rPr>
          <w:rFonts w:eastAsia="微软雅黑"/>
          <w:sz w:val="24"/>
        </w:rPr>
      </w:pPr>
      <w:r>
        <w:rPr>
          <w:rFonts w:eastAsia="微软雅黑"/>
          <w:sz w:val="24"/>
        </w:rPr>
        <w:t>Intraoperative blood loss</w:t>
      </w:r>
    </w:p>
    <w:p w14:paraId="1E2A1DE2">
      <w:pPr>
        <w:pStyle w:val="25"/>
        <w:numPr>
          <w:ilvl w:val="0"/>
          <w:numId w:val="4"/>
        </w:numPr>
        <w:spacing w:line="360" w:lineRule="auto"/>
        <w:ind w:firstLineChars="0"/>
        <w:rPr>
          <w:rFonts w:eastAsia="微软雅黑"/>
          <w:sz w:val="24"/>
        </w:rPr>
      </w:pPr>
      <w:r>
        <w:rPr>
          <w:rFonts w:eastAsia="微软雅黑"/>
          <w:sz w:val="24"/>
        </w:rPr>
        <w:t>Conversive rate</w:t>
      </w:r>
    </w:p>
    <w:p w14:paraId="20F5BC7E">
      <w:pPr>
        <w:pStyle w:val="25"/>
        <w:numPr>
          <w:ilvl w:val="0"/>
          <w:numId w:val="4"/>
        </w:numPr>
        <w:spacing w:line="360" w:lineRule="auto"/>
        <w:ind w:firstLineChars="0"/>
        <w:rPr>
          <w:rFonts w:eastAsia="微软雅黑"/>
          <w:sz w:val="24"/>
        </w:rPr>
      </w:pPr>
      <w:r>
        <w:rPr>
          <w:rFonts w:eastAsia="微软雅黑"/>
          <w:sz w:val="24"/>
        </w:rPr>
        <w:t>Intraoperative morbidity rates</w:t>
      </w:r>
    </w:p>
    <w:p w14:paraId="6CB8306F">
      <w:pPr>
        <w:pStyle w:val="25"/>
        <w:numPr>
          <w:ilvl w:val="0"/>
          <w:numId w:val="4"/>
        </w:numPr>
        <w:spacing w:line="360" w:lineRule="auto"/>
        <w:ind w:firstLineChars="0"/>
        <w:rPr>
          <w:rFonts w:eastAsia="微软雅黑"/>
          <w:sz w:val="24"/>
        </w:rPr>
      </w:pPr>
      <w:r>
        <w:rPr>
          <w:rFonts w:eastAsia="微软雅黑"/>
          <w:sz w:val="24"/>
        </w:rPr>
        <w:t>Incision length</w:t>
      </w:r>
    </w:p>
    <w:p w14:paraId="04F58389">
      <w:pPr>
        <w:pStyle w:val="25"/>
        <w:numPr>
          <w:ilvl w:val="0"/>
          <w:numId w:val="4"/>
        </w:numPr>
        <w:spacing w:line="360" w:lineRule="auto"/>
        <w:ind w:firstLineChars="0"/>
        <w:rPr>
          <w:rFonts w:eastAsia="微软雅黑"/>
          <w:sz w:val="24"/>
        </w:rPr>
      </w:pPr>
      <w:r>
        <w:rPr>
          <w:rFonts w:eastAsia="微软雅黑"/>
          <w:sz w:val="24"/>
        </w:rPr>
        <w:t>The variation of cholesterol</w:t>
      </w:r>
    </w:p>
    <w:p w14:paraId="4801684F">
      <w:pPr>
        <w:pStyle w:val="25"/>
        <w:numPr>
          <w:ilvl w:val="0"/>
          <w:numId w:val="4"/>
        </w:numPr>
        <w:spacing w:line="360" w:lineRule="auto"/>
        <w:ind w:firstLineChars="0"/>
        <w:rPr>
          <w:rFonts w:eastAsia="微软雅黑"/>
          <w:sz w:val="24"/>
        </w:rPr>
      </w:pPr>
      <w:r>
        <w:rPr>
          <w:rFonts w:eastAsia="微软雅黑"/>
          <w:sz w:val="24"/>
        </w:rPr>
        <w:t>The variation of album</w:t>
      </w:r>
    </w:p>
    <w:p w14:paraId="71CA76B2">
      <w:pPr>
        <w:pStyle w:val="25"/>
        <w:numPr>
          <w:ilvl w:val="0"/>
          <w:numId w:val="4"/>
        </w:numPr>
        <w:spacing w:line="360" w:lineRule="auto"/>
        <w:ind w:firstLineChars="0"/>
        <w:rPr>
          <w:rFonts w:eastAsia="微软雅黑"/>
          <w:sz w:val="24"/>
        </w:rPr>
      </w:pPr>
      <w:r>
        <w:rPr>
          <w:rFonts w:eastAsia="微软雅黑"/>
          <w:sz w:val="24"/>
        </w:rPr>
        <w:t>The results of endoscopy</w:t>
      </w:r>
    </w:p>
    <w:p w14:paraId="7DA5F08A">
      <w:pPr>
        <w:pStyle w:val="25"/>
        <w:numPr>
          <w:ilvl w:val="0"/>
          <w:numId w:val="4"/>
        </w:numPr>
        <w:spacing w:line="360" w:lineRule="auto"/>
        <w:ind w:firstLineChars="0"/>
        <w:rPr>
          <w:rFonts w:eastAsia="微软雅黑"/>
          <w:sz w:val="24"/>
        </w:rPr>
      </w:pPr>
      <w:r>
        <w:rPr>
          <w:rFonts w:eastAsia="微软雅黑"/>
          <w:sz w:val="24"/>
        </w:rPr>
        <w:t>The variation of body temperature</w:t>
      </w:r>
    </w:p>
    <w:p w14:paraId="21B7D7E6">
      <w:pPr>
        <w:pStyle w:val="25"/>
        <w:numPr>
          <w:ilvl w:val="0"/>
          <w:numId w:val="4"/>
        </w:numPr>
        <w:spacing w:line="360" w:lineRule="auto"/>
        <w:ind w:firstLineChars="0"/>
        <w:rPr>
          <w:rFonts w:eastAsia="微软雅黑"/>
          <w:sz w:val="24"/>
        </w:rPr>
      </w:pPr>
      <w:r>
        <w:rPr>
          <w:rFonts w:eastAsia="微软雅黑"/>
          <w:sz w:val="24"/>
        </w:rPr>
        <w:t>The variation of white blood cell count</w:t>
      </w:r>
    </w:p>
    <w:p w14:paraId="14CE88A5">
      <w:pPr>
        <w:pStyle w:val="25"/>
        <w:numPr>
          <w:ilvl w:val="0"/>
          <w:numId w:val="4"/>
        </w:numPr>
        <w:spacing w:line="360" w:lineRule="auto"/>
        <w:ind w:firstLineChars="0"/>
        <w:rPr>
          <w:rFonts w:eastAsia="微软雅黑"/>
          <w:sz w:val="24"/>
        </w:rPr>
      </w:pPr>
      <w:r>
        <w:rPr>
          <w:rFonts w:eastAsia="微软雅黑"/>
          <w:sz w:val="24"/>
        </w:rPr>
        <w:t>The variation of hemoglobin</w:t>
      </w:r>
    </w:p>
    <w:p w14:paraId="4E934253">
      <w:pPr>
        <w:pStyle w:val="25"/>
        <w:numPr>
          <w:ilvl w:val="0"/>
          <w:numId w:val="35"/>
        </w:numPr>
        <w:spacing w:line="360" w:lineRule="auto"/>
        <w:ind w:firstLineChars="0"/>
        <w:rPr>
          <w:rFonts w:eastAsia="微软雅黑"/>
          <w:sz w:val="24"/>
        </w:rPr>
      </w:pPr>
      <w:r>
        <w:rPr>
          <w:rFonts w:eastAsia="微软雅黑"/>
          <w:sz w:val="24"/>
        </w:rPr>
        <w:t>The variation of C-reactive protein</w:t>
      </w:r>
    </w:p>
    <w:p w14:paraId="243C89AC">
      <w:pPr>
        <w:numPr>
          <w:ilvl w:val="0"/>
          <w:numId w:val="35"/>
        </w:numPr>
        <w:adjustRightInd w:val="0"/>
        <w:snapToGrid w:val="0"/>
        <w:spacing w:line="360" w:lineRule="auto"/>
        <w:jc w:val="left"/>
        <w:rPr>
          <w:rFonts w:eastAsia="微软雅黑"/>
          <w:b/>
          <w:sz w:val="24"/>
        </w:rPr>
      </w:pPr>
      <w:r>
        <w:rPr>
          <w:rFonts w:eastAsia="微软雅黑"/>
          <w:sz w:val="24"/>
        </w:rPr>
        <w:t>The variation of prealbumin</w:t>
      </w:r>
    </w:p>
    <w:p w14:paraId="5B75409A">
      <w:pPr>
        <w:pStyle w:val="25"/>
        <w:numPr>
          <w:ilvl w:val="0"/>
          <w:numId w:val="4"/>
        </w:numPr>
        <w:spacing w:line="360" w:lineRule="auto"/>
        <w:ind w:firstLineChars="0"/>
        <w:rPr>
          <w:rFonts w:eastAsia="微软雅黑"/>
          <w:sz w:val="24"/>
        </w:rPr>
      </w:pPr>
      <w:r>
        <w:rPr>
          <w:rFonts w:eastAsia="微软雅黑"/>
          <w:sz w:val="24"/>
        </w:rPr>
        <w:t>Recurrence pattern</w:t>
      </w:r>
    </w:p>
    <w:p w14:paraId="23A704A1">
      <w:pPr>
        <w:numPr>
          <w:ilvl w:val="255"/>
          <w:numId w:val="0"/>
        </w:numPr>
        <w:adjustRightInd w:val="0"/>
        <w:snapToGrid w:val="0"/>
        <w:spacing w:line="360" w:lineRule="auto"/>
        <w:jc w:val="left"/>
        <w:rPr>
          <w:rFonts w:eastAsia="微软雅黑"/>
          <w:b/>
          <w:sz w:val="24"/>
        </w:rPr>
      </w:pPr>
    </w:p>
    <w:p w14:paraId="74CDA2B3">
      <w:pPr>
        <w:adjustRightInd w:val="0"/>
        <w:snapToGrid w:val="0"/>
        <w:spacing w:line="360" w:lineRule="auto"/>
        <w:jc w:val="left"/>
        <w:rPr>
          <w:rFonts w:eastAsia="微软雅黑"/>
          <w:b/>
          <w:bCs/>
          <w:sz w:val="24"/>
        </w:rPr>
      </w:pPr>
      <w:r>
        <w:rPr>
          <w:rFonts w:eastAsia="微软雅黑"/>
          <w:b/>
          <w:bCs/>
          <w:sz w:val="24"/>
        </w:rPr>
        <w:t>Randomization</w:t>
      </w:r>
    </w:p>
    <w:p w14:paraId="22373CD8">
      <w:pPr>
        <w:adjustRightInd w:val="0"/>
        <w:snapToGrid w:val="0"/>
        <w:spacing w:line="360" w:lineRule="auto"/>
        <w:jc w:val="left"/>
        <w:rPr>
          <w:rFonts w:eastAsia="微软雅黑"/>
          <w:sz w:val="24"/>
        </w:rPr>
      </w:pPr>
      <w:r>
        <w:rPr>
          <w:rFonts w:eastAsia="微软雅黑"/>
          <w:sz w:val="24"/>
        </w:rPr>
        <w:t>Eligible patients were randomly assigned by a 1:1 ratio to either the ICG or Non-ICG group. The data manager, who was not involved in the eligibility assessment and recruitment of patients, performed randomization with a list of randomly ordered treatment identifiers generated by a permuted block design using SAS (version 9.2; SAS Institute Inc.). The allocation sequence was concealed from the surgeons who enrolled the patients until they were formally randomized to their groups. However, it was not feasible to blind the surgeons and participants owing to the nature of the surgical clinical trial.</w:t>
      </w:r>
    </w:p>
    <w:p w14:paraId="669A91C2">
      <w:pPr>
        <w:adjustRightInd w:val="0"/>
        <w:snapToGrid w:val="0"/>
        <w:spacing w:line="360" w:lineRule="auto"/>
        <w:jc w:val="left"/>
        <w:rPr>
          <w:rFonts w:eastAsia="微软雅黑"/>
          <w:sz w:val="24"/>
        </w:rPr>
      </w:pPr>
    </w:p>
    <w:p w14:paraId="16045B2B">
      <w:pPr>
        <w:adjustRightInd w:val="0"/>
        <w:snapToGrid w:val="0"/>
        <w:spacing w:line="360" w:lineRule="auto"/>
        <w:jc w:val="left"/>
        <w:rPr>
          <w:rFonts w:eastAsia="微软雅黑"/>
          <w:b/>
          <w:bCs/>
          <w:sz w:val="24"/>
        </w:rPr>
      </w:pPr>
      <w:r>
        <w:rPr>
          <w:rFonts w:eastAsia="微软雅黑"/>
          <w:b/>
          <w:bCs/>
          <w:sz w:val="24"/>
        </w:rPr>
        <w:t xml:space="preserve">Data Management </w:t>
      </w:r>
    </w:p>
    <w:p w14:paraId="2B57F298">
      <w:pPr>
        <w:adjustRightInd w:val="0"/>
        <w:snapToGrid w:val="0"/>
        <w:spacing w:line="360" w:lineRule="auto"/>
        <w:rPr>
          <w:rFonts w:eastAsia="微软雅黑"/>
          <w:sz w:val="24"/>
        </w:rPr>
      </w:pPr>
      <w:r>
        <w:rPr>
          <w:rFonts w:eastAsia="微软雅黑"/>
          <w:sz w:val="24"/>
        </w:rPr>
        <w:t>In this study, the paper CRF form are used for information and data transmittal. After the start of the study, if the CRF is found to lack items that are then deemed pertinent, under the premises of ensuring the amendment of the CRF does not cause medical and economic burden and increased risks to the selected patients, the CRF can be modified after the Research Committee adopt it through discuss at the meeting. If the amendment of the CRF requires no changes to this study protocol, the latter will not be modified. To assess whether study implementation follows protocol and data are being collected properly, monitoring should be conducted every February during the follow-up period. Monitoring is to complete through visiting a hospital and comparing the original Data.</w:t>
      </w:r>
    </w:p>
    <w:p w14:paraId="4A585728">
      <w:pPr>
        <w:adjustRightInd w:val="0"/>
        <w:snapToGrid w:val="0"/>
        <w:spacing w:line="360" w:lineRule="auto"/>
        <w:rPr>
          <w:rFonts w:eastAsia="微软雅黑"/>
          <w:sz w:val="24"/>
        </w:rPr>
      </w:pPr>
    </w:p>
    <w:p w14:paraId="7EEF80D4">
      <w:pPr>
        <w:adjustRightInd w:val="0"/>
        <w:snapToGrid w:val="0"/>
        <w:spacing w:line="360" w:lineRule="auto"/>
        <w:jc w:val="left"/>
        <w:rPr>
          <w:rFonts w:eastAsia="微软雅黑"/>
          <w:b/>
          <w:bCs/>
          <w:sz w:val="24"/>
        </w:rPr>
      </w:pPr>
      <w:r>
        <w:rPr>
          <w:rFonts w:eastAsia="微软雅黑"/>
          <w:b/>
          <w:bCs/>
          <w:sz w:val="24"/>
        </w:rPr>
        <w:t>Sample size</w:t>
      </w:r>
    </w:p>
    <w:p w14:paraId="4364611D">
      <w:pPr>
        <w:adjustRightInd w:val="0"/>
        <w:snapToGrid w:val="0"/>
        <w:spacing w:line="360" w:lineRule="auto"/>
        <w:rPr>
          <w:rFonts w:eastAsia="微软雅黑"/>
          <w:sz w:val="24"/>
        </w:rPr>
      </w:pPr>
      <w:r>
        <w:rPr>
          <w:rFonts w:eastAsia="微软雅黑"/>
          <w:sz w:val="24"/>
        </w:rPr>
        <w:t>This study is a superiority test (unilateral), whose primary outcome measure is the total number of retrieving LNs. According to the previous study results and related literature reports, the total number of LN dissections in the control group was about 32.9, This analysis was based on an α of 0.05, a power of 80%, and a margin delta of 15%, revealing that at least 107 patients would be necessary per group. Considering an expected dropout rate of 20%, it was determined that each group needed at least 133 patients, for a total of 266 cases.</w:t>
      </w:r>
    </w:p>
    <w:p w14:paraId="2DA5A208">
      <w:pPr>
        <w:adjustRightInd w:val="0"/>
        <w:snapToGrid w:val="0"/>
        <w:spacing w:line="360" w:lineRule="auto"/>
        <w:jc w:val="left"/>
        <w:rPr>
          <w:rFonts w:eastAsia="微软雅黑"/>
          <w:b/>
          <w:bCs/>
          <w:sz w:val="24"/>
        </w:rPr>
      </w:pPr>
    </w:p>
    <w:p w14:paraId="03F3E60F">
      <w:pPr>
        <w:adjustRightInd w:val="0"/>
        <w:snapToGrid w:val="0"/>
        <w:spacing w:line="360" w:lineRule="auto"/>
        <w:jc w:val="left"/>
        <w:rPr>
          <w:rFonts w:eastAsia="微软雅黑"/>
          <w:b/>
          <w:bCs/>
          <w:sz w:val="24"/>
        </w:rPr>
      </w:pPr>
      <w:r>
        <w:rPr>
          <w:rFonts w:eastAsia="微软雅黑"/>
          <w:b/>
          <w:bCs/>
          <w:sz w:val="24"/>
        </w:rPr>
        <w:t>Statistical Analysis</w:t>
      </w:r>
    </w:p>
    <w:p w14:paraId="47D29C4A">
      <w:pPr>
        <w:numPr>
          <w:ilvl w:val="0"/>
          <w:numId w:val="29"/>
        </w:numPr>
        <w:spacing w:line="360" w:lineRule="auto"/>
        <w:rPr>
          <w:sz w:val="24"/>
        </w:rPr>
      </w:pPr>
      <w:r>
        <w:rPr>
          <w:sz w:val="24"/>
        </w:rPr>
        <w:t>Statistical software: We will use Epidata 3.0 to establish a database and to input data，and we will use SPSS 22.0 software to perform statistical analyses.</w:t>
      </w:r>
    </w:p>
    <w:p w14:paraId="1092D3A8">
      <w:pPr>
        <w:numPr>
          <w:ilvl w:val="0"/>
          <w:numId w:val="29"/>
        </w:numPr>
        <w:adjustRightInd w:val="0"/>
        <w:snapToGrid w:val="0"/>
        <w:spacing w:line="360" w:lineRule="auto"/>
        <w:rPr>
          <w:sz w:val="24"/>
        </w:rPr>
      </w:pPr>
      <w:r>
        <w:rPr>
          <w:sz w:val="24"/>
        </w:rPr>
        <w:t>Basic principle</w:t>
      </w:r>
      <w:r>
        <w:rPr>
          <w:rFonts w:eastAsia="微软雅黑"/>
          <w:sz w:val="24"/>
        </w:rPr>
        <w:t xml:space="preserve">: </w:t>
      </w:r>
      <w:r>
        <w:rPr>
          <w:sz w:val="24"/>
        </w:rPr>
        <w:t>The method of differential testing was adopted.</w:t>
      </w:r>
      <w:r>
        <w:rPr>
          <w:rFonts w:eastAsia="微软雅黑"/>
          <w:sz w:val="24"/>
        </w:rPr>
        <w:t xml:space="preserve"> </w:t>
      </w:r>
      <w:r>
        <w:rPr>
          <w:sz w:val="24"/>
        </w:rPr>
        <w:t>The safety population of the study consists of the patients who receive safety evaluation data after the intervention</w:t>
      </w:r>
      <w:r>
        <w:rPr>
          <w:rFonts w:eastAsia="微软雅黑"/>
          <w:sz w:val="24"/>
        </w:rPr>
        <w:t xml:space="preserve">. </w:t>
      </w:r>
      <w:r>
        <w:rPr>
          <w:sz w:val="24"/>
        </w:rPr>
        <w:t xml:space="preserve">Descriptive statistics and two-sided tests were conducted for the safety indicators and the incidence of adverse reactions. A </w:t>
      </w:r>
      <w:r>
        <w:rPr>
          <w:i/>
          <w:iCs/>
          <w:sz w:val="24"/>
        </w:rPr>
        <w:t>P</w:t>
      </w:r>
      <w:r>
        <w:rPr>
          <w:sz w:val="24"/>
        </w:rPr>
        <w:t>-value &lt;0.05 is considered statistically significant. The confidence interval of the parameters is estimated with a 95% confidence interval.</w:t>
      </w:r>
    </w:p>
    <w:p w14:paraId="4139C3A7">
      <w:pPr>
        <w:numPr>
          <w:ilvl w:val="0"/>
          <w:numId w:val="29"/>
        </w:numPr>
        <w:adjustRightInd w:val="0"/>
        <w:snapToGrid w:val="0"/>
        <w:spacing w:line="360" w:lineRule="auto"/>
        <w:rPr>
          <w:rFonts w:eastAsia="微软雅黑"/>
          <w:sz w:val="24"/>
        </w:rPr>
      </w:pPr>
      <w:r>
        <w:rPr>
          <w:rFonts w:eastAsia="微软雅黑"/>
          <w:sz w:val="24"/>
        </w:rPr>
        <w:t>Shedding analysis: Total shedding rate of two groups and loss rate due to adverse events will be compared using χ</w:t>
      </w:r>
      <w:r>
        <w:rPr>
          <w:rFonts w:eastAsia="微软雅黑"/>
          <w:sz w:val="24"/>
          <w:vertAlign w:val="superscript"/>
        </w:rPr>
        <w:t>2</w:t>
      </w:r>
      <w:r>
        <w:rPr>
          <w:rFonts w:eastAsia="微软雅黑"/>
          <w:sz w:val="24"/>
        </w:rPr>
        <w:t xml:space="preserve"> test</w:t>
      </w:r>
    </w:p>
    <w:p w14:paraId="62F32B69">
      <w:pPr>
        <w:numPr>
          <w:ilvl w:val="0"/>
          <w:numId w:val="29"/>
        </w:numPr>
        <w:adjustRightInd w:val="0"/>
        <w:snapToGrid w:val="0"/>
        <w:spacing w:line="360" w:lineRule="auto"/>
        <w:rPr>
          <w:rFonts w:eastAsia="微软雅黑"/>
          <w:sz w:val="24"/>
        </w:rPr>
      </w:pPr>
      <w:r>
        <w:rPr>
          <w:rFonts w:eastAsia="微软雅黑"/>
          <w:sz w:val="24"/>
        </w:rPr>
        <w:t>Statistical analysis of population division: baseline data and effective analysis using MITT analysis. The main therapeutic indicators are analyzed using both MITT and PP analysis. But the conclusion based on the result of PP analysis. If MITT analysis and PP analysis of the conclusions are consistent, it can increase the credibility of the conclusion. The data of laboratory examination, adverse events and adverse reactions were analyzed by SAP. The incidence rate of adverse reactions uses SAP as the denominator. The long-term outcomes are analyzed using PP analysis.</w:t>
      </w:r>
    </w:p>
    <w:p w14:paraId="030FED95">
      <w:pPr>
        <w:numPr>
          <w:ilvl w:val="0"/>
          <w:numId w:val="29"/>
        </w:numPr>
        <w:adjustRightInd w:val="0"/>
        <w:snapToGrid w:val="0"/>
        <w:spacing w:line="360" w:lineRule="auto"/>
        <w:rPr>
          <w:rFonts w:eastAsia="微软雅黑"/>
          <w:sz w:val="24"/>
        </w:rPr>
      </w:pPr>
      <w:r>
        <w:rPr>
          <w:rFonts w:eastAsia="微软雅黑"/>
          <w:sz w:val="24"/>
        </w:rPr>
        <w:t>Method of outlier determination: the observation value is greater than P75 or less than P25, and the exceed value more than 3 times of the quartile spacing (=P75-P25), which will be sentenced to outlier data. During the analysis, the sensitivity analysis is used for outlier data, namely analyzing outcomes including or excluding, outliers data. and if the results are not contradictory, the data is retained; if the contradiction, it depends on the specific circumstances.</w:t>
      </w:r>
    </w:p>
    <w:p w14:paraId="50D05B00">
      <w:pPr>
        <w:numPr>
          <w:ilvl w:val="0"/>
          <w:numId w:val="29"/>
        </w:numPr>
        <w:adjustRightInd w:val="0"/>
        <w:snapToGrid w:val="0"/>
        <w:spacing w:line="360" w:lineRule="auto"/>
        <w:rPr>
          <w:rFonts w:eastAsia="微软雅黑"/>
          <w:sz w:val="24"/>
        </w:rPr>
      </w:pPr>
      <w:r>
        <w:rPr>
          <w:rFonts w:eastAsia="微软雅黑"/>
          <w:sz w:val="24"/>
        </w:rPr>
        <w:t>Descriptive statistics: The measurement data gives the mean, the standard deviation and the confidence interval, and the minimum value, the maximum value, the P25, the median and the P75 are given when necessary; matched data also gives the mean and standard deviation of the gap-value, and the median and average rank of the non-parametric method. The nominal-scale data gives the frequency distribution and the corresponding percentages. The level data gives the frequency distribution and the corresponding percentages, as well as the median and the average rank. Qualitative data give positive rate, positive number, and denominator numbers. The survival data gives the number of events, the number of deletions, the median survival time, and the survival rate.</w:t>
      </w:r>
    </w:p>
    <w:p w14:paraId="49002DDE">
      <w:pPr>
        <w:numPr>
          <w:ilvl w:val="0"/>
          <w:numId w:val="29"/>
        </w:numPr>
        <w:adjustRightInd w:val="0"/>
        <w:snapToGrid w:val="0"/>
        <w:spacing w:line="360" w:lineRule="auto"/>
        <w:rPr>
          <w:rFonts w:eastAsia="微软雅黑"/>
          <w:sz w:val="24"/>
        </w:rPr>
      </w:pPr>
      <w:r>
        <w:rPr>
          <w:rFonts w:eastAsia="微软雅黑"/>
          <w:sz w:val="24"/>
        </w:rPr>
        <w:t xml:space="preserve">Frequencies of causes of first recurrence and death within 3 years after surgery in ICG and Non-ICG groups were compared with Pearson </w:t>
      </w:r>
      <w:r>
        <w:rPr>
          <w:rFonts w:eastAsia="微软雅黑"/>
          <w:sz w:val="24"/>
        </w:rPr>
        <w:sym w:font="Symbol" w:char="F063"/>
      </w:r>
      <w:r>
        <w:rPr>
          <w:rFonts w:eastAsia="微软雅黑"/>
          <w:sz w:val="24"/>
          <w:vertAlign w:val="superscript"/>
        </w:rPr>
        <w:t>2</w:t>
      </w:r>
      <w:r>
        <w:rPr>
          <w:rFonts w:eastAsia="微软雅黑"/>
          <w:sz w:val="24"/>
        </w:rPr>
        <w:t xml:space="preserve"> test, then </w:t>
      </w:r>
      <w:r>
        <w:rPr>
          <w:rFonts w:eastAsia="微软雅黑"/>
          <w:i/>
          <w:iCs/>
          <w:sz w:val="24"/>
        </w:rPr>
        <w:t>P</w:t>
      </w:r>
      <w:r>
        <w:rPr>
          <w:rFonts w:eastAsia="微软雅黑"/>
          <w:sz w:val="24"/>
        </w:rPr>
        <w:t xml:space="preserve"> for chi-square was calculated. </w:t>
      </w:r>
    </w:p>
    <w:p w14:paraId="53601207">
      <w:pPr>
        <w:numPr>
          <w:ilvl w:val="0"/>
          <w:numId w:val="29"/>
        </w:numPr>
        <w:adjustRightInd w:val="0"/>
        <w:snapToGrid w:val="0"/>
        <w:spacing w:line="360" w:lineRule="auto"/>
        <w:rPr>
          <w:rFonts w:eastAsia="微软雅黑"/>
          <w:sz w:val="24"/>
        </w:rPr>
      </w:pPr>
      <w:r>
        <w:rPr>
          <w:rFonts w:eastAsia="微软雅黑"/>
          <w:sz w:val="24"/>
        </w:rPr>
        <w:t>Subgroup analysis: Sub-group analysis is to find the factors that may affect prognostic according to the specific circumstances of the data.</w:t>
      </w:r>
    </w:p>
    <w:p w14:paraId="709AF07B">
      <w:pPr>
        <w:numPr>
          <w:ilvl w:val="0"/>
          <w:numId w:val="29"/>
        </w:numPr>
        <w:adjustRightInd w:val="0"/>
        <w:snapToGrid w:val="0"/>
        <w:spacing w:line="360" w:lineRule="auto"/>
        <w:rPr>
          <w:rFonts w:eastAsia="微软雅黑"/>
          <w:sz w:val="24"/>
        </w:rPr>
      </w:pPr>
      <w:r>
        <w:rPr>
          <w:rFonts w:eastAsia="微软雅黑"/>
          <w:sz w:val="24"/>
        </w:rPr>
        <w:t>Missing values handling: This study does not fill in missing values.</w:t>
      </w:r>
    </w:p>
    <w:p w14:paraId="53114B7F">
      <w:pPr>
        <w:numPr>
          <w:ilvl w:val="0"/>
          <w:numId w:val="29"/>
        </w:numPr>
        <w:adjustRightInd w:val="0"/>
        <w:snapToGrid w:val="0"/>
        <w:spacing w:line="360" w:lineRule="auto"/>
        <w:rPr>
          <w:rFonts w:eastAsia="微软雅黑"/>
          <w:sz w:val="24"/>
        </w:rPr>
      </w:pPr>
      <w:r>
        <w:rPr>
          <w:rFonts w:eastAsia="微软雅黑"/>
          <w:sz w:val="24"/>
        </w:rPr>
        <w:t xml:space="preserve">Effective analysis: Using Log-rank test for single factor analysis of survival time data, using Cox regression model analysis for multi-factor analysis. Quantitative data using t test or t' test (variance is not homogeneous), qualitative data using Pearson </w:t>
      </w:r>
      <w:r>
        <w:rPr>
          <w:rFonts w:eastAsia="微软雅黑"/>
          <w:sz w:val="24"/>
        </w:rPr>
        <w:sym w:font="Symbol" w:char="F063"/>
      </w:r>
      <w:r>
        <w:rPr>
          <w:rFonts w:eastAsia="微软雅黑"/>
          <w:sz w:val="24"/>
          <w:vertAlign w:val="superscript"/>
        </w:rPr>
        <w:t>2</w:t>
      </w:r>
      <w:r>
        <w:rPr>
          <w:rFonts w:eastAsia="微软雅黑"/>
          <w:sz w:val="24"/>
        </w:rPr>
        <w:t xml:space="preserve"> test, grade data using Wilcoxon rank test. </w:t>
      </w:r>
    </w:p>
    <w:p w14:paraId="1D2DED36">
      <w:pPr>
        <w:numPr>
          <w:ilvl w:val="0"/>
          <w:numId w:val="29"/>
        </w:numPr>
        <w:adjustRightInd w:val="0"/>
        <w:snapToGrid w:val="0"/>
        <w:spacing w:line="360" w:lineRule="auto"/>
        <w:rPr>
          <w:rFonts w:eastAsia="微软雅黑"/>
          <w:sz w:val="24"/>
        </w:rPr>
      </w:pPr>
      <w:r>
        <w:rPr>
          <w:rFonts w:eastAsia="微软雅黑"/>
          <w:sz w:val="24"/>
        </w:rPr>
        <w:t>Safety analysis: counting adverse responds incidence and incidence of adverse events and make a list to describe the adverse events occurring in the study. describe the results of the laboratory tests before and after the normal/abnormal changes and the relationship between the abnormal changes and drugs in the research, and make a list on the "normal/abnormal" changes occurred in the study. More detailed statistical analysis is shown in the statistical analysis plan.</w:t>
      </w:r>
    </w:p>
    <w:p w14:paraId="72441EFA">
      <w:pPr>
        <w:numPr>
          <w:ilvl w:val="0"/>
          <w:numId w:val="30"/>
        </w:numPr>
        <w:adjustRightInd w:val="0"/>
        <w:snapToGrid w:val="0"/>
        <w:spacing w:line="360" w:lineRule="auto"/>
        <w:rPr>
          <w:rFonts w:eastAsia="微软雅黑"/>
          <w:sz w:val="24"/>
        </w:rPr>
      </w:pPr>
      <w:r>
        <w:rPr>
          <w:rFonts w:eastAsia="微软雅黑"/>
          <w:sz w:val="24"/>
        </w:rPr>
        <w:t xml:space="preserve">Continuous variables are expressed as mean (standard deviation (SD)), and categorical variables are expressed as numbers. The differences between the groups were assessed using the t-test or </w:t>
      </w:r>
      <w:r>
        <w:rPr>
          <w:rFonts w:eastAsia="微软雅黑"/>
          <w:sz w:val="24"/>
        </w:rPr>
        <w:sym w:font="Symbol" w:char="F063"/>
      </w:r>
      <w:r>
        <w:rPr>
          <w:rFonts w:eastAsia="微软雅黑"/>
          <w:sz w:val="24"/>
          <w:vertAlign w:val="superscript"/>
        </w:rPr>
        <w:t>2</w:t>
      </w:r>
      <w:r>
        <w:rPr>
          <w:rFonts w:eastAsia="微软雅黑"/>
          <w:sz w:val="24"/>
        </w:rPr>
        <w:t xml:space="preserve"> test, as appropriate. All tests were two-sided, with a significance level set at P&lt;0.05.</w:t>
      </w:r>
    </w:p>
    <w:p w14:paraId="7B1DE4BE">
      <w:pPr>
        <w:numPr>
          <w:ilvl w:val="0"/>
          <w:numId w:val="30"/>
        </w:numPr>
        <w:adjustRightInd w:val="0"/>
        <w:snapToGrid w:val="0"/>
        <w:spacing w:line="360" w:lineRule="auto"/>
        <w:rPr>
          <w:rFonts w:eastAsia="微软雅黑"/>
          <w:sz w:val="24"/>
        </w:rPr>
      </w:pPr>
      <w:r>
        <w:rPr>
          <w:rFonts w:eastAsia="微软雅黑"/>
          <w:sz w:val="24"/>
        </w:rPr>
        <w:t>The 3-year disease-free survival and overall survival rates were calculated using the Kaplan-Meier method, and the log-rank test was used to determine significance. The hazard ratios (HRs) comparing the ICG and Non-ICG groups were estimated using Cox regression after confirmation of the proportional hazards assumption. Multivariate Cox regression analyses were performed to evaluate the effect of surgery type on survival, after adjustment for clinicopathologic covariates that were significantly associated with the outcome in univariate analyses. All-cause mortality was treated as a competing event for recurrence. The cumulative incidence in the presence of competing risks was calculated, and competing-risk survival regression was used as an alternative to Cox regression.</w:t>
      </w:r>
    </w:p>
    <w:p w14:paraId="1E3C10B2">
      <w:pPr>
        <w:numPr>
          <w:ilvl w:val="0"/>
          <w:numId w:val="30"/>
        </w:numPr>
        <w:adjustRightInd w:val="0"/>
        <w:snapToGrid w:val="0"/>
        <w:spacing w:line="360" w:lineRule="auto"/>
        <w:jc w:val="left"/>
        <w:rPr>
          <w:rFonts w:eastAsia="微软雅黑"/>
          <w:sz w:val="24"/>
        </w:rPr>
      </w:pPr>
      <w:r>
        <w:rPr>
          <w:rFonts w:eastAsia="微软雅黑"/>
          <w:sz w:val="24"/>
        </w:rPr>
        <w:t>Subgroup analysis and interaction tests: Use the </w:t>
      </w:r>
      <w:r>
        <w:rPr>
          <w:rFonts w:eastAsia="微软雅黑"/>
          <w:i/>
          <w:iCs/>
          <w:sz w:val="24"/>
        </w:rPr>
        <w:t>P</w:t>
      </w:r>
      <w:r>
        <w:rPr>
          <w:rFonts w:eastAsia="微软雅黑"/>
          <w:sz w:val="24"/>
        </w:rPr>
        <w:t>-value for an interaction term to test its significance.</w:t>
      </w:r>
    </w:p>
    <w:p w14:paraId="79688E9E">
      <w:pPr>
        <w:numPr>
          <w:ilvl w:val="0"/>
          <w:numId w:val="30"/>
        </w:numPr>
        <w:adjustRightInd w:val="0"/>
        <w:snapToGrid w:val="0"/>
        <w:spacing w:line="360" w:lineRule="auto"/>
        <w:jc w:val="left"/>
        <w:rPr>
          <w:rFonts w:eastAsia="微软雅黑"/>
          <w:sz w:val="24"/>
          <w:vertAlign w:val="superscript"/>
        </w:rPr>
      </w:pPr>
      <w:r>
        <w:rPr>
          <w:rFonts w:eastAsia="微软雅黑"/>
          <w:sz w:val="24"/>
        </w:rPr>
        <w:t>LN noncompliance was defined as the absence of LNs that should have been excised from more than 1 LN stattion. Major LN noncompliance was defined as more than 2 intended LN stations that were not removed</w:t>
      </w:r>
      <w:r>
        <w:rPr>
          <w:rFonts w:eastAsia="微软雅黑"/>
          <w:sz w:val="24"/>
          <w:vertAlign w:val="superscript"/>
        </w:rPr>
        <w:t>26, 27</w:t>
      </w:r>
      <w:r>
        <w:rPr>
          <w:rFonts w:eastAsia="微软雅黑"/>
          <w:sz w:val="24"/>
        </w:rPr>
        <w:t>.</w:t>
      </w:r>
    </w:p>
    <w:p w14:paraId="1F93F289">
      <w:pPr>
        <w:numPr>
          <w:ilvl w:val="0"/>
          <w:numId w:val="30"/>
        </w:numPr>
        <w:adjustRightInd w:val="0"/>
        <w:snapToGrid w:val="0"/>
        <w:spacing w:line="360" w:lineRule="auto"/>
        <w:rPr>
          <w:rFonts w:eastAsia="微软雅黑"/>
          <w:sz w:val="24"/>
        </w:rPr>
      </w:pPr>
      <w:r>
        <w:rPr>
          <w:rFonts w:eastAsia="微软雅黑"/>
          <w:sz w:val="24"/>
        </w:rPr>
        <w:t>Current guidelines suggested that at least 16 regional LNs should be removed pathologically, and the removal of 30 or more nodes was desirable. The reference numbers 16 and 30 were used</w:t>
      </w:r>
      <w:r>
        <w:rPr>
          <w:rFonts w:eastAsia="微软雅黑"/>
          <w:sz w:val="24"/>
          <w:vertAlign w:val="superscript"/>
        </w:rPr>
        <w:t>28, 29</w:t>
      </w:r>
      <w:r>
        <w:rPr>
          <w:rFonts w:eastAsia="微软雅黑"/>
          <w:sz w:val="24"/>
        </w:rPr>
        <w:t>.</w:t>
      </w:r>
    </w:p>
    <w:p w14:paraId="39242573">
      <w:pPr>
        <w:numPr>
          <w:ilvl w:val="255"/>
          <w:numId w:val="0"/>
        </w:numPr>
        <w:adjustRightInd w:val="0"/>
        <w:snapToGrid w:val="0"/>
        <w:spacing w:line="360" w:lineRule="auto"/>
        <w:ind w:left="480" w:hanging="480" w:hangingChars="200"/>
        <w:rPr>
          <w:rFonts w:eastAsia="微软雅黑"/>
          <w:sz w:val="24"/>
          <w:vertAlign w:val="superscript"/>
        </w:rPr>
      </w:pPr>
    </w:p>
    <w:p w14:paraId="658E39B0">
      <w:pPr>
        <w:adjustRightInd w:val="0"/>
        <w:snapToGrid w:val="0"/>
        <w:spacing w:line="360" w:lineRule="auto"/>
        <w:jc w:val="center"/>
        <w:rPr>
          <w:rFonts w:eastAsia="微软雅黑"/>
          <w:b/>
          <w:bCs/>
          <w:sz w:val="24"/>
        </w:rPr>
      </w:pPr>
      <w:r>
        <w:rPr>
          <w:rFonts w:eastAsia="微软雅黑"/>
          <w:b/>
          <w:bCs/>
          <w:sz w:val="24"/>
        </w:rPr>
        <w:t>Tables and figures</w:t>
      </w:r>
    </w:p>
    <w:p w14:paraId="104FB7E3">
      <w:pPr>
        <w:numPr>
          <w:ilvl w:val="0"/>
          <w:numId w:val="37"/>
        </w:numPr>
        <w:adjustRightInd w:val="0"/>
        <w:snapToGrid w:val="0"/>
        <w:spacing w:line="360" w:lineRule="auto"/>
        <w:jc w:val="center"/>
        <w:rPr>
          <w:rFonts w:eastAsia="微软雅黑"/>
          <w:b/>
          <w:bCs/>
          <w:sz w:val="24"/>
        </w:rPr>
      </w:pPr>
      <w:r>
        <w:rPr>
          <w:rFonts w:eastAsia="微软雅黑"/>
          <w:b/>
          <w:bCs/>
          <w:sz w:val="24"/>
        </w:rPr>
        <w:t>Patient demographics and clinical characteristics</w:t>
      </w:r>
    </w:p>
    <w:p w14:paraId="1F955E59">
      <w:pPr>
        <w:spacing w:line="360" w:lineRule="auto"/>
        <w:jc w:val="left"/>
        <w:rPr>
          <w:rFonts w:eastAsia="微软雅黑"/>
          <w:b/>
          <w:bCs/>
          <w:szCs w:val="21"/>
        </w:rPr>
      </w:pPr>
      <w:r>
        <w:rPr>
          <w:b/>
          <w:szCs w:val="21"/>
        </w:rPr>
        <w:t xml:space="preserve">Figure 1. </w:t>
      </w:r>
      <w:r>
        <w:rPr>
          <w:bCs/>
          <w:szCs w:val="21"/>
        </w:rPr>
        <w:t>Study Flow</w:t>
      </w:r>
      <w:r>
        <w:rPr>
          <w:bCs/>
          <w:szCs w:val="21"/>
          <w:u w:color="FA5050"/>
        </w:rPr>
        <w:t>chart</w:t>
      </w:r>
    </w:p>
    <w:p w14:paraId="50CA57FC">
      <w:pPr>
        <w:spacing w:line="360" w:lineRule="auto"/>
        <w:rPr>
          <w:bCs/>
          <w:szCs w:val="21"/>
        </w:rPr>
      </w:pPr>
      <w:r>
        <w:rPr>
          <w:b/>
          <w:bCs/>
          <w:szCs w:val="21"/>
        </w:rPr>
        <w:t xml:space="preserve">Table 1. </w:t>
      </w:r>
      <w:r>
        <w:rPr>
          <w:bCs/>
          <w:szCs w:val="21"/>
        </w:rPr>
        <w:t>Baseline and Postoperative Characteristics of the ICG Group and Non-ICG Group</w:t>
      </w:r>
    </w:p>
    <w:p w14:paraId="1BBF9D7B">
      <w:pPr>
        <w:numPr>
          <w:ilvl w:val="0"/>
          <w:numId w:val="38"/>
        </w:numPr>
        <w:spacing w:line="360" w:lineRule="auto"/>
        <w:jc w:val="left"/>
        <w:rPr>
          <w:bCs/>
          <w:szCs w:val="21"/>
        </w:rPr>
      </w:pPr>
      <w:r>
        <w:rPr>
          <w:b/>
          <w:szCs w:val="21"/>
        </w:rPr>
        <w:t>Age at baseline</w:t>
      </w:r>
    </w:p>
    <w:p w14:paraId="7BC46293">
      <w:pPr>
        <w:numPr>
          <w:ilvl w:val="0"/>
          <w:numId w:val="38"/>
        </w:numPr>
        <w:spacing w:line="360" w:lineRule="auto"/>
        <w:jc w:val="left"/>
        <w:rPr>
          <w:b/>
          <w:szCs w:val="21"/>
        </w:rPr>
      </w:pPr>
      <w:r>
        <w:rPr>
          <w:b/>
          <w:szCs w:val="21"/>
        </w:rPr>
        <w:t>BMI</w:t>
      </w:r>
    </w:p>
    <w:p w14:paraId="3F5ECBC9">
      <w:pPr>
        <w:numPr>
          <w:ilvl w:val="0"/>
          <w:numId w:val="38"/>
        </w:numPr>
        <w:spacing w:line="360" w:lineRule="auto"/>
        <w:jc w:val="left"/>
        <w:rPr>
          <w:bCs/>
          <w:szCs w:val="21"/>
        </w:rPr>
      </w:pPr>
      <w:r>
        <w:rPr>
          <w:b/>
          <w:szCs w:val="21"/>
        </w:rPr>
        <w:t>Sex</w:t>
      </w:r>
      <w:r>
        <w:rPr>
          <w:bCs/>
          <w:szCs w:val="21"/>
        </w:rPr>
        <w:t>: male/female</w:t>
      </w:r>
    </w:p>
    <w:p w14:paraId="4A5CB1E5">
      <w:pPr>
        <w:numPr>
          <w:ilvl w:val="0"/>
          <w:numId w:val="38"/>
        </w:numPr>
        <w:spacing w:line="360" w:lineRule="auto"/>
        <w:jc w:val="left"/>
        <w:rPr>
          <w:szCs w:val="21"/>
        </w:rPr>
      </w:pPr>
      <w:r>
        <w:rPr>
          <w:rFonts w:eastAsia="等线"/>
          <w:b/>
          <w:bCs/>
          <w:szCs w:val="21"/>
        </w:rPr>
        <w:t>ECOG PS</w:t>
      </w:r>
      <w:r>
        <w:rPr>
          <w:rFonts w:eastAsia="等线"/>
          <w:szCs w:val="21"/>
        </w:rPr>
        <w:t>: 0 / 1</w:t>
      </w:r>
    </w:p>
    <w:p w14:paraId="64520405">
      <w:pPr>
        <w:numPr>
          <w:ilvl w:val="0"/>
          <w:numId w:val="38"/>
        </w:numPr>
        <w:spacing w:line="360" w:lineRule="auto"/>
        <w:jc w:val="left"/>
        <w:rPr>
          <w:szCs w:val="21"/>
        </w:rPr>
      </w:pPr>
      <w:r>
        <w:rPr>
          <w:rFonts w:eastAsia="等线"/>
          <w:b/>
          <w:bCs/>
          <w:szCs w:val="21"/>
        </w:rPr>
        <w:t xml:space="preserve">Tumor location: </w:t>
      </w:r>
      <w:r>
        <w:rPr>
          <w:rFonts w:eastAsia="等线"/>
          <w:szCs w:val="21"/>
        </w:rPr>
        <w:t>Upper/Middle/Lower</w:t>
      </w:r>
    </w:p>
    <w:p w14:paraId="58337128">
      <w:pPr>
        <w:numPr>
          <w:ilvl w:val="0"/>
          <w:numId w:val="38"/>
        </w:numPr>
        <w:spacing w:line="360" w:lineRule="auto"/>
        <w:jc w:val="left"/>
        <w:rPr>
          <w:szCs w:val="21"/>
        </w:rPr>
      </w:pPr>
      <w:r>
        <w:rPr>
          <w:rFonts w:eastAsia="等线"/>
          <w:b/>
          <w:bCs/>
          <w:szCs w:val="21"/>
        </w:rPr>
        <w:t xml:space="preserve">Histology: </w:t>
      </w:r>
      <w:r>
        <w:rPr>
          <w:rFonts w:eastAsia="等线"/>
          <w:szCs w:val="21"/>
        </w:rPr>
        <w:t>Differentiated/Undifferentiated</w:t>
      </w:r>
    </w:p>
    <w:p w14:paraId="6B845E64">
      <w:pPr>
        <w:numPr>
          <w:ilvl w:val="0"/>
          <w:numId w:val="38"/>
        </w:numPr>
        <w:spacing w:line="360" w:lineRule="auto"/>
        <w:jc w:val="left"/>
        <w:rPr>
          <w:szCs w:val="21"/>
        </w:rPr>
      </w:pPr>
      <w:r>
        <w:rPr>
          <w:rFonts w:eastAsia="等线"/>
          <w:b/>
          <w:bCs/>
          <w:szCs w:val="21"/>
        </w:rPr>
        <w:t xml:space="preserve">Lymphvascular invasion: </w:t>
      </w:r>
      <w:r>
        <w:rPr>
          <w:rFonts w:eastAsia="等线"/>
          <w:szCs w:val="21"/>
        </w:rPr>
        <w:t>Negative/Positive</w:t>
      </w:r>
    </w:p>
    <w:p w14:paraId="6AAC4A33">
      <w:pPr>
        <w:numPr>
          <w:ilvl w:val="0"/>
          <w:numId w:val="38"/>
        </w:numPr>
        <w:spacing w:line="360" w:lineRule="auto"/>
        <w:jc w:val="left"/>
        <w:rPr>
          <w:szCs w:val="21"/>
        </w:rPr>
      </w:pPr>
      <w:r>
        <w:rPr>
          <w:rFonts w:eastAsia="等线"/>
          <w:b/>
          <w:bCs/>
          <w:szCs w:val="21"/>
        </w:rPr>
        <w:t xml:space="preserve">Size: </w:t>
      </w:r>
      <w:r>
        <w:rPr>
          <w:rFonts w:eastAsia="微软雅黑"/>
          <w:szCs w:val="21"/>
        </w:rPr>
        <w:t>≤</w:t>
      </w:r>
      <w:r>
        <w:rPr>
          <w:rFonts w:eastAsia="等线"/>
          <w:szCs w:val="21"/>
        </w:rPr>
        <w:t>3cm / &gt;3cm</w:t>
      </w:r>
    </w:p>
    <w:p w14:paraId="0A0446E7">
      <w:pPr>
        <w:numPr>
          <w:ilvl w:val="0"/>
          <w:numId w:val="38"/>
        </w:numPr>
        <w:spacing w:line="360" w:lineRule="auto"/>
        <w:jc w:val="left"/>
        <w:rPr>
          <w:szCs w:val="21"/>
        </w:rPr>
      </w:pPr>
      <w:bookmarkStart w:id="152" w:name="_Hlk107477709"/>
      <w:r>
        <w:rPr>
          <w:rFonts w:eastAsia="等线"/>
          <w:b/>
          <w:bCs/>
          <w:szCs w:val="21"/>
        </w:rPr>
        <w:t xml:space="preserve">cT </w:t>
      </w:r>
      <w:bookmarkEnd w:id="152"/>
      <w:r>
        <w:rPr>
          <w:rFonts w:eastAsia="等线"/>
          <w:b/>
          <w:bCs/>
          <w:szCs w:val="21"/>
        </w:rPr>
        <w:t xml:space="preserve">stage: </w:t>
      </w:r>
      <w:r>
        <w:rPr>
          <w:rFonts w:eastAsia="等线"/>
          <w:szCs w:val="21"/>
        </w:rPr>
        <w:t>cT1/cT2-cT3/cT4a</w:t>
      </w:r>
    </w:p>
    <w:p w14:paraId="0A25A9C9">
      <w:pPr>
        <w:numPr>
          <w:ilvl w:val="0"/>
          <w:numId w:val="38"/>
        </w:numPr>
        <w:spacing w:line="360" w:lineRule="auto"/>
        <w:jc w:val="left"/>
        <w:rPr>
          <w:szCs w:val="21"/>
        </w:rPr>
      </w:pPr>
      <w:r>
        <w:rPr>
          <w:rFonts w:eastAsia="等线"/>
          <w:b/>
          <w:bCs/>
          <w:szCs w:val="21"/>
        </w:rPr>
        <w:t xml:space="preserve">cN stage: </w:t>
      </w:r>
      <w:r>
        <w:rPr>
          <w:rFonts w:eastAsia="等线"/>
          <w:szCs w:val="21"/>
        </w:rPr>
        <w:t>cN0/cN+</w:t>
      </w:r>
    </w:p>
    <w:p w14:paraId="478EFA7F">
      <w:pPr>
        <w:numPr>
          <w:ilvl w:val="0"/>
          <w:numId w:val="38"/>
        </w:numPr>
        <w:spacing w:line="360" w:lineRule="auto"/>
        <w:jc w:val="left"/>
        <w:rPr>
          <w:szCs w:val="21"/>
        </w:rPr>
      </w:pPr>
      <w:r>
        <w:rPr>
          <w:rFonts w:eastAsia="等线"/>
          <w:b/>
          <w:bCs/>
          <w:szCs w:val="21"/>
        </w:rPr>
        <w:t xml:space="preserve">pT stage: </w:t>
      </w:r>
      <w:r>
        <w:rPr>
          <w:rFonts w:eastAsia="等线"/>
          <w:szCs w:val="21"/>
        </w:rPr>
        <w:t>pT1/pT2-T4a</w:t>
      </w:r>
    </w:p>
    <w:p w14:paraId="5B2B590D">
      <w:pPr>
        <w:numPr>
          <w:ilvl w:val="0"/>
          <w:numId w:val="38"/>
        </w:numPr>
        <w:spacing w:line="360" w:lineRule="auto"/>
        <w:jc w:val="left"/>
        <w:rPr>
          <w:szCs w:val="21"/>
        </w:rPr>
      </w:pPr>
      <w:r>
        <w:rPr>
          <w:rFonts w:eastAsia="等线"/>
          <w:b/>
          <w:bCs/>
          <w:szCs w:val="21"/>
        </w:rPr>
        <w:t xml:space="preserve">pN stage: </w:t>
      </w:r>
      <w:r>
        <w:rPr>
          <w:rFonts w:eastAsia="等线"/>
          <w:szCs w:val="21"/>
        </w:rPr>
        <w:t>pN0/pN1/ pN2/pN3a</w:t>
      </w:r>
    </w:p>
    <w:p w14:paraId="7C8A9460">
      <w:pPr>
        <w:numPr>
          <w:ilvl w:val="0"/>
          <w:numId w:val="38"/>
        </w:numPr>
        <w:spacing w:line="360" w:lineRule="auto"/>
        <w:jc w:val="left"/>
        <w:rPr>
          <w:szCs w:val="21"/>
        </w:rPr>
      </w:pPr>
      <w:r>
        <w:rPr>
          <w:rFonts w:eastAsia="等线"/>
          <w:b/>
          <w:bCs/>
          <w:szCs w:val="21"/>
        </w:rPr>
        <w:t>AJCC7th staging: I/II/III</w:t>
      </w:r>
    </w:p>
    <w:p w14:paraId="3E770E76">
      <w:pPr>
        <w:numPr>
          <w:ilvl w:val="0"/>
          <w:numId w:val="38"/>
        </w:numPr>
        <w:spacing w:line="360" w:lineRule="auto"/>
        <w:jc w:val="left"/>
        <w:rPr>
          <w:szCs w:val="21"/>
        </w:rPr>
      </w:pPr>
      <w:r>
        <w:rPr>
          <w:rFonts w:eastAsia="等线"/>
          <w:b/>
          <w:bCs/>
          <w:szCs w:val="21"/>
        </w:rPr>
        <w:t>Metastatic LNs</w:t>
      </w:r>
    </w:p>
    <w:p w14:paraId="021B8F79">
      <w:pPr>
        <w:numPr>
          <w:ilvl w:val="0"/>
          <w:numId w:val="38"/>
        </w:numPr>
        <w:spacing w:line="360" w:lineRule="auto"/>
        <w:jc w:val="left"/>
        <w:rPr>
          <w:szCs w:val="21"/>
        </w:rPr>
      </w:pPr>
      <w:r>
        <w:rPr>
          <w:rFonts w:eastAsia="等线"/>
          <w:b/>
          <w:bCs/>
          <w:szCs w:val="21"/>
        </w:rPr>
        <w:t xml:space="preserve">Total LN retrieved: </w:t>
      </w:r>
      <w:r>
        <w:rPr>
          <w:rFonts w:eastAsia="等线"/>
          <w:szCs w:val="21"/>
        </w:rPr>
        <w:t xml:space="preserve">&lt;30 / </w:t>
      </w:r>
      <w:r>
        <w:rPr>
          <w:rFonts w:eastAsia="微软雅黑"/>
          <w:sz w:val="24"/>
        </w:rPr>
        <w:t>≥</w:t>
      </w:r>
      <w:r>
        <w:rPr>
          <w:rFonts w:eastAsia="等线"/>
          <w:szCs w:val="21"/>
        </w:rPr>
        <w:t>30</w:t>
      </w:r>
    </w:p>
    <w:p w14:paraId="6F50953D">
      <w:pPr>
        <w:numPr>
          <w:ilvl w:val="0"/>
          <w:numId w:val="38"/>
        </w:numPr>
        <w:spacing w:line="360" w:lineRule="auto"/>
        <w:jc w:val="left"/>
        <w:rPr>
          <w:szCs w:val="21"/>
        </w:rPr>
      </w:pPr>
      <w:r>
        <w:rPr>
          <w:rFonts w:eastAsia="等线"/>
          <w:b/>
          <w:bCs/>
          <w:szCs w:val="21"/>
        </w:rPr>
        <w:t xml:space="preserve">LNs compliance: </w:t>
      </w:r>
      <w:r>
        <w:rPr>
          <w:rFonts w:eastAsia="等线"/>
          <w:szCs w:val="21"/>
        </w:rPr>
        <w:t>Noncompliance/Compliance</w:t>
      </w:r>
    </w:p>
    <w:p w14:paraId="57CD0807">
      <w:pPr>
        <w:numPr>
          <w:ilvl w:val="0"/>
          <w:numId w:val="38"/>
        </w:numPr>
        <w:spacing w:line="360" w:lineRule="auto"/>
        <w:jc w:val="left"/>
        <w:rPr>
          <w:szCs w:val="21"/>
        </w:rPr>
      </w:pPr>
      <w:r>
        <w:rPr>
          <w:rFonts w:eastAsia="等线"/>
          <w:b/>
          <w:bCs/>
          <w:szCs w:val="21"/>
        </w:rPr>
        <w:t>Postoperative complication</w:t>
      </w:r>
    </w:p>
    <w:p w14:paraId="10F8D45F">
      <w:pPr>
        <w:numPr>
          <w:ilvl w:val="0"/>
          <w:numId w:val="38"/>
        </w:numPr>
        <w:spacing w:line="360" w:lineRule="auto"/>
        <w:jc w:val="left"/>
        <w:rPr>
          <w:szCs w:val="21"/>
        </w:rPr>
      </w:pPr>
      <w:r>
        <w:rPr>
          <w:rFonts w:eastAsia="等线"/>
          <w:b/>
          <w:bCs/>
          <w:szCs w:val="21"/>
        </w:rPr>
        <w:t>Received adjuvant chemotherapy</w:t>
      </w:r>
    </w:p>
    <w:p w14:paraId="636A124D">
      <w:pPr>
        <w:jc w:val="left"/>
        <w:rPr>
          <w:rFonts w:eastAsia="等线"/>
          <w:b/>
          <w:bCs/>
          <w:sz w:val="20"/>
          <w:szCs w:val="20"/>
        </w:rPr>
      </w:pPr>
    </w:p>
    <w:p w14:paraId="615F4B3C">
      <w:pPr>
        <w:jc w:val="left"/>
        <w:rPr>
          <w:rFonts w:eastAsia="等线"/>
          <w:b/>
          <w:bCs/>
          <w:sz w:val="20"/>
          <w:szCs w:val="20"/>
        </w:rPr>
      </w:pPr>
    </w:p>
    <w:p w14:paraId="00AB823A">
      <w:pPr>
        <w:numPr>
          <w:ilvl w:val="0"/>
          <w:numId w:val="37"/>
        </w:numPr>
        <w:adjustRightInd w:val="0"/>
        <w:snapToGrid w:val="0"/>
        <w:spacing w:line="360" w:lineRule="auto"/>
        <w:jc w:val="center"/>
        <w:rPr>
          <w:rFonts w:eastAsia="微软雅黑"/>
          <w:b/>
          <w:bCs/>
          <w:sz w:val="24"/>
        </w:rPr>
      </w:pPr>
      <w:r>
        <w:rPr>
          <w:rFonts w:eastAsia="微软雅黑"/>
          <w:b/>
          <w:bCs/>
          <w:sz w:val="24"/>
        </w:rPr>
        <w:t>Outcome analysis</w:t>
      </w:r>
    </w:p>
    <w:p w14:paraId="563EAAFF">
      <w:pPr>
        <w:spacing w:line="360" w:lineRule="auto"/>
        <w:rPr>
          <w:szCs w:val="21"/>
          <w:u w:val="single"/>
        </w:rPr>
      </w:pPr>
      <w:r>
        <w:rPr>
          <w:b/>
          <w:bCs/>
          <w:szCs w:val="21"/>
          <w:u w:val="single"/>
        </w:rPr>
        <w:t xml:space="preserve">Table 2. </w:t>
      </w:r>
      <w:r>
        <w:rPr>
          <w:szCs w:val="21"/>
          <w:u w:val="single"/>
        </w:rPr>
        <w:t>Frequencies of Causes of First Recurrence and Death Within 3 Years After Surgery in ICG and Non-ICG Groups</w:t>
      </w:r>
    </w:p>
    <w:p w14:paraId="226CD840">
      <w:pPr>
        <w:numPr>
          <w:ilvl w:val="0"/>
          <w:numId w:val="39"/>
        </w:numPr>
        <w:spacing w:line="360" w:lineRule="auto"/>
        <w:rPr>
          <w:szCs w:val="21"/>
        </w:rPr>
      </w:pPr>
      <w:r>
        <w:rPr>
          <w:szCs w:val="21"/>
        </w:rPr>
        <w:t>Except for all-cause death, the risk difference was calculated by subtracting the cumulative incidence in the first 3 years of the Non-ICG group from that of the ICG group, in presence of competing events; for all-cause death, the risk difference was calculated by subtracting the 3-year overall survival rate of the Non-ICG group from that of the ICG group.</w:t>
      </w:r>
    </w:p>
    <w:p w14:paraId="6486C44D">
      <w:pPr>
        <w:numPr>
          <w:ilvl w:val="0"/>
          <w:numId w:val="39"/>
        </w:numPr>
        <w:spacing w:line="360" w:lineRule="auto"/>
        <w:rPr>
          <w:szCs w:val="21"/>
        </w:rPr>
      </w:pPr>
      <w:r>
        <w:rPr>
          <w:szCs w:val="21"/>
        </w:rPr>
        <w:t>Except for all-cause death, competing-risks survival regression was used to derive the hazard ratio, 95% CI, and P value. For total recurrence, all-cause death was the competing event; for the specific types of recurrence, other types of recurrence and death were the competing events; for gastric cancer cause of death, other causes of death were the competing events, and vice versa. Univariate Cox regression was used for all-cause death.</w:t>
      </w:r>
    </w:p>
    <w:p w14:paraId="136EC5B2">
      <w:pPr>
        <w:numPr>
          <w:ilvl w:val="0"/>
          <w:numId w:val="39"/>
        </w:numPr>
        <w:spacing w:line="360" w:lineRule="auto"/>
        <w:rPr>
          <w:szCs w:val="21"/>
        </w:rPr>
      </w:pPr>
      <w:r>
        <w:rPr>
          <w:i/>
          <w:iCs/>
          <w:szCs w:val="21"/>
        </w:rPr>
        <w:t>P</w:t>
      </w:r>
      <w:r>
        <w:rPr>
          <w:szCs w:val="21"/>
        </w:rPr>
        <w:t xml:space="preserve"> value for the hazard ratios.</w:t>
      </w:r>
    </w:p>
    <w:p w14:paraId="733DE32C">
      <w:pPr>
        <w:numPr>
          <w:ilvl w:val="0"/>
          <w:numId w:val="39"/>
        </w:numPr>
        <w:spacing w:line="360" w:lineRule="auto"/>
        <w:rPr>
          <w:szCs w:val="21"/>
        </w:rPr>
      </w:pPr>
      <w:r>
        <w:rPr>
          <w:i/>
          <w:iCs/>
          <w:szCs w:val="21"/>
        </w:rPr>
        <w:t>P</w:t>
      </w:r>
      <w:r>
        <w:rPr>
          <w:szCs w:val="21"/>
        </w:rPr>
        <w:t xml:space="preserve"> value for chi-square test was calculated by </w:t>
      </w:r>
      <w:r>
        <w:rPr>
          <w:rFonts w:eastAsia="微软雅黑"/>
          <w:szCs w:val="21"/>
        </w:rPr>
        <w:t xml:space="preserve">Pearson </w:t>
      </w:r>
      <w:r>
        <w:rPr>
          <w:rFonts w:eastAsia="微软雅黑"/>
          <w:szCs w:val="21"/>
        </w:rPr>
        <w:sym w:font="Symbol" w:char="F063"/>
      </w:r>
      <w:r>
        <w:rPr>
          <w:rFonts w:eastAsia="微软雅黑"/>
          <w:szCs w:val="21"/>
          <w:vertAlign w:val="superscript"/>
        </w:rPr>
        <w:t>2</w:t>
      </w:r>
      <w:r>
        <w:rPr>
          <w:rFonts w:eastAsia="微软雅黑"/>
          <w:szCs w:val="21"/>
        </w:rPr>
        <w:t xml:space="preserve"> test</w:t>
      </w:r>
      <w:r>
        <w:rPr>
          <w:szCs w:val="21"/>
        </w:rPr>
        <w:t>.</w:t>
      </w:r>
    </w:p>
    <w:p w14:paraId="6B5C516D">
      <w:pPr>
        <w:spacing w:line="360" w:lineRule="auto"/>
        <w:rPr>
          <w:szCs w:val="21"/>
        </w:rPr>
      </w:pPr>
    </w:p>
    <w:p w14:paraId="624D83F0">
      <w:pPr>
        <w:pStyle w:val="42"/>
        <w:spacing w:after="0" w:line="360" w:lineRule="auto"/>
        <w:rPr>
          <w:rFonts w:eastAsia="宋体"/>
          <w:bCs/>
          <w:sz w:val="21"/>
          <w:szCs w:val="21"/>
          <w:u w:val="single"/>
        </w:rPr>
      </w:pPr>
      <w:r>
        <w:rPr>
          <w:rFonts w:eastAsia="宋体"/>
          <w:b/>
          <w:sz w:val="21"/>
          <w:szCs w:val="21"/>
          <w:u w:val="single"/>
        </w:rPr>
        <w:t>Table 3.</w:t>
      </w:r>
      <w:r>
        <w:rPr>
          <w:sz w:val="21"/>
          <w:szCs w:val="21"/>
          <w:u w:val="single"/>
        </w:rPr>
        <w:t xml:space="preserve"> </w:t>
      </w:r>
      <w:r>
        <w:rPr>
          <w:rFonts w:eastAsia="宋体"/>
          <w:bCs/>
          <w:sz w:val="21"/>
          <w:szCs w:val="21"/>
          <w:u w:val="single"/>
        </w:rPr>
        <w:t xml:space="preserve">Univariate and </w:t>
      </w:r>
      <w:r>
        <w:rPr>
          <w:rFonts w:eastAsia="宋体"/>
          <w:bCs/>
          <w:sz w:val="21"/>
          <w:szCs w:val="21"/>
          <w:u w:val="single"/>
          <w:lang w:eastAsia="zh-CN"/>
        </w:rPr>
        <w:t>Multivariate</w:t>
      </w:r>
      <w:r>
        <w:rPr>
          <w:rFonts w:eastAsia="宋体"/>
          <w:bCs/>
          <w:sz w:val="21"/>
          <w:szCs w:val="21"/>
          <w:u w:val="single"/>
        </w:rPr>
        <w:t xml:space="preserve"> Cox Regression Analyses of Risk Factors for Survival</w:t>
      </w:r>
    </w:p>
    <w:p w14:paraId="24FA9748">
      <w:pPr>
        <w:numPr>
          <w:ilvl w:val="0"/>
          <w:numId w:val="39"/>
        </w:numPr>
        <w:spacing w:line="360" w:lineRule="auto"/>
        <w:rPr>
          <w:bCs/>
          <w:szCs w:val="21"/>
        </w:rPr>
      </w:pPr>
      <w:r>
        <w:rPr>
          <w:bCs/>
          <w:szCs w:val="21"/>
        </w:rPr>
        <w:t>The hazard ratios (HRs) comparing the ICG and Non-ICG groups were estimated using Cox regression after confirmation of the proportional hazards assumption. Multivariate Cox regression analyses were performed to evaluate the effect of surgery type on survival, after adjustment for clinicopathologic covariates that were significantly associated with the outcome in univariate analyses.</w:t>
      </w:r>
    </w:p>
    <w:p w14:paraId="61A96865">
      <w:pPr>
        <w:numPr>
          <w:ilvl w:val="255"/>
          <w:numId w:val="0"/>
        </w:numPr>
        <w:spacing w:line="360" w:lineRule="auto"/>
        <w:rPr>
          <w:b/>
          <w:szCs w:val="21"/>
          <w:u w:val="single"/>
        </w:rPr>
      </w:pPr>
    </w:p>
    <w:p w14:paraId="4721523E">
      <w:pPr>
        <w:spacing w:line="360" w:lineRule="auto"/>
        <w:rPr>
          <w:bCs/>
          <w:szCs w:val="21"/>
          <w:u w:val="single"/>
        </w:rPr>
      </w:pPr>
      <w:r>
        <w:rPr>
          <w:b/>
          <w:szCs w:val="21"/>
          <w:u w:val="single"/>
        </w:rPr>
        <w:t xml:space="preserve">Figure 2. </w:t>
      </w:r>
      <w:r>
        <w:rPr>
          <w:bCs/>
          <w:szCs w:val="21"/>
          <w:u w:val="single"/>
        </w:rPr>
        <w:t xml:space="preserve">Kaplan-Meier Curves Comparing Overall Survival </w:t>
      </w:r>
      <w:r>
        <w:rPr>
          <w:spacing w:val="15"/>
          <w:szCs w:val="21"/>
          <w:u w:val="single"/>
        </w:rPr>
        <w:t>(A)</w:t>
      </w:r>
      <w:r>
        <w:rPr>
          <w:bCs/>
          <w:szCs w:val="21"/>
          <w:u w:val="single"/>
        </w:rPr>
        <w:t xml:space="preserve"> and Disease-free Survival </w:t>
      </w:r>
      <w:r>
        <w:rPr>
          <w:spacing w:val="15"/>
          <w:szCs w:val="21"/>
          <w:u w:val="single"/>
        </w:rPr>
        <w:t xml:space="preserve">(B) </w:t>
      </w:r>
      <w:r>
        <w:rPr>
          <w:bCs/>
          <w:szCs w:val="21"/>
          <w:u w:val="single"/>
        </w:rPr>
        <w:t>Between the ICG Group and Non-ICG Group</w:t>
      </w:r>
    </w:p>
    <w:p w14:paraId="63B9565C">
      <w:pPr>
        <w:numPr>
          <w:ilvl w:val="0"/>
          <w:numId w:val="39"/>
        </w:numPr>
        <w:spacing w:line="360" w:lineRule="auto"/>
        <w:rPr>
          <w:szCs w:val="21"/>
        </w:rPr>
      </w:pPr>
      <w:r>
        <w:rPr>
          <w:szCs w:val="21"/>
        </w:rPr>
        <w:t>The 3-</w:t>
      </w:r>
      <w:r>
        <w:rPr>
          <w:rFonts w:hint="eastAsia"/>
          <w:szCs w:val="21"/>
          <w:lang w:val="en-US" w:eastAsia="zh-CN"/>
        </w:rPr>
        <w:t xml:space="preserve"> and 5-</w:t>
      </w:r>
      <w:r>
        <w:rPr>
          <w:szCs w:val="21"/>
        </w:rPr>
        <w:t>year disease-free survival and overall survival rates were calculated using the Kaplan-Meier method, and the log-rank test was used to determine significance.</w:t>
      </w:r>
    </w:p>
    <w:p w14:paraId="00E056E7">
      <w:pPr>
        <w:numPr>
          <w:ilvl w:val="255"/>
          <w:numId w:val="0"/>
        </w:numPr>
        <w:adjustRightInd w:val="0"/>
        <w:snapToGrid w:val="0"/>
        <w:spacing w:line="360" w:lineRule="auto"/>
        <w:rPr>
          <w:rFonts w:eastAsia="微软雅黑"/>
          <w:b/>
          <w:bCs/>
          <w:sz w:val="24"/>
        </w:rPr>
      </w:pPr>
    </w:p>
    <w:p w14:paraId="72913A58">
      <w:pPr>
        <w:numPr>
          <w:ilvl w:val="255"/>
          <w:numId w:val="0"/>
        </w:numPr>
        <w:adjustRightInd w:val="0"/>
        <w:snapToGrid w:val="0"/>
        <w:spacing w:line="360" w:lineRule="auto"/>
        <w:rPr>
          <w:rFonts w:eastAsia="微软雅黑"/>
          <w:b/>
          <w:bCs/>
          <w:sz w:val="24"/>
        </w:rPr>
      </w:pPr>
      <w:r>
        <w:rPr>
          <w:rFonts w:eastAsia="微软雅黑"/>
          <w:b/>
          <w:bCs/>
          <w:sz w:val="24"/>
        </w:rPr>
        <w:t>Plan for missing data</w:t>
      </w:r>
    </w:p>
    <w:p w14:paraId="7A33A99C">
      <w:pPr>
        <w:numPr>
          <w:ilvl w:val="255"/>
          <w:numId w:val="0"/>
        </w:numPr>
        <w:adjustRightInd w:val="0"/>
        <w:snapToGrid w:val="0"/>
        <w:spacing w:line="360" w:lineRule="auto"/>
        <w:rPr>
          <w:rFonts w:eastAsia="微软雅黑"/>
          <w:sz w:val="24"/>
        </w:rPr>
      </w:pPr>
      <w:r>
        <w:rPr>
          <w:rFonts w:eastAsia="微软雅黑"/>
          <w:sz w:val="24"/>
        </w:rPr>
        <w:t>For time-to-event outcomes, subjects who withdraw, die, are lost to follow-up or finish the study will be included as censored subjects. Missing data for demographic and clinical variables are not expected.</w:t>
      </w:r>
    </w:p>
    <w:p w14:paraId="04F55B78">
      <w:pPr>
        <w:numPr>
          <w:ilvl w:val="255"/>
          <w:numId w:val="0"/>
        </w:numPr>
        <w:adjustRightInd w:val="0"/>
        <w:snapToGrid w:val="0"/>
        <w:spacing w:line="360" w:lineRule="auto"/>
        <w:rPr>
          <w:rFonts w:eastAsia="微软雅黑"/>
          <w:b/>
          <w:bCs/>
          <w:sz w:val="24"/>
        </w:rPr>
      </w:pPr>
    </w:p>
    <w:p w14:paraId="3EBC9C34">
      <w:pPr>
        <w:adjustRightInd w:val="0"/>
        <w:snapToGrid w:val="0"/>
        <w:spacing w:line="360" w:lineRule="auto"/>
        <w:jc w:val="left"/>
        <w:rPr>
          <w:rFonts w:eastAsia="微软雅黑"/>
          <w:b/>
          <w:sz w:val="24"/>
        </w:rPr>
      </w:pPr>
      <w:r>
        <w:rPr>
          <w:rFonts w:eastAsia="微软雅黑"/>
          <w:b/>
          <w:sz w:val="24"/>
        </w:rPr>
        <w:t>References</w:t>
      </w:r>
    </w:p>
    <w:p w14:paraId="7A1F6281">
      <w:pPr>
        <w:pStyle w:val="39"/>
        <w:numPr>
          <w:ilvl w:val="0"/>
          <w:numId w:val="40"/>
        </w:numPr>
        <w:ind w:left="720" w:hanging="720"/>
      </w:pPr>
      <w:r>
        <w:t xml:space="preserve">     Sung H, Ferlay J, Siegel RL, et al. Global Cancer Statistics 2020: GLOBOCAN Estimates of Incidence and Mortality Worldwide for 36 Cancers in 185 Countries. CA Cancer J Clin 2021; 71(3):209-249.</w:t>
      </w:r>
    </w:p>
    <w:p w14:paraId="25D54D8E">
      <w:pPr>
        <w:pStyle w:val="39"/>
        <w:ind w:left="720" w:hanging="720"/>
      </w:pPr>
      <w:r>
        <w:t>2.</w:t>
      </w:r>
      <w:r>
        <w:tab/>
      </w:r>
      <w:r>
        <w:t xml:space="preserve">Smith DD, Schwarz RR, Schwarz RE. Impact of total LN count on staging and survival after gastrectomy for gastric cancer: data from a large US-population database. </w:t>
      </w:r>
      <w:r>
        <w:rPr>
          <w:i/>
        </w:rPr>
        <w:t xml:space="preserve">Journal of Clinical Oncology Official Journal of the American Society of Clinical Oncology. </w:t>
      </w:r>
      <w:r>
        <w:t>2005;23(28):7114.</w:t>
      </w:r>
    </w:p>
    <w:p w14:paraId="269CE006">
      <w:pPr>
        <w:pStyle w:val="39"/>
        <w:ind w:left="720" w:hanging="720"/>
      </w:pPr>
      <w:r>
        <w:t>3.</w:t>
      </w:r>
      <w:r>
        <w:tab/>
      </w:r>
      <w:r>
        <w:t xml:space="preserve">Son T, Hyung WJ, Lee JH, et al. Clinical implication of an insufficient number of examined LNs after curative resection for gastric cancer. </w:t>
      </w:r>
      <w:r>
        <w:rPr>
          <w:i/>
        </w:rPr>
        <w:t xml:space="preserve">Cancer. </w:t>
      </w:r>
      <w:r>
        <w:t>2012;118(19):4687-4693.</w:t>
      </w:r>
    </w:p>
    <w:p w14:paraId="7521BB92">
      <w:pPr>
        <w:pStyle w:val="39"/>
        <w:ind w:left="720" w:hanging="720"/>
      </w:pPr>
      <w:r>
        <w:t>4.</w:t>
      </w:r>
      <w:r>
        <w:tab/>
      </w:r>
      <w:r>
        <w:t xml:space="preserve">Songun I, Putter H, Kranenbarg EM, Sasako M, van de Velde CJ. Surgical treatment of gastric cancer: 15-year follow-up results of the randomised nationwide Dutch D1D2 trial. </w:t>
      </w:r>
      <w:r>
        <w:rPr>
          <w:i/>
        </w:rPr>
        <w:t xml:space="preserve">The Lancet Oncology. </w:t>
      </w:r>
      <w:r>
        <w:t>2010;11(5):439-449.</w:t>
      </w:r>
    </w:p>
    <w:p w14:paraId="2A6D902F">
      <w:pPr>
        <w:pStyle w:val="39"/>
        <w:ind w:left="720" w:hanging="720"/>
      </w:pPr>
      <w:r>
        <w:t>5.</w:t>
      </w:r>
      <w:r>
        <w:tab/>
      </w:r>
      <w:r>
        <w:t xml:space="preserve">Association JGC. Japanese gastric cancer treatment guidelines 2014 (ver. 4). </w:t>
      </w:r>
      <w:r>
        <w:rPr>
          <w:i/>
        </w:rPr>
        <w:t xml:space="preserve">Gastric Cancer Official Journal of the International Gastric Cancer Association &amp; the Japanese Gastric Cancer Association. </w:t>
      </w:r>
      <w:r>
        <w:t>2017;20(1):1-19.</w:t>
      </w:r>
    </w:p>
    <w:p w14:paraId="15517BD3">
      <w:pPr>
        <w:pStyle w:val="39"/>
        <w:ind w:left="720" w:hanging="720"/>
      </w:pPr>
      <w:r>
        <w:t>6.</w:t>
      </w:r>
      <w:r>
        <w:tab/>
      </w:r>
      <w:r>
        <w:t xml:space="preserve">Mocellin S, Nitti D. Lymphadenectomy extent and survival of patients with gastric carcinoma: a systematic review and meta-analysis of time-to-event data from randomized trials. </w:t>
      </w:r>
      <w:r>
        <w:rPr>
          <w:i/>
        </w:rPr>
        <w:t xml:space="preserve">Cancer treatment reviews. </w:t>
      </w:r>
      <w:r>
        <w:t>2015;41(5):448-454.</w:t>
      </w:r>
    </w:p>
    <w:p w14:paraId="7B0B93DE">
      <w:pPr>
        <w:pStyle w:val="39"/>
        <w:ind w:left="720" w:hanging="720"/>
      </w:pPr>
      <w:r>
        <w:t>7.</w:t>
      </w:r>
      <w:r>
        <w:tab/>
      </w:r>
      <w:r>
        <w:t xml:space="preserve">Korean Practice Guideline for Gastric Cancer 2018: an Evidence-based, Multi-disciplinary Approach. </w:t>
      </w:r>
      <w:r>
        <w:rPr>
          <w:i/>
        </w:rPr>
        <w:t xml:space="preserve">Journal of gastric cancer. </w:t>
      </w:r>
      <w:r>
        <w:t>2019;19(1):1-48.</w:t>
      </w:r>
    </w:p>
    <w:p w14:paraId="528D1974">
      <w:pPr>
        <w:pStyle w:val="39"/>
        <w:ind w:left="720" w:hanging="720"/>
      </w:pPr>
      <w:r>
        <w:t>8.</w:t>
      </w:r>
      <w:r>
        <w:tab/>
      </w:r>
      <w:r>
        <w:t xml:space="preserve">Ajani JA, D'Amico TA, Bentrem DJ, et al. Gastric Cancer, Version 1.2019, NCCN Clinical Practice Guidelines in Oncology. </w:t>
      </w:r>
      <w:r>
        <w:rPr>
          <w:i/>
        </w:rPr>
        <w:t xml:space="preserve">Journal of the National Comprehensive Cancer Network Jnccn. </w:t>
      </w:r>
      <w:r>
        <w:t>2019:MS-11-12.</w:t>
      </w:r>
    </w:p>
    <w:p w14:paraId="40D0AC47">
      <w:pPr>
        <w:pStyle w:val="39"/>
        <w:ind w:left="720" w:hanging="720"/>
      </w:pPr>
      <w:r>
        <w:t>9.</w:t>
      </w:r>
      <w:r>
        <w:tab/>
      </w:r>
      <w:r>
        <w:t xml:space="preserve">Kitano S, Iso Y, Moriyama M, Sugimachi K. Laparoscopy-assisted Billroth I gastrectomy. </w:t>
      </w:r>
      <w:r>
        <w:rPr>
          <w:i/>
        </w:rPr>
        <w:t xml:space="preserve">Surgical laparoscopy &amp; endoscopy. </w:t>
      </w:r>
      <w:r>
        <w:t>1994;4(2):146-148.</w:t>
      </w:r>
    </w:p>
    <w:p w14:paraId="1D98D44D">
      <w:pPr>
        <w:pStyle w:val="39"/>
        <w:ind w:left="720" w:hanging="720"/>
      </w:pPr>
      <w:r>
        <w:t>10.</w:t>
      </w:r>
      <w:r>
        <w:tab/>
      </w:r>
      <w:r>
        <w:t xml:space="preserve">Yu J, Huang C, Sun Y, et al. Effect of Laparoscopic vs Open Distal Gastrectomy on 3-Year Disease-Free Survival in Patients With Locally Advanced Gastric Cancer: The CLASS-01 Randomized Clinical Trial. </w:t>
      </w:r>
      <w:r>
        <w:rPr>
          <w:i/>
        </w:rPr>
        <w:t xml:space="preserve">Jama. </w:t>
      </w:r>
      <w:r>
        <w:t>2019;321(20):1983-1992.</w:t>
      </w:r>
    </w:p>
    <w:p w14:paraId="77F06C47">
      <w:pPr>
        <w:pStyle w:val="39"/>
        <w:ind w:left="720" w:hanging="720"/>
      </w:pPr>
      <w:r>
        <w:t>11.</w:t>
      </w:r>
      <w:r>
        <w:tab/>
      </w:r>
      <w:r>
        <w:t xml:space="preserve">Kim HH, Han SU, Kim MC, et al. Effect of Laparoscopic Distal Gastrectomy vs Open Distal Gastrectomy on Long-term Survival Among Patients With Stage I Gastric Cancer: The KLASS-01 Randomized Clinical Trial. </w:t>
      </w:r>
      <w:r>
        <w:rPr>
          <w:i/>
        </w:rPr>
        <w:t xml:space="preserve">JAMA oncology. </w:t>
      </w:r>
      <w:r>
        <w:t>2019.</w:t>
      </w:r>
    </w:p>
    <w:p w14:paraId="4840EA58">
      <w:pPr>
        <w:pStyle w:val="39"/>
        <w:ind w:left="720" w:hanging="720"/>
      </w:pPr>
      <w:r>
        <w:t>12.</w:t>
      </w:r>
      <w:r>
        <w:tab/>
      </w:r>
      <w:r>
        <w:t xml:space="preserve">Bandoh T, Shiraishi N, Yamashita Y, et al. Endoscopic surgery in Japan: The 12th national survey(2012–2013) by the Japan Society for Endoscopic Surgery. </w:t>
      </w:r>
      <w:r>
        <w:rPr>
          <w:i/>
        </w:rPr>
        <w:t xml:space="preserve">Asian Journal of Endoscopic Surgery. </w:t>
      </w:r>
      <w:r>
        <w:t>2017;10(4).</w:t>
      </w:r>
    </w:p>
    <w:p w14:paraId="393D6D4C">
      <w:pPr>
        <w:pStyle w:val="39"/>
        <w:ind w:left="720" w:hanging="720"/>
      </w:pPr>
      <w:r>
        <w:t>13.</w:t>
      </w:r>
      <w:r>
        <w:tab/>
      </w:r>
      <w:r>
        <w:t xml:space="preserve">Vahrmeijer AL, Hutteman M, van der Vorst JR, van de Velde CJ, Frangioni JV. Image-guided cancer surgery using near-infrared fluorescence. </w:t>
      </w:r>
      <w:r>
        <w:rPr>
          <w:i/>
        </w:rPr>
        <w:t xml:space="preserve">Nature reviews Clinical oncology. </w:t>
      </w:r>
      <w:r>
        <w:t>2013;10(9):507-518.</w:t>
      </w:r>
    </w:p>
    <w:p w14:paraId="5D347EE8">
      <w:pPr>
        <w:pStyle w:val="39"/>
        <w:ind w:left="720" w:hanging="720"/>
      </w:pPr>
      <w:r>
        <w:t>14.</w:t>
      </w:r>
      <w:r>
        <w:tab/>
      </w:r>
      <w:r>
        <w:t xml:space="preserve">Valente SA, Al-Hilli Z, Radford DM, Yanda C, Tu C, Grobmyer SR. Near Infrared Fluorescent Lymph Node Mapping with Indocyanine Green in Breast Cancer Patients: A Prospective Trial. </w:t>
      </w:r>
      <w:r>
        <w:rPr>
          <w:i/>
        </w:rPr>
        <w:t xml:space="preserve">Journal of the American College of Surgeons. </w:t>
      </w:r>
      <w:r>
        <w:t>2019;228(4):672-678.</w:t>
      </w:r>
    </w:p>
    <w:p w14:paraId="3670557C">
      <w:pPr>
        <w:pStyle w:val="39"/>
        <w:ind w:left="720" w:hanging="720"/>
      </w:pPr>
      <w:r>
        <w:t>15.</w:t>
      </w:r>
      <w:r>
        <w:tab/>
      </w:r>
      <w:r>
        <w:t xml:space="preserve">Yamashita S, Tokuishi K, Anami K, et al. Video-assisted thoracoscopic indocyanine green fluorescence imaging system shows sentinel LNs in non-small-cell lung cancer. </w:t>
      </w:r>
      <w:r>
        <w:rPr>
          <w:i/>
        </w:rPr>
        <w:t xml:space="preserve">The Journal of thoracic and cardiovascular surgery. </w:t>
      </w:r>
      <w:r>
        <w:t>2011;141(1):141-144.</w:t>
      </w:r>
    </w:p>
    <w:p w14:paraId="4AB5114F">
      <w:pPr>
        <w:pStyle w:val="39"/>
        <w:ind w:left="720" w:hanging="720"/>
      </w:pPr>
      <w:r>
        <w:t>16.</w:t>
      </w:r>
      <w:r>
        <w:tab/>
      </w:r>
      <w:r>
        <w:t xml:space="preserve">Brouwer OR, Klop WM, Buckle T, et al. Feasibility of sentinel node biopsy in head and neck melanoma using a hybrid radioactive and fluorescent tracer. </w:t>
      </w:r>
      <w:r>
        <w:rPr>
          <w:i/>
        </w:rPr>
        <w:t xml:space="preserve">Ann Surg Oncol. </w:t>
      </w:r>
      <w:r>
        <w:t>2012;19(6):1988-1994.</w:t>
      </w:r>
    </w:p>
    <w:p w14:paraId="2AA66BEF">
      <w:pPr>
        <w:pStyle w:val="39"/>
        <w:ind w:left="720" w:hanging="720"/>
      </w:pPr>
      <w:r>
        <w:t>17.</w:t>
      </w:r>
      <w:r>
        <w:tab/>
      </w:r>
      <w:r>
        <w:t xml:space="preserve">Gioux S, Choi HS, Frangioni JV. Image-guided surgery using invisible near-infrared light: fundamentals of clinical translation. </w:t>
      </w:r>
      <w:r>
        <w:rPr>
          <w:i/>
        </w:rPr>
        <w:t xml:space="preserve">Molecular imaging. </w:t>
      </w:r>
      <w:r>
        <w:t>2010;9(5):237-255.</w:t>
      </w:r>
    </w:p>
    <w:p w14:paraId="53384C72">
      <w:pPr>
        <w:pStyle w:val="39"/>
        <w:ind w:left="720" w:hanging="720"/>
      </w:pPr>
      <w:r>
        <w:t>18.</w:t>
      </w:r>
      <w:r>
        <w:tab/>
      </w:r>
      <w:r>
        <w:t xml:space="preserve">Schaafsma BE, Mieog JS, Hutteman M, et al. The clinical use of indocyanine green as a near-infrared fluorescent contrast agent for image-guided oncologic surgery. </w:t>
      </w:r>
      <w:r>
        <w:rPr>
          <w:i/>
        </w:rPr>
        <w:t xml:space="preserve">J Surg Oncol. </w:t>
      </w:r>
      <w:r>
        <w:t>2011;104(3):323-332.</w:t>
      </w:r>
    </w:p>
    <w:p w14:paraId="63F01292">
      <w:pPr>
        <w:pStyle w:val="39"/>
        <w:ind w:left="720" w:hanging="720"/>
      </w:pPr>
      <w:r>
        <w:t>19.</w:t>
      </w:r>
      <w:r>
        <w:tab/>
      </w:r>
      <w:r>
        <w:t xml:space="preserve">Desiderio J, Trastulli S, Gemini A, et al. Fluorescence image-guided lymphadenectomy using indocyanine green and near infrared technology in robotic gastrectomy. </w:t>
      </w:r>
      <w:r>
        <w:rPr>
          <w:i/>
        </w:rPr>
        <w:t xml:space="preserve">Chinese journal of cancer research = Chung-kuo yen cheng yen chiu. </w:t>
      </w:r>
      <w:r>
        <w:t>2018;30(5):568-570.</w:t>
      </w:r>
    </w:p>
    <w:p w14:paraId="687F0A80">
      <w:pPr>
        <w:pStyle w:val="39"/>
        <w:ind w:left="720" w:hanging="720"/>
      </w:pPr>
      <w:r>
        <w:t>20.</w:t>
      </w:r>
      <w:r>
        <w:tab/>
      </w:r>
      <w:r>
        <w:t xml:space="preserve">Yano K, Nimura H, Mitsumori N, Takahashi N, Kashiwagi H, Yanaga K. The efficiency of micrometastasis by sentinel node navigation surgery using indocyanine green and infrared ray laparoscopy system for gastric cancer. </w:t>
      </w:r>
      <w:r>
        <w:rPr>
          <w:i/>
        </w:rPr>
        <w:t xml:space="preserve">Gastric Cancer. </w:t>
      </w:r>
      <w:r>
        <w:t>2012;15(3):287-291.</w:t>
      </w:r>
    </w:p>
    <w:p w14:paraId="52FB3BAA">
      <w:pPr>
        <w:pStyle w:val="39"/>
        <w:ind w:left="720" w:hanging="720"/>
      </w:pPr>
      <w:r>
        <w:t>21.</w:t>
      </w:r>
      <w:r>
        <w:tab/>
      </w:r>
      <w:r>
        <w:t xml:space="preserve">Tajima Y, Yamazaki K, Masuda Y, et al. Sentinel node mapping guided by indocyanine green fluorescence imaging in gastric cancer. </w:t>
      </w:r>
      <w:r>
        <w:rPr>
          <w:i/>
        </w:rPr>
        <w:t xml:space="preserve">Ann Surg. </w:t>
      </w:r>
      <w:r>
        <w:t>2009;249(1):58-62.</w:t>
      </w:r>
    </w:p>
    <w:p w14:paraId="07DF2213">
      <w:pPr>
        <w:pStyle w:val="39"/>
        <w:ind w:left="720" w:hanging="720"/>
      </w:pPr>
      <w:r>
        <w:t>22.</w:t>
      </w:r>
      <w:r>
        <w:tab/>
      </w:r>
      <w:r>
        <w:t xml:space="preserve">Huh YJ, Lee HJ, Kim TH, et al. Efficacy of Assessing Intraoperative Bowel Perfusion with Near-Infrared Camera in Laparoscopic Gastric Cancer Surgery. </w:t>
      </w:r>
      <w:r>
        <w:rPr>
          <w:i/>
        </w:rPr>
        <w:t xml:space="preserve">Journal of laparoendoscopic &amp; advanced surgical techniques Part A. </w:t>
      </w:r>
      <w:r>
        <w:t>2019;29(4):476-483.</w:t>
      </w:r>
    </w:p>
    <w:p w14:paraId="08F53BA3">
      <w:pPr>
        <w:pStyle w:val="39"/>
        <w:ind w:left="720" w:hanging="720"/>
      </w:pPr>
      <w:r>
        <w:t>23.</w:t>
      </w:r>
      <w:r>
        <w:tab/>
      </w:r>
      <w:r>
        <w:t>Lan YT, Huang KH, Chen PH, et al. A pilot study of LN mapping with indocyanine green in robotic gastrectomy for gastric cancer. 2017;5(114):2050312117727444.</w:t>
      </w:r>
    </w:p>
    <w:p w14:paraId="3737D2F8">
      <w:pPr>
        <w:pStyle w:val="39"/>
        <w:ind w:left="720" w:hanging="720"/>
      </w:pPr>
      <w:r>
        <w:t>24.</w:t>
      </w:r>
      <w:r>
        <w:tab/>
      </w:r>
      <w:r>
        <w:t xml:space="preserve">Kim TH, Kong SH, Park JH, et al. Assessment of the Completeness of Lymph Node Dissection Using Near-infrared Imaging with Indocyanine Green in Laparoscopic Gastrectomy for Gastric Cancer. </w:t>
      </w:r>
      <w:r>
        <w:rPr>
          <w:i/>
        </w:rPr>
        <w:t xml:space="preserve">Journal of gastric cancer. </w:t>
      </w:r>
      <w:r>
        <w:t>2018;18(2):161-171.</w:t>
      </w:r>
    </w:p>
    <w:p w14:paraId="69A3056B">
      <w:pPr>
        <w:pStyle w:val="39"/>
        <w:ind w:left="720" w:hanging="720"/>
      </w:pPr>
      <w:r>
        <w:t>25.</w:t>
      </w:r>
      <w:r>
        <w:tab/>
      </w:r>
      <w:r>
        <w:t xml:space="preserve">Kwon IG, Son T, Kim HI, Hyung WJ. Fluorescent Lymphography-Guided Lymphadenectomy During Robotic Radical Gastrectomy for Gastric Cancer. </w:t>
      </w:r>
      <w:r>
        <w:rPr>
          <w:i/>
        </w:rPr>
        <w:t xml:space="preserve">JAMA surgery. </w:t>
      </w:r>
      <w:r>
        <w:t>2019;154(2):150-158.</w:t>
      </w:r>
    </w:p>
    <w:p w14:paraId="376517AB">
      <w:pPr>
        <w:widowControl/>
        <w:ind w:left="618" w:hanging="618" w:hangingChars="309"/>
        <w:jc w:val="left"/>
        <w:rPr>
          <w:sz w:val="20"/>
        </w:rPr>
      </w:pPr>
      <w:r>
        <w:rPr>
          <w:sz w:val="20"/>
        </w:rPr>
        <w:t xml:space="preserve">26.    de Steur WO, Hartgrink HH, Dikken JL, Putter H, van de Velde CJH. Quality control of lymph node dissection in the Dutch gastric cancer trial. Br J Surg. 2015;102(11):1388-1393. </w:t>
      </w:r>
    </w:p>
    <w:p w14:paraId="3E5D7D23">
      <w:pPr>
        <w:widowControl/>
        <w:ind w:left="600" w:hanging="600" w:hangingChars="300"/>
        <w:jc w:val="left"/>
        <w:rPr>
          <w:sz w:val="20"/>
        </w:rPr>
      </w:pPr>
      <w:r>
        <w:rPr>
          <w:sz w:val="20"/>
        </w:rPr>
        <w:t xml:space="preserve">27.    Chen Q-Y, Lin G-T, Zhong Q, et al. Laparoscopic total gastrectomy for upper-middle advanced </w:t>
      </w:r>
    </w:p>
    <w:p w14:paraId="0D9BDD4F">
      <w:pPr>
        <w:widowControl/>
        <w:ind w:left="598" w:leftChars="285"/>
        <w:jc w:val="left"/>
        <w:rPr>
          <w:sz w:val="20"/>
        </w:rPr>
      </w:pPr>
      <w:r>
        <w:rPr>
          <w:sz w:val="20"/>
        </w:rPr>
        <w:t xml:space="preserve">gastric cancer: analysis based on lymph node noncompliance. Gastric Cancer. 2020;23(1):184-194. </w:t>
      </w:r>
    </w:p>
    <w:p w14:paraId="6681FDB5">
      <w:pPr>
        <w:widowControl/>
        <w:ind w:left="600" w:hanging="600" w:hangingChars="300"/>
        <w:jc w:val="left"/>
        <w:rPr>
          <w:sz w:val="20"/>
        </w:rPr>
      </w:pPr>
      <w:r>
        <w:rPr>
          <w:sz w:val="20"/>
        </w:rPr>
        <w:t xml:space="preserve">28.    Kakar S, Pawlik TM, Allen PJ, et al. AJCC Cancer Staging Manual. 8th ed. New York, NY: Springer-Verlag; 2017. </w:t>
      </w:r>
    </w:p>
    <w:p w14:paraId="51BD68CC">
      <w:pPr>
        <w:widowControl/>
        <w:ind w:left="600" w:hanging="600" w:hangingChars="300"/>
        <w:jc w:val="left"/>
        <w:rPr>
          <w:sz w:val="20"/>
        </w:rPr>
      </w:pPr>
      <w:r>
        <w:rPr>
          <w:sz w:val="20"/>
        </w:rPr>
        <w:t xml:space="preserve">29.    Woo Y, Goldner B, Ituarte P, et al. Lymphadenectomy with optimum of 29 lymph nodes retrieved associated with improved survival in advanced gastric cancer: a 25,000 patient international database study. J Am Coll Surg. 2017; 224(4):546-555. </w:t>
      </w:r>
    </w:p>
    <w:p w14:paraId="047D2A1F">
      <w:pPr>
        <w:pStyle w:val="39"/>
        <w:ind w:left="720" w:hanging="720"/>
      </w:pPr>
    </w:p>
    <w:p w14:paraId="07ECC819">
      <w:pPr>
        <w:pStyle w:val="39"/>
        <w:ind w:left="720" w:hanging="720"/>
      </w:pPr>
    </w:p>
    <w:p w14:paraId="0D51859C">
      <w:pPr>
        <w:pStyle w:val="39"/>
        <w:ind w:left="720" w:hanging="720"/>
      </w:pPr>
    </w:p>
    <w:p w14:paraId="60D0C793">
      <w:pPr>
        <w:pStyle w:val="39"/>
        <w:ind w:left="720" w:hanging="720"/>
      </w:pPr>
    </w:p>
    <w:p w14:paraId="4AFFA6D8">
      <w:pPr>
        <w:pStyle w:val="39"/>
        <w:ind w:left="720" w:hanging="720"/>
      </w:pPr>
    </w:p>
    <w:p w14:paraId="521237EB">
      <w:pPr>
        <w:pStyle w:val="39"/>
        <w:ind w:left="720" w:hanging="720"/>
      </w:pPr>
    </w:p>
    <w:p w14:paraId="69F89AD9">
      <w:pPr>
        <w:pStyle w:val="39"/>
        <w:ind w:left="720" w:hanging="720"/>
      </w:pPr>
    </w:p>
    <w:p w14:paraId="2121DEDE">
      <w:pPr>
        <w:pStyle w:val="39"/>
        <w:ind w:left="720" w:hanging="720"/>
      </w:pPr>
    </w:p>
    <w:p w14:paraId="7681C2EC">
      <w:pPr>
        <w:adjustRightInd w:val="0"/>
        <w:snapToGrid w:val="0"/>
        <w:spacing w:line="360" w:lineRule="auto"/>
        <w:jc w:val="center"/>
        <w:outlineLvl w:val="0"/>
        <w:rPr>
          <w:rFonts w:eastAsia="微软雅黑"/>
          <w:b/>
          <w:sz w:val="24"/>
        </w:rPr>
      </w:pPr>
      <w:bookmarkStart w:id="153" w:name="_Toc1068"/>
      <w:r>
        <w:rPr>
          <w:rFonts w:eastAsia="微软雅黑"/>
          <w:b/>
          <w:sz w:val="24"/>
        </w:rPr>
        <w:t>Summary of Changes to the Statistical Analysis Plan</w:t>
      </w:r>
      <w:bookmarkEnd w:id="153"/>
    </w:p>
    <w:p w14:paraId="0E4C1904">
      <w:pPr>
        <w:numPr>
          <w:ilvl w:val="0"/>
          <w:numId w:val="41"/>
        </w:numPr>
        <w:adjustRightInd w:val="0"/>
        <w:snapToGrid w:val="0"/>
        <w:spacing w:line="360" w:lineRule="auto"/>
        <w:rPr>
          <w:rFonts w:eastAsia="微软雅黑"/>
          <w:bCs/>
          <w:sz w:val="24"/>
        </w:rPr>
      </w:pPr>
      <w:r>
        <w:rPr>
          <w:rFonts w:eastAsia="微软雅黑"/>
          <w:bCs/>
          <w:sz w:val="24"/>
        </w:rPr>
        <w:t xml:space="preserve">The title was correspondingly changed. </w:t>
      </w:r>
    </w:p>
    <w:p w14:paraId="484A3CC2">
      <w:pPr>
        <w:numPr>
          <w:ilvl w:val="0"/>
          <w:numId w:val="41"/>
        </w:numPr>
        <w:adjustRightInd w:val="0"/>
        <w:snapToGrid w:val="0"/>
        <w:spacing w:line="360" w:lineRule="auto"/>
        <w:jc w:val="left"/>
        <w:rPr>
          <w:rFonts w:eastAsia="微软雅黑"/>
          <w:bCs/>
          <w:sz w:val="24"/>
        </w:rPr>
      </w:pPr>
      <w:r>
        <w:rPr>
          <w:rFonts w:eastAsia="微软雅黑"/>
          <w:bCs/>
          <w:sz w:val="24"/>
        </w:rPr>
        <w:t xml:space="preserve">Secondary outcomes were updated.  </w:t>
      </w:r>
    </w:p>
    <w:p w14:paraId="1AFCF12F">
      <w:pPr>
        <w:numPr>
          <w:ilvl w:val="0"/>
          <w:numId w:val="41"/>
        </w:numPr>
        <w:adjustRightInd w:val="0"/>
        <w:snapToGrid w:val="0"/>
        <w:spacing w:line="360" w:lineRule="auto"/>
        <w:jc w:val="left"/>
        <w:rPr>
          <w:rFonts w:eastAsia="微软雅黑"/>
          <w:bCs/>
          <w:sz w:val="24"/>
        </w:rPr>
      </w:pPr>
      <w:r>
        <w:rPr>
          <w:rFonts w:eastAsia="微软雅黑"/>
          <w:bCs/>
          <w:sz w:val="24"/>
        </w:rPr>
        <w:t xml:space="preserve">A version number was added. </w:t>
      </w:r>
    </w:p>
    <w:p w14:paraId="674EFEC0">
      <w:pPr>
        <w:numPr>
          <w:ilvl w:val="0"/>
          <w:numId w:val="41"/>
        </w:numPr>
        <w:adjustRightInd w:val="0"/>
        <w:snapToGrid w:val="0"/>
        <w:spacing w:line="360" w:lineRule="auto"/>
        <w:jc w:val="left"/>
        <w:outlineLvl w:val="0"/>
        <w:rPr>
          <w:rFonts w:eastAsia="微软雅黑"/>
          <w:bCs/>
          <w:sz w:val="24"/>
        </w:rPr>
      </w:pPr>
      <w:bookmarkStart w:id="154" w:name="_Toc11712"/>
      <w:r>
        <w:rPr>
          <w:rFonts w:eastAsia="微软雅黑"/>
          <w:bCs/>
          <w:sz w:val="24"/>
        </w:rPr>
        <w:t>References were changed.</w:t>
      </w:r>
      <w:bookmarkEnd w:id="154"/>
      <w:r>
        <w:rPr>
          <w:rFonts w:eastAsia="微软雅黑"/>
          <w:bCs/>
          <w:sz w:val="24"/>
        </w:rPr>
        <w:t xml:space="preserve">  </w:t>
      </w:r>
    </w:p>
    <w:p w14:paraId="0CB2AD57">
      <w:pPr>
        <w:numPr>
          <w:ilvl w:val="0"/>
          <w:numId w:val="41"/>
        </w:numPr>
        <w:adjustRightInd w:val="0"/>
        <w:snapToGrid w:val="0"/>
        <w:spacing w:line="360" w:lineRule="auto"/>
        <w:jc w:val="left"/>
        <w:rPr>
          <w:rFonts w:eastAsia="微软雅黑"/>
          <w:bCs/>
          <w:sz w:val="24"/>
        </w:rPr>
      </w:pPr>
      <w:r>
        <w:rPr>
          <w:rFonts w:eastAsia="微软雅黑"/>
          <w:bCs/>
          <w:sz w:val="24"/>
        </w:rPr>
        <w:t>Statistics software version number was updated.</w:t>
      </w:r>
    </w:p>
    <w:p w14:paraId="5E949F37">
      <w:pPr>
        <w:numPr>
          <w:ilvl w:val="0"/>
          <w:numId w:val="41"/>
        </w:numPr>
        <w:adjustRightInd w:val="0"/>
        <w:snapToGrid w:val="0"/>
        <w:spacing w:line="360" w:lineRule="auto"/>
        <w:jc w:val="left"/>
        <w:rPr>
          <w:rFonts w:eastAsia="微软雅黑"/>
          <w:bCs/>
          <w:sz w:val="24"/>
        </w:rPr>
      </w:pPr>
      <w:r>
        <w:rPr>
          <w:rFonts w:eastAsia="微软雅黑"/>
          <w:bCs/>
          <w:sz w:val="24"/>
        </w:rPr>
        <w:t xml:space="preserve">Statistics methods were added. </w:t>
      </w:r>
    </w:p>
    <w:p w14:paraId="3AF3ED24">
      <w:pPr>
        <w:numPr>
          <w:ilvl w:val="0"/>
          <w:numId w:val="41"/>
        </w:numPr>
        <w:adjustRightInd w:val="0"/>
        <w:snapToGrid w:val="0"/>
        <w:spacing w:line="360" w:lineRule="auto"/>
        <w:jc w:val="left"/>
        <w:rPr>
          <w:rFonts w:eastAsia="微软雅黑"/>
          <w:bCs/>
          <w:sz w:val="24"/>
        </w:rPr>
      </w:pPr>
      <w:r>
        <w:rPr>
          <w:rFonts w:eastAsia="微软雅黑"/>
          <w:bCs/>
          <w:sz w:val="24"/>
        </w:rPr>
        <w:t>The information of s</w:t>
      </w:r>
      <w:r>
        <w:rPr>
          <w:rFonts w:eastAsia="微软雅黑"/>
          <w:sz w:val="24"/>
        </w:rPr>
        <w:t xml:space="preserve">tatistical analysis of population division </w:t>
      </w:r>
      <w:r>
        <w:rPr>
          <w:rFonts w:eastAsia="微软雅黑"/>
          <w:bCs/>
          <w:sz w:val="24"/>
        </w:rPr>
        <w:t>was updated</w:t>
      </w:r>
    </w:p>
    <w:p w14:paraId="654C58A5">
      <w:pPr>
        <w:numPr>
          <w:ilvl w:val="0"/>
          <w:numId w:val="41"/>
        </w:numPr>
        <w:adjustRightInd w:val="0"/>
        <w:snapToGrid w:val="0"/>
        <w:spacing w:line="360" w:lineRule="auto"/>
        <w:jc w:val="left"/>
        <w:rPr>
          <w:rFonts w:eastAsia="微软雅黑"/>
          <w:bCs/>
          <w:sz w:val="24"/>
        </w:rPr>
      </w:pPr>
      <w:r>
        <w:rPr>
          <w:rFonts w:eastAsia="微软雅黑"/>
          <w:bCs/>
          <w:sz w:val="24"/>
        </w:rPr>
        <w:t xml:space="preserve">Outcome analysis were updated, including adding the description of </w:t>
      </w:r>
      <w:r>
        <w:rPr>
          <w:rFonts w:eastAsia="微软雅黑"/>
          <w:bCs/>
          <w:i/>
          <w:iCs/>
          <w:sz w:val="24"/>
        </w:rPr>
        <w:t>P</w:t>
      </w:r>
      <w:r>
        <w:rPr>
          <w:rFonts w:eastAsia="微软雅黑"/>
          <w:bCs/>
          <w:sz w:val="24"/>
        </w:rPr>
        <w:t xml:space="preserve"> for chi-square in the protocol and the results of </w:t>
      </w:r>
      <w:r>
        <w:rPr>
          <w:rFonts w:hint="eastAsia" w:eastAsia="微软雅黑"/>
          <w:bCs/>
          <w:sz w:val="24"/>
          <w:lang w:val="en-US" w:eastAsia="zh-CN"/>
        </w:rPr>
        <w:t>5-year outcomes.</w:t>
      </w:r>
    </w:p>
    <w:p w14:paraId="02AC5EC5">
      <w:pPr>
        <w:adjustRightInd w:val="0"/>
        <w:snapToGrid w:val="0"/>
        <w:spacing w:line="360" w:lineRule="auto"/>
        <w:jc w:val="left"/>
        <w:rPr>
          <w:rFonts w:eastAsia="微软雅黑"/>
          <w:bCs/>
          <w:sz w:val="24"/>
        </w:rPr>
      </w:pPr>
    </w:p>
    <w:sectPr>
      <w:headerReference r:id="rId16" w:type="first"/>
      <w:headerReference r:id="rId15" w:type="default"/>
      <w:pgSz w:w="11906" w:h="16838"/>
      <w:pgMar w:top="1440" w:right="1644" w:bottom="1440" w:left="1797"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Gulim">
    <w:altName w:val="Malgun Gothic"/>
    <w:panose1 w:val="020B0600000101010101"/>
    <w:charset w:val="81"/>
    <w:family w:val="swiss"/>
    <w:pitch w:val="default"/>
    <w:sig w:usb0="00000000" w:usb1="00000000" w:usb2="00000030" w:usb3="00000000" w:csb0="0008009F" w:csb1="00000000"/>
  </w:font>
  <w:font w:name="Malgun Gothic">
    <w:panose1 w:val="020B0503020000020004"/>
    <w:charset w:val="81"/>
    <w:family w:val="auto"/>
    <w:pitch w:val="default"/>
    <w:sig w:usb0="9000002F" w:usb1="29D77CFB" w:usb2="00000012" w:usb3="00000000" w:csb0="00080001" w:csb1="00000000"/>
  </w:font>
  <w:font w:name="BatangChe">
    <w:altName w:val="Malgun Gothic"/>
    <w:panose1 w:val="00000000000000000000"/>
    <w:charset w:val="81"/>
    <w:family w:val="modern"/>
    <w:pitch w:val="default"/>
    <w:sig w:usb0="00000000" w:usb1="00000000" w:usb2="00000030" w:usb3="00000000" w:csb0="0008009F" w:csb1="00000000"/>
  </w:font>
  <w:font w:name="Wingdings 2">
    <w:panose1 w:val="05020102010507070707"/>
    <w:charset w:val="02"/>
    <w:family w:val="roman"/>
    <w:pitch w:val="default"/>
    <w:sig w:usb0="00000000" w:usb1="00000000" w:usb2="00000000" w:usb3="00000000" w:csb0="80000000" w:csb1="00000000"/>
  </w:font>
  <w:font w:name="Helvetica">
    <w:altName w:val="Arial"/>
    <w:panose1 w:val="020B0604020202020204"/>
    <w:charset w:val="00"/>
    <w:family w:val="swiss"/>
    <w:pitch w:val="default"/>
    <w:sig w:usb0="00000000" w:usb1="00000000" w:usb2="00000009" w:usb3="00000000" w:csb0="000001FF"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47F6A">
    <w:pPr>
      <w:pStyle w:val="8"/>
      <w:jc w:val="center"/>
    </w:pPr>
  </w:p>
  <w:p w14:paraId="7913F67C">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A3228E">
    <w:pPr>
      <w:pStyle w:val="8"/>
      <w:jc w:val="center"/>
    </w:pPr>
    <w:r>
      <w:pict>
        <v:shape id="_x0000_s3078" o:spid="_x0000_s3078"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14:paraId="53B7FEB4">
                <w:pPr>
                  <w:pStyle w:val="8"/>
                </w:pPr>
                <w:r>
                  <w:fldChar w:fldCharType="begin"/>
                </w:r>
                <w:r>
                  <w:instrText xml:space="preserve"> PAGE  \* MERGEFORMAT </w:instrText>
                </w:r>
                <w:r>
                  <w:fldChar w:fldCharType="separate"/>
                </w:r>
                <w:r>
                  <w:t>9</w:t>
                </w:r>
                <w:r>
                  <w:fldChar w:fldCharType="end"/>
                </w:r>
              </w:p>
            </w:txbxContent>
          </v:textbox>
        </v:shape>
      </w:pict>
    </w:r>
  </w:p>
  <w:p w14:paraId="7412C5B1">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448469">
    <w:pPr>
      <w:pStyle w:val="8"/>
      <w:jc w:val="center"/>
    </w:pPr>
    <w:r>
      <w:pict>
        <v:shape id="_x0000_s3077" o:spid="_x0000_s307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sdt>
                <w:sdtPr>
                  <w:id w:val="966244518"/>
                </w:sdtPr>
                <w:sdtContent>
                  <w:p w14:paraId="6B328999">
                    <w:pPr>
                      <w:pStyle w:val="8"/>
                      <w:jc w:val="center"/>
                    </w:pPr>
                    <w:r>
                      <w:fldChar w:fldCharType="begin"/>
                    </w:r>
                    <w:r>
                      <w:instrText xml:space="preserve">PAGE   \* MERGEFORMAT</w:instrText>
                    </w:r>
                    <w:r>
                      <w:fldChar w:fldCharType="separate"/>
                    </w:r>
                    <w:r>
                      <w:rPr>
                        <w:lang w:val="zh-CN"/>
                      </w:rPr>
                      <w:t>I</w:t>
                    </w:r>
                    <w:r>
                      <w:fldChar w:fldCharType="end"/>
                    </w:r>
                  </w:p>
                </w:sdtContent>
              </w:sdt>
              <w:p w14:paraId="6ED9B9DB"/>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98531005"/>
    </w:sdtPr>
    <w:sdtContent>
      <w:p w14:paraId="26AEDB37">
        <w:pPr>
          <w:pStyle w:val="8"/>
          <w:jc w:val="center"/>
        </w:pPr>
        <w:r>
          <w:fldChar w:fldCharType="begin"/>
        </w:r>
        <w:r>
          <w:instrText xml:space="preserve">PAGE   \* MERGEFORMAT</w:instrText>
        </w:r>
        <w:r>
          <w:fldChar w:fldCharType="separate"/>
        </w:r>
        <w:r>
          <w:rPr>
            <w:lang w:val="zh-CN"/>
          </w:rPr>
          <w:t>2</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32310849"/>
    </w:sdtPr>
    <w:sdtContent>
      <w:p w14:paraId="47A7AE9E">
        <w:pPr>
          <w:pStyle w:val="8"/>
          <w:jc w:val="center"/>
        </w:pPr>
        <w:r>
          <w:fldChar w:fldCharType="begin"/>
        </w:r>
        <w:r>
          <w:instrText xml:space="preserve">PAGE   \* MERGEFORMAT</w:instrText>
        </w:r>
        <w:r>
          <w:fldChar w:fldCharType="separate"/>
        </w:r>
        <w:r>
          <w:t>129</w:t>
        </w:r>
        <w:r>
          <w:rPr>
            <w:lang w:val="zh-CN"/>
          </w:rPr>
          <w:fldChar w:fldCharType="end"/>
        </w:r>
      </w:p>
    </w:sdtContent>
  </w:sdt>
  <w:p w14:paraId="75D7B8E7">
    <w:pPr>
      <w:pStyle w:val="8"/>
    </w:pPr>
  </w:p>
  <w:p w14:paraId="7A3CE1CD"/>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12B197">
    <w:pPr>
      <w:pStyle w:val="9"/>
    </w:pPr>
    <w:r>
      <w:rPr>
        <w:rFonts w:ascii="微软雅黑" w:hAnsi="微软雅黑" w:eastAsia="微软雅黑"/>
      </w:rPr>
      <w:t xml:space="preserve">Study protocol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B6BC3">
    <w:pPr>
      <w:pStyle w:val="9"/>
      <w:ind w:firstLine="3060" w:firstLineChars="1700"/>
      <w:jc w:val="both"/>
      <w:rPr>
        <w:rFonts w:ascii="微软雅黑" w:hAnsi="微软雅黑" w:eastAsia="微软雅黑"/>
      </w:rPr>
    </w:pPr>
    <w:r>
      <w:rPr>
        <w:rFonts w:ascii="微软雅黑" w:hAnsi="微软雅黑" w:eastAsia="微软雅黑"/>
      </w:rPr>
      <w:t xml:space="preserve">   Study protocol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65DB5">
    <w:pPr>
      <w:pStyle w:val="9"/>
    </w:pPr>
    <w:r>
      <w:rPr>
        <w:rFonts w:ascii="微软雅黑" w:hAnsi="微软雅黑" w:eastAsia="微软雅黑"/>
      </w:rPr>
      <w:t xml:space="preserve">Study protocol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7EE303">
    <w:pPr>
      <w:pStyle w:val="9"/>
      <w:ind w:firstLine="3060" w:firstLineChars="1700"/>
      <w:jc w:val="both"/>
      <w:rPr>
        <w:rFonts w:ascii="微软雅黑" w:hAnsi="微软雅黑" w:eastAsia="微软雅黑"/>
      </w:rPr>
    </w:pPr>
    <w:r>
      <w:rPr>
        <w:rFonts w:ascii="微软雅黑" w:hAnsi="微软雅黑" w:eastAsia="微软雅黑"/>
      </w:rPr>
      <w:t xml:space="preserve">   Study protocol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21A99">
    <w:pPr>
      <w:pStyle w:val="9"/>
    </w:pPr>
    <w:r>
      <w:rPr>
        <w:rFonts w:ascii="微软雅黑" w:hAnsi="微软雅黑" w:eastAsia="微软雅黑"/>
      </w:rPr>
      <w:t xml:space="preserve">Study protocol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AD72E4">
    <w:pPr>
      <w:pStyle w:val="9"/>
    </w:pPr>
    <w:r>
      <w:rPr>
        <w:rFonts w:ascii="微软雅黑" w:hAnsi="微软雅黑" w:eastAsia="微软雅黑"/>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8EF2BE">
    <w:pPr>
      <w:pStyle w:val="9"/>
      <w:ind w:firstLine="3060" w:firstLineChars="1700"/>
      <w:jc w:val="both"/>
      <w:rPr>
        <w:rFonts w:ascii="微软雅黑" w:hAnsi="微软雅黑" w:eastAsia="微软雅黑"/>
      </w:rPr>
    </w:pPr>
    <w:r>
      <w:rPr>
        <w:rFonts w:ascii="微软雅黑" w:hAnsi="微软雅黑" w:eastAsia="微软雅黑"/>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8119A">
    <w:pPr>
      <w:pStyle w:val="9"/>
    </w:pPr>
    <w:r>
      <w:rPr>
        <w:rFonts w:ascii="微软雅黑" w:hAnsi="微软雅黑" w:eastAsia="微软雅黑"/>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08D009">
    <w:pPr>
      <w:pStyle w:val="9"/>
      <w:ind w:firstLine="3060" w:firstLineChars="1700"/>
      <w:jc w:val="both"/>
      <w:rPr>
        <w:rFonts w:ascii="微软雅黑" w:hAnsi="微软雅黑" w:eastAsia="微软雅黑"/>
      </w:rPr>
    </w:pPr>
    <w:r>
      <w:rPr>
        <w:rFonts w:ascii="微软雅黑" w:hAnsi="微软雅黑" w:eastAsia="微软雅黑"/>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A722F6"/>
    <w:multiLevelType w:val="singleLevel"/>
    <w:tmpl w:val="85A722F6"/>
    <w:lvl w:ilvl="0" w:tentative="0">
      <w:start w:val="1"/>
      <w:numFmt w:val="bullet"/>
      <w:lvlText w:val=""/>
      <w:lvlJc w:val="left"/>
      <w:pPr>
        <w:ind w:left="420" w:hanging="420"/>
      </w:pPr>
      <w:rPr>
        <w:rFonts w:hint="default" w:ascii="Wingdings" w:hAnsi="Wingdings"/>
      </w:rPr>
    </w:lvl>
  </w:abstractNum>
  <w:abstractNum w:abstractNumId="1">
    <w:nsid w:val="8C63CA19"/>
    <w:multiLevelType w:val="singleLevel"/>
    <w:tmpl w:val="8C63CA19"/>
    <w:lvl w:ilvl="0" w:tentative="0">
      <w:start w:val="1"/>
      <w:numFmt w:val="bullet"/>
      <w:lvlText w:val=""/>
      <w:lvlJc w:val="left"/>
      <w:pPr>
        <w:ind w:left="420" w:hanging="420"/>
      </w:pPr>
      <w:rPr>
        <w:rFonts w:hint="default" w:ascii="Wingdings" w:hAnsi="Wingdings"/>
        <w:sz w:val="20"/>
        <w:szCs w:val="20"/>
      </w:rPr>
    </w:lvl>
  </w:abstractNum>
  <w:abstractNum w:abstractNumId="2">
    <w:nsid w:val="94A7D61A"/>
    <w:multiLevelType w:val="singleLevel"/>
    <w:tmpl w:val="94A7D61A"/>
    <w:lvl w:ilvl="0" w:tentative="0">
      <w:start w:val="1"/>
      <w:numFmt w:val="bullet"/>
      <w:lvlText w:val=""/>
      <w:lvlJc w:val="left"/>
      <w:pPr>
        <w:ind w:left="420" w:hanging="420"/>
      </w:pPr>
      <w:rPr>
        <w:rFonts w:hint="default" w:ascii="Wingdings" w:hAnsi="Wingdings"/>
      </w:rPr>
    </w:lvl>
  </w:abstractNum>
  <w:abstractNum w:abstractNumId="3">
    <w:nsid w:val="96C1A212"/>
    <w:multiLevelType w:val="singleLevel"/>
    <w:tmpl w:val="96C1A212"/>
    <w:lvl w:ilvl="0" w:tentative="0">
      <w:start w:val="1"/>
      <w:numFmt w:val="bullet"/>
      <w:lvlText w:val=""/>
      <w:lvlJc w:val="left"/>
      <w:pPr>
        <w:ind w:left="420" w:hanging="420"/>
      </w:pPr>
      <w:rPr>
        <w:rFonts w:hint="default" w:ascii="Wingdings" w:hAnsi="Wingdings"/>
      </w:rPr>
    </w:lvl>
  </w:abstractNum>
  <w:abstractNum w:abstractNumId="4">
    <w:nsid w:val="9C7B4F9F"/>
    <w:multiLevelType w:val="singleLevel"/>
    <w:tmpl w:val="9C7B4F9F"/>
    <w:lvl w:ilvl="0" w:tentative="0">
      <w:start w:val="1"/>
      <w:numFmt w:val="decimal"/>
      <w:lvlText w:val="(%1)"/>
      <w:lvlJc w:val="left"/>
      <w:pPr>
        <w:ind w:left="425" w:hanging="425"/>
      </w:pPr>
      <w:rPr>
        <w:rFonts w:hint="default"/>
      </w:rPr>
    </w:lvl>
  </w:abstractNum>
  <w:abstractNum w:abstractNumId="5">
    <w:nsid w:val="ADE8B9A1"/>
    <w:multiLevelType w:val="singleLevel"/>
    <w:tmpl w:val="ADE8B9A1"/>
    <w:lvl w:ilvl="0" w:tentative="0">
      <w:start w:val="1"/>
      <w:numFmt w:val="bullet"/>
      <w:lvlText w:val=""/>
      <w:lvlJc w:val="left"/>
      <w:pPr>
        <w:ind w:left="420" w:hanging="420"/>
      </w:pPr>
      <w:rPr>
        <w:rFonts w:hint="default" w:ascii="Wingdings" w:hAnsi="Wingdings"/>
        <w:color w:val="auto"/>
      </w:rPr>
    </w:lvl>
  </w:abstractNum>
  <w:abstractNum w:abstractNumId="6">
    <w:nsid w:val="CEC96A7D"/>
    <w:multiLevelType w:val="singleLevel"/>
    <w:tmpl w:val="CEC96A7D"/>
    <w:lvl w:ilvl="0" w:tentative="0">
      <w:start w:val="1"/>
      <w:numFmt w:val="decimal"/>
      <w:lvlText w:val="%1)"/>
      <w:lvlJc w:val="left"/>
      <w:pPr>
        <w:ind w:left="1055" w:hanging="425"/>
      </w:pPr>
      <w:rPr>
        <w:rFonts w:hint="default"/>
      </w:rPr>
    </w:lvl>
  </w:abstractNum>
  <w:abstractNum w:abstractNumId="7">
    <w:nsid w:val="D9D61B2A"/>
    <w:multiLevelType w:val="singleLevel"/>
    <w:tmpl w:val="D9D61B2A"/>
    <w:lvl w:ilvl="0" w:tentative="0">
      <w:start w:val="1"/>
      <w:numFmt w:val="decimal"/>
      <w:suff w:val="nothing"/>
      <w:lvlText w:val="（%1）"/>
      <w:lvlJc w:val="left"/>
      <w:rPr>
        <w:rFonts w:hint="default" w:ascii="Times New Roman" w:hAnsi="Times New Roman" w:cs="Times New Roman"/>
        <w:sz w:val="22"/>
        <w:szCs w:val="22"/>
      </w:rPr>
    </w:lvl>
  </w:abstractNum>
  <w:abstractNum w:abstractNumId="8">
    <w:nsid w:val="E0BAB8AD"/>
    <w:multiLevelType w:val="singleLevel"/>
    <w:tmpl w:val="E0BAB8AD"/>
    <w:lvl w:ilvl="0" w:tentative="0">
      <w:start w:val="1"/>
      <w:numFmt w:val="decimal"/>
      <w:lvlText w:val="%1)"/>
      <w:lvlJc w:val="left"/>
      <w:pPr>
        <w:ind w:left="1055" w:hanging="425"/>
      </w:pPr>
      <w:rPr>
        <w:rFonts w:hint="default"/>
      </w:rPr>
    </w:lvl>
  </w:abstractNum>
  <w:abstractNum w:abstractNumId="9">
    <w:nsid w:val="E14FE3AB"/>
    <w:multiLevelType w:val="singleLevel"/>
    <w:tmpl w:val="E14FE3AB"/>
    <w:lvl w:ilvl="0" w:tentative="0">
      <w:start w:val="1"/>
      <w:numFmt w:val="decimal"/>
      <w:lvlText w:val="(%1)"/>
      <w:lvlJc w:val="left"/>
      <w:pPr>
        <w:ind w:left="425" w:hanging="425"/>
      </w:pPr>
      <w:rPr>
        <w:rFonts w:hint="default"/>
      </w:rPr>
    </w:lvl>
  </w:abstractNum>
  <w:abstractNum w:abstractNumId="10">
    <w:nsid w:val="F9605761"/>
    <w:multiLevelType w:val="singleLevel"/>
    <w:tmpl w:val="F9605761"/>
    <w:lvl w:ilvl="0" w:tentative="0">
      <w:start w:val="4"/>
      <w:numFmt w:val="decimal"/>
      <w:suff w:val="space"/>
      <w:lvlText w:val="(%1)"/>
      <w:lvlJc w:val="left"/>
    </w:lvl>
  </w:abstractNum>
  <w:abstractNum w:abstractNumId="11">
    <w:nsid w:val="F9D56731"/>
    <w:multiLevelType w:val="singleLevel"/>
    <w:tmpl w:val="F9D56731"/>
    <w:lvl w:ilvl="0" w:tentative="0">
      <w:start w:val="1"/>
      <w:numFmt w:val="decimal"/>
      <w:lvlText w:val="(%1)"/>
      <w:lvlJc w:val="left"/>
      <w:pPr>
        <w:ind w:left="425" w:hanging="425"/>
      </w:pPr>
      <w:rPr>
        <w:rFonts w:hint="default"/>
        <w:sz w:val="24"/>
        <w:szCs w:val="24"/>
      </w:rPr>
    </w:lvl>
  </w:abstractNum>
  <w:abstractNum w:abstractNumId="12">
    <w:nsid w:val="FBEBD802"/>
    <w:multiLevelType w:val="singleLevel"/>
    <w:tmpl w:val="FBEBD802"/>
    <w:lvl w:ilvl="0" w:tentative="0">
      <w:start w:val="1"/>
      <w:numFmt w:val="decimal"/>
      <w:lvlText w:val="%1."/>
      <w:lvlJc w:val="left"/>
      <w:pPr>
        <w:ind w:left="425" w:hanging="425"/>
      </w:pPr>
      <w:rPr>
        <w:rFonts w:hint="default"/>
      </w:rPr>
    </w:lvl>
  </w:abstractNum>
  <w:abstractNum w:abstractNumId="13">
    <w:nsid w:val="FE717E26"/>
    <w:multiLevelType w:val="singleLevel"/>
    <w:tmpl w:val="FE717E26"/>
    <w:lvl w:ilvl="0" w:tentative="0">
      <w:start w:val="1"/>
      <w:numFmt w:val="bullet"/>
      <w:lvlText w:val=""/>
      <w:lvlJc w:val="left"/>
      <w:pPr>
        <w:ind w:left="420" w:hanging="420"/>
      </w:pPr>
      <w:rPr>
        <w:rFonts w:hint="default" w:ascii="Wingdings" w:hAnsi="Wingdings"/>
      </w:rPr>
    </w:lvl>
  </w:abstractNum>
  <w:abstractNum w:abstractNumId="14">
    <w:nsid w:val="02B50191"/>
    <w:multiLevelType w:val="multilevel"/>
    <w:tmpl w:val="02B5019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5">
    <w:nsid w:val="047B0243"/>
    <w:multiLevelType w:val="multilevel"/>
    <w:tmpl w:val="047B0243"/>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6">
    <w:nsid w:val="0F6B415F"/>
    <w:multiLevelType w:val="multilevel"/>
    <w:tmpl w:val="0F6B415F"/>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7">
    <w:nsid w:val="15CCD505"/>
    <w:multiLevelType w:val="singleLevel"/>
    <w:tmpl w:val="15CCD505"/>
    <w:lvl w:ilvl="0" w:tentative="0">
      <w:start w:val="1"/>
      <w:numFmt w:val="decimal"/>
      <w:suff w:val="space"/>
      <w:lvlText w:val="%1."/>
      <w:lvlJc w:val="left"/>
      <w:rPr>
        <w:rFonts w:hint="default" w:ascii="Times New Roman" w:hAnsi="Times New Roman" w:cs="Times New Roman"/>
        <w:sz w:val="18"/>
        <w:szCs w:val="18"/>
      </w:rPr>
    </w:lvl>
  </w:abstractNum>
  <w:abstractNum w:abstractNumId="18">
    <w:nsid w:val="18CC7F7D"/>
    <w:multiLevelType w:val="multilevel"/>
    <w:tmpl w:val="18CC7F7D"/>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42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9">
    <w:nsid w:val="214A9D8C"/>
    <w:multiLevelType w:val="singleLevel"/>
    <w:tmpl w:val="214A9D8C"/>
    <w:lvl w:ilvl="0" w:tentative="0">
      <w:start w:val="1"/>
      <w:numFmt w:val="bullet"/>
      <w:lvlText w:val=""/>
      <w:lvlJc w:val="left"/>
      <w:pPr>
        <w:ind w:left="420" w:hanging="420"/>
      </w:pPr>
      <w:rPr>
        <w:rFonts w:hint="default" w:ascii="Wingdings" w:hAnsi="Wingdings"/>
      </w:rPr>
    </w:lvl>
  </w:abstractNum>
  <w:abstractNum w:abstractNumId="20">
    <w:nsid w:val="2204463E"/>
    <w:multiLevelType w:val="singleLevel"/>
    <w:tmpl w:val="2204463E"/>
    <w:lvl w:ilvl="0" w:tentative="0">
      <w:start w:val="1"/>
      <w:numFmt w:val="decimal"/>
      <w:lvlText w:val="%1."/>
      <w:lvlJc w:val="left"/>
      <w:pPr>
        <w:ind w:left="425" w:hanging="425"/>
      </w:pPr>
      <w:rPr>
        <w:rFonts w:hint="default"/>
      </w:rPr>
    </w:lvl>
  </w:abstractNum>
  <w:abstractNum w:abstractNumId="21">
    <w:nsid w:val="2342CAF1"/>
    <w:multiLevelType w:val="singleLevel"/>
    <w:tmpl w:val="2342CAF1"/>
    <w:lvl w:ilvl="0" w:tentative="0">
      <w:start w:val="1"/>
      <w:numFmt w:val="decimal"/>
      <w:suff w:val="space"/>
      <w:lvlText w:val="%1."/>
      <w:lvlJc w:val="left"/>
    </w:lvl>
  </w:abstractNum>
  <w:abstractNum w:abstractNumId="22">
    <w:nsid w:val="2552555C"/>
    <w:multiLevelType w:val="singleLevel"/>
    <w:tmpl w:val="2552555C"/>
    <w:lvl w:ilvl="0" w:tentative="0">
      <w:start w:val="1"/>
      <w:numFmt w:val="bullet"/>
      <w:lvlText w:val=""/>
      <w:lvlJc w:val="left"/>
      <w:pPr>
        <w:ind w:left="420" w:hanging="420"/>
      </w:pPr>
      <w:rPr>
        <w:rFonts w:hint="default" w:ascii="Wingdings" w:hAnsi="Wingdings"/>
        <w:sz w:val="20"/>
        <w:szCs w:val="20"/>
      </w:rPr>
    </w:lvl>
  </w:abstractNum>
  <w:abstractNum w:abstractNumId="23">
    <w:nsid w:val="27400CE5"/>
    <w:multiLevelType w:val="multilevel"/>
    <w:tmpl w:val="27400CE5"/>
    <w:lvl w:ilvl="0" w:tentative="0">
      <w:start w:val="1"/>
      <w:numFmt w:val="bullet"/>
      <w:lvlText w:val=""/>
      <w:lvlJc w:val="left"/>
      <w:pPr>
        <w:ind w:left="817" w:hanging="480"/>
      </w:pPr>
      <w:rPr>
        <w:rFonts w:hint="default" w:ascii="Wingdings" w:hAnsi="Wingdings"/>
      </w:rPr>
    </w:lvl>
    <w:lvl w:ilvl="1" w:tentative="0">
      <w:start w:val="1"/>
      <w:numFmt w:val="bullet"/>
      <w:lvlText w:val=""/>
      <w:lvlJc w:val="left"/>
      <w:pPr>
        <w:ind w:left="1297" w:hanging="480"/>
      </w:pPr>
      <w:rPr>
        <w:rFonts w:hint="default" w:ascii="Wingdings" w:hAnsi="Wingdings"/>
      </w:rPr>
    </w:lvl>
    <w:lvl w:ilvl="2" w:tentative="0">
      <w:start w:val="1"/>
      <w:numFmt w:val="bullet"/>
      <w:lvlText w:val=""/>
      <w:lvlJc w:val="left"/>
      <w:pPr>
        <w:ind w:left="1777" w:hanging="480"/>
      </w:pPr>
      <w:rPr>
        <w:rFonts w:hint="default" w:ascii="Wingdings" w:hAnsi="Wingdings"/>
      </w:rPr>
    </w:lvl>
    <w:lvl w:ilvl="3" w:tentative="0">
      <w:start w:val="1"/>
      <w:numFmt w:val="bullet"/>
      <w:lvlText w:val=""/>
      <w:lvlJc w:val="left"/>
      <w:pPr>
        <w:ind w:left="2257" w:hanging="480"/>
      </w:pPr>
      <w:rPr>
        <w:rFonts w:hint="default" w:ascii="Wingdings" w:hAnsi="Wingdings"/>
      </w:rPr>
    </w:lvl>
    <w:lvl w:ilvl="4" w:tentative="0">
      <w:start w:val="1"/>
      <w:numFmt w:val="bullet"/>
      <w:lvlText w:val=""/>
      <w:lvlJc w:val="left"/>
      <w:pPr>
        <w:ind w:left="2737" w:hanging="480"/>
      </w:pPr>
      <w:rPr>
        <w:rFonts w:hint="default" w:ascii="Wingdings" w:hAnsi="Wingdings"/>
      </w:rPr>
    </w:lvl>
    <w:lvl w:ilvl="5" w:tentative="0">
      <w:start w:val="1"/>
      <w:numFmt w:val="bullet"/>
      <w:lvlText w:val=""/>
      <w:lvlJc w:val="left"/>
      <w:pPr>
        <w:ind w:left="3217" w:hanging="480"/>
      </w:pPr>
      <w:rPr>
        <w:rFonts w:hint="default" w:ascii="Wingdings" w:hAnsi="Wingdings"/>
      </w:rPr>
    </w:lvl>
    <w:lvl w:ilvl="6" w:tentative="0">
      <w:start w:val="1"/>
      <w:numFmt w:val="bullet"/>
      <w:lvlText w:val=""/>
      <w:lvlJc w:val="left"/>
      <w:pPr>
        <w:ind w:left="3697" w:hanging="480"/>
      </w:pPr>
      <w:rPr>
        <w:rFonts w:hint="default" w:ascii="Wingdings" w:hAnsi="Wingdings"/>
      </w:rPr>
    </w:lvl>
    <w:lvl w:ilvl="7" w:tentative="0">
      <w:start w:val="1"/>
      <w:numFmt w:val="bullet"/>
      <w:lvlText w:val=""/>
      <w:lvlJc w:val="left"/>
      <w:pPr>
        <w:ind w:left="4177" w:hanging="480"/>
      </w:pPr>
      <w:rPr>
        <w:rFonts w:hint="default" w:ascii="Wingdings" w:hAnsi="Wingdings"/>
      </w:rPr>
    </w:lvl>
    <w:lvl w:ilvl="8" w:tentative="0">
      <w:start w:val="1"/>
      <w:numFmt w:val="bullet"/>
      <w:lvlText w:val=""/>
      <w:lvlJc w:val="left"/>
      <w:pPr>
        <w:ind w:left="4657" w:hanging="480"/>
      </w:pPr>
      <w:rPr>
        <w:rFonts w:hint="default" w:ascii="Wingdings" w:hAnsi="Wingdings"/>
      </w:rPr>
    </w:lvl>
  </w:abstractNum>
  <w:abstractNum w:abstractNumId="24">
    <w:nsid w:val="2943E1A0"/>
    <w:multiLevelType w:val="singleLevel"/>
    <w:tmpl w:val="2943E1A0"/>
    <w:lvl w:ilvl="0" w:tentative="0">
      <w:start w:val="1"/>
      <w:numFmt w:val="bullet"/>
      <w:lvlText w:val=""/>
      <w:lvlJc w:val="left"/>
      <w:pPr>
        <w:ind w:left="420" w:hanging="420"/>
      </w:pPr>
      <w:rPr>
        <w:rFonts w:hint="default" w:ascii="Wingdings" w:hAnsi="Wingdings"/>
      </w:rPr>
    </w:lvl>
  </w:abstractNum>
  <w:abstractNum w:abstractNumId="25">
    <w:nsid w:val="32890DA6"/>
    <w:multiLevelType w:val="singleLevel"/>
    <w:tmpl w:val="32890DA6"/>
    <w:lvl w:ilvl="0" w:tentative="0">
      <w:start w:val="1"/>
      <w:numFmt w:val="decimal"/>
      <w:suff w:val="space"/>
      <w:lvlText w:val="(%1)"/>
      <w:lvlJc w:val="left"/>
    </w:lvl>
  </w:abstractNum>
  <w:abstractNum w:abstractNumId="26">
    <w:nsid w:val="34865E64"/>
    <w:multiLevelType w:val="singleLevel"/>
    <w:tmpl w:val="34865E64"/>
    <w:lvl w:ilvl="0" w:tentative="0">
      <w:start w:val="1"/>
      <w:numFmt w:val="bullet"/>
      <w:lvlText w:val=""/>
      <w:lvlJc w:val="left"/>
      <w:pPr>
        <w:ind w:left="420" w:hanging="420"/>
      </w:pPr>
      <w:rPr>
        <w:rFonts w:hint="default" w:ascii="Wingdings" w:hAnsi="Wingdings"/>
      </w:rPr>
    </w:lvl>
  </w:abstractNum>
  <w:abstractNum w:abstractNumId="27">
    <w:nsid w:val="382522E4"/>
    <w:multiLevelType w:val="multilevel"/>
    <w:tmpl w:val="382522E4"/>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8">
    <w:nsid w:val="3C601CA0"/>
    <w:multiLevelType w:val="multilevel"/>
    <w:tmpl w:val="3C601CA0"/>
    <w:lvl w:ilvl="0" w:tentative="0">
      <w:start w:val="1"/>
      <w:numFmt w:val="decimal"/>
      <w:lvlText w:val="%1."/>
      <w:lvlJc w:val="left"/>
      <w:pPr>
        <w:ind w:left="420" w:hanging="420"/>
      </w:pPr>
      <w:rPr>
        <w:rFonts w:hint="default"/>
        <w:b/>
        <w:bC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42C55CC8"/>
    <w:multiLevelType w:val="singleLevel"/>
    <w:tmpl w:val="42C55CC8"/>
    <w:lvl w:ilvl="0" w:tentative="0">
      <w:start w:val="1"/>
      <w:numFmt w:val="decimal"/>
      <w:suff w:val="space"/>
      <w:lvlText w:val="%1."/>
      <w:lvlJc w:val="left"/>
    </w:lvl>
  </w:abstractNum>
  <w:abstractNum w:abstractNumId="30">
    <w:nsid w:val="45A306B0"/>
    <w:multiLevelType w:val="singleLevel"/>
    <w:tmpl w:val="45A306B0"/>
    <w:lvl w:ilvl="0" w:tentative="0">
      <w:start w:val="1"/>
      <w:numFmt w:val="bullet"/>
      <w:lvlText w:val=""/>
      <w:lvlJc w:val="left"/>
      <w:pPr>
        <w:ind w:left="420" w:hanging="420"/>
      </w:pPr>
      <w:rPr>
        <w:rFonts w:hint="default" w:ascii="Wingdings" w:hAnsi="Wingdings"/>
      </w:rPr>
    </w:lvl>
  </w:abstractNum>
  <w:abstractNum w:abstractNumId="31">
    <w:nsid w:val="45B56E8A"/>
    <w:multiLevelType w:val="multilevel"/>
    <w:tmpl w:val="45B56E8A"/>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2">
    <w:nsid w:val="526D3DF5"/>
    <w:multiLevelType w:val="singleLevel"/>
    <w:tmpl w:val="526D3DF5"/>
    <w:lvl w:ilvl="0" w:tentative="0">
      <w:start w:val="1"/>
      <w:numFmt w:val="upperRoman"/>
      <w:suff w:val="space"/>
      <w:lvlText w:val="%1."/>
      <w:lvlJc w:val="left"/>
    </w:lvl>
  </w:abstractNum>
  <w:abstractNum w:abstractNumId="33">
    <w:nsid w:val="532E5A25"/>
    <w:multiLevelType w:val="multilevel"/>
    <w:tmpl w:val="532E5A25"/>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4">
    <w:nsid w:val="5ED97F1A"/>
    <w:multiLevelType w:val="multilevel"/>
    <w:tmpl w:val="5ED97F1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5">
    <w:nsid w:val="63741FE1"/>
    <w:multiLevelType w:val="multilevel"/>
    <w:tmpl w:val="63741FE1"/>
    <w:lvl w:ilvl="0" w:tentative="0">
      <w:start w:val="1"/>
      <w:numFmt w:val="bullet"/>
      <w:lvlText w:val=""/>
      <w:lvlJc w:val="left"/>
      <w:pPr>
        <w:ind w:left="900" w:hanging="480"/>
      </w:pPr>
      <w:rPr>
        <w:rFonts w:hint="default" w:ascii="Wingdings" w:hAnsi="Wingdings"/>
      </w:rPr>
    </w:lvl>
    <w:lvl w:ilvl="1" w:tentative="0">
      <w:start w:val="1"/>
      <w:numFmt w:val="bullet"/>
      <w:lvlText w:val=""/>
      <w:lvlJc w:val="left"/>
      <w:pPr>
        <w:ind w:left="1380" w:hanging="480"/>
      </w:pPr>
      <w:rPr>
        <w:rFonts w:hint="default" w:ascii="Wingdings" w:hAnsi="Wingdings"/>
      </w:rPr>
    </w:lvl>
    <w:lvl w:ilvl="2" w:tentative="0">
      <w:start w:val="1"/>
      <w:numFmt w:val="bullet"/>
      <w:lvlText w:val=""/>
      <w:lvlJc w:val="left"/>
      <w:pPr>
        <w:ind w:left="1860" w:hanging="480"/>
      </w:pPr>
      <w:rPr>
        <w:rFonts w:hint="default" w:ascii="Wingdings" w:hAnsi="Wingdings"/>
      </w:rPr>
    </w:lvl>
    <w:lvl w:ilvl="3" w:tentative="0">
      <w:start w:val="1"/>
      <w:numFmt w:val="bullet"/>
      <w:lvlText w:val=""/>
      <w:lvlJc w:val="left"/>
      <w:pPr>
        <w:ind w:left="2340" w:hanging="480"/>
      </w:pPr>
      <w:rPr>
        <w:rFonts w:hint="default" w:ascii="Wingdings" w:hAnsi="Wingdings"/>
      </w:rPr>
    </w:lvl>
    <w:lvl w:ilvl="4" w:tentative="0">
      <w:start w:val="1"/>
      <w:numFmt w:val="bullet"/>
      <w:lvlText w:val=""/>
      <w:lvlJc w:val="left"/>
      <w:pPr>
        <w:ind w:left="2820" w:hanging="480"/>
      </w:pPr>
      <w:rPr>
        <w:rFonts w:hint="default" w:ascii="Wingdings" w:hAnsi="Wingdings"/>
      </w:rPr>
    </w:lvl>
    <w:lvl w:ilvl="5" w:tentative="0">
      <w:start w:val="1"/>
      <w:numFmt w:val="bullet"/>
      <w:lvlText w:val=""/>
      <w:lvlJc w:val="left"/>
      <w:pPr>
        <w:ind w:left="3300" w:hanging="480"/>
      </w:pPr>
      <w:rPr>
        <w:rFonts w:hint="default" w:ascii="Wingdings" w:hAnsi="Wingdings"/>
      </w:rPr>
    </w:lvl>
    <w:lvl w:ilvl="6" w:tentative="0">
      <w:start w:val="1"/>
      <w:numFmt w:val="bullet"/>
      <w:lvlText w:val=""/>
      <w:lvlJc w:val="left"/>
      <w:pPr>
        <w:ind w:left="3780" w:hanging="480"/>
      </w:pPr>
      <w:rPr>
        <w:rFonts w:hint="default" w:ascii="Wingdings" w:hAnsi="Wingdings"/>
      </w:rPr>
    </w:lvl>
    <w:lvl w:ilvl="7" w:tentative="0">
      <w:start w:val="1"/>
      <w:numFmt w:val="bullet"/>
      <w:lvlText w:val=""/>
      <w:lvlJc w:val="left"/>
      <w:pPr>
        <w:ind w:left="4260" w:hanging="480"/>
      </w:pPr>
      <w:rPr>
        <w:rFonts w:hint="default" w:ascii="Wingdings" w:hAnsi="Wingdings"/>
      </w:rPr>
    </w:lvl>
    <w:lvl w:ilvl="8" w:tentative="0">
      <w:start w:val="1"/>
      <w:numFmt w:val="bullet"/>
      <w:lvlText w:val=""/>
      <w:lvlJc w:val="left"/>
      <w:pPr>
        <w:ind w:left="4740" w:hanging="480"/>
      </w:pPr>
      <w:rPr>
        <w:rFonts w:hint="default" w:ascii="Wingdings" w:hAnsi="Wingdings"/>
      </w:rPr>
    </w:lvl>
  </w:abstractNum>
  <w:abstractNum w:abstractNumId="36">
    <w:nsid w:val="64168DA4"/>
    <w:multiLevelType w:val="singleLevel"/>
    <w:tmpl w:val="64168DA4"/>
    <w:lvl w:ilvl="0" w:tentative="0">
      <w:start w:val="1"/>
      <w:numFmt w:val="decimal"/>
      <w:suff w:val="space"/>
      <w:lvlText w:val="%1."/>
      <w:lvlJc w:val="left"/>
    </w:lvl>
  </w:abstractNum>
  <w:abstractNum w:abstractNumId="37">
    <w:nsid w:val="65B6EBA2"/>
    <w:multiLevelType w:val="singleLevel"/>
    <w:tmpl w:val="65B6EBA2"/>
    <w:lvl w:ilvl="0" w:tentative="0">
      <w:start w:val="4"/>
      <w:numFmt w:val="decimal"/>
      <w:suff w:val="space"/>
      <w:lvlText w:val="%1."/>
      <w:lvlJc w:val="left"/>
    </w:lvl>
  </w:abstractNum>
  <w:abstractNum w:abstractNumId="38">
    <w:nsid w:val="65DF6F98"/>
    <w:multiLevelType w:val="multilevel"/>
    <w:tmpl w:val="65DF6F98"/>
    <w:lvl w:ilvl="0" w:tentative="0">
      <w:start w:val="1"/>
      <w:numFmt w:val="bullet"/>
      <w:lvlText w:val=""/>
      <w:lvlJc w:val="left"/>
      <w:pPr>
        <w:ind w:left="420" w:hanging="420"/>
      </w:pPr>
      <w:rPr>
        <w:rFonts w:hint="default" w:ascii="Wingdings" w:hAnsi="Wingdings"/>
        <w:color w:val="auto"/>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9">
    <w:nsid w:val="733D3C9E"/>
    <w:multiLevelType w:val="multilevel"/>
    <w:tmpl w:val="733D3C9E"/>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0">
    <w:nsid w:val="7C077567"/>
    <w:multiLevelType w:val="multilevel"/>
    <w:tmpl w:val="7C077567"/>
    <w:lvl w:ilvl="0" w:tentative="0">
      <w:start w:val="1"/>
      <w:numFmt w:val="bullet"/>
      <w:lvlText w:val=""/>
      <w:lvlJc w:val="left"/>
      <w:pPr>
        <w:ind w:left="900" w:hanging="480"/>
      </w:pPr>
      <w:rPr>
        <w:rFonts w:hint="default" w:ascii="Wingdings" w:hAnsi="Wingdings"/>
      </w:rPr>
    </w:lvl>
    <w:lvl w:ilvl="1" w:tentative="0">
      <w:start w:val="1"/>
      <w:numFmt w:val="bullet"/>
      <w:lvlText w:val=""/>
      <w:lvlJc w:val="left"/>
      <w:pPr>
        <w:ind w:left="1380" w:hanging="480"/>
      </w:pPr>
      <w:rPr>
        <w:rFonts w:hint="default" w:ascii="Wingdings" w:hAnsi="Wingdings"/>
      </w:rPr>
    </w:lvl>
    <w:lvl w:ilvl="2" w:tentative="0">
      <w:start w:val="1"/>
      <w:numFmt w:val="bullet"/>
      <w:lvlText w:val=""/>
      <w:lvlJc w:val="left"/>
      <w:pPr>
        <w:ind w:left="1860" w:hanging="480"/>
      </w:pPr>
      <w:rPr>
        <w:rFonts w:hint="default" w:ascii="Wingdings" w:hAnsi="Wingdings"/>
      </w:rPr>
    </w:lvl>
    <w:lvl w:ilvl="3" w:tentative="0">
      <w:start w:val="1"/>
      <w:numFmt w:val="bullet"/>
      <w:lvlText w:val=""/>
      <w:lvlJc w:val="left"/>
      <w:pPr>
        <w:ind w:left="2340" w:hanging="480"/>
      </w:pPr>
      <w:rPr>
        <w:rFonts w:hint="default" w:ascii="Wingdings" w:hAnsi="Wingdings"/>
      </w:rPr>
    </w:lvl>
    <w:lvl w:ilvl="4" w:tentative="0">
      <w:start w:val="1"/>
      <w:numFmt w:val="bullet"/>
      <w:lvlText w:val=""/>
      <w:lvlJc w:val="left"/>
      <w:pPr>
        <w:ind w:left="2820" w:hanging="480"/>
      </w:pPr>
      <w:rPr>
        <w:rFonts w:hint="default" w:ascii="Wingdings" w:hAnsi="Wingdings"/>
      </w:rPr>
    </w:lvl>
    <w:lvl w:ilvl="5" w:tentative="0">
      <w:start w:val="1"/>
      <w:numFmt w:val="bullet"/>
      <w:lvlText w:val=""/>
      <w:lvlJc w:val="left"/>
      <w:pPr>
        <w:ind w:left="3300" w:hanging="480"/>
      </w:pPr>
      <w:rPr>
        <w:rFonts w:hint="default" w:ascii="Wingdings" w:hAnsi="Wingdings"/>
      </w:rPr>
    </w:lvl>
    <w:lvl w:ilvl="6" w:tentative="0">
      <w:start w:val="1"/>
      <w:numFmt w:val="bullet"/>
      <w:lvlText w:val=""/>
      <w:lvlJc w:val="left"/>
      <w:pPr>
        <w:ind w:left="3780" w:hanging="480"/>
      </w:pPr>
      <w:rPr>
        <w:rFonts w:hint="default" w:ascii="Wingdings" w:hAnsi="Wingdings"/>
      </w:rPr>
    </w:lvl>
    <w:lvl w:ilvl="7" w:tentative="0">
      <w:start w:val="1"/>
      <w:numFmt w:val="bullet"/>
      <w:lvlText w:val=""/>
      <w:lvlJc w:val="left"/>
      <w:pPr>
        <w:ind w:left="4260" w:hanging="480"/>
      </w:pPr>
      <w:rPr>
        <w:rFonts w:hint="default" w:ascii="Wingdings" w:hAnsi="Wingdings"/>
      </w:rPr>
    </w:lvl>
    <w:lvl w:ilvl="8" w:tentative="0">
      <w:start w:val="1"/>
      <w:numFmt w:val="bullet"/>
      <w:lvlText w:val=""/>
      <w:lvlJc w:val="left"/>
      <w:pPr>
        <w:ind w:left="4740" w:hanging="480"/>
      </w:pPr>
      <w:rPr>
        <w:rFonts w:hint="default" w:ascii="Wingdings" w:hAnsi="Wingdings"/>
      </w:rPr>
    </w:lvl>
  </w:abstractNum>
  <w:num w:numId="1">
    <w:abstractNumId w:val="33"/>
  </w:num>
  <w:num w:numId="2">
    <w:abstractNumId w:val="14"/>
  </w:num>
  <w:num w:numId="3">
    <w:abstractNumId w:val="31"/>
  </w:num>
  <w:num w:numId="4">
    <w:abstractNumId w:val="38"/>
  </w:num>
  <w:num w:numId="5">
    <w:abstractNumId w:val="34"/>
  </w:num>
  <w:num w:numId="6">
    <w:abstractNumId w:val="37"/>
  </w:num>
  <w:num w:numId="7">
    <w:abstractNumId w:val="11"/>
  </w:num>
  <w:num w:numId="8">
    <w:abstractNumId w:val="25"/>
  </w:num>
  <w:num w:numId="9">
    <w:abstractNumId w:val="18"/>
  </w:num>
  <w:num w:numId="10">
    <w:abstractNumId w:val="39"/>
  </w:num>
  <w:num w:numId="11">
    <w:abstractNumId w:val="36"/>
  </w:num>
  <w:num w:numId="12">
    <w:abstractNumId w:val="10"/>
  </w:num>
  <w:num w:numId="13">
    <w:abstractNumId w:val="6"/>
  </w:num>
  <w:num w:numId="14">
    <w:abstractNumId w:val="40"/>
  </w:num>
  <w:num w:numId="15">
    <w:abstractNumId w:val="35"/>
  </w:num>
  <w:num w:numId="16">
    <w:abstractNumId w:val="23"/>
  </w:num>
  <w:num w:numId="17">
    <w:abstractNumId w:val="16"/>
  </w:num>
  <w:num w:numId="18">
    <w:abstractNumId w:val="15"/>
  </w:num>
  <w:num w:numId="19">
    <w:abstractNumId w:val="27"/>
  </w:num>
  <w:num w:numId="20">
    <w:abstractNumId w:val="2"/>
  </w:num>
  <w:num w:numId="21">
    <w:abstractNumId w:val="28"/>
  </w:num>
  <w:num w:numId="22">
    <w:abstractNumId w:val="7"/>
  </w:num>
  <w:num w:numId="23">
    <w:abstractNumId w:val="4"/>
  </w:num>
  <w:num w:numId="24">
    <w:abstractNumId w:val="9"/>
  </w:num>
  <w:num w:numId="25">
    <w:abstractNumId w:val="21"/>
  </w:num>
  <w:num w:numId="26">
    <w:abstractNumId w:val="0"/>
  </w:num>
  <w:num w:numId="27">
    <w:abstractNumId w:val="8"/>
  </w:num>
  <w:num w:numId="28">
    <w:abstractNumId w:val="19"/>
  </w:num>
  <w:num w:numId="29">
    <w:abstractNumId w:val="22"/>
  </w:num>
  <w:num w:numId="30">
    <w:abstractNumId w:val="1"/>
  </w:num>
  <w:num w:numId="31">
    <w:abstractNumId w:val="24"/>
  </w:num>
  <w:num w:numId="32">
    <w:abstractNumId w:val="17"/>
  </w:num>
  <w:num w:numId="33">
    <w:abstractNumId w:val="12"/>
  </w:num>
  <w:num w:numId="34">
    <w:abstractNumId w:val="26"/>
  </w:num>
  <w:num w:numId="35">
    <w:abstractNumId w:val="30"/>
  </w:num>
  <w:num w:numId="36">
    <w:abstractNumId w:val="5"/>
  </w:num>
  <w:num w:numId="37">
    <w:abstractNumId w:val="32"/>
  </w:num>
  <w:num w:numId="38">
    <w:abstractNumId w:val="13"/>
  </w:num>
  <w:num w:numId="39">
    <w:abstractNumId w:val="3"/>
  </w:num>
  <w:num w:numId="40">
    <w:abstractNumId w:val="29"/>
  </w:num>
  <w:num w:numId="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420"/>
  <w:drawingGridHorizontalSpacing w:val="105"/>
  <w:drawingGridVerticalSpacing w:val="156"/>
  <w:noPunctuationKerning w:val="1"/>
  <w:characterSpacingControl w:val="compressPunctuation"/>
  <w:noLineBreaksAfter w:lang="zh-CN" w:val="$([{£¥·‘“〈《「『【〔〖〝﹙﹛﹝＄（．［｛￡￥"/>
  <w:noLineBreaksBefore w:lang="zh-CN" w:val="!%),.:;&gt;?]}¢¨°·ˇˉ―‖’”…‰′″›℃∶、。〃〉》」』】〕〗〞︶︺︾﹀﹄﹚﹜﹞！＂％＇），．：；？］｀｜｝～￠"/>
  <w:hdrShapeDefaults>
    <o:shapelayout v:ext="edit">
      <o:idmap v:ext="edit" data="1,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WE5Y2I3M2E4NDY4OGY1NGNlY2FlZmFmOTY1NmRhNTAifQ=="/>
    <w:docVar w:name="EN.Layout" w:val="&lt;ENLayout&gt;&lt;Style&gt;JAMA&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pzr0erzmxsa9se0rf4p20fqfa5wtvd0fxfr&quot;&gt;600多2019.03.29 复制&lt;record-ids&gt;&lt;item&gt;85&lt;/item&gt;&lt;item&gt;115&lt;/item&gt;&lt;item&gt;125&lt;/item&gt;&lt;item&gt;189&lt;/item&gt;&lt;item&gt;325&lt;/item&gt;&lt;item&gt;438&lt;/item&gt;&lt;item&gt;499&lt;/item&gt;&lt;item&gt;593&lt;/item&gt;&lt;item&gt;639&lt;/item&gt;&lt;item&gt;649&lt;/item&gt;&lt;item&gt;713&lt;/item&gt;&lt;item&gt;718&lt;/item&gt;&lt;item&gt;720&lt;/item&gt;&lt;item&gt;725&lt;/item&gt;&lt;item&gt;728&lt;/item&gt;&lt;item&gt;745&lt;/item&gt;&lt;item&gt;746&lt;/item&gt;&lt;item&gt;748&lt;/item&gt;&lt;item&gt;749&lt;/item&gt;&lt;item&gt;752&lt;/item&gt;&lt;item&gt;754&lt;/item&gt;&lt;item&gt;755&lt;/item&gt;&lt;item&gt;757&lt;/item&gt;&lt;item&gt;758&lt;/item&gt;&lt;item&gt;759&lt;/item&gt;&lt;item&gt;760&lt;/item&gt;&lt;item&gt;761&lt;/item&gt;&lt;item&gt;765&lt;/item&gt;&lt;item&gt;766&lt;/item&gt;&lt;item&gt;774&lt;/item&gt;&lt;item&gt;777&lt;/item&gt;&lt;/record-ids&gt;&lt;/item&gt;&lt;/Libraries&gt;"/>
  </w:docVars>
  <w:rsids>
    <w:rsidRoot w:val="00B97F71"/>
    <w:rsid w:val="00000635"/>
    <w:rsid w:val="000021C9"/>
    <w:rsid w:val="00004CA4"/>
    <w:rsid w:val="0000507F"/>
    <w:rsid w:val="000055B5"/>
    <w:rsid w:val="00006C07"/>
    <w:rsid w:val="0001158E"/>
    <w:rsid w:val="000125B7"/>
    <w:rsid w:val="0002341B"/>
    <w:rsid w:val="00024B9E"/>
    <w:rsid w:val="0002695D"/>
    <w:rsid w:val="00027199"/>
    <w:rsid w:val="000304FF"/>
    <w:rsid w:val="00031905"/>
    <w:rsid w:val="00033520"/>
    <w:rsid w:val="0004003E"/>
    <w:rsid w:val="00041D6D"/>
    <w:rsid w:val="00042543"/>
    <w:rsid w:val="00043F02"/>
    <w:rsid w:val="00046234"/>
    <w:rsid w:val="00047043"/>
    <w:rsid w:val="00047556"/>
    <w:rsid w:val="00047BC7"/>
    <w:rsid w:val="0005142C"/>
    <w:rsid w:val="0005416B"/>
    <w:rsid w:val="00054739"/>
    <w:rsid w:val="000613CA"/>
    <w:rsid w:val="00065F10"/>
    <w:rsid w:val="0006780D"/>
    <w:rsid w:val="000707A2"/>
    <w:rsid w:val="00072C1F"/>
    <w:rsid w:val="00074B53"/>
    <w:rsid w:val="0007529B"/>
    <w:rsid w:val="00076928"/>
    <w:rsid w:val="000828E1"/>
    <w:rsid w:val="00085A00"/>
    <w:rsid w:val="0009160E"/>
    <w:rsid w:val="00094333"/>
    <w:rsid w:val="0009592E"/>
    <w:rsid w:val="00097F49"/>
    <w:rsid w:val="000A41D3"/>
    <w:rsid w:val="000B0BF5"/>
    <w:rsid w:val="000B15BF"/>
    <w:rsid w:val="000B2A3C"/>
    <w:rsid w:val="000C0B5D"/>
    <w:rsid w:val="000C1E34"/>
    <w:rsid w:val="000C29AA"/>
    <w:rsid w:val="000C363E"/>
    <w:rsid w:val="000C5128"/>
    <w:rsid w:val="000C5EFA"/>
    <w:rsid w:val="000C7D49"/>
    <w:rsid w:val="000D0908"/>
    <w:rsid w:val="000D4D42"/>
    <w:rsid w:val="000E2662"/>
    <w:rsid w:val="000E2DE3"/>
    <w:rsid w:val="000E2F0F"/>
    <w:rsid w:val="000F0743"/>
    <w:rsid w:val="000F0AEC"/>
    <w:rsid w:val="000F3409"/>
    <w:rsid w:val="000F3426"/>
    <w:rsid w:val="000F6D88"/>
    <w:rsid w:val="000F77DB"/>
    <w:rsid w:val="00103E97"/>
    <w:rsid w:val="001106A3"/>
    <w:rsid w:val="00110B78"/>
    <w:rsid w:val="00113D79"/>
    <w:rsid w:val="00120B38"/>
    <w:rsid w:val="00123830"/>
    <w:rsid w:val="00123D4E"/>
    <w:rsid w:val="001241F5"/>
    <w:rsid w:val="00124B08"/>
    <w:rsid w:val="001261F2"/>
    <w:rsid w:val="00127834"/>
    <w:rsid w:val="00132D53"/>
    <w:rsid w:val="00141104"/>
    <w:rsid w:val="00143262"/>
    <w:rsid w:val="0014648C"/>
    <w:rsid w:val="001553C7"/>
    <w:rsid w:val="001554E8"/>
    <w:rsid w:val="00156E99"/>
    <w:rsid w:val="00156EF3"/>
    <w:rsid w:val="00157D74"/>
    <w:rsid w:val="00161C3C"/>
    <w:rsid w:val="00162CAC"/>
    <w:rsid w:val="00164113"/>
    <w:rsid w:val="00164513"/>
    <w:rsid w:val="001649D2"/>
    <w:rsid w:val="001663C8"/>
    <w:rsid w:val="0016762A"/>
    <w:rsid w:val="00171D77"/>
    <w:rsid w:val="00172FE7"/>
    <w:rsid w:val="001736AC"/>
    <w:rsid w:val="00175E31"/>
    <w:rsid w:val="00181E27"/>
    <w:rsid w:val="001905CA"/>
    <w:rsid w:val="00193525"/>
    <w:rsid w:val="001939E6"/>
    <w:rsid w:val="00194BF4"/>
    <w:rsid w:val="00194C2A"/>
    <w:rsid w:val="00196396"/>
    <w:rsid w:val="00197A53"/>
    <w:rsid w:val="001A1116"/>
    <w:rsid w:val="001A5527"/>
    <w:rsid w:val="001A7CFF"/>
    <w:rsid w:val="001B27A3"/>
    <w:rsid w:val="001B2A50"/>
    <w:rsid w:val="001B53B1"/>
    <w:rsid w:val="001C209B"/>
    <w:rsid w:val="001C2D0A"/>
    <w:rsid w:val="001C5244"/>
    <w:rsid w:val="001C5A5D"/>
    <w:rsid w:val="001C71F4"/>
    <w:rsid w:val="001C783C"/>
    <w:rsid w:val="001D1CA9"/>
    <w:rsid w:val="001D2A36"/>
    <w:rsid w:val="001D4CF7"/>
    <w:rsid w:val="001D7DDE"/>
    <w:rsid w:val="001E2731"/>
    <w:rsid w:val="001E2AB0"/>
    <w:rsid w:val="001E2CFC"/>
    <w:rsid w:val="001E31D5"/>
    <w:rsid w:val="001E50FD"/>
    <w:rsid w:val="001F781D"/>
    <w:rsid w:val="00200BE6"/>
    <w:rsid w:val="00202A7A"/>
    <w:rsid w:val="0020377C"/>
    <w:rsid w:val="002054B1"/>
    <w:rsid w:val="002061EE"/>
    <w:rsid w:val="00212E9D"/>
    <w:rsid w:val="00213830"/>
    <w:rsid w:val="00216559"/>
    <w:rsid w:val="00220DD2"/>
    <w:rsid w:val="00222D4C"/>
    <w:rsid w:val="00224529"/>
    <w:rsid w:val="0022498A"/>
    <w:rsid w:val="00224F0E"/>
    <w:rsid w:val="00225B9A"/>
    <w:rsid w:val="00227317"/>
    <w:rsid w:val="002300DD"/>
    <w:rsid w:val="00232556"/>
    <w:rsid w:val="002378FC"/>
    <w:rsid w:val="002403A3"/>
    <w:rsid w:val="00241080"/>
    <w:rsid w:val="00241A6B"/>
    <w:rsid w:val="00243365"/>
    <w:rsid w:val="0024444E"/>
    <w:rsid w:val="0024478B"/>
    <w:rsid w:val="0024586A"/>
    <w:rsid w:val="00246B74"/>
    <w:rsid w:val="00246BC1"/>
    <w:rsid w:val="00250EA5"/>
    <w:rsid w:val="00252273"/>
    <w:rsid w:val="0025278C"/>
    <w:rsid w:val="00252950"/>
    <w:rsid w:val="00252FD4"/>
    <w:rsid w:val="00254502"/>
    <w:rsid w:val="002556B1"/>
    <w:rsid w:val="00257E4B"/>
    <w:rsid w:val="00260BAB"/>
    <w:rsid w:val="002643E6"/>
    <w:rsid w:val="00267579"/>
    <w:rsid w:val="002704B0"/>
    <w:rsid w:val="00281991"/>
    <w:rsid w:val="0029692E"/>
    <w:rsid w:val="00297271"/>
    <w:rsid w:val="002A0C11"/>
    <w:rsid w:val="002B3167"/>
    <w:rsid w:val="002B3544"/>
    <w:rsid w:val="002B4ADA"/>
    <w:rsid w:val="002B5B57"/>
    <w:rsid w:val="002B7055"/>
    <w:rsid w:val="002C0AFE"/>
    <w:rsid w:val="002C15C5"/>
    <w:rsid w:val="002C1A70"/>
    <w:rsid w:val="002C3281"/>
    <w:rsid w:val="002C367A"/>
    <w:rsid w:val="002C5B5D"/>
    <w:rsid w:val="002D10F9"/>
    <w:rsid w:val="002D3593"/>
    <w:rsid w:val="002D3BD9"/>
    <w:rsid w:val="002D7ACC"/>
    <w:rsid w:val="002E2512"/>
    <w:rsid w:val="002E591D"/>
    <w:rsid w:val="002F2FFD"/>
    <w:rsid w:val="002F5060"/>
    <w:rsid w:val="002F56A9"/>
    <w:rsid w:val="002F5AF4"/>
    <w:rsid w:val="00302963"/>
    <w:rsid w:val="00305D87"/>
    <w:rsid w:val="00311A7B"/>
    <w:rsid w:val="00313B92"/>
    <w:rsid w:val="00316494"/>
    <w:rsid w:val="00324B18"/>
    <w:rsid w:val="00324E6F"/>
    <w:rsid w:val="0033009A"/>
    <w:rsid w:val="00331287"/>
    <w:rsid w:val="00334195"/>
    <w:rsid w:val="00341B70"/>
    <w:rsid w:val="00343443"/>
    <w:rsid w:val="00343C29"/>
    <w:rsid w:val="00343F71"/>
    <w:rsid w:val="003514A5"/>
    <w:rsid w:val="00355267"/>
    <w:rsid w:val="00360892"/>
    <w:rsid w:val="00362C1C"/>
    <w:rsid w:val="00362FEB"/>
    <w:rsid w:val="003632C4"/>
    <w:rsid w:val="0036480B"/>
    <w:rsid w:val="0036548A"/>
    <w:rsid w:val="003665F1"/>
    <w:rsid w:val="003779D0"/>
    <w:rsid w:val="0038088D"/>
    <w:rsid w:val="003837F3"/>
    <w:rsid w:val="00384286"/>
    <w:rsid w:val="0039149F"/>
    <w:rsid w:val="00393831"/>
    <w:rsid w:val="00394DC2"/>
    <w:rsid w:val="00395914"/>
    <w:rsid w:val="003A264C"/>
    <w:rsid w:val="003A7C62"/>
    <w:rsid w:val="003A7FAC"/>
    <w:rsid w:val="003B1328"/>
    <w:rsid w:val="003B2C1C"/>
    <w:rsid w:val="003C20D3"/>
    <w:rsid w:val="003C5171"/>
    <w:rsid w:val="003C63F6"/>
    <w:rsid w:val="003D085B"/>
    <w:rsid w:val="003D36DA"/>
    <w:rsid w:val="003D44D0"/>
    <w:rsid w:val="003D7225"/>
    <w:rsid w:val="003E076B"/>
    <w:rsid w:val="003E102A"/>
    <w:rsid w:val="003E219F"/>
    <w:rsid w:val="003E52EF"/>
    <w:rsid w:val="003E717D"/>
    <w:rsid w:val="003E7482"/>
    <w:rsid w:val="003F0B93"/>
    <w:rsid w:val="003F17A5"/>
    <w:rsid w:val="003F33E9"/>
    <w:rsid w:val="003F683D"/>
    <w:rsid w:val="003F7257"/>
    <w:rsid w:val="004000FF"/>
    <w:rsid w:val="0040099B"/>
    <w:rsid w:val="00400DB9"/>
    <w:rsid w:val="0040331C"/>
    <w:rsid w:val="004048DF"/>
    <w:rsid w:val="00412235"/>
    <w:rsid w:val="004167E4"/>
    <w:rsid w:val="00422EFC"/>
    <w:rsid w:val="00423A6E"/>
    <w:rsid w:val="00430F05"/>
    <w:rsid w:val="00431B17"/>
    <w:rsid w:val="00433EB7"/>
    <w:rsid w:val="00440958"/>
    <w:rsid w:val="00441B7E"/>
    <w:rsid w:val="00444DDA"/>
    <w:rsid w:val="004459C3"/>
    <w:rsid w:val="00452306"/>
    <w:rsid w:val="004529F8"/>
    <w:rsid w:val="00456780"/>
    <w:rsid w:val="00456A77"/>
    <w:rsid w:val="00456CB7"/>
    <w:rsid w:val="0046074A"/>
    <w:rsid w:val="0046149C"/>
    <w:rsid w:val="004635A4"/>
    <w:rsid w:val="00463F70"/>
    <w:rsid w:val="00465E1B"/>
    <w:rsid w:val="00466B3F"/>
    <w:rsid w:val="004730FC"/>
    <w:rsid w:val="004746B3"/>
    <w:rsid w:val="004757D5"/>
    <w:rsid w:val="00482D93"/>
    <w:rsid w:val="004830B8"/>
    <w:rsid w:val="00484C77"/>
    <w:rsid w:val="00487E70"/>
    <w:rsid w:val="004918C7"/>
    <w:rsid w:val="00491A04"/>
    <w:rsid w:val="00492B35"/>
    <w:rsid w:val="00495543"/>
    <w:rsid w:val="00497BA5"/>
    <w:rsid w:val="004A0896"/>
    <w:rsid w:val="004A657D"/>
    <w:rsid w:val="004A7FD4"/>
    <w:rsid w:val="004B1CE6"/>
    <w:rsid w:val="004B2699"/>
    <w:rsid w:val="004B4834"/>
    <w:rsid w:val="004C0406"/>
    <w:rsid w:val="004C2DDA"/>
    <w:rsid w:val="004C3C57"/>
    <w:rsid w:val="004C5CC9"/>
    <w:rsid w:val="004D04B6"/>
    <w:rsid w:val="004D19C4"/>
    <w:rsid w:val="004D3213"/>
    <w:rsid w:val="004D4A3F"/>
    <w:rsid w:val="004D55F9"/>
    <w:rsid w:val="004E4E16"/>
    <w:rsid w:val="004E64A5"/>
    <w:rsid w:val="004F3C80"/>
    <w:rsid w:val="005013A5"/>
    <w:rsid w:val="00503C65"/>
    <w:rsid w:val="00504278"/>
    <w:rsid w:val="00506C6C"/>
    <w:rsid w:val="00507928"/>
    <w:rsid w:val="005101A1"/>
    <w:rsid w:val="0051196D"/>
    <w:rsid w:val="00513CDE"/>
    <w:rsid w:val="00516584"/>
    <w:rsid w:val="005176F3"/>
    <w:rsid w:val="005220CF"/>
    <w:rsid w:val="00525D45"/>
    <w:rsid w:val="005276EE"/>
    <w:rsid w:val="00533467"/>
    <w:rsid w:val="00534C60"/>
    <w:rsid w:val="00536EA5"/>
    <w:rsid w:val="0054033F"/>
    <w:rsid w:val="005445A7"/>
    <w:rsid w:val="005467CB"/>
    <w:rsid w:val="00547645"/>
    <w:rsid w:val="00551F60"/>
    <w:rsid w:val="00554511"/>
    <w:rsid w:val="005640D4"/>
    <w:rsid w:val="00565467"/>
    <w:rsid w:val="0056605F"/>
    <w:rsid w:val="00567D31"/>
    <w:rsid w:val="005701DF"/>
    <w:rsid w:val="005715DB"/>
    <w:rsid w:val="005718E1"/>
    <w:rsid w:val="005732E1"/>
    <w:rsid w:val="005766B4"/>
    <w:rsid w:val="0058105D"/>
    <w:rsid w:val="005819CB"/>
    <w:rsid w:val="00585248"/>
    <w:rsid w:val="005953E4"/>
    <w:rsid w:val="005B35EA"/>
    <w:rsid w:val="005B3911"/>
    <w:rsid w:val="005B3C6B"/>
    <w:rsid w:val="005B51DE"/>
    <w:rsid w:val="005B6A04"/>
    <w:rsid w:val="005B6AC0"/>
    <w:rsid w:val="005C0816"/>
    <w:rsid w:val="005C1C3D"/>
    <w:rsid w:val="005C41DE"/>
    <w:rsid w:val="005C759A"/>
    <w:rsid w:val="005D1241"/>
    <w:rsid w:val="005D3491"/>
    <w:rsid w:val="005D4311"/>
    <w:rsid w:val="005D5DF4"/>
    <w:rsid w:val="005D6ABC"/>
    <w:rsid w:val="005D7A54"/>
    <w:rsid w:val="005D7C16"/>
    <w:rsid w:val="005D7D12"/>
    <w:rsid w:val="005E13F8"/>
    <w:rsid w:val="005E4070"/>
    <w:rsid w:val="005E42B0"/>
    <w:rsid w:val="005E79B1"/>
    <w:rsid w:val="005F15E5"/>
    <w:rsid w:val="005F4A40"/>
    <w:rsid w:val="005F6889"/>
    <w:rsid w:val="00600226"/>
    <w:rsid w:val="006050AA"/>
    <w:rsid w:val="0060580D"/>
    <w:rsid w:val="00610363"/>
    <w:rsid w:val="00617F7A"/>
    <w:rsid w:val="00623352"/>
    <w:rsid w:val="00623652"/>
    <w:rsid w:val="00623D5C"/>
    <w:rsid w:val="00624639"/>
    <w:rsid w:val="006276B6"/>
    <w:rsid w:val="00630EDC"/>
    <w:rsid w:val="0063394D"/>
    <w:rsid w:val="00635B20"/>
    <w:rsid w:val="00646F73"/>
    <w:rsid w:val="00650BA0"/>
    <w:rsid w:val="00651639"/>
    <w:rsid w:val="006522B4"/>
    <w:rsid w:val="0065271E"/>
    <w:rsid w:val="00655EED"/>
    <w:rsid w:val="00657A4C"/>
    <w:rsid w:val="006626F7"/>
    <w:rsid w:val="00666172"/>
    <w:rsid w:val="00674C3C"/>
    <w:rsid w:val="0067586B"/>
    <w:rsid w:val="00680A9A"/>
    <w:rsid w:val="00681C04"/>
    <w:rsid w:val="0068392B"/>
    <w:rsid w:val="00683F4F"/>
    <w:rsid w:val="006A7AAB"/>
    <w:rsid w:val="006B0A8D"/>
    <w:rsid w:val="006B1DFC"/>
    <w:rsid w:val="006B2560"/>
    <w:rsid w:val="006B2E97"/>
    <w:rsid w:val="006B3049"/>
    <w:rsid w:val="006B3407"/>
    <w:rsid w:val="006C052C"/>
    <w:rsid w:val="006C29E8"/>
    <w:rsid w:val="006C2DD5"/>
    <w:rsid w:val="006C5F14"/>
    <w:rsid w:val="006D10C9"/>
    <w:rsid w:val="006D12BE"/>
    <w:rsid w:val="006D289D"/>
    <w:rsid w:val="006D4457"/>
    <w:rsid w:val="006D4DC1"/>
    <w:rsid w:val="006D693C"/>
    <w:rsid w:val="006E366A"/>
    <w:rsid w:val="006E3C56"/>
    <w:rsid w:val="006F22C4"/>
    <w:rsid w:val="0070285E"/>
    <w:rsid w:val="00704D14"/>
    <w:rsid w:val="007069E4"/>
    <w:rsid w:val="00710541"/>
    <w:rsid w:val="0071252A"/>
    <w:rsid w:val="00717ADC"/>
    <w:rsid w:val="00717C9D"/>
    <w:rsid w:val="007210E7"/>
    <w:rsid w:val="00732C61"/>
    <w:rsid w:val="007331EF"/>
    <w:rsid w:val="00741C0E"/>
    <w:rsid w:val="007433F2"/>
    <w:rsid w:val="00743B27"/>
    <w:rsid w:val="0074600E"/>
    <w:rsid w:val="0074624D"/>
    <w:rsid w:val="0074680D"/>
    <w:rsid w:val="007532A3"/>
    <w:rsid w:val="007650FF"/>
    <w:rsid w:val="0076539B"/>
    <w:rsid w:val="0077261D"/>
    <w:rsid w:val="00772E4B"/>
    <w:rsid w:val="00775D68"/>
    <w:rsid w:val="00782F01"/>
    <w:rsid w:val="0078704B"/>
    <w:rsid w:val="00791109"/>
    <w:rsid w:val="007921B5"/>
    <w:rsid w:val="007957A5"/>
    <w:rsid w:val="00796D01"/>
    <w:rsid w:val="007A1745"/>
    <w:rsid w:val="007A2683"/>
    <w:rsid w:val="007B1D62"/>
    <w:rsid w:val="007B645C"/>
    <w:rsid w:val="007B7ECB"/>
    <w:rsid w:val="007C07DF"/>
    <w:rsid w:val="007C3A2D"/>
    <w:rsid w:val="007C5652"/>
    <w:rsid w:val="007D3CF3"/>
    <w:rsid w:val="007D54C8"/>
    <w:rsid w:val="007D7F09"/>
    <w:rsid w:val="007E1718"/>
    <w:rsid w:val="007E4207"/>
    <w:rsid w:val="007E4B5B"/>
    <w:rsid w:val="007E5A51"/>
    <w:rsid w:val="007F057B"/>
    <w:rsid w:val="007F1EA8"/>
    <w:rsid w:val="007F37BD"/>
    <w:rsid w:val="008003F4"/>
    <w:rsid w:val="00800ACE"/>
    <w:rsid w:val="008076EA"/>
    <w:rsid w:val="00813D43"/>
    <w:rsid w:val="00813E8F"/>
    <w:rsid w:val="00813EA5"/>
    <w:rsid w:val="008147AE"/>
    <w:rsid w:val="00814A3A"/>
    <w:rsid w:val="0081571E"/>
    <w:rsid w:val="00817347"/>
    <w:rsid w:val="00817A9E"/>
    <w:rsid w:val="00817F20"/>
    <w:rsid w:val="0082002A"/>
    <w:rsid w:val="008319D4"/>
    <w:rsid w:val="008335FF"/>
    <w:rsid w:val="008351EB"/>
    <w:rsid w:val="008461D8"/>
    <w:rsid w:val="00850730"/>
    <w:rsid w:val="008520AA"/>
    <w:rsid w:val="00852CBF"/>
    <w:rsid w:val="0085338D"/>
    <w:rsid w:val="00853CB2"/>
    <w:rsid w:val="008549A0"/>
    <w:rsid w:val="008559C8"/>
    <w:rsid w:val="008559E1"/>
    <w:rsid w:val="008570DD"/>
    <w:rsid w:val="008601B2"/>
    <w:rsid w:val="0086332B"/>
    <w:rsid w:val="00865EC3"/>
    <w:rsid w:val="00870093"/>
    <w:rsid w:val="0087074F"/>
    <w:rsid w:val="00871ADD"/>
    <w:rsid w:val="00871BB7"/>
    <w:rsid w:val="008739DF"/>
    <w:rsid w:val="00876AE9"/>
    <w:rsid w:val="00877126"/>
    <w:rsid w:val="008804FB"/>
    <w:rsid w:val="00880741"/>
    <w:rsid w:val="00880D01"/>
    <w:rsid w:val="0088236E"/>
    <w:rsid w:val="008836D0"/>
    <w:rsid w:val="008851BA"/>
    <w:rsid w:val="00885333"/>
    <w:rsid w:val="00885998"/>
    <w:rsid w:val="0089701B"/>
    <w:rsid w:val="008A0A0D"/>
    <w:rsid w:val="008A24ED"/>
    <w:rsid w:val="008A28F7"/>
    <w:rsid w:val="008A6503"/>
    <w:rsid w:val="008B38E2"/>
    <w:rsid w:val="008B3C41"/>
    <w:rsid w:val="008B7DEE"/>
    <w:rsid w:val="008C066D"/>
    <w:rsid w:val="008C1DF1"/>
    <w:rsid w:val="008C3FD2"/>
    <w:rsid w:val="008C4D30"/>
    <w:rsid w:val="008D1C09"/>
    <w:rsid w:val="008D233C"/>
    <w:rsid w:val="008D2A3D"/>
    <w:rsid w:val="008D698E"/>
    <w:rsid w:val="008E1724"/>
    <w:rsid w:val="008E1941"/>
    <w:rsid w:val="008E21B3"/>
    <w:rsid w:val="008E29AC"/>
    <w:rsid w:val="008E4197"/>
    <w:rsid w:val="008E5C5C"/>
    <w:rsid w:val="008E7E8E"/>
    <w:rsid w:val="008F16DB"/>
    <w:rsid w:val="008F203A"/>
    <w:rsid w:val="008F31A7"/>
    <w:rsid w:val="008F4F54"/>
    <w:rsid w:val="008F50FD"/>
    <w:rsid w:val="0090699A"/>
    <w:rsid w:val="009127B0"/>
    <w:rsid w:val="00914F7E"/>
    <w:rsid w:val="00920C5D"/>
    <w:rsid w:val="00922B98"/>
    <w:rsid w:val="00923830"/>
    <w:rsid w:val="00930B54"/>
    <w:rsid w:val="009326A6"/>
    <w:rsid w:val="00937529"/>
    <w:rsid w:val="00943226"/>
    <w:rsid w:val="00943C04"/>
    <w:rsid w:val="00953C00"/>
    <w:rsid w:val="00953E09"/>
    <w:rsid w:val="009553AA"/>
    <w:rsid w:val="009566BD"/>
    <w:rsid w:val="00961E35"/>
    <w:rsid w:val="00963822"/>
    <w:rsid w:val="009647BD"/>
    <w:rsid w:val="0097343E"/>
    <w:rsid w:val="00975A00"/>
    <w:rsid w:val="00982F42"/>
    <w:rsid w:val="009833B9"/>
    <w:rsid w:val="00991CBA"/>
    <w:rsid w:val="00993ECB"/>
    <w:rsid w:val="009958A9"/>
    <w:rsid w:val="00995F7D"/>
    <w:rsid w:val="009965C9"/>
    <w:rsid w:val="009A1976"/>
    <w:rsid w:val="009A1BBB"/>
    <w:rsid w:val="009A219D"/>
    <w:rsid w:val="009A34FD"/>
    <w:rsid w:val="009A3D23"/>
    <w:rsid w:val="009B1D24"/>
    <w:rsid w:val="009B4417"/>
    <w:rsid w:val="009C1828"/>
    <w:rsid w:val="009C684C"/>
    <w:rsid w:val="009C7B40"/>
    <w:rsid w:val="009D07D8"/>
    <w:rsid w:val="009E02B2"/>
    <w:rsid w:val="009E1ADA"/>
    <w:rsid w:val="009E30AD"/>
    <w:rsid w:val="009E3CA7"/>
    <w:rsid w:val="009E4756"/>
    <w:rsid w:val="009E4E6E"/>
    <w:rsid w:val="009E5088"/>
    <w:rsid w:val="009E6B8A"/>
    <w:rsid w:val="009F5786"/>
    <w:rsid w:val="00A00517"/>
    <w:rsid w:val="00A00FEC"/>
    <w:rsid w:val="00A01EEC"/>
    <w:rsid w:val="00A03D55"/>
    <w:rsid w:val="00A05D1E"/>
    <w:rsid w:val="00A063E1"/>
    <w:rsid w:val="00A10DEE"/>
    <w:rsid w:val="00A12AF8"/>
    <w:rsid w:val="00A14377"/>
    <w:rsid w:val="00A143F9"/>
    <w:rsid w:val="00A1742F"/>
    <w:rsid w:val="00A209F2"/>
    <w:rsid w:val="00A20AA4"/>
    <w:rsid w:val="00A21837"/>
    <w:rsid w:val="00A22128"/>
    <w:rsid w:val="00A22AE8"/>
    <w:rsid w:val="00A31A42"/>
    <w:rsid w:val="00A338BA"/>
    <w:rsid w:val="00A4191F"/>
    <w:rsid w:val="00A45514"/>
    <w:rsid w:val="00A468BB"/>
    <w:rsid w:val="00A47243"/>
    <w:rsid w:val="00A550E3"/>
    <w:rsid w:val="00A61580"/>
    <w:rsid w:val="00A61741"/>
    <w:rsid w:val="00A663F0"/>
    <w:rsid w:val="00A67073"/>
    <w:rsid w:val="00A7230A"/>
    <w:rsid w:val="00A76C7A"/>
    <w:rsid w:val="00A76F74"/>
    <w:rsid w:val="00A77148"/>
    <w:rsid w:val="00A85EDD"/>
    <w:rsid w:val="00A871A0"/>
    <w:rsid w:val="00A91A18"/>
    <w:rsid w:val="00A9201A"/>
    <w:rsid w:val="00A92BB1"/>
    <w:rsid w:val="00A95854"/>
    <w:rsid w:val="00AA1E09"/>
    <w:rsid w:val="00AA39DA"/>
    <w:rsid w:val="00AA3B2C"/>
    <w:rsid w:val="00AA4801"/>
    <w:rsid w:val="00AA5EAE"/>
    <w:rsid w:val="00AB455E"/>
    <w:rsid w:val="00AB4D8D"/>
    <w:rsid w:val="00AB6E5E"/>
    <w:rsid w:val="00AC3117"/>
    <w:rsid w:val="00AC74C6"/>
    <w:rsid w:val="00AD5DCE"/>
    <w:rsid w:val="00AD7A70"/>
    <w:rsid w:val="00AE21B8"/>
    <w:rsid w:val="00AE290B"/>
    <w:rsid w:val="00AF065F"/>
    <w:rsid w:val="00AF2140"/>
    <w:rsid w:val="00AF45F7"/>
    <w:rsid w:val="00AF47E0"/>
    <w:rsid w:val="00AF4B0F"/>
    <w:rsid w:val="00AF4E4E"/>
    <w:rsid w:val="00AF6AFE"/>
    <w:rsid w:val="00AF6C95"/>
    <w:rsid w:val="00AF7855"/>
    <w:rsid w:val="00B011FE"/>
    <w:rsid w:val="00B0483A"/>
    <w:rsid w:val="00B07952"/>
    <w:rsid w:val="00B12457"/>
    <w:rsid w:val="00B21504"/>
    <w:rsid w:val="00B25776"/>
    <w:rsid w:val="00B25C23"/>
    <w:rsid w:val="00B325A1"/>
    <w:rsid w:val="00B349B7"/>
    <w:rsid w:val="00B358ED"/>
    <w:rsid w:val="00B36C06"/>
    <w:rsid w:val="00B372BF"/>
    <w:rsid w:val="00B41C8E"/>
    <w:rsid w:val="00B41DA3"/>
    <w:rsid w:val="00B4383E"/>
    <w:rsid w:val="00B51236"/>
    <w:rsid w:val="00B52964"/>
    <w:rsid w:val="00B53464"/>
    <w:rsid w:val="00B53F60"/>
    <w:rsid w:val="00B55A91"/>
    <w:rsid w:val="00B57A16"/>
    <w:rsid w:val="00B57FA8"/>
    <w:rsid w:val="00B60099"/>
    <w:rsid w:val="00B61C14"/>
    <w:rsid w:val="00B64942"/>
    <w:rsid w:val="00B6792F"/>
    <w:rsid w:val="00B746F0"/>
    <w:rsid w:val="00B753BE"/>
    <w:rsid w:val="00B75B84"/>
    <w:rsid w:val="00B8071C"/>
    <w:rsid w:val="00B850A0"/>
    <w:rsid w:val="00B90DBF"/>
    <w:rsid w:val="00B92971"/>
    <w:rsid w:val="00B957D6"/>
    <w:rsid w:val="00B964A5"/>
    <w:rsid w:val="00B97F71"/>
    <w:rsid w:val="00BA05FB"/>
    <w:rsid w:val="00BA0A7F"/>
    <w:rsid w:val="00BA2F0F"/>
    <w:rsid w:val="00BA3FA9"/>
    <w:rsid w:val="00BA45D3"/>
    <w:rsid w:val="00BA5CC8"/>
    <w:rsid w:val="00BB0D48"/>
    <w:rsid w:val="00BB4CE6"/>
    <w:rsid w:val="00BB65BD"/>
    <w:rsid w:val="00BB6617"/>
    <w:rsid w:val="00BC063D"/>
    <w:rsid w:val="00BC198D"/>
    <w:rsid w:val="00BC410A"/>
    <w:rsid w:val="00BC67FA"/>
    <w:rsid w:val="00BC78C1"/>
    <w:rsid w:val="00BD06C3"/>
    <w:rsid w:val="00BD31A8"/>
    <w:rsid w:val="00BE09F5"/>
    <w:rsid w:val="00BE1293"/>
    <w:rsid w:val="00BE1FB7"/>
    <w:rsid w:val="00BE30A6"/>
    <w:rsid w:val="00BE45E8"/>
    <w:rsid w:val="00BE6980"/>
    <w:rsid w:val="00BE75B8"/>
    <w:rsid w:val="00BF2051"/>
    <w:rsid w:val="00BF53BF"/>
    <w:rsid w:val="00BF5596"/>
    <w:rsid w:val="00BF63F0"/>
    <w:rsid w:val="00BF664D"/>
    <w:rsid w:val="00C02AB5"/>
    <w:rsid w:val="00C03897"/>
    <w:rsid w:val="00C0452E"/>
    <w:rsid w:val="00C05BC0"/>
    <w:rsid w:val="00C122AF"/>
    <w:rsid w:val="00C16114"/>
    <w:rsid w:val="00C22F64"/>
    <w:rsid w:val="00C337D2"/>
    <w:rsid w:val="00C3636D"/>
    <w:rsid w:val="00C40C0E"/>
    <w:rsid w:val="00C41FAE"/>
    <w:rsid w:val="00C43693"/>
    <w:rsid w:val="00C43D26"/>
    <w:rsid w:val="00C44FD0"/>
    <w:rsid w:val="00C45C06"/>
    <w:rsid w:val="00C52A79"/>
    <w:rsid w:val="00C53E83"/>
    <w:rsid w:val="00C60C3F"/>
    <w:rsid w:val="00C61486"/>
    <w:rsid w:val="00C627E3"/>
    <w:rsid w:val="00C6464F"/>
    <w:rsid w:val="00C656EB"/>
    <w:rsid w:val="00C6656F"/>
    <w:rsid w:val="00C70836"/>
    <w:rsid w:val="00C7276E"/>
    <w:rsid w:val="00C747DD"/>
    <w:rsid w:val="00C77156"/>
    <w:rsid w:val="00C77364"/>
    <w:rsid w:val="00C8487A"/>
    <w:rsid w:val="00C84BFD"/>
    <w:rsid w:val="00C854C3"/>
    <w:rsid w:val="00C87220"/>
    <w:rsid w:val="00C873D0"/>
    <w:rsid w:val="00C87425"/>
    <w:rsid w:val="00C97016"/>
    <w:rsid w:val="00CA1514"/>
    <w:rsid w:val="00CA5830"/>
    <w:rsid w:val="00CA6AE0"/>
    <w:rsid w:val="00CA79C6"/>
    <w:rsid w:val="00CB1733"/>
    <w:rsid w:val="00CB1924"/>
    <w:rsid w:val="00CB51CA"/>
    <w:rsid w:val="00CB53F9"/>
    <w:rsid w:val="00CB6ABF"/>
    <w:rsid w:val="00CC2275"/>
    <w:rsid w:val="00CC47E6"/>
    <w:rsid w:val="00CC4915"/>
    <w:rsid w:val="00CD1D0F"/>
    <w:rsid w:val="00CD2ED9"/>
    <w:rsid w:val="00CD3D22"/>
    <w:rsid w:val="00CD467D"/>
    <w:rsid w:val="00CD7ADD"/>
    <w:rsid w:val="00CE1596"/>
    <w:rsid w:val="00CE18DE"/>
    <w:rsid w:val="00CE6748"/>
    <w:rsid w:val="00CE795C"/>
    <w:rsid w:val="00CE7C14"/>
    <w:rsid w:val="00CF4C04"/>
    <w:rsid w:val="00CF6BA1"/>
    <w:rsid w:val="00CF7217"/>
    <w:rsid w:val="00D0563C"/>
    <w:rsid w:val="00D142AD"/>
    <w:rsid w:val="00D14CA4"/>
    <w:rsid w:val="00D17DAF"/>
    <w:rsid w:val="00D200C4"/>
    <w:rsid w:val="00D2016F"/>
    <w:rsid w:val="00D21960"/>
    <w:rsid w:val="00D2317D"/>
    <w:rsid w:val="00D300DD"/>
    <w:rsid w:val="00D30206"/>
    <w:rsid w:val="00D304F5"/>
    <w:rsid w:val="00D31325"/>
    <w:rsid w:val="00D3194B"/>
    <w:rsid w:val="00D3271C"/>
    <w:rsid w:val="00D353AD"/>
    <w:rsid w:val="00D37F41"/>
    <w:rsid w:val="00D424A6"/>
    <w:rsid w:val="00D46B96"/>
    <w:rsid w:val="00D521C0"/>
    <w:rsid w:val="00D532C2"/>
    <w:rsid w:val="00D54C82"/>
    <w:rsid w:val="00D64572"/>
    <w:rsid w:val="00D66111"/>
    <w:rsid w:val="00D71864"/>
    <w:rsid w:val="00D72F7F"/>
    <w:rsid w:val="00D74688"/>
    <w:rsid w:val="00D75AE8"/>
    <w:rsid w:val="00D817F7"/>
    <w:rsid w:val="00D855B3"/>
    <w:rsid w:val="00D872DE"/>
    <w:rsid w:val="00D91D39"/>
    <w:rsid w:val="00D9314D"/>
    <w:rsid w:val="00D94F1D"/>
    <w:rsid w:val="00D95CA6"/>
    <w:rsid w:val="00D95FD9"/>
    <w:rsid w:val="00D9614E"/>
    <w:rsid w:val="00D974EA"/>
    <w:rsid w:val="00D976E4"/>
    <w:rsid w:val="00DA03ED"/>
    <w:rsid w:val="00DA0B46"/>
    <w:rsid w:val="00DA1F6A"/>
    <w:rsid w:val="00DA292B"/>
    <w:rsid w:val="00DA6CA5"/>
    <w:rsid w:val="00DB093A"/>
    <w:rsid w:val="00DB1220"/>
    <w:rsid w:val="00DB1CC0"/>
    <w:rsid w:val="00DB34B9"/>
    <w:rsid w:val="00DB3CEC"/>
    <w:rsid w:val="00DB4D41"/>
    <w:rsid w:val="00DB5382"/>
    <w:rsid w:val="00DC0E83"/>
    <w:rsid w:val="00DC30EC"/>
    <w:rsid w:val="00DC3A02"/>
    <w:rsid w:val="00DC3F5A"/>
    <w:rsid w:val="00DC505E"/>
    <w:rsid w:val="00DC7FA3"/>
    <w:rsid w:val="00DD3342"/>
    <w:rsid w:val="00DD4DFF"/>
    <w:rsid w:val="00DD500A"/>
    <w:rsid w:val="00DD5324"/>
    <w:rsid w:val="00DD59B2"/>
    <w:rsid w:val="00DD6D63"/>
    <w:rsid w:val="00DD7605"/>
    <w:rsid w:val="00DE2AD8"/>
    <w:rsid w:val="00DE38FF"/>
    <w:rsid w:val="00DE3C5E"/>
    <w:rsid w:val="00DE6178"/>
    <w:rsid w:val="00DE6350"/>
    <w:rsid w:val="00DF3AB3"/>
    <w:rsid w:val="00DF3D8D"/>
    <w:rsid w:val="00DF484A"/>
    <w:rsid w:val="00DF6BAD"/>
    <w:rsid w:val="00E00602"/>
    <w:rsid w:val="00E02BE9"/>
    <w:rsid w:val="00E02EB3"/>
    <w:rsid w:val="00E04E18"/>
    <w:rsid w:val="00E108B9"/>
    <w:rsid w:val="00E115DB"/>
    <w:rsid w:val="00E117AD"/>
    <w:rsid w:val="00E2036D"/>
    <w:rsid w:val="00E2372C"/>
    <w:rsid w:val="00E25507"/>
    <w:rsid w:val="00E25E6F"/>
    <w:rsid w:val="00E26CD2"/>
    <w:rsid w:val="00E27AFE"/>
    <w:rsid w:val="00E30B4B"/>
    <w:rsid w:val="00E4067E"/>
    <w:rsid w:val="00E565D5"/>
    <w:rsid w:val="00E60F8D"/>
    <w:rsid w:val="00E637CC"/>
    <w:rsid w:val="00E65EDD"/>
    <w:rsid w:val="00E6669F"/>
    <w:rsid w:val="00E6731D"/>
    <w:rsid w:val="00E71444"/>
    <w:rsid w:val="00E73C56"/>
    <w:rsid w:val="00E76E0B"/>
    <w:rsid w:val="00E82F3E"/>
    <w:rsid w:val="00E85596"/>
    <w:rsid w:val="00E877E3"/>
    <w:rsid w:val="00E904C2"/>
    <w:rsid w:val="00E926C2"/>
    <w:rsid w:val="00E9369F"/>
    <w:rsid w:val="00E95ABA"/>
    <w:rsid w:val="00E96743"/>
    <w:rsid w:val="00EA011F"/>
    <w:rsid w:val="00EA0478"/>
    <w:rsid w:val="00EA188D"/>
    <w:rsid w:val="00EA4921"/>
    <w:rsid w:val="00EA58E1"/>
    <w:rsid w:val="00EA7556"/>
    <w:rsid w:val="00EA7B20"/>
    <w:rsid w:val="00EB0D9A"/>
    <w:rsid w:val="00EB0E17"/>
    <w:rsid w:val="00EB3624"/>
    <w:rsid w:val="00EB50D7"/>
    <w:rsid w:val="00EB5E07"/>
    <w:rsid w:val="00EB7FFD"/>
    <w:rsid w:val="00EC0137"/>
    <w:rsid w:val="00EC3CF1"/>
    <w:rsid w:val="00EC47C9"/>
    <w:rsid w:val="00EC4924"/>
    <w:rsid w:val="00EC5DDE"/>
    <w:rsid w:val="00ED0664"/>
    <w:rsid w:val="00ED238C"/>
    <w:rsid w:val="00ED4EA2"/>
    <w:rsid w:val="00ED5605"/>
    <w:rsid w:val="00EE0AC1"/>
    <w:rsid w:val="00EE0D51"/>
    <w:rsid w:val="00EF1B35"/>
    <w:rsid w:val="00EF2D46"/>
    <w:rsid w:val="00EF2FAD"/>
    <w:rsid w:val="00EF5AFB"/>
    <w:rsid w:val="00EF61B2"/>
    <w:rsid w:val="00F000F7"/>
    <w:rsid w:val="00F0294A"/>
    <w:rsid w:val="00F02FCB"/>
    <w:rsid w:val="00F04546"/>
    <w:rsid w:val="00F076B4"/>
    <w:rsid w:val="00F07734"/>
    <w:rsid w:val="00F1612C"/>
    <w:rsid w:val="00F2010C"/>
    <w:rsid w:val="00F222D0"/>
    <w:rsid w:val="00F24532"/>
    <w:rsid w:val="00F250D7"/>
    <w:rsid w:val="00F31E03"/>
    <w:rsid w:val="00F320F4"/>
    <w:rsid w:val="00F322FD"/>
    <w:rsid w:val="00F4053B"/>
    <w:rsid w:val="00F407FD"/>
    <w:rsid w:val="00F423C1"/>
    <w:rsid w:val="00F435D6"/>
    <w:rsid w:val="00F445E7"/>
    <w:rsid w:val="00F45039"/>
    <w:rsid w:val="00F45FF0"/>
    <w:rsid w:val="00F4696B"/>
    <w:rsid w:val="00F47BA9"/>
    <w:rsid w:val="00F52B8A"/>
    <w:rsid w:val="00F57854"/>
    <w:rsid w:val="00F6421C"/>
    <w:rsid w:val="00F64245"/>
    <w:rsid w:val="00F738F4"/>
    <w:rsid w:val="00F73EEA"/>
    <w:rsid w:val="00F7754F"/>
    <w:rsid w:val="00F77E3C"/>
    <w:rsid w:val="00F809C1"/>
    <w:rsid w:val="00F95FFB"/>
    <w:rsid w:val="00F96D22"/>
    <w:rsid w:val="00F97B7F"/>
    <w:rsid w:val="00FA0F4D"/>
    <w:rsid w:val="00FA65D1"/>
    <w:rsid w:val="00FA6DD9"/>
    <w:rsid w:val="00FB3237"/>
    <w:rsid w:val="00FC6526"/>
    <w:rsid w:val="00FC7FD7"/>
    <w:rsid w:val="00FD1A60"/>
    <w:rsid w:val="00FE3411"/>
    <w:rsid w:val="00FE7790"/>
    <w:rsid w:val="00FE7909"/>
    <w:rsid w:val="00FF5C47"/>
    <w:rsid w:val="00FF6A64"/>
    <w:rsid w:val="01110546"/>
    <w:rsid w:val="0119099D"/>
    <w:rsid w:val="0119677B"/>
    <w:rsid w:val="015A26EE"/>
    <w:rsid w:val="016B7ABC"/>
    <w:rsid w:val="018345E4"/>
    <w:rsid w:val="0186628D"/>
    <w:rsid w:val="01C34939"/>
    <w:rsid w:val="01C60849"/>
    <w:rsid w:val="01F97916"/>
    <w:rsid w:val="02146E09"/>
    <w:rsid w:val="022C384D"/>
    <w:rsid w:val="02572112"/>
    <w:rsid w:val="02625032"/>
    <w:rsid w:val="02C120E3"/>
    <w:rsid w:val="02D50DC8"/>
    <w:rsid w:val="02EA0343"/>
    <w:rsid w:val="030C6BEC"/>
    <w:rsid w:val="030D4C98"/>
    <w:rsid w:val="033E16E3"/>
    <w:rsid w:val="034C04C5"/>
    <w:rsid w:val="035E7C4C"/>
    <w:rsid w:val="03A32AC2"/>
    <w:rsid w:val="03B31772"/>
    <w:rsid w:val="03DA48E8"/>
    <w:rsid w:val="03EF4FB6"/>
    <w:rsid w:val="04A67C62"/>
    <w:rsid w:val="04AB7173"/>
    <w:rsid w:val="04D20F1C"/>
    <w:rsid w:val="052F4295"/>
    <w:rsid w:val="0532605E"/>
    <w:rsid w:val="05326E15"/>
    <w:rsid w:val="0574226B"/>
    <w:rsid w:val="057C19CF"/>
    <w:rsid w:val="05BE6154"/>
    <w:rsid w:val="060E2114"/>
    <w:rsid w:val="06326292"/>
    <w:rsid w:val="06397B6C"/>
    <w:rsid w:val="067F7971"/>
    <w:rsid w:val="06844811"/>
    <w:rsid w:val="06B92F42"/>
    <w:rsid w:val="06E90029"/>
    <w:rsid w:val="06ED51F8"/>
    <w:rsid w:val="07026731"/>
    <w:rsid w:val="071D1D74"/>
    <w:rsid w:val="07470439"/>
    <w:rsid w:val="076F51FE"/>
    <w:rsid w:val="076F5A58"/>
    <w:rsid w:val="07BB6269"/>
    <w:rsid w:val="07BC4304"/>
    <w:rsid w:val="07C00BE5"/>
    <w:rsid w:val="07CC22E9"/>
    <w:rsid w:val="07E62DDE"/>
    <w:rsid w:val="07ED2710"/>
    <w:rsid w:val="07EE794D"/>
    <w:rsid w:val="08210512"/>
    <w:rsid w:val="083B0BA3"/>
    <w:rsid w:val="088D57D2"/>
    <w:rsid w:val="08AD7905"/>
    <w:rsid w:val="08BE0C1E"/>
    <w:rsid w:val="08CF43C1"/>
    <w:rsid w:val="08DC6B0F"/>
    <w:rsid w:val="09044B9E"/>
    <w:rsid w:val="0946740A"/>
    <w:rsid w:val="095B41AD"/>
    <w:rsid w:val="09EF6941"/>
    <w:rsid w:val="09F27E7C"/>
    <w:rsid w:val="0A047B22"/>
    <w:rsid w:val="0A1D18FA"/>
    <w:rsid w:val="0A1E35D7"/>
    <w:rsid w:val="0A2E4A14"/>
    <w:rsid w:val="0A6B236D"/>
    <w:rsid w:val="0A93301A"/>
    <w:rsid w:val="0AA06C59"/>
    <w:rsid w:val="0AA7129C"/>
    <w:rsid w:val="0AB35D19"/>
    <w:rsid w:val="0AD154F8"/>
    <w:rsid w:val="0AF50AC0"/>
    <w:rsid w:val="0B2130FC"/>
    <w:rsid w:val="0B3A5E84"/>
    <w:rsid w:val="0B6830D9"/>
    <w:rsid w:val="0B9E10CF"/>
    <w:rsid w:val="0BAF080B"/>
    <w:rsid w:val="0BED268A"/>
    <w:rsid w:val="0C1D1C15"/>
    <w:rsid w:val="0C264A6F"/>
    <w:rsid w:val="0C5237CD"/>
    <w:rsid w:val="0C5457CE"/>
    <w:rsid w:val="0CC021A1"/>
    <w:rsid w:val="0CD55F4D"/>
    <w:rsid w:val="0CF9496E"/>
    <w:rsid w:val="0D0D7645"/>
    <w:rsid w:val="0D1912CC"/>
    <w:rsid w:val="0D201E03"/>
    <w:rsid w:val="0D3B48D7"/>
    <w:rsid w:val="0D454394"/>
    <w:rsid w:val="0D705350"/>
    <w:rsid w:val="0DB717F6"/>
    <w:rsid w:val="0DC2316F"/>
    <w:rsid w:val="0DD75CD7"/>
    <w:rsid w:val="0DD95F9C"/>
    <w:rsid w:val="0DDF4289"/>
    <w:rsid w:val="0DE8620E"/>
    <w:rsid w:val="0E0A2ACA"/>
    <w:rsid w:val="0E1F1160"/>
    <w:rsid w:val="0E294B7B"/>
    <w:rsid w:val="0E2A654E"/>
    <w:rsid w:val="0E79637A"/>
    <w:rsid w:val="0E9A40AC"/>
    <w:rsid w:val="0EB47A93"/>
    <w:rsid w:val="0EC445CA"/>
    <w:rsid w:val="0ED06DE0"/>
    <w:rsid w:val="0EF303E9"/>
    <w:rsid w:val="0EF56BA2"/>
    <w:rsid w:val="0F196020"/>
    <w:rsid w:val="0F2D0F15"/>
    <w:rsid w:val="0F435158"/>
    <w:rsid w:val="0F7D25CB"/>
    <w:rsid w:val="0F8F17B4"/>
    <w:rsid w:val="0F9B3073"/>
    <w:rsid w:val="0FB42B59"/>
    <w:rsid w:val="0FE16D0F"/>
    <w:rsid w:val="0FF4419B"/>
    <w:rsid w:val="10097B88"/>
    <w:rsid w:val="100B7BD7"/>
    <w:rsid w:val="10173C40"/>
    <w:rsid w:val="10173FAB"/>
    <w:rsid w:val="105523F2"/>
    <w:rsid w:val="10896FC8"/>
    <w:rsid w:val="1091064D"/>
    <w:rsid w:val="109B7605"/>
    <w:rsid w:val="116A4DD1"/>
    <w:rsid w:val="11CF2652"/>
    <w:rsid w:val="11CF7E80"/>
    <w:rsid w:val="11F04D3A"/>
    <w:rsid w:val="1213426D"/>
    <w:rsid w:val="123E18C8"/>
    <w:rsid w:val="123F1DBA"/>
    <w:rsid w:val="12445622"/>
    <w:rsid w:val="12612E3B"/>
    <w:rsid w:val="126738C5"/>
    <w:rsid w:val="12A14256"/>
    <w:rsid w:val="12A72B1B"/>
    <w:rsid w:val="12F25439"/>
    <w:rsid w:val="12F901BB"/>
    <w:rsid w:val="12FE3CFE"/>
    <w:rsid w:val="13086525"/>
    <w:rsid w:val="13135EB3"/>
    <w:rsid w:val="132876B5"/>
    <w:rsid w:val="13303C3A"/>
    <w:rsid w:val="136131B3"/>
    <w:rsid w:val="13726527"/>
    <w:rsid w:val="139947FE"/>
    <w:rsid w:val="139E742F"/>
    <w:rsid w:val="13D13634"/>
    <w:rsid w:val="13E90F0B"/>
    <w:rsid w:val="141674D6"/>
    <w:rsid w:val="142413F8"/>
    <w:rsid w:val="14261483"/>
    <w:rsid w:val="142B6B2D"/>
    <w:rsid w:val="146B6E96"/>
    <w:rsid w:val="14803ADE"/>
    <w:rsid w:val="149607D0"/>
    <w:rsid w:val="14B0292A"/>
    <w:rsid w:val="14E9250C"/>
    <w:rsid w:val="15071AFB"/>
    <w:rsid w:val="150D2643"/>
    <w:rsid w:val="15154AE1"/>
    <w:rsid w:val="15165452"/>
    <w:rsid w:val="15AC62AA"/>
    <w:rsid w:val="15F6033A"/>
    <w:rsid w:val="15FE6982"/>
    <w:rsid w:val="1606331B"/>
    <w:rsid w:val="161B527E"/>
    <w:rsid w:val="163065E9"/>
    <w:rsid w:val="163B2D84"/>
    <w:rsid w:val="163F05DA"/>
    <w:rsid w:val="167F1867"/>
    <w:rsid w:val="169C13D6"/>
    <w:rsid w:val="16A2733A"/>
    <w:rsid w:val="16AD24E1"/>
    <w:rsid w:val="171C5E98"/>
    <w:rsid w:val="173043E2"/>
    <w:rsid w:val="173B35D7"/>
    <w:rsid w:val="1757752C"/>
    <w:rsid w:val="17580F27"/>
    <w:rsid w:val="175B61D6"/>
    <w:rsid w:val="1786694A"/>
    <w:rsid w:val="17A70B2D"/>
    <w:rsid w:val="17A80A82"/>
    <w:rsid w:val="17B34CCF"/>
    <w:rsid w:val="17B42F96"/>
    <w:rsid w:val="17B62B1E"/>
    <w:rsid w:val="17C566A2"/>
    <w:rsid w:val="17CD621F"/>
    <w:rsid w:val="17E00608"/>
    <w:rsid w:val="17F96B12"/>
    <w:rsid w:val="17FF3174"/>
    <w:rsid w:val="182E043C"/>
    <w:rsid w:val="18540DF1"/>
    <w:rsid w:val="185B7554"/>
    <w:rsid w:val="18D34879"/>
    <w:rsid w:val="18D91305"/>
    <w:rsid w:val="18D93674"/>
    <w:rsid w:val="1909558B"/>
    <w:rsid w:val="194A3576"/>
    <w:rsid w:val="19760A94"/>
    <w:rsid w:val="197A705F"/>
    <w:rsid w:val="19B16312"/>
    <w:rsid w:val="19B5675D"/>
    <w:rsid w:val="19E86AEC"/>
    <w:rsid w:val="1A044015"/>
    <w:rsid w:val="1A0A123D"/>
    <w:rsid w:val="1A216730"/>
    <w:rsid w:val="1A242431"/>
    <w:rsid w:val="1A4131B9"/>
    <w:rsid w:val="1AD9671D"/>
    <w:rsid w:val="1B1B07BA"/>
    <w:rsid w:val="1B242B84"/>
    <w:rsid w:val="1B3F60E7"/>
    <w:rsid w:val="1B6D070C"/>
    <w:rsid w:val="1B843E38"/>
    <w:rsid w:val="1B8A78B2"/>
    <w:rsid w:val="1B8B59CD"/>
    <w:rsid w:val="1C282AA6"/>
    <w:rsid w:val="1C6537BA"/>
    <w:rsid w:val="1C6840AB"/>
    <w:rsid w:val="1C7E1B1D"/>
    <w:rsid w:val="1C850D11"/>
    <w:rsid w:val="1CA15A5A"/>
    <w:rsid w:val="1CB30237"/>
    <w:rsid w:val="1D046191"/>
    <w:rsid w:val="1D1C1BFA"/>
    <w:rsid w:val="1D326551"/>
    <w:rsid w:val="1DFF1ACB"/>
    <w:rsid w:val="1E032A6F"/>
    <w:rsid w:val="1E544423"/>
    <w:rsid w:val="1E980803"/>
    <w:rsid w:val="1E9E60BA"/>
    <w:rsid w:val="1EAB7D93"/>
    <w:rsid w:val="1EAC07D7"/>
    <w:rsid w:val="1EFC4BA5"/>
    <w:rsid w:val="1EFE2F21"/>
    <w:rsid w:val="1F1822BE"/>
    <w:rsid w:val="1F18526B"/>
    <w:rsid w:val="1F521743"/>
    <w:rsid w:val="1F684A36"/>
    <w:rsid w:val="1FA15E81"/>
    <w:rsid w:val="1FAD5F86"/>
    <w:rsid w:val="1FC5177E"/>
    <w:rsid w:val="1FCD23C3"/>
    <w:rsid w:val="200F37AF"/>
    <w:rsid w:val="202510D1"/>
    <w:rsid w:val="205151A6"/>
    <w:rsid w:val="205E6A53"/>
    <w:rsid w:val="20B22747"/>
    <w:rsid w:val="20C36A6F"/>
    <w:rsid w:val="20F75157"/>
    <w:rsid w:val="20F803FF"/>
    <w:rsid w:val="21071965"/>
    <w:rsid w:val="21150655"/>
    <w:rsid w:val="21150AF9"/>
    <w:rsid w:val="211679FE"/>
    <w:rsid w:val="212D2EA3"/>
    <w:rsid w:val="21461EB5"/>
    <w:rsid w:val="214A6315"/>
    <w:rsid w:val="214E67BA"/>
    <w:rsid w:val="215C0B1F"/>
    <w:rsid w:val="219F2875"/>
    <w:rsid w:val="21AD0336"/>
    <w:rsid w:val="21E27646"/>
    <w:rsid w:val="21E73875"/>
    <w:rsid w:val="224444B4"/>
    <w:rsid w:val="22810FF0"/>
    <w:rsid w:val="228F4F52"/>
    <w:rsid w:val="22932E51"/>
    <w:rsid w:val="22E7312D"/>
    <w:rsid w:val="233755EF"/>
    <w:rsid w:val="238268C2"/>
    <w:rsid w:val="23BE3486"/>
    <w:rsid w:val="23CF5964"/>
    <w:rsid w:val="23F53A64"/>
    <w:rsid w:val="241430BD"/>
    <w:rsid w:val="241E2177"/>
    <w:rsid w:val="24661177"/>
    <w:rsid w:val="24935B6C"/>
    <w:rsid w:val="24CA7C09"/>
    <w:rsid w:val="24D47E38"/>
    <w:rsid w:val="255C6E24"/>
    <w:rsid w:val="256B59EC"/>
    <w:rsid w:val="258D68F7"/>
    <w:rsid w:val="259A43AC"/>
    <w:rsid w:val="25B20DC9"/>
    <w:rsid w:val="25EF3419"/>
    <w:rsid w:val="25FC29FF"/>
    <w:rsid w:val="260B18B1"/>
    <w:rsid w:val="260D58A9"/>
    <w:rsid w:val="26271A5B"/>
    <w:rsid w:val="262D4131"/>
    <w:rsid w:val="263A1A0C"/>
    <w:rsid w:val="265366B9"/>
    <w:rsid w:val="26956105"/>
    <w:rsid w:val="26A81F65"/>
    <w:rsid w:val="26BC2B3B"/>
    <w:rsid w:val="26C63E39"/>
    <w:rsid w:val="26C96C7F"/>
    <w:rsid w:val="26F40645"/>
    <w:rsid w:val="272366A4"/>
    <w:rsid w:val="27395E24"/>
    <w:rsid w:val="274A52AE"/>
    <w:rsid w:val="27A06094"/>
    <w:rsid w:val="27CD5F7A"/>
    <w:rsid w:val="280A70C6"/>
    <w:rsid w:val="28185E8E"/>
    <w:rsid w:val="2819064B"/>
    <w:rsid w:val="28302C16"/>
    <w:rsid w:val="28306FBE"/>
    <w:rsid w:val="28554601"/>
    <w:rsid w:val="2874348C"/>
    <w:rsid w:val="28E9700A"/>
    <w:rsid w:val="293059D9"/>
    <w:rsid w:val="2934045F"/>
    <w:rsid w:val="295F5274"/>
    <w:rsid w:val="29680BEB"/>
    <w:rsid w:val="297625DB"/>
    <w:rsid w:val="29A03F38"/>
    <w:rsid w:val="29BA4765"/>
    <w:rsid w:val="29C80F4A"/>
    <w:rsid w:val="29CC1E22"/>
    <w:rsid w:val="29F3375E"/>
    <w:rsid w:val="29FB2613"/>
    <w:rsid w:val="29FC6C33"/>
    <w:rsid w:val="2A34545A"/>
    <w:rsid w:val="2A4255D7"/>
    <w:rsid w:val="2A6F2CB3"/>
    <w:rsid w:val="2AD9242D"/>
    <w:rsid w:val="2AFD3F94"/>
    <w:rsid w:val="2B211E0D"/>
    <w:rsid w:val="2B3E7332"/>
    <w:rsid w:val="2B8328CE"/>
    <w:rsid w:val="2BBA6BD4"/>
    <w:rsid w:val="2BF93DBB"/>
    <w:rsid w:val="2C1C2218"/>
    <w:rsid w:val="2C475F3C"/>
    <w:rsid w:val="2C482024"/>
    <w:rsid w:val="2C6143C8"/>
    <w:rsid w:val="2C6E17C2"/>
    <w:rsid w:val="2CA51927"/>
    <w:rsid w:val="2CD546A9"/>
    <w:rsid w:val="2D0B6355"/>
    <w:rsid w:val="2D4176B0"/>
    <w:rsid w:val="2D483F29"/>
    <w:rsid w:val="2D4C26FD"/>
    <w:rsid w:val="2D5D3CE8"/>
    <w:rsid w:val="2D76092E"/>
    <w:rsid w:val="2D876F14"/>
    <w:rsid w:val="2D976A55"/>
    <w:rsid w:val="2DBC17F4"/>
    <w:rsid w:val="2DD06025"/>
    <w:rsid w:val="2DEA775F"/>
    <w:rsid w:val="2DF410B1"/>
    <w:rsid w:val="2E6115DE"/>
    <w:rsid w:val="2E6C38D2"/>
    <w:rsid w:val="2EB23CA7"/>
    <w:rsid w:val="2ED7569B"/>
    <w:rsid w:val="2EDA155B"/>
    <w:rsid w:val="2EED2E72"/>
    <w:rsid w:val="2F0E3A4F"/>
    <w:rsid w:val="2F510054"/>
    <w:rsid w:val="2F5F0046"/>
    <w:rsid w:val="2F65528D"/>
    <w:rsid w:val="2FFC3120"/>
    <w:rsid w:val="30251F96"/>
    <w:rsid w:val="30313232"/>
    <w:rsid w:val="306434C5"/>
    <w:rsid w:val="30722EB1"/>
    <w:rsid w:val="30C26F80"/>
    <w:rsid w:val="30F73772"/>
    <w:rsid w:val="315219C7"/>
    <w:rsid w:val="31662F9E"/>
    <w:rsid w:val="31772EC7"/>
    <w:rsid w:val="31994AC7"/>
    <w:rsid w:val="31A70F2E"/>
    <w:rsid w:val="321A74AC"/>
    <w:rsid w:val="322A53CC"/>
    <w:rsid w:val="32451352"/>
    <w:rsid w:val="327F4254"/>
    <w:rsid w:val="32AC41A2"/>
    <w:rsid w:val="32CB26D6"/>
    <w:rsid w:val="32F72400"/>
    <w:rsid w:val="32FC4220"/>
    <w:rsid w:val="334E2177"/>
    <w:rsid w:val="337B4EF0"/>
    <w:rsid w:val="33E12818"/>
    <w:rsid w:val="33EF322E"/>
    <w:rsid w:val="34AA6F27"/>
    <w:rsid w:val="34E85F11"/>
    <w:rsid w:val="35262E6D"/>
    <w:rsid w:val="3546508A"/>
    <w:rsid w:val="35791BDD"/>
    <w:rsid w:val="359D3403"/>
    <w:rsid w:val="35DF09AF"/>
    <w:rsid w:val="35E2382D"/>
    <w:rsid w:val="35ED79AF"/>
    <w:rsid w:val="3602615E"/>
    <w:rsid w:val="36176A26"/>
    <w:rsid w:val="361B3494"/>
    <w:rsid w:val="36290DD9"/>
    <w:rsid w:val="362D624A"/>
    <w:rsid w:val="363366EC"/>
    <w:rsid w:val="3684230E"/>
    <w:rsid w:val="36853990"/>
    <w:rsid w:val="369330FD"/>
    <w:rsid w:val="369C290D"/>
    <w:rsid w:val="369D1ECB"/>
    <w:rsid w:val="36B1113A"/>
    <w:rsid w:val="36BD137C"/>
    <w:rsid w:val="36E30FB5"/>
    <w:rsid w:val="36E86A3E"/>
    <w:rsid w:val="37042B42"/>
    <w:rsid w:val="372E0EA9"/>
    <w:rsid w:val="379453FA"/>
    <w:rsid w:val="379A01C1"/>
    <w:rsid w:val="38146E1E"/>
    <w:rsid w:val="382A0958"/>
    <w:rsid w:val="382C2F15"/>
    <w:rsid w:val="3846715C"/>
    <w:rsid w:val="38A51880"/>
    <w:rsid w:val="38F1304B"/>
    <w:rsid w:val="39157171"/>
    <w:rsid w:val="394A2C6F"/>
    <w:rsid w:val="39662B65"/>
    <w:rsid w:val="396C52DB"/>
    <w:rsid w:val="39787D38"/>
    <w:rsid w:val="398665AE"/>
    <w:rsid w:val="399A5E03"/>
    <w:rsid w:val="39A4356C"/>
    <w:rsid w:val="39D13ED6"/>
    <w:rsid w:val="39D62471"/>
    <w:rsid w:val="39F31E0D"/>
    <w:rsid w:val="39F34C4E"/>
    <w:rsid w:val="3A0228DF"/>
    <w:rsid w:val="3A4A6834"/>
    <w:rsid w:val="3A826A4B"/>
    <w:rsid w:val="3A8B561B"/>
    <w:rsid w:val="3A8C103A"/>
    <w:rsid w:val="3AAD1375"/>
    <w:rsid w:val="3ABC5258"/>
    <w:rsid w:val="3AEE5CE5"/>
    <w:rsid w:val="3B1C68E2"/>
    <w:rsid w:val="3B1E6A53"/>
    <w:rsid w:val="3B384F32"/>
    <w:rsid w:val="3B392F9B"/>
    <w:rsid w:val="3B5F6673"/>
    <w:rsid w:val="3BB22559"/>
    <w:rsid w:val="3BD865E0"/>
    <w:rsid w:val="3BDF465F"/>
    <w:rsid w:val="3C145EE2"/>
    <w:rsid w:val="3C1732DC"/>
    <w:rsid w:val="3C6029F4"/>
    <w:rsid w:val="3C605199"/>
    <w:rsid w:val="3C6D0C92"/>
    <w:rsid w:val="3C7911A9"/>
    <w:rsid w:val="3C897F5D"/>
    <w:rsid w:val="3C8A61A4"/>
    <w:rsid w:val="3CCB3E6D"/>
    <w:rsid w:val="3D1B3AA0"/>
    <w:rsid w:val="3D23046B"/>
    <w:rsid w:val="3D23111E"/>
    <w:rsid w:val="3D25234D"/>
    <w:rsid w:val="3D6A4F48"/>
    <w:rsid w:val="3D960008"/>
    <w:rsid w:val="3DBD2F79"/>
    <w:rsid w:val="3E194CE3"/>
    <w:rsid w:val="3E622809"/>
    <w:rsid w:val="3E6731F8"/>
    <w:rsid w:val="3E6B5DAB"/>
    <w:rsid w:val="3E751C7B"/>
    <w:rsid w:val="3E7E45F3"/>
    <w:rsid w:val="3EB10DCA"/>
    <w:rsid w:val="3ED109C0"/>
    <w:rsid w:val="3EF41E92"/>
    <w:rsid w:val="3F291A23"/>
    <w:rsid w:val="3F3146B5"/>
    <w:rsid w:val="3F6A7A39"/>
    <w:rsid w:val="3F7E5ACC"/>
    <w:rsid w:val="3F9736A6"/>
    <w:rsid w:val="3F9B2930"/>
    <w:rsid w:val="3F9F5709"/>
    <w:rsid w:val="3FC57B3A"/>
    <w:rsid w:val="40264CCE"/>
    <w:rsid w:val="40553EE1"/>
    <w:rsid w:val="407C76AA"/>
    <w:rsid w:val="407E03F8"/>
    <w:rsid w:val="40994C08"/>
    <w:rsid w:val="409E1F57"/>
    <w:rsid w:val="40A71D1A"/>
    <w:rsid w:val="40CE4675"/>
    <w:rsid w:val="40DA369D"/>
    <w:rsid w:val="40E92BE7"/>
    <w:rsid w:val="40ED139A"/>
    <w:rsid w:val="40FF61E3"/>
    <w:rsid w:val="410E3474"/>
    <w:rsid w:val="41314050"/>
    <w:rsid w:val="41A73354"/>
    <w:rsid w:val="41BC3638"/>
    <w:rsid w:val="41CA4CBA"/>
    <w:rsid w:val="41DD2468"/>
    <w:rsid w:val="41F04941"/>
    <w:rsid w:val="41FF0FC2"/>
    <w:rsid w:val="42181B5C"/>
    <w:rsid w:val="42423456"/>
    <w:rsid w:val="42507548"/>
    <w:rsid w:val="42591393"/>
    <w:rsid w:val="42A51E2A"/>
    <w:rsid w:val="42CF6AF3"/>
    <w:rsid w:val="42ED35EF"/>
    <w:rsid w:val="437214B1"/>
    <w:rsid w:val="438B5155"/>
    <w:rsid w:val="43980E0E"/>
    <w:rsid w:val="43AC1405"/>
    <w:rsid w:val="43DD036E"/>
    <w:rsid w:val="44076600"/>
    <w:rsid w:val="441B1DD7"/>
    <w:rsid w:val="44690BD6"/>
    <w:rsid w:val="446D411F"/>
    <w:rsid w:val="44A66286"/>
    <w:rsid w:val="44B20E40"/>
    <w:rsid w:val="44D77AAC"/>
    <w:rsid w:val="44ED2E90"/>
    <w:rsid w:val="44F2761A"/>
    <w:rsid w:val="44FA35FD"/>
    <w:rsid w:val="450109F8"/>
    <w:rsid w:val="45203F2F"/>
    <w:rsid w:val="45362927"/>
    <w:rsid w:val="453A762E"/>
    <w:rsid w:val="45573267"/>
    <w:rsid w:val="456A3C10"/>
    <w:rsid w:val="456B112E"/>
    <w:rsid w:val="457873F2"/>
    <w:rsid w:val="45E139CD"/>
    <w:rsid w:val="460A0A52"/>
    <w:rsid w:val="461E1C9E"/>
    <w:rsid w:val="462378DC"/>
    <w:rsid w:val="466261EF"/>
    <w:rsid w:val="4689709E"/>
    <w:rsid w:val="46E215FD"/>
    <w:rsid w:val="46E57EA1"/>
    <w:rsid w:val="470D4E2D"/>
    <w:rsid w:val="47135D87"/>
    <w:rsid w:val="477C2947"/>
    <w:rsid w:val="47B24801"/>
    <w:rsid w:val="47DA11B4"/>
    <w:rsid w:val="480F19A9"/>
    <w:rsid w:val="48114597"/>
    <w:rsid w:val="48183EC3"/>
    <w:rsid w:val="48225DA2"/>
    <w:rsid w:val="48455675"/>
    <w:rsid w:val="48475245"/>
    <w:rsid w:val="48563CF1"/>
    <w:rsid w:val="48575C14"/>
    <w:rsid w:val="487625D2"/>
    <w:rsid w:val="48AB43A7"/>
    <w:rsid w:val="48AD3F24"/>
    <w:rsid w:val="48C269BC"/>
    <w:rsid w:val="48E4072C"/>
    <w:rsid w:val="48E870C6"/>
    <w:rsid w:val="490D63A0"/>
    <w:rsid w:val="492C244A"/>
    <w:rsid w:val="494C17B0"/>
    <w:rsid w:val="498A5E57"/>
    <w:rsid w:val="49A25A20"/>
    <w:rsid w:val="49B66518"/>
    <w:rsid w:val="49C26719"/>
    <w:rsid w:val="49C758D5"/>
    <w:rsid w:val="4A01538E"/>
    <w:rsid w:val="4A3D2C72"/>
    <w:rsid w:val="4A400E3E"/>
    <w:rsid w:val="4A4971F1"/>
    <w:rsid w:val="4A4B774E"/>
    <w:rsid w:val="4A5A5897"/>
    <w:rsid w:val="4A9B0B0E"/>
    <w:rsid w:val="4ACE01A4"/>
    <w:rsid w:val="4ACF1226"/>
    <w:rsid w:val="4AFF6932"/>
    <w:rsid w:val="4B0261EA"/>
    <w:rsid w:val="4B05612A"/>
    <w:rsid w:val="4B1436E1"/>
    <w:rsid w:val="4B2B6294"/>
    <w:rsid w:val="4B33219C"/>
    <w:rsid w:val="4B7908C3"/>
    <w:rsid w:val="4B972107"/>
    <w:rsid w:val="4BAE5AFD"/>
    <w:rsid w:val="4BB14B30"/>
    <w:rsid w:val="4BF3029F"/>
    <w:rsid w:val="4C07336D"/>
    <w:rsid w:val="4C0D0258"/>
    <w:rsid w:val="4CA02E7A"/>
    <w:rsid w:val="4CC57A90"/>
    <w:rsid w:val="4CCA5E35"/>
    <w:rsid w:val="4CFB6EFC"/>
    <w:rsid w:val="4D197AA7"/>
    <w:rsid w:val="4D276FD9"/>
    <w:rsid w:val="4D330192"/>
    <w:rsid w:val="4D3D6CE2"/>
    <w:rsid w:val="4D40211F"/>
    <w:rsid w:val="4D4204D2"/>
    <w:rsid w:val="4D4A7BFE"/>
    <w:rsid w:val="4D5159EA"/>
    <w:rsid w:val="4D685D6B"/>
    <w:rsid w:val="4D816066"/>
    <w:rsid w:val="4DDC25D7"/>
    <w:rsid w:val="4DF25957"/>
    <w:rsid w:val="4DF5670C"/>
    <w:rsid w:val="4E161AC6"/>
    <w:rsid w:val="4E407554"/>
    <w:rsid w:val="4E547DEE"/>
    <w:rsid w:val="4EAA119F"/>
    <w:rsid w:val="4EC969CC"/>
    <w:rsid w:val="4EF125D8"/>
    <w:rsid w:val="4F1A3A57"/>
    <w:rsid w:val="4F6F0AB5"/>
    <w:rsid w:val="4F7633F0"/>
    <w:rsid w:val="4FBA1399"/>
    <w:rsid w:val="4FD34422"/>
    <w:rsid w:val="4FDA5DB2"/>
    <w:rsid w:val="4FF7366B"/>
    <w:rsid w:val="500C13F9"/>
    <w:rsid w:val="50424A47"/>
    <w:rsid w:val="50574CFB"/>
    <w:rsid w:val="50642410"/>
    <w:rsid w:val="508F1A67"/>
    <w:rsid w:val="510C0728"/>
    <w:rsid w:val="51220612"/>
    <w:rsid w:val="5131417C"/>
    <w:rsid w:val="51367791"/>
    <w:rsid w:val="516452AB"/>
    <w:rsid w:val="51883B1A"/>
    <w:rsid w:val="51BC37F6"/>
    <w:rsid w:val="51C64C13"/>
    <w:rsid w:val="51CF1DB9"/>
    <w:rsid w:val="521C11F4"/>
    <w:rsid w:val="52592449"/>
    <w:rsid w:val="52860D64"/>
    <w:rsid w:val="52900FC9"/>
    <w:rsid w:val="52B9379F"/>
    <w:rsid w:val="52FB51E2"/>
    <w:rsid w:val="53275A8C"/>
    <w:rsid w:val="53504AF1"/>
    <w:rsid w:val="537E0B4F"/>
    <w:rsid w:val="5392355D"/>
    <w:rsid w:val="53987212"/>
    <w:rsid w:val="53A34B85"/>
    <w:rsid w:val="53D25BD1"/>
    <w:rsid w:val="53ED479A"/>
    <w:rsid w:val="53FC16E4"/>
    <w:rsid w:val="544A2D4B"/>
    <w:rsid w:val="54630D3E"/>
    <w:rsid w:val="54852F22"/>
    <w:rsid w:val="54953F2D"/>
    <w:rsid w:val="55300366"/>
    <w:rsid w:val="555334DD"/>
    <w:rsid w:val="558F092A"/>
    <w:rsid w:val="55AF7A7F"/>
    <w:rsid w:val="55F577E3"/>
    <w:rsid w:val="561C7C21"/>
    <w:rsid w:val="5631166B"/>
    <w:rsid w:val="56526FBC"/>
    <w:rsid w:val="566257A7"/>
    <w:rsid w:val="567105B4"/>
    <w:rsid w:val="56841146"/>
    <w:rsid w:val="568E6439"/>
    <w:rsid w:val="56A96B67"/>
    <w:rsid w:val="56C9155B"/>
    <w:rsid w:val="57323268"/>
    <w:rsid w:val="575E3747"/>
    <w:rsid w:val="576511D6"/>
    <w:rsid w:val="577D370C"/>
    <w:rsid w:val="5783121E"/>
    <w:rsid w:val="580B668D"/>
    <w:rsid w:val="5826455B"/>
    <w:rsid w:val="58DB329F"/>
    <w:rsid w:val="58E273F8"/>
    <w:rsid w:val="58F01A00"/>
    <w:rsid w:val="59073951"/>
    <w:rsid w:val="591D0AFE"/>
    <w:rsid w:val="59227708"/>
    <w:rsid w:val="59756E66"/>
    <w:rsid w:val="59791A87"/>
    <w:rsid w:val="597E722C"/>
    <w:rsid w:val="59A045D9"/>
    <w:rsid w:val="59AA3ABC"/>
    <w:rsid w:val="59AF611B"/>
    <w:rsid w:val="59D95C1D"/>
    <w:rsid w:val="59E558AA"/>
    <w:rsid w:val="59EC032B"/>
    <w:rsid w:val="59FB787D"/>
    <w:rsid w:val="5A024B69"/>
    <w:rsid w:val="5A18753D"/>
    <w:rsid w:val="5A6C7A1D"/>
    <w:rsid w:val="5AA140F6"/>
    <w:rsid w:val="5AB43B91"/>
    <w:rsid w:val="5AB64E90"/>
    <w:rsid w:val="5AB87488"/>
    <w:rsid w:val="5B032E36"/>
    <w:rsid w:val="5B3A6B8F"/>
    <w:rsid w:val="5B835E40"/>
    <w:rsid w:val="5B8D499C"/>
    <w:rsid w:val="5B9A0C44"/>
    <w:rsid w:val="5BAB5397"/>
    <w:rsid w:val="5C0C5076"/>
    <w:rsid w:val="5C0D239D"/>
    <w:rsid w:val="5C1D5B1D"/>
    <w:rsid w:val="5C317F92"/>
    <w:rsid w:val="5CBD0374"/>
    <w:rsid w:val="5CD13B32"/>
    <w:rsid w:val="5CFE234C"/>
    <w:rsid w:val="5D323001"/>
    <w:rsid w:val="5D421CD6"/>
    <w:rsid w:val="5D8F082D"/>
    <w:rsid w:val="5D9206B6"/>
    <w:rsid w:val="5DA26C68"/>
    <w:rsid w:val="5DCF3ABE"/>
    <w:rsid w:val="5E0F1D7D"/>
    <w:rsid w:val="5E270FDE"/>
    <w:rsid w:val="5E3C1B87"/>
    <w:rsid w:val="5EA16922"/>
    <w:rsid w:val="5EAF3FF3"/>
    <w:rsid w:val="5EC47441"/>
    <w:rsid w:val="5ED9196B"/>
    <w:rsid w:val="5EDA41C7"/>
    <w:rsid w:val="5EDB5F93"/>
    <w:rsid w:val="5EFE5BAB"/>
    <w:rsid w:val="5F440EDE"/>
    <w:rsid w:val="5F5B4CF9"/>
    <w:rsid w:val="5FAD3566"/>
    <w:rsid w:val="5FD10365"/>
    <w:rsid w:val="600613E4"/>
    <w:rsid w:val="60085785"/>
    <w:rsid w:val="604A09E9"/>
    <w:rsid w:val="605B73FD"/>
    <w:rsid w:val="60A23B11"/>
    <w:rsid w:val="60D5193A"/>
    <w:rsid w:val="61516243"/>
    <w:rsid w:val="615A1EB1"/>
    <w:rsid w:val="61663BD6"/>
    <w:rsid w:val="61674FDD"/>
    <w:rsid w:val="61744592"/>
    <w:rsid w:val="61F71336"/>
    <w:rsid w:val="6200643D"/>
    <w:rsid w:val="625D0FF2"/>
    <w:rsid w:val="626D41A2"/>
    <w:rsid w:val="62B259BB"/>
    <w:rsid w:val="62D524B3"/>
    <w:rsid w:val="63504B17"/>
    <w:rsid w:val="636447A9"/>
    <w:rsid w:val="636C1DCE"/>
    <w:rsid w:val="636E631F"/>
    <w:rsid w:val="63A2003B"/>
    <w:rsid w:val="63B154A0"/>
    <w:rsid w:val="63D95997"/>
    <w:rsid w:val="63E57D44"/>
    <w:rsid w:val="63EA5ED3"/>
    <w:rsid w:val="63EC3837"/>
    <w:rsid w:val="63F83DD2"/>
    <w:rsid w:val="64061D04"/>
    <w:rsid w:val="642A1A77"/>
    <w:rsid w:val="64322AF9"/>
    <w:rsid w:val="64411EBD"/>
    <w:rsid w:val="644E7533"/>
    <w:rsid w:val="649F77AB"/>
    <w:rsid w:val="64A15C74"/>
    <w:rsid w:val="64B406A2"/>
    <w:rsid w:val="64DA48B1"/>
    <w:rsid w:val="64EC1730"/>
    <w:rsid w:val="64FA7C33"/>
    <w:rsid w:val="65184477"/>
    <w:rsid w:val="65336B29"/>
    <w:rsid w:val="65366AF7"/>
    <w:rsid w:val="654414F5"/>
    <w:rsid w:val="656B5832"/>
    <w:rsid w:val="656F3B3A"/>
    <w:rsid w:val="657B7D47"/>
    <w:rsid w:val="658B44FA"/>
    <w:rsid w:val="65C2575B"/>
    <w:rsid w:val="65DD6A95"/>
    <w:rsid w:val="660D16F1"/>
    <w:rsid w:val="660E09B2"/>
    <w:rsid w:val="667429EC"/>
    <w:rsid w:val="66815672"/>
    <w:rsid w:val="668C6E9A"/>
    <w:rsid w:val="66BA3EC8"/>
    <w:rsid w:val="66D940E8"/>
    <w:rsid w:val="66FD73EF"/>
    <w:rsid w:val="670F38E2"/>
    <w:rsid w:val="671873FA"/>
    <w:rsid w:val="672F2BC7"/>
    <w:rsid w:val="67A32555"/>
    <w:rsid w:val="67B1079F"/>
    <w:rsid w:val="67D5607C"/>
    <w:rsid w:val="67E534E3"/>
    <w:rsid w:val="680A6658"/>
    <w:rsid w:val="68105422"/>
    <w:rsid w:val="6818047F"/>
    <w:rsid w:val="682B7898"/>
    <w:rsid w:val="68505C25"/>
    <w:rsid w:val="68B01FA1"/>
    <w:rsid w:val="68D264BD"/>
    <w:rsid w:val="68DB5223"/>
    <w:rsid w:val="68E47987"/>
    <w:rsid w:val="690F022D"/>
    <w:rsid w:val="692C5E02"/>
    <w:rsid w:val="695E7B16"/>
    <w:rsid w:val="6971268A"/>
    <w:rsid w:val="697509FA"/>
    <w:rsid w:val="69814E4A"/>
    <w:rsid w:val="698A64A3"/>
    <w:rsid w:val="69913E34"/>
    <w:rsid w:val="69BB5A63"/>
    <w:rsid w:val="69EF2833"/>
    <w:rsid w:val="69F61723"/>
    <w:rsid w:val="6A165494"/>
    <w:rsid w:val="6A1A256D"/>
    <w:rsid w:val="6A4522A4"/>
    <w:rsid w:val="6A6577E7"/>
    <w:rsid w:val="6A930EAF"/>
    <w:rsid w:val="6AB67031"/>
    <w:rsid w:val="6ABB5015"/>
    <w:rsid w:val="6ADF1441"/>
    <w:rsid w:val="6B3E428F"/>
    <w:rsid w:val="6B3F5D22"/>
    <w:rsid w:val="6B486350"/>
    <w:rsid w:val="6B5E0188"/>
    <w:rsid w:val="6B7D6319"/>
    <w:rsid w:val="6B8E4AB9"/>
    <w:rsid w:val="6BA65274"/>
    <w:rsid w:val="6BB06E97"/>
    <w:rsid w:val="6BC11B3B"/>
    <w:rsid w:val="6BC87444"/>
    <w:rsid w:val="6BD607EF"/>
    <w:rsid w:val="6BEA55F0"/>
    <w:rsid w:val="6C174089"/>
    <w:rsid w:val="6C2C7C79"/>
    <w:rsid w:val="6C4D4346"/>
    <w:rsid w:val="6C5922CC"/>
    <w:rsid w:val="6C6F77A9"/>
    <w:rsid w:val="6CA01EA5"/>
    <w:rsid w:val="6CBF0CA2"/>
    <w:rsid w:val="6CD76E65"/>
    <w:rsid w:val="6CE34737"/>
    <w:rsid w:val="6D0520B9"/>
    <w:rsid w:val="6D2B734A"/>
    <w:rsid w:val="6D7D4DE5"/>
    <w:rsid w:val="6DB64857"/>
    <w:rsid w:val="6DD864C0"/>
    <w:rsid w:val="6DF57072"/>
    <w:rsid w:val="6DF901E4"/>
    <w:rsid w:val="6E06271B"/>
    <w:rsid w:val="6E302275"/>
    <w:rsid w:val="6E357253"/>
    <w:rsid w:val="6E3866E0"/>
    <w:rsid w:val="6E5745C3"/>
    <w:rsid w:val="6E652F74"/>
    <w:rsid w:val="6EA346F6"/>
    <w:rsid w:val="6ED21598"/>
    <w:rsid w:val="6F0F706B"/>
    <w:rsid w:val="6F2B5679"/>
    <w:rsid w:val="6F452B87"/>
    <w:rsid w:val="6F807675"/>
    <w:rsid w:val="6F86387D"/>
    <w:rsid w:val="700B733A"/>
    <w:rsid w:val="70272481"/>
    <w:rsid w:val="703C2DB9"/>
    <w:rsid w:val="70726F8C"/>
    <w:rsid w:val="70741525"/>
    <w:rsid w:val="709F4D0D"/>
    <w:rsid w:val="70AF4372"/>
    <w:rsid w:val="70B044EA"/>
    <w:rsid w:val="70B30D04"/>
    <w:rsid w:val="70BC109A"/>
    <w:rsid w:val="70D27D8B"/>
    <w:rsid w:val="711A5E0C"/>
    <w:rsid w:val="712026E3"/>
    <w:rsid w:val="715F2A54"/>
    <w:rsid w:val="71730BF3"/>
    <w:rsid w:val="718F34D4"/>
    <w:rsid w:val="71957FE3"/>
    <w:rsid w:val="71AC495F"/>
    <w:rsid w:val="71F82436"/>
    <w:rsid w:val="72215428"/>
    <w:rsid w:val="726376A9"/>
    <w:rsid w:val="728E7A8C"/>
    <w:rsid w:val="72A41D82"/>
    <w:rsid w:val="72B56DCF"/>
    <w:rsid w:val="73005EB5"/>
    <w:rsid w:val="73143F80"/>
    <w:rsid w:val="734158FF"/>
    <w:rsid w:val="7356477E"/>
    <w:rsid w:val="739A5FC5"/>
    <w:rsid w:val="73BF3581"/>
    <w:rsid w:val="740A5F00"/>
    <w:rsid w:val="74256F86"/>
    <w:rsid w:val="742D6E23"/>
    <w:rsid w:val="746E1F7F"/>
    <w:rsid w:val="74704AA1"/>
    <w:rsid w:val="74785AD8"/>
    <w:rsid w:val="74E87617"/>
    <w:rsid w:val="74F66B30"/>
    <w:rsid w:val="74FC3980"/>
    <w:rsid w:val="75355FA6"/>
    <w:rsid w:val="75720710"/>
    <w:rsid w:val="757626AD"/>
    <w:rsid w:val="758C610A"/>
    <w:rsid w:val="76171B3F"/>
    <w:rsid w:val="76215DE7"/>
    <w:rsid w:val="763B5477"/>
    <w:rsid w:val="763C662F"/>
    <w:rsid w:val="76440DF5"/>
    <w:rsid w:val="767825EE"/>
    <w:rsid w:val="76E71B10"/>
    <w:rsid w:val="76F04F74"/>
    <w:rsid w:val="772067E2"/>
    <w:rsid w:val="77222649"/>
    <w:rsid w:val="774B3D27"/>
    <w:rsid w:val="77622FA6"/>
    <w:rsid w:val="77787F8E"/>
    <w:rsid w:val="778D1F6A"/>
    <w:rsid w:val="77910F57"/>
    <w:rsid w:val="77A73445"/>
    <w:rsid w:val="77C71B8F"/>
    <w:rsid w:val="77FE2FC7"/>
    <w:rsid w:val="78197FA9"/>
    <w:rsid w:val="78246285"/>
    <w:rsid w:val="78452F98"/>
    <w:rsid w:val="784A7FBA"/>
    <w:rsid w:val="78770683"/>
    <w:rsid w:val="787768D5"/>
    <w:rsid w:val="78990442"/>
    <w:rsid w:val="78AB7E86"/>
    <w:rsid w:val="78C224F3"/>
    <w:rsid w:val="78F36A6E"/>
    <w:rsid w:val="78F66947"/>
    <w:rsid w:val="78F66AF3"/>
    <w:rsid w:val="79256059"/>
    <w:rsid w:val="794D6A09"/>
    <w:rsid w:val="7952473E"/>
    <w:rsid w:val="795A422D"/>
    <w:rsid w:val="79962C8D"/>
    <w:rsid w:val="79A758CD"/>
    <w:rsid w:val="79C75ABC"/>
    <w:rsid w:val="79D505BC"/>
    <w:rsid w:val="79D918EF"/>
    <w:rsid w:val="7A0A2FB2"/>
    <w:rsid w:val="7A173ECC"/>
    <w:rsid w:val="7A1839CD"/>
    <w:rsid w:val="7A3565EA"/>
    <w:rsid w:val="7A4D1FBA"/>
    <w:rsid w:val="7A6A1508"/>
    <w:rsid w:val="7A7139D1"/>
    <w:rsid w:val="7A717937"/>
    <w:rsid w:val="7A831561"/>
    <w:rsid w:val="7A873E92"/>
    <w:rsid w:val="7A8B0680"/>
    <w:rsid w:val="7AB13462"/>
    <w:rsid w:val="7AB24ACC"/>
    <w:rsid w:val="7AD46261"/>
    <w:rsid w:val="7AE55B0A"/>
    <w:rsid w:val="7AE91D0C"/>
    <w:rsid w:val="7B133F70"/>
    <w:rsid w:val="7B221B2B"/>
    <w:rsid w:val="7B3D799D"/>
    <w:rsid w:val="7B5F7A06"/>
    <w:rsid w:val="7B8D343C"/>
    <w:rsid w:val="7BE1474D"/>
    <w:rsid w:val="7BE15C47"/>
    <w:rsid w:val="7C38005C"/>
    <w:rsid w:val="7C442F93"/>
    <w:rsid w:val="7C464F3C"/>
    <w:rsid w:val="7CD8586B"/>
    <w:rsid w:val="7CF427A7"/>
    <w:rsid w:val="7D673D8B"/>
    <w:rsid w:val="7D6D03DC"/>
    <w:rsid w:val="7D6E1763"/>
    <w:rsid w:val="7DB11BC1"/>
    <w:rsid w:val="7DC52436"/>
    <w:rsid w:val="7DCD6B6E"/>
    <w:rsid w:val="7DF10ED8"/>
    <w:rsid w:val="7E05182C"/>
    <w:rsid w:val="7E0878A8"/>
    <w:rsid w:val="7E0918B8"/>
    <w:rsid w:val="7E1A3DE0"/>
    <w:rsid w:val="7E4336F3"/>
    <w:rsid w:val="7E637675"/>
    <w:rsid w:val="7E7B25C9"/>
    <w:rsid w:val="7E7B3547"/>
    <w:rsid w:val="7EBD578D"/>
    <w:rsid w:val="7EEE6480"/>
    <w:rsid w:val="7F0E027B"/>
    <w:rsid w:val="7F22058F"/>
    <w:rsid w:val="7F2D295B"/>
    <w:rsid w:val="7F5D700A"/>
    <w:rsid w:val="7F606315"/>
    <w:rsid w:val="7F7933AB"/>
    <w:rsid w:val="7FCC07AB"/>
    <w:rsid w:val="7FDB18A6"/>
    <w:rsid w:val="7FE0567D"/>
    <w:rsid w:val="7FF07E35"/>
    <w:rsid w:val="7FF3117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59" w:semiHidden="0" w:name="Table Grid" w:locked="1"/>
    <w:lsdException w:uiPriority="99" w:name="Table Theme"/>
    <w:lsdException w:qFormat="1" w:unhideWhenUsed="0" w:uiPriority="99" w:name="Placeholder Text"/>
    <w:lsdException w:qFormat="1"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1"/>
    <w:qFormat/>
    <w:locked/>
    <w:uiPriority w:val="0"/>
    <w:pPr>
      <w:keepNext/>
      <w:keepLines/>
      <w:spacing w:before="340" w:after="330" w:line="578" w:lineRule="auto"/>
      <w:outlineLvl w:val="0"/>
    </w:pPr>
    <w:rPr>
      <w:b/>
      <w:bCs/>
      <w:kern w:val="44"/>
      <w:sz w:val="44"/>
      <w:szCs w:val="44"/>
    </w:rPr>
  </w:style>
  <w:style w:type="character" w:default="1" w:styleId="15">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6"/>
    <w:semiHidden/>
    <w:qFormat/>
    <w:uiPriority w:val="99"/>
    <w:pPr>
      <w:jc w:val="left"/>
    </w:pPr>
    <w:rPr>
      <w:rFonts w:ascii="Tahoma" w:hAnsi="Tahoma" w:cs="Tahoma"/>
      <w:sz w:val="16"/>
    </w:rPr>
  </w:style>
  <w:style w:type="paragraph" w:styleId="4">
    <w:name w:val="Body Text"/>
    <w:basedOn w:val="1"/>
    <w:link w:val="32"/>
    <w:qFormat/>
    <w:uiPriority w:val="1"/>
    <w:pPr>
      <w:autoSpaceDE w:val="0"/>
      <w:autoSpaceDN w:val="0"/>
      <w:adjustRightInd w:val="0"/>
      <w:ind w:left="100"/>
      <w:jc w:val="left"/>
    </w:pPr>
    <w:rPr>
      <w:kern w:val="0"/>
      <w:sz w:val="17"/>
      <w:szCs w:val="17"/>
    </w:rPr>
  </w:style>
  <w:style w:type="paragraph" w:styleId="5">
    <w:name w:val="Plain Text"/>
    <w:basedOn w:val="1"/>
    <w:link w:val="20"/>
    <w:qFormat/>
    <w:uiPriority w:val="99"/>
    <w:rPr>
      <w:rFonts w:ascii="宋体" w:hAnsi="Courier New" w:cs="Courier New"/>
      <w:szCs w:val="21"/>
    </w:rPr>
  </w:style>
  <w:style w:type="paragraph" w:styleId="6">
    <w:name w:val="Date"/>
    <w:basedOn w:val="1"/>
    <w:next w:val="1"/>
    <w:link w:val="28"/>
    <w:semiHidden/>
    <w:qFormat/>
    <w:uiPriority w:val="99"/>
    <w:pPr>
      <w:ind w:left="100" w:leftChars="2500"/>
    </w:pPr>
  </w:style>
  <w:style w:type="paragraph" w:styleId="7">
    <w:name w:val="Balloon Text"/>
    <w:basedOn w:val="1"/>
    <w:link w:val="24"/>
    <w:semiHidden/>
    <w:qFormat/>
    <w:uiPriority w:val="99"/>
    <w:rPr>
      <w:sz w:val="18"/>
      <w:szCs w:val="18"/>
    </w:rPr>
  </w:style>
  <w:style w:type="paragraph" w:styleId="8">
    <w:name w:val="footer"/>
    <w:basedOn w:val="1"/>
    <w:link w:val="22"/>
    <w:qFormat/>
    <w:uiPriority w:val="99"/>
    <w:pPr>
      <w:tabs>
        <w:tab w:val="center" w:pos="4153"/>
        <w:tab w:val="right" w:pos="8306"/>
      </w:tabs>
      <w:snapToGrid w:val="0"/>
      <w:jc w:val="left"/>
    </w:pPr>
    <w:rPr>
      <w:sz w:val="18"/>
      <w:szCs w:val="18"/>
    </w:rPr>
  </w:style>
  <w:style w:type="paragraph" w:styleId="9">
    <w:name w:val="header"/>
    <w:basedOn w:val="1"/>
    <w:link w:val="21"/>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99"/>
    <w:pPr>
      <w:widowControl/>
      <w:spacing w:before="100" w:beforeAutospacing="1" w:after="100" w:afterAutospacing="1"/>
      <w:jc w:val="left"/>
    </w:pPr>
    <w:rPr>
      <w:rFonts w:eastAsia="Times New Roman"/>
      <w:kern w:val="0"/>
      <w:sz w:val="24"/>
      <w:lang w:eastAsia="en-US"/>
    </w:rPr>
  </w:style>
  <w:style w:type="paragraph" w:styleId="11">
    <w:name w:val="annotation subject"/>
    <w:basedOn w:val="3"/>
    <w:next w:val="3"/>
    <w:link w:val="27"/>
    <w:semiHidden/>
    <w:qFormat/>
    <w:uiPriority w:val="99"/>
    <w:rPr>
      <w:b/>
      <w:bCs/>
    </w:rPr>
  </w:style>
  <w:style w:type="table" w:styleId="13">
    <w:name w:val="Table Grid"/>
    <w:basedOn w:val="12"/>
    <w:qFormat/>
    <w:locked/>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4">
    <w:name w:val="Light Shading"/>
    <w:basedOn w:val="12"/>
    <w:qFormat/>
    <w:uiPriority w:val="60"/>
    <w:rPr>
      <w:rFonts w:eastAsia="Times New Roman" w:asciiTheme="minorHAnsi" w:hAnsiTheme="minorHAnsi" w:cstheme="minorBidi"/>
      <w:color w:val="000000" w:themeColor="text1" w:themeShade="BF"/>
    </w:rPr>
    <w:tblPr>
      <w:tblBorders>
        <w:top w:val="single" w:color="000000" w:themeColor="text1" w:sz="8" w:space="0"/>
        <w:bottom w:val="single" w:color="000000" w:themeColor="text1" w:sz="8" w:space="0"/>
      </w:tblBorders>
    </w:tblPr>
    <w:tblStylePr w:type="firstRow">
      <w:pPr>
        <w:spacing w:before="0" w:beforeLines="0" w:beforeAutospacing="0" w:after="0" w:afterLines="0" w:afterAutospacing="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beforeLines="0" w:beforeAutospacing="0" w:after="0" w:afterLines="0" w:afterAutospacing="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character" w:styleId="16">
    <w:name w:val="Emphasis"/>
    <w:basedOn w:val="15"/>
    <w:qFormat/>
    <w:locked/>
    <w:uiPriority w:val="0"/>
    <w:rPr>
      <w:i/>
    </w:rPr>
  </w:style>
  <w:style w:type="character" w:styleId="17">
    <w:name w:val="Hyperlink"/>
    <w:basedOn w:val="15"/>
    <w:unhideWhenUsed/>
    <w:qFormat/>
    <w:uiPriority w:val="99"/>
    <w:rPr>
      <w:color w:val="0000FF" w:themeColor="hyperlink"/>
      <w:u w:val="single"/>
    </w:rPr>
  </w:style>
  <w:style w:type="character" w:styleId="18">
    <w:name w:val="annotation reference"/>
    <w:basedOn w:val="15"/>
    <w:semiHidden/>
    <w:qFormat/>
    <w:uiPriority w:val="99"/>
    <w:rPr>
      <w:rFonts w:cs="Times New Roman"/>
      <w:sz w:val="21"/>
      <w:szCs w:val="21"/>
    </w:rPr>
  </w:style>
  <w:style w:type="paragraph" w:customStyle="1" w:styleId="19">
    <w:name w:val="Char"/>
    <w:basedOn w:val="1"/>
    <w:qFormat/>
    <w:uiPriority w:val="99"/>
  </w:style>
  <w:style w:type="character" w:customStyle="1" w:styleId="20">
    <w:name w:val="纯文本 字符"/>
    <w:basedOn w:val="15"/>
    <w:link w:val="5"/>
    <w:qFormat/>
    <w:locked/>
    <w:uiPriority w:val="99"/>
    <w:rPr>
      <w:rFonts w:ascii="宋体" w:hAnsi="Courier New" w:eastAsia="宋体" w:cs="Courier New"/>
      <w:sz w:val="21"/>
      <w:szCs w:val="21"/>
    </w:rPr>
  </w:style>
  <w:style w:type="character" w:customStyle="1" w:styleId="21">
    <w:name w:val="页眉 字符"/>
    <w:basedOn w:val="15"/>
    <w:link w:val="9"/>
    <w:qFormat/>
    <w:locked/>
    <w:uiPriority w:val="99"/>
    <w:rPr>
      <w:rFonts w:ascii="Times New Roman" w:hAnsi="Times New Roman" w:eastAsia="宋体" w:cs="Times New Roman"/>
      <w:sz w:val="18"/>
      <w:szCs w:val="18"/>
    </w:rPr>
  </w:style>
  <w:style w:type="character" w:customStyle="1" w:styleId="22">
    <w:name w:val="页脚 字符"/>
    <w:basedOn w:val="15"/>
    <w:link w:val="8"/>
    <w:qFormat/>
    <w:locked/>
    <w:uiPriority w:val="99"/>
    <w:rPr>
      <w:rFonts w:ascii="Times New Roman" w:hAnsi="Times New Roman" w:eastAsia="宋体" w:cs="Times New Roman"/>
      <w:sz w:val="18"/>
      <w:szCs w:val="18"/>
    </w:rPr>
  </w:style>
  <w:style w:type="paragraph" w:customStyle="1" w:styleId="23">
    <w:name w:val="Char1"/>
    <w:basedOn w:val="1"/>
    <w:qFormat/>
    <w:uiPriority w:val="99"/>
  </w:style>
  <w:style w:type="character" w:customStyle="1" w:styleId="24">
    <w:name w:val="批注框文本 字符"/>
    <w:basedOn w:val="15"/>
    <w:link w:val="7"/>
    <w:semiHidden/>
    <w:qFormat/>
    <w:locked/>
    <w:uiPriority w:val="99"/>
    <w:rPr>
      <w:rFonts w:ascii="Times New Roman" w:hAnsi="Times New Roman" w:eastAsia="宋体" w:cs="Times New Roman"/>
      <w:sz w:val="18"/>
      <w:szCs w:val="18"/>
    </w:rPr>
  </w:style>
  <w:style w:type="paragraph" w:styleId="25">
    <w:name w:val="List Paragraph"/>
    <w:basedOn w:val="1"/>
    <w:qFormat/>
    <w:uiPriority w:val="34"/>
    <w:pPr>
      <w:ind w:firstLine="420" w:firstLineChars="200"/>
    </w:pPr>
  </w:style>
  <w:style w:type="character" w:customStyle="1" w:styleId="26">
    <w:name w:val="批注文字 字符"/>
    <w:basedOn w:val="15"/>
    <w:link w:val="3"/>
    <w:semiHidden/>
    <w:qFormat/>
    <w:locked/>
    <w:uiPriority w:val="99"/>
    <w:rPr>
      <w:rFonts w:ascii="Tahoma" w:hAnsi="Tahoma" w:cs="Tahoma"/>
      <w:sz w:val="16"/>
      <w:szCs w:val="24"/>
    </w:rPr>
  </w:style>
  <w:style w:type="character" w:customStyle="1" w:styleId="27">
    <w:name w:val="批注主题 字符"/>
    <w:basedOn w:val="26"/>
    <w:link w:val="11"/>
    <w:semiHidden/>
    <w:qFormat/>
    <w:locked/>
    <w:uiPriority w:val="99"/>
    <w:rPr>
      <w:rFonts w:ascii="Times New Roman" w:hAnsi="Times New Roman" w:cs="Times New Roman"/>
      <w:b/>
      <w:bCs/>
      <w:sz w:val="24"/>
      <w:szCs w:val="24"/>
    </w:rPr>
  </w:style>
  <w:style w:type="character" w:customStyle="1" w:styleId="28">
    <w:name w:val="日期 字符"/>
    <w:basedOn w:val="15"/>
    <w:link w:val="6"/>
    <w:semiHidden/>
    <w:qFormat/>
    <w:locked/>
    <w:uiPriority w:val="99"/>
    <w:rPr>
      <w:rFonts w:ascii="Times New Roman" w:hAnsi="Times New Roman" w:cs="Times New Roman"/>
      <w:sz w:val="24"/>
      <w:szCs w:val="24"/>
    </w:rPr>
  </w:style>
  <w:style w:type="character" w:customStyle="1" w:styleId="29">
    <w:name w:val="apple-converted-space"/>
    <w:basedOn w:val="15"/>
    <w:qFormat/>
    <w:uiPriority w:val="99"/>
    <w:rPr>
      <w:rFonts w:cs="Times New Roman"/>
    </w:rPr>
  </w:style>
  <w:style w:type="paragraph" w:customStyle="1" w:styleId="30">
    <w:name w:val="列出段落1"/>
    <w:basedOn w:val="1"/>
    <w:qFormat/>
    <w:uiPriority w:val="99"/>
    <w:pPr>
      <w:ind w:firstLine="420" w:firstLineChars="200"/>
    </w:pPr>
    <w:rPr>
      <w:szCs w:val="21"/>
    </w:rPr>
  </w:style>
  <w:style w:type="character" w:customStyle="1" w:styleId="31">
    <w:name w:val="copied"/>
    <w:basedOn w:val="15"/>
    <w:qFormat/>
    <w:uiPriority w:val="0"/>
  </w:style>
  <w:style w:type="character" w:customStyle="1" w:styleId="32">
    <w:name w:val="正文文本 字符"/>
    <w:basedOn w:val="15"/>
    <w:link w:val="4"/>
    <w:qFormat/>
    <w:uiPriority w:val="1"/>
    <w:rPr>
      <w:rFonts w:ascii="Times New Roman" w:hAnsi="Times New Roman"/>
      <w:kern w:val="0"/>
      <w:sz w:val="17"/>
      <w:szCs w:val="17"/>
    </w:rPr>
  </w:style>
  <w:style w:type="paragraph" w:customStyle="1" w:styleId="33">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character" w:styleId="34">
    <w:name w:val="Placeholder Text"/>
    <w:basedOn w:val="15"/>
    <w:semiHidden/>
    <w:qFormat/>
    <w:uiPriority w:val="99"/>
    <w:rPr>
      <w:color w:val="808080"/>
    </w:rPr>
  </w:style>
  <w:style w:type="character" w:customStyle="1" w:styleId="35">
    <w:name w:val="fontstyle21"/>
    <w:basedOn w:val="15"/>
    <w:qFormat/>
    <w:uiPriority w:val="0"/>
    <w:rPr>
      <w:rFonts w:ascii="Arial" w:hAnsi="Arial" w:cs="Arial"/>
      <w:color w:val="000000"/>
      <w:sz w:val="24"/>
      <w:szCs w:val="24"/>
    </w:rPr>
  </w:style>
  <w:style w:type="paragraph" w:customStyle="1" w:styleId="36">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37">
    <w:name w:val="EndNote Bibliography Title"/>
    <w:basedOn w:val="1"/>
    <w:link w:val="38"/>
    <w:qFormat/>
    <w:uiPriority w:val="0"/>
    <w:pPr>
      <w:jc w:val="center"/>
    </w:pPr>
    <w:rPr>
      <w:sz w:val="20"/>
    </w:rPr>
  </w:style>
  <w:style w:type="character" w:customStyle="1" w:styleId="38">
    <w:name w:val="EndNote Bibliography Title 字符"/>
    <w:basedOn w:val="15"/>
    <w:link w:val="37"/>
    <w:qFormat/>
    <w:uiPriority w:val="0"/>
    <w:rPr>
      <w:rFonts w:ascii="Times New Roman" w:hAnsi="Times New Roman"/>
      <w:sz w:val="20"/>
      <w:szCs w:val="24"/>
    </w:rPr>
  </w:style>
  <w:style w:type="paragraph" w:customStyle="1" w:styleId="39">
    <w:name w:val="EndNote Bibliography"/>
    <w:basedOn w:val="1"/>
    <w:link w:val="40"/>
    <w:qFormat/>
    <w:uiPriority w:val="0"/>
    <w:rPr>
      <w:sz w:val="20"/>
    </w:rPr>
  </w:style>
  <w:style w:type="character" w:customStyle="1" w:styleId="40">
    <w:name w:val="EndNote Bibliography 字符"/>
    <w:basedOn w:val="15"/>
    <w:link w:val="39"/>
    <w:qFormat/>
    <w:uiPriority w:val="0"/>
    <w:rPr>
      <w:rFonts w:ascii="Times New Roman" w:hAnsi="Times New Roman"/>
      <w:sz w:val="20"/>
      <w:szCs w:val="24"/>
    </w:rPr>
  </w:style>
  <w:style w:type="character" w:customStyle="1" w:styleId="41">
    <w:name w:val="标题 1 字符"/>
    <w:basedOn w:val="15"/>
    <w:link w:val="2"/>
    <w:qFormat/>
    <w:uiPriority w:val="0"/>
    <w:rPr>
      <w:rFonts w:ascii="Times New Roman" w:hAnsi="Times New Roman"/>
      <w:b/>
      <w:bCs/>
      <w:kern w:val="44"/>
      <w:sz w:val="44"/>
      <w:szCs w:val="44"/>
    </w:rPr>
  </w:style>
  <w:style w:type="paragraph" w:customStyle="1" w:styleId="42">
    <w:name w:val="SupplementaryMaterialCaption"/>
    <w:basedOn w:val="1"/>
    <w:qFormat/>
    <w:uiPriority w:val="0"/>
    <w:pPr>
      <w:widowControl/>
      <w:spacing w:after="120"/>
      <w:jc w:val="left"/>
    </w:pPr>
    <w:rPr>
      <w:rFonts w:eastAsia="Times New Roman"/>
      <w:kern w:val="0"/>
      <w:sz w:val="26"/>
      <w:szCs w:val="20"/>
      <w:lang w:eastAsia="en-US"/>
    </w:rPr>
  </w:style>
  <w:style w:type="paragraph" w:customStyle="1" w:styleId="43">
    <w:name w:val="修订2"/>
    <w:hidden/>
    <w:semiHidden/>
    <w:qFormat/>
    <w:uiPriority w:val="99"/>
    <w:rPr>
      <w:rFonts w:ascii="Times New Roman" w:hAnsi="Times New Roman" w:eastAsia="宋体" w:cs="Times New Roman"/>
      <w:kern w:val="2"/>
      <w:sz w:val="21"/>
      <w:szCs w:val="24"/>
      <w:lang w:val="en-US" w:eastAsia="zh-CN" w:bidi="ar-SA"/>
    </w:rPr>
  </w:style>
  <w:style w:type="paragraph" w:customStyle="1" w:styleId="44">
    <w:name w:val="WPSOffice手动目录 1"/>
    <w:qFormat/>
    <w:uiPriority w:val="0"/>
    <w:rPr>
      <w:rFonts w:ascii="Calibri" w:hAnsi="Calibri" w:eastAsia="宋体" w:cs="Times New Roman"/>
      <w:lang w:val="en-US" w:eastAsia="zh-CN" w:bidi="ar-SA"/>
    </w:rPr>
  </w:style>
  <w:style w:type="paragraph" w:customStyle="1" w:styleId="45">
    <w:name w:val="修订3"/>
    <w:hidden/>
    <w:semiHidden/>
    <w:qFormat/>
    <w:uiPriority w:val="99"/>
    <w:rPr>
      <w:rFonts w:ascii="Times New Roman" w:hAnsi="Times New Roman" w:eastAsia="宋体" w:cs="Times New Roman"/>
      <w:kern w:val="2"/>
      <w:sz w:val="21"/>
      <w:szCs w:val="24"/>
      <w:lang w:val="en-US" w:eastAsia="zh-CN" w:bidi="ar-SA"/>
    </w:rPr>
  </w:style>
  <w:style w:type="character" w:customStyle="1" w:styleId="46">
    <w:name w:val="未处理的提及1"/>
    <w:basedOn w:val="15"/>
    <w:semiHidden/>
    <w:unhideWhenUsed/>
    <w:qFormat/>
    <w:uiPriority w:val="99"/>
    <w:rPr>
      <w:color w:val="605E5C"/>
      <w:shd w:val="clear" w:color="auto" w:fill="E1DFDD"/>
    </w:rPr>
  </w:style>
  <w:style w:type="paragraph" w:customStyle="1" w:styleId="47">
    <w:name w:val="修订4"/>
    <w:hidden/>
    <w:semiHidden/>
    <w:qFormat/>
    <w:uiPriority w:val="99"/>
    <w:rPr>
      <w:rFonts w:ascii="Times New Roman" w:hAnsi="Times New Roman" w:eastAsia="宋体" w:cs="Times New Roman"/>
      <w:kern w:val="2"/>
      <w:sz w:val="21"/>
      <w:szCs w:val="24"/>
      <w:lang w:val="en-US" w:eastAsia="zh-CN" w:bidi="ar-SA"/>
    </w:rPr>
  </w:style>
  <w:style w:type="paragraph" w:customStyle="1" w:styleId="48">
    <w:name w:val="修订5"/>
    <w:hidden/>
    <w:semiHidden/>
    <w:qFormat/>
    <w:uiPriority w:val="99"/>
    <w:rPr>
      <w:rFonts w:ascii="Times New Roman" w:hAnsi="Times New Roman" w:eastAsia="宋体" w:cs="Times New Roman"/>
      <w:kern w:val="2"/>
      <w:sz w:val="21"/>
      <w:szCs w:val="24"/>
      <w:lang w:val="en-US" w:eastAsia="zh-CN" w:bidi="ar-SA"/>
    </w:rPr>
  </w:style>
  <w:style w:type="paragraph" w:customStyle="1" w:styleId="49">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0" Type="http://schemas.openxmlformats.org/officeDocument/2006/relationships/fontTable" Target="fontTable.xml"/><Relationship Id="rId5" Type="http://schemas.openxmlformats.org/officeDocument/2006/relationships/footer" Target="footer1.xml"/><Relationship Id="rId49" Type="http://schemas.openxmlformats.org/officeDocument/2006/relationships/numbering" Target="numbering.xml"/><Relationship Id="rId48" Type="http://schemas.openxmlformats.org/officeDocument/2006/relationships/customXml" Target="../customXml/item1.xml"/><Relationship Id="rId47" Type="http://schemas.openxmlformats.org/officeDocument/2006/relationships/image" Target="media/image30.png"/><Relationship Id="rId46" Type="http://schemas.openxmlformats.org/officeDocument/2006/relationships/image" Target="media/image29.png"/><Relationship Id="rId45" Type="http://schemas.openxmlformats.org/officeDocument/2006/relationships/image" Target="media/image28.jpeg"/><Relationship Id="rId44" Type="http://schemas.openxmlformats.org/officeDocument/2006/relationships/image" Target="media/image27.jpeg"/><Relationship Id="rId43" Type="http://schemas.openxmlformats.org/officeDocument/2006/relationships/image" Target="media/image26.jpeg"/><Relationship Id="rId42" Type="http://schemas.openxmlformats.org/officeDocument/2006/relationships/image" Target="media/image25.jpeg"/><Relationship Id="rId41" Type="http://schemas.openxmlformats.org/officeDocument/2006/relationships/image" Target="media/image24.jpeg"/><Relationship Id="rId40" Type="http://schemas.openxmlformats.org/officeDocument/2006/relationships/image" Target="media/image23.jpeg"/><Relationship Id="rId4" Type="http://schemas.openxmlformats.org/officeDocument/2006/relationships/header" Target="header2.xml"/><Relationship Id="rId39" Type="http://schemas.openxmlformats.org/officeDocument/2006/relationships/image" Target="media/image22.jpeg"/><Relationship Id="rId38" Type="http://schemas.openxmlformats.org/officeDocument/2006/relationships/image" Target="media/image21.jpeg"/><Relationship Id="rId37" Type="http://schemas.openxmlformats.org/officeDocument/2006/relationships/image" Target="media/image20.jpeg"/><Relationship Id="rId36" Type="http://schemas.openxmlformats.org/officeDocument/2006/relationships/image" Target="media/image19.jpeg"/><Relationship Id="rId35" Type="http://schemas.openxmlformats.org/officeDocument/2006/relationships/image" Target="media/image18.png"/><Relationship Id="rId34" Type="http://schemas.openxmlformats.org/officeDocument/2006/relationships/image" Target="media/image17.emf"/><Relationship Id="rId33" Type="http://schemas.openxmlformats.org/officeDocument/2006/relationships/image" Target="media/image16.emf"/><Relationship Id="rId32" Type="http://schemas.openxmlformats.org/officeDocument/2006/relationships/image" Target="media/image15.emf"/><Relationship Id="rId31" Type="http://schemas.openxmlformats.org/officeDocument/2006/relationships/image" Target="media/image14.emf"/><Relationship Id="rId30" Type="http://schemas.openxmlformats.org/officeDocument/2006/relationships/image" Target="media/image13.jpeg"/><Relationship Id="rId3" Type="http://schemas.openxmlformats.org/officeDocument/2006/relationships/header" Target="header1.xml"/><Relationship Id="rId29" Type="http://schemas.openxmlformats.org/officeDocument/2006/relationships/image" Target="media/image12.jpeg"/><Relationship Id="rId28" Type="http://schemas.openxmlformats.org/officeDocument/2006/relationships/image" Target="media/image11.jpeg"/><Relationship Id="rId27" Type="http://schemas.openxmlformats.org/officeDocument/2006/relationships/image" Target="media/image10.jpeg"/><Relationship Id="rId26" Type="http://schemas.openxmlformats.org/officeDocument/2006/relationships/image" Target="media/image9.jpeg"/><Relationship Id="rId25" Type="http://schemas.openxmlformats.org/officeDocument/2006/relationships/image" Target="media/image8.jpeg"/><Relationship Id="rId24" Type="http://schemas.openxmlformats.org/officeDocument/2006/relationships/image" Target="media/image7.jpeg"/><Relationship Id="rId23" Type="http://schemas.openxmlformats.org/officeDocument/2006/relationships/image" Target="media/image6.png"/><Relationship Id="rId22" Type="http://schemas.openxmlformats.org/officeDocument/2006/relationships/image" Target="media/image5.jpeg"/><Relationship Id="rId21" Type="http://schemas.openxmlformats.org/officeDocument/2006/relationships/image" Target="media/image4.png"/><Relationship Id="rId20" Type="http://schemas.openxmlformats.org/officeDocument/2006/relationships/image" Target="media/image3.jpeg"/><Relationship Id="rId2" Type="http://schemas.openxmlformats.org/officeDocument/2006/relationships/settings" Target="settings.xml"/><Relationship Id="rId19" Type="http://schemas.openxmlformats.org/officeDocument/2006/relationships/image" Target="media/image2.png"/><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header" Target="header9.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3078"/>
    <customShpInfo spid="_x0000_s307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153</Pages>
  <Words>2450</Words>
  <Characters>14701</Characters>
  <Lines>1963</Lines>
  <Paragraphs>552</Paragraphs>
  <TotalTime>0</TotalTime>
  <ScaleCrop>false</ScaleCrop>
  <LinksUpToDate>false</LinksUpToDate>
  <CharactersWithSpaces>17279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2018-08-06T17:53:00Z</dcterms:created>
  <dc:creator>immmi</dc:creator>
  <cp:lastModifiedBy>Dong Wu</cp:lastModifiedBy>
  <cp:lastPrinted>2016-09-20T09:06:00Z</cp:lastPrinted>
  <dcterms:modified xsi:type="dcterms:W3CDTF">2025-08-08T08:24:33Z</dcterms:modified>
  <dc:title>3D腹腔镜与2D腹腔镜在腹腔镜胃癌根治术中的临床疗效随机对照研究</dc:title>
  <cp:revision>115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309097110CAF4F04863C6D2F4676454D</vt:lpwstr>
  </property>
  <property fmtid="{D5CDD505-2E9C-101B-9397-08002B2CF9AE}" pid="4" name="KSOTemplateDocerSaveRecord">
    <vt:lpwstr>eyJoZGlkIjoiMWE5Y2I3M2E4NDY4OGY1NGNlY2FlZmFmOTY1NmRhNTAiLCJ1c2VySWQiOiIxOTg0OTI1NzUifQ==</vt:lpwstr>
  </property>
</Properties>
</file>