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B8024">
      <w:pPr>
        <w:spacing w:line="480" w:lineRule="auto"/>
        <w:ind w:firstLine="560" w:firstLineChars="200"/>
        <w:jc w:val="both"/>
        <w:rPr>
          <w:rFonts w:hint="default" w:ascii="Times New Roman" w:hAnsi="Times New Roman" w:eastAsia="AdvOTdd63dae3" w:cs="Times New Roman"/>
          <w:color w:val="000000"/>
          <w:kern w:val="0"/>
          <w:sz w:val="28"/>
          <w:szCs w:val="28"/>
          <w:lang w:val="en-US" w:eastAsia="zh-CN" w:bidi="ar"/>
        </w:rPr>
      </w:pPr>
      <w:r>
        <w:rPr>
          <w:rFonts w:hint="default" w:ascii="Times New Roman" w:hAnsi="Times New Roman" w:eastAsia="AdvOT3d287b35 . B" w:cs="Times New Roman"/>
          <w:b/>
          <w:bCs/>
          <w:color w:val="000000"/>
          <w:kern w:val="0"/>
          <w:sz w:val="28"/>
          <w:szCs w:val="28"/>
          <w:lang w:val="en-US" w:eastAsia="zh-CN" w:bidi="ar"/>
        </w:rPr>
        <w:t xml:space="preserve">Methods </w:t>
      </w:r>
    </w:p>
    <w:p w14:paraId="712C4263">
      <w:pPr>
        <w:spacing w:line="480" w:lineRule="auto"/>
        <w:ind w:firstLine="560" w:firstLineChars="200"/>
        <w:jc w:val="both"/>
        <w:rPr>
          <w:rFonts w:hint="default" w:ascii="Times New Roman" w:hAnsi="Times New Roman" w:eastAsia="AdvOT70e1938e" w:cs="Times New Roman"/>
          <w:b/>
          <w:bCs/>
          <w:color w:val="000000"/>
          <w:kern w:val="0"/>
          <w:sz w:val="28"/>
          <w:szCs w:val="28"/>
          <w:lang w:val="en-US" w:eastAsia="zh-CN" w:bidi="ar"/>
        </w:rPr>
      </w:pPr>
      <w:r>
        <w:rPr>
          <w:rFonts w:hint="default" w:ascii="Times New Roman" w:hAnsi="Times New Roman" w:eastAsia="AdvOT70e1938e" w:cs="Times New Roman"/>
          <w:b/>
          <w:bCs/>
          <w:color w:val="000000"/>
          <w:kern w:val="0"/>
          <w:sz w:val="28"/>
          <w:szCs w:val="28"/>
          <w:lang w:val="en-US" w:eastAsia="zh-CN" w:bidi="ar"/>
        </w:rPr>
        <w:t>Procedures</w:t>
      </w:r>
    </w:p>
    <w:p w14:paraId="7B588C0E">
      <w:pPr>
        <w:spacing w:line="480" w:lineRule="auto"/>
        <w:ind w:firstLine="560" w:firstLineChars="200"/>
        <w:jc w:val="both"/>
        <w:rPr>
          <w:rFonts w:hint="default" w:ascii="Times New Roman" w:hAnsi="Times New Roman" w:eastAsia="AdvOTdd63dae3" w:cs="Times New Roman"/>
          <w:color w:val="000000"/>
          <w:kern w:val="0"/>
          <w:sz w:val="28"/>
          <w:szCs w:val="28"/>
          <w:lang w:val="en-US" w:eastAsia="zh-CN" w:bidi="ar"/>
        </w:rPr>
      </w:pPr>
      <w:r>
        <w:rPr>
          <w:rFonts w:hint="default" w:ascii="Times New Roman" w:hAnsi="Times New Roman" w:eastAsia="AdvOTdd63dae3" w:cs="Times New Roman"/>
          <w:color w:val="000000"/>
          <w:kern w:val="0"/>
          <w:sz w:val="28"/>
          <w:szCs w:val="28"/>
          <w:lang w:val="en-US" w:eastAsia="zh-CN" w:bidi="ar"/>
        </w:rPr>
        <w:t xml:space="preserve">In the ICG group, ICG was endoscopically injected around the tumor in patients one day before operation; 1.25 mg/mL ICG (Dandong Yichuang Pharmaceutical Co) was prepared in sterile water, and 0.5 mL of the solution was injected into the submucosal layer at four quadrants around the primary tumor, amounting to 2.5 mg of ICG. We used the PINPOINT Endoscopic Fluorescence Imaging System (NOVADAQ, Stryker, US) equipped with a </w:t>
      </w:r>
      <w:r>
        <w:rPr>
          <w:rFonts w:hint="default" w:ascii="Times New Roman" w:hAnsi="Times New Roman" w:eastAsia="AdvOTdd63dae3 + fb" w:cs="Times New Roman"/>
          <w:color w:val="000000"/>
          <w:kern w:val="0"/>
          <w:sz w:val="28"/>
          <w:szCs w:val="28"/>
          <w:lang w:val="en-US" w:eastAsia="zh-CN" w:bidi="ar"/>
        </w:rPr>
        <w:t>fl</w:t>
      </w:r>
      <w:r>
        <w:rPr>
          <w:rFonts w:hint="default" w:ascii="Times New Roman" w:hAnsi="Times New Roman" w:eastAsia="AdvOTdd63dae3" w:cs="Times New Roman"/>
          <w:color w:val="000000"/>
          <w:kern w:val="0"/>
          <w:sz w:val="28"/>
          <w:szCs w:val="28"/>
          <w:lang w:val="en-US" w:eastAsia="zh-CN" w:bidi="ar"/>
        </w:rPr>
        <w:t xml:space="preserve">uorescence mode to obtain NIR </w:t>
      </w:r>
      <w:r>
        <w:rPr>
          <w:rFonts w:hint="default" w:ascii="Times New Roman" w:hAnsi="Times New Roman" w:eastAsia="AdvOTdd63dae3 + fb" w:cs="Times New Roman"/>
          <w:color w:val="000000"/>
          <w:kern w:val="0"/>
          <w:sz w:val="28"/>
          <w:szCs w:val="28"/>
          <w:lang w:val="en-US" w:eastAsia="zh-CN" w:bidi="ar"/>
        </w:rPr>
        <w:t>fl</w:t>
      </w:r>
      <w:r>
        <w:rPr>
          <w:rFonts w:hint="default" w:ascii="Times New Roman" w:hAnsi="Times New Roman" w:eastAsia="AdvOTdd63dae3" w:cs="Times New Roman"/>
          <w:color w:val="000000"/>
          <w:kern w:val="0"/>
          <w:sz w:val="28"/>
          <w:szCs w:val="28"/>
          <w:lang w:val="en-US" w:eastAsia="zh-CN" w:bidi="ar"/>
        </w:rPr>
        <w:t xml:space="preserve">uorescent images in the ICG group. A simple </w:t>
      </w:r>
      <w:r>
        <w:rPr>
          <w:rFonts w:hint="default" w:ascii="Times New Roman" w:hAnsi="Times New Roman" w:eastAsia="AdvOTdd63dae3 + fb" w:cs="Times New Roman"/>
          <w:color w:val="000000"/>
          <w:kern w:val="0"/>
          <w:sz w:val="28"/>
          <w:szCs w:val="28"/>
          <w:lang w:val="en-US" w:eastAsia="zh-CN" w:bidi="ar"/>
        </w:rPr>
        <w:t>fi</w:t>
      </w:r>
      <w:r>
        <w:rPr>
          <w:rFonts w:hint="default" w:ascii="Times New Roman" w:hAnsi="Times New Roman" w:eastAsia="AdvOTdd63dae3" w:cs="Times New Roman"/>
          <w:color w:val="000000"/>
          <w:kern w:val="0"/>
          <w:sz w:val="28"/>
          <w:szCs w:val="28"/>
          <w:lang w:val="en-US" w:eastAsia="zh-CN" w:bidi="ar"/>
        </w:rPr>
        <w:t xml:space="preserve">nger-click can convert visible light into NIR images (infrared imaging, green </w:t>
      </w:r>
      <w:r>
        <w:rPr>
          <w:rFonts w:hint="default" w:ascii="Times New Roman" w:hAnsi="Times New Roman" w:eastAsia="AdvOTdd63dae3 + fb" w:cs="Times New Roman"/>
          <w:color w:val="000000"/>
          <w:kern w:val="0"/>
          <w:sz w:val="28"/>
          <w:szCs w:val="28"/>
          <w:lang w:val="en-US" w:eastAsia="zh-CN" w:bidi="ar"/>
        </w:rPr>
        <w:t>fl</w:t>
      </w:r>
      <w:r>
        <w:rPr>
          <w:rFonts w:hint="default" w:ascii="Times New Roman" w:hAnsi="Times New Roman" w:eastAsia="AdvOTdd63dae3" w:cs="Times New Roman"/>
          <w:color w:val="000000"/>
          <w:kern w:val="0"/>
          <w:sz w:val="28"/>
          <w:szCs w:val="28"/>
          <w:lang w:val="en-US" w:eastAsia="zh-CN" w:bidi="ar"/>
        </w:rPr>
        <w:t xml:space="preserve">uorescence, and color-segmented </w:t>
      </w:r>
      <w:r>
        <w:rPr>
          <w:rFonts w:hint="default" w:ascii="Times New Roman" w:hAnsi="Times New Roman" w:eastAsia="AdvOTdd63dae3 + fb" w:cs="Times New Roman"/>
          <w:color w:val="000000"/>
          <w:kern w:val="0"/>
          <w:sz w:val="28"/>
          <w:szCs w:val="28"/>
          <w:lang w:val="en-US" w:eastAsia="zh-CN" w:bidi="ar"/>
        </w:rPr>
        <w:t>fl</w:t>
      </w:r>
      <w:r>
        <w:rPr>
          <w:rFonts w:hint="default" w:ascii="Times New Roman" w:hAnsi="Times New Roman" w:eastAsia="AdvOTdd63dae3" w:cs="Times New Roman"/>
          <w:color w:val="000000"/>
          <w:kern w:val="0"/>
          <w:sz w:val="28"/>
          <w:szCs w:val="28"/>
          <w:lang w:val="en-US" w:eastAsia="zh-CN" w:bidi="ar"/>
        </w:rPr>
        <w:t xml:space="preserve">uorescence) without the need to change any equipment. Intraoperatively, the </w:t>
      </w:r>
      <w:r>
        <w:rPr>
          <w:rFonts w:hint="default" w:ascii="Times New Roman" w:hAnsi="Times New Roman" w:eastAsia="AdvOTdd63dae3 + fb" w:cs="Times New Roman"/>
          <w:color w:val="000000"/>
          <w:kern w:val="0"/>
          <w:sz w:val="28"/>
          <w:szCs w:val="28"/>
          <w:lang w:val="en-US" w:eastAsia="zh-CN" w:bidi="ar"/>
        </w:rPr>
        <w:t>fl</w:t>
      </w:r>
      <w:r>
        <w:rPr>
          <w:rFonts w:hint="default" w:ascii="Times New Roman" w:hAnsi="Times New Roman" w:eastAsia="AdvOTdd63dae3" w:cs="Times New Roman"/>
          <w:color w:val="000000"/>
          <w:kern w:val="0"/>
          <w:sz w:val="28"/>
          <w:szCs w:val="28"/>
          <w:lang w:val="en-US" w:eastAsia="zh-CN" w:bidi="ar"/>
        </w:rPr>
        <w:t xml:space="preserve">uorescent mode was switched according to the situation. In the ICG group, during the surgical procedure, the surgeons tended to utilize the green </w:t>
      </w:r>
      <w:r>
        <w:rPr>
          <w:rFonts w:hint="default" w:ascii="Times New Roman" w:hAnsi="Times New Roman" w:eastAsia="AdvOTdd63dae3 + fb" w:cs="Times New Roman"/>
          <w:color w:val="000000"/>
          <w:kern w:val="0"/>
          <w:sz w:val="28"/>
          <w:szCs w:val="28"/>
          <w:lang w:val="en-US" w:eastAsia="zh-CN" w:bidi="ar"/>
        </w:rPr>
        <w:t>fl</w:t>
      </w:r>
      <w:r>
        <w:rPr>
          <w:rFonts w:hint="default" w:ascii="Times New Roman" w:hAnsi="Times New Roman" w:eastAsia="AdvOTdd63dae3" w:cs="Times New Roman"/>
          <w:color w:val="000000"/>
          <w:kern w:val="0"/>
          <w:sz w:val="28"/>
          <w:szCs w:val="28"/>
          <w:lang w:val="en-US" w:eastAsia="zh-CN" w:bidi="ar"/>
        </w:rPr>
        <w:t xml:space="preserve">uorescence imaging mode to perform LN dissection. If necessary, they switched between white light and green </w:t>
      </w:r>
      <w:r>
        <w:rPr>
          <w:rFonts w:hint="default" w:ascii="Times New Roman" w:hAnsi="Times New Roman" w:eastAsia="AdvOTdd63dae3 + fb" w:cs="Times New Roman"/>
          <w:color w:val="000000"/>
          <w:kern w:val="0"/>
          <w:sz w:val="28"/>
          <w:szCs w:val="28"/>
          <w:lang w:val="en-US" w:eastAsia="zh-CN" w:bidi="ar"/>
        </w:rPr>
        <w:t>fl</w:t>
      </w:r>
      <w:r>
        <w:rPr>
          <w:rFonts w:hint="default" w:ascii="Times New Roman" w:hAnsi="Times New Roman" w:eastAsia="AdvOTdd63dae3" w:cs="Times New Roman"/>
          <w:color w:val="000000"/>
          <w:kern w:val="0"/>
          <w:sz w:val="28"/>
          <w:szCs w:val="28"/>
          <w:lang w:val="en-US" w:eastAsia="zh-CN" w:bidi="ar"/>
        </w:rPr>
        <w:t xml:space="preserve">uorescence imaging modes to observe the surgical area. Following the LN dissection in each area, we also employed </w:t>
      </w:r>
      <w:r>
        <w:rPr>
          <w:rFonts w:hint="default" w:ascii="Times New Roman" w:hAnsi="Times New Roman" w:eastAsia="AdvOTdd63dae3 + fb" w:cs="Times New Roman"/>
          <w:color w:val="000000"/>
          <w:kern w:val="0"/>
          <w:sz w:val="28"/>
          <w:szCs w:val="28"/>
          <w:lang w:val="en-US" w:eastAsia="zh-CN" w:bidi="ar"/>
        </w:rPr>
        <w:t>fl</w:t>
      </w:r>
      <w:r>
        <w:rPr>
          <w:rFonts w:hint="default" w:ascii="Times New Roman" w:hAnsi="Times New Roman" w:eastAsia="AdvOTdd63dae3" w:cs="Times New Roman"/>
          <w:color w:val="000000"/>
          <w:kern w:val="0"/>
          <w:sz w:val="28"/>
          <w:szCs w:val="28"/>
          <w:lang w:val="en-US" w:eastAsia="zh-CN" w:bidi="ar"/>
        </w:rPr>
        <w:t>uorescence imaging to assess the completeness of the LN dissection. All the operations were performed by two surgeons (C.-H.Z. and C.-M.H.) who are members of the same surgical team. All the participating surgeons in our study met the following criteria: they had performed more than 100 laparoscopic radical gastrectomies, completed a learning curve in laparoscopic radical LN dissection, passed the blind surgical video examination, and had ample experience in ICG</w:t>
      </w:r>
      <w:r>
        <w:rPr>
          <w:rFonts w:hint="eastAsia" w:ascii="Times New Roman" w:hAnsi="Times New Roman" w:eastAsia="AdvOTdd63dae3" w:cs="Times New Roman"/>
          <w:color w:val="000000"/>
          <w:kern w:val="0"/>
          <w:sz w:val="28"/>
          <w:szCs w:val="28"/>
          <w:lang w:val="en-US" w:eastAsia="zh-CN" w:bidi="ar"/>
        </w:rPr>
        <w:t xml:space="preserve"> </w:t>
      </w:r>
      <w:r>
        <w:rPr>
          <w:rFonts w:hint="default" w:ascii="Times New Roman" w:hAnsi="Times New Roman" w:eastAsia="AdvOTdd63dae3" w:cs="Times New Roman"/>
          <w:color w:val="000000"/>
          <w:kern w:val="0"/>
          <w:sz w:val="28"/>
          <w:szCs w:val="28"/>
          <w:lang w:val="en-US" w:eastAsia="zh-CN" w:bidi="ar"/>
        </w:rPr>
        <w:t>guided LN dissection for GC. The surgeons were unaware of the speci</w:t>
      </w:r>
      <w:r>
        <w:rPr>
          <w:rFonts w:hint="default" w:ascii="Times New Roman" w:hAnsi="Times New Roman" w:eastAsia="AdvOTdd63dae3 + fb" w:cs="Times New Roman"/>
          <w:color w:val="000000"/>
          <w:kern w:val="0"/>
          <w:sz w:val="28"/>
          <w:szCs w:val="28"/>
          <w:lang w:val="en-US" w:eastAsia="zh-CN" w:bidi="ar"/>
        </w:rPr>
        <w:t>fi</w:t>
      </w:r>
      <w:r>
        <w:rPr>
          <w:rFonts w:hint="default" w:ascii="Times New Roman" w:hAnsi="Times New Roman" w:eastAsia="AdvOTdd63dae3" w:cs="Times New Roman"/>
          <w:color w:val="000000"/>
          <w:kern w:val="0"/>
          <w:sz w:val="28"/>
          <w:szCs w:val="28"/>
          <w:lang w:val="en-US" w:eastAsia="zh-CN" w:bidi="ar"/>
        </w:rPr>
        <w:t xml:space="preserve">c allocation of the patient before the start of surgery, to prevent any potential discrimination of surgical strategy. </w:t>
      </w:r>
    </w:p>
    <w:p w14:paraId="2A2819E6">
      <w:pPr>
        <w:spacing w:line="480" w:lineRule="auto"/>
        <w:ind w:firstLine="560" w:firstLineChars="200"/>
        <w:jc w:val="both"/>
        <w:rPr>
          <w:rFonts w:hint="default" w:ascii="Times New Roman" w:hAnsi="Times New Roman" w:eastAsia="AdvOT70e1938e" w:cs="Times New Roman"/>
          <w:b/>
          <w:bCs/>
          <w:color w:val="000000"/>
          <w:kern w:val="0"/>
          <w:sz w:val="28"/>
          <w:szCs w:val="28"/>
          <w:lang w:val="en-US" w:eastAsia="zh-CN" w:bidi="ar"/>
        </w:rPr>
      </w:pPr>
      <w:r>
        <w:rPr>
          <w:rFonts w:hint="default" w:ascii="Times New Roman" w:hAnsi="Times New Roman" w:eastAsia="AdvOT70e1938e" w:cs="Times New Roman"/>
          <w:b/>
          <w:bCs/>
          <w:color w:val="000000"/>
          <w:kern w:val="0"/>
          <w:sz w:val="28"/>
          <w:szCs w:val="28"/>
          <w:lang w:val="en-US" w:eastAsia="zh-CN" w:bidi="ar"/>
        </w:rPr>
        <w:t>Outcome</w:t>
      </w:r>
      <w:r>
        <w:rPr>
          <w:rFonts w:hint="eastAsia" w:ascii="Times New Roman" w:hAnsi="Times New Roman" w:eastAsia="AdvOT70e1938e" w:cs="Times New Roman"/>
          <w:b/>
          <w:bCs/>
          <w:color w:val="000000"/>
          <w:kern w:val="0"/>
          <w:sz w:val="28"/>
          <w:szCs w:val="28"/>
          <w:lang w:val="en-US" w:eastAsia="zh-CN" w:bidi="ar"/>
        </w:rPr>
        <w:t>s</w:t>
      </w:r>
      <w:r>
        <w:rPr>
          <w:rFonts w:hint="default" w:ascii="Times New Roman" w:hAnsi="Times New Roman" w:eastAsia="AdvOT70e1938e" w:cs="Times New Roman"/>
          <w:b/>
          <w:bCs/>
          <w:color w:val="000000"/>
          <w:kern w:val="0"/>
          <w:sz w:val="28"/>
          <w:szCs w:val="28"/>
          <w:lang w:val="en-US" w:eastAsia="zh-CN" w:bidi="ar"/>
        </w:rPr>
        <w:t xml:space="preserve"> </w:t>
      </w:r>
      <w:r>
        <w:rPr>
          <w:rFonts w:hint="eastAsia" w:ascii="Times New Roman" w:hAnsi="Times New Roman" w:eastAsia="AdvOT70e1938e" w:cs="Times New Roman"/>
          <w:b/>
          <w:bCs/>
          <w:color w:val="000000"/>
          <w:kern w:val="0"/>
          <w:sz w:val="28"/>
          <w:szCs w:val="28"/>
          <w:lang w:val="en-US" w:eastAsia="zh-CN" w:bidi="ar"/>
        </w:rPr>
        <w:t xml:space="preserve">and </w:t>
      </w:r>
      <w:r>
        <w:rPr>
          <w:rFonts w:hint="default" w:ascii="Times New Roman" w:hAnsi="Times New Roman" w:eastAsia="AdvOT70e1938e" w:cs="Times New Roman"/>
          <w:b/>
          <w:bCs/>
          <w:color w:val="000000"/>
          <w:kern w:val="0"/>
          <w:sz w:val="28"/>
          <w:szCs w:val="28"/>
          <w:lang w:val="en-US" w:eastAsia="zh-CN" w:bidi="ar"/>
        </w:rPr>
        <w:t>follow-up</w:t>
      </w:r>
      <w:bookmarkStart w:id="0" w:name="_GoBack"/>
      <w:bookmarkEnd w:id="0"/>
    </w:p>
    <w:p w14:paraId="124C3671">
      <w:pPr>
        <w:spacing w:line="480" w:lineRule="auto"/>
        <w:ind w:firstLine="560" w:firstLineChars="200"/>
        <w:jc w:val="both"/>
        <w:rPr>
          <w:rFonts w:hint="default" w:ascii="Times New Roman" w:hAnsi="Times New Roman" w:eastAsia="AdvOTdd63dae3" w:cs="Times New Roman"/>
          <w:color w:val="000000"/>
          <w:kern w:val="0"/>
          <w:sz w:val="28"/>
          <w:szCs w:val="28"/>
          <w:lang w:val="en-US" w:eastAsia="zh-CN" w:bidi="ar"/>
        </w:rPr>
      </w:pPr>
      <w:r>
        <w:rPr>
          <w:rFonts w:hint="default" w:ascii="Times New Roman" w:hAnsi="Times New Roman" w:eastAsia="AdvOTdd63dae3" w:cs="Times New Roman"/>
          <w:color w:val="000000"/>
          <w:kern w:val="0"/>
          <w:sz w:val="28"/>
          <w:szCs w:val="28"/>
          <w:lang w:val="en-US" w:eastAsia="zh-CN" w:bidi="ar"/>
        </w:rPr>
        <w:t>DFS was defined as the time from surgery to recurrence, death from any cause, or the last follow-up. The OS was defined as the time from surgery to death from any cause or the last follow-up.</w:t>
      </w:r>
      <w:r>
        <w:rPr>
          <w:rFonts w:hint="eastAsia" w:ascii="Times New Roman" w:hAnsi="Times New Roman" w:eastAsia="AdvOTdd63dae3" w:cs="Times New Roman"/>
          <w:color w:val="000000"/>
          <w:kern w:val="0"/>
          <w:sz w:val="28"/>
          <w:szCs w:val="28"/>
          <w:lang w:val="en-US" w:eastAsia="zh-CN" w:bidi="ar"/>
        </w:rPr>
        <w:t xml:space="preserve"> Disease-specific survival (DSS)</w:t>
      </w:r>
      <w:r>
        <w:rPr>
          <w:rFonts w:hint="default" w:ascii="Times New Roman" w:hAnsi="Times New Roman" w:eastAsia="AdvOTdd63dae3" w:cs="Times New Roman"/>
          <w:color w:val="000000"/>
          <w:kern w:val="0"/>
          <w:sz w:val="28"/>
          <w:szCs w:val="28"/>
          <w:lang w:val="en-US" w:eastAsia="zh-CN" w:bidi="ar"/>
        </w:rPr>
        <w:t xml:space="preserve"> was defined as the time from disease diagnosis to </w:t>
      </w:r>
      <w:r>
        <w:rPr>
          <w:rFonts w:hint="eastAsia" w:ascii="Times New Roman" w:hAnsi="Times New Roman" w:eastAsia="AdvOTdd63dae3" w:cs="Times New Roman"/>
          <w:color w:val="000000"/>
          <w:kern w:val="0"/>
          <w:sz w:val="28"/>
          <w:szCs w:val="28"/>
          <w:lang w:val="en-US" w:eastAsia="zh-CN" w:bidi="ar"/>
        </w:rPr>
        <w:t>GC</w:t>
      </w:r>
      <w:r>
        <w:rPr>
          <w:rFonts w:hint="default" w:ascii="Times New Roman" w:hAnsi="Times New Roman" w:eastAsia="AdvOTdd63dae3" w:cs="Times New Roman"/>
          <w:color w:val="000000"/>
          <w:kern w:val="0"/>
          <w:sz w:val="28"/>
          <w:szCs w:val="28"/>
          <w:lang w:val="en-US" w:eastAsia="zh-CN" w:bidi="ar"/>
        </w:rPr>
        <w:t>-related death</w:t>
      </w:r>
      <w:r>
        <w:rPr>
          <w:rFonts w:hint="eastAsia" w:ascii="Times New Roman" w:hAnsi="Times New Roman" w:eastAsia="AdvOTdd63dae3" w:cs="Times New Roman"/>
          <w:color w:val="000000"/>
          <w:kern w:val="0"/>
          <w:sz w:val="28"/>
          <w:szCs w:val="28"/>
          <w:lang w:val="en-US" w:eastAsia="zh-CN" w:bidi="ar"/>
        </w:rPr>
        <w:t xml:space="preserve"> </w:t>
      </w:r>
      <w:r>
        <w:rPr>
          <w:rFonts w:hint="default" w:ascii="Times New Roman" w:hAnsi="Times New Roman" w:eastAsia="AdvOTdd63dae3" w:cs="Times New Roman"/>
          <w:color w:val="000000"/>
          <w:kern w:val="0"/>
          <w:sz w:val="28"/>
          <w:szCs w:val="28"/>
          <w:lang w:val="en-US" w:eastAsia="zh-CN" w:bidi="ar"/>
        </w:rPr>
        <w:t>or the last follow-up</w:t>
      </w:r>
      <w:r>
        <w:rPr>
          <w:rFonts w:hint="eastAsia" w:ascii="Times New Roman" w:hAnsi="Times New Roman" w:eastAsia="AdvOTdd63dae3" w:cs="Times New Roman"/>
          <w:color w:val="000000"/>
          <w:kern w:val="0"/>
          <w:sz w:val="28"/>
          <w:szCs w:val="28"/>
          <w:lang w:val="en-US" w:eastAsia="zh-CN" w:bidi="ar"/>
        </w:rPr>
        <w:t>.</w:t>
      </w:r>
    </w:p>
    <w:p w14:paraId="4FBF5072">
      <w:pPr>
        <w:spacing w:line="480" w:lineRule="auto"/>
        <w:ind w:firstLine="560" w:firstLineChars="200"/>
        <w:jc w:val="both"/>
        <w:rPr>
          <w:rFonts w:hint="default" w:ascii="Times New Roman" w:hAnsi="Times New Roman" w:eastAsia="AdvOTdd63dae3" w:cs="Times New Roman"/>
          <w:color w:val="000000"/>
          <w:kern w:val="0"/>
          <w:sz w:val="28"/>
          <w:szCs w:val="28"/>
          <w:lang w:val="en-US" w:eastAsia="zh-CN" w:bidi="ar"/>
        </w:rPr>
      </w:pPr>
      <w:r>
        <w:rPr>
          <w:rFonts w:hint="default" w:ascii="Times New Roman" w:hAnsi="Times New Roman" w:eastAsia="AdvOTdd63dae3" w:cs="Times New Roman"/>
          <w:color w:val="000000"/>
          <w:kern w:val="0"/>
          <w:sz w:val="28"/>
          <w:szCs w:val="28"/>
          <w:lang w:val="en-US" w:eastAsia="zh-CN" w:bidi="ar"/>
        </w:rPr>
        <w:t xml:space="preserve">A minimum follow-up period of </w:t>
      </w:r>
      <w:r>
        <w:rPr>
          <w:rFonts w:hint="eastAsia" w:ascii="Times New Roman" w:hAnsi="Times New Roman" w:eastAsia="AdvOTdd63dae3" w:cs="Times New Roman"/>
          <w:color w:val="000000"/>
          <w:kern w:val="0"/>
          <w:sz w:val="28"/>
          <w:szCs w:val="28"/>
          <w:lang w:val="en-US" w:eastAsia="zh-CN" w:bidi="ar"/>
        </w:rPr>
        <w:t>60</w:t>
      </w:r>
      <w:r>
        <w:rPr>
          <w:rFonts w:hint="default" w:ascii="Times New Roman" w:hAnsi="Times New Roman" w:eastAsia="AdvOTdd63dae3" w:cs="Times New Roman"/>
          <w:color w:val="000000"/>
          <w:kern w:val="0"/>
          <w:sz w:val="28"/>
          <w:szCs w:val="28"/>
          <w:lang w:val="en-US" w:eastAsia="zh-CN" w:bidi="ar"/>
        </w:rPr>
        <w:t xml:space="preserve"> months was required for each patient after operation. Follow-up was conducted every 3 months for the </w:t>
      </w:r>
      <w:r>
        <w:rPr>
          <w:rFonts w:hint="default" w:ascii="Times New Roman" w:hAnsi="Times New Roman" w:eastAsia="AdvOTdd63dae3 + fb" w:cs="Times New Roman"/>
          <w:color w:val="000000"/>
          <w:kern w:val="0"/>
          <w:sz w:val="28"/>
          <w:szCs w:val="28"/>
          <w:lang w:val="en-US" w:eastAsia="zh-CN" w:bidi="ar"/>
        </w:rPr>
        <w:t>fi</w:t>
      </w:r>
      <w:r>
        <w:rPr>
          <w:rFonts w:hint="default" w:ascii="Times New Roman" w:hAnsi="Times New Roman" w:eastAsia="AdvOTdd63dae3" w:cs="Times New Roman"/>
          <w:color w:val="000000"/>
          <w:kern w:val="0"/>
          <w:sz w:val="28"/>
          <w:szCs w:val="28"/>
          <w:lang w:val="en-US" w:eastAsia="zh-CN" w:bidi="ar"/>
        </w:rPr>
        <w:t xml:space="preserve">rst 2 years postoperatively, and every 6 months for the next 3 years. Most routine follow-up appointments included (1) physical examination and blood testing with carcinoembryonic antigen, cancer antigen 12-5, and cancer antigen 19-9 every 3 months for the </w:t>
      </w:r>
      <w:r>
        <w:rPr>
          <w:rFonts w:hint="default" w:ascii="Times New Roman" w:hAnsi="Times New Roman" w:eastAsia="AdvOTdd63dae3 + fb" w:cs="Times New Roman"/>
          <w:color w:val="000000"/>
          <w:kern w:val="0"/>
          <w:sz w:val="28"/>
          <w:szCs w:val="28"/>
          <w:lang w:val="en-US" w:eastAsia="zh-CN" w:bidi="ar"/>
        </w:rPr>
        <w:t>fi</w:t>
      </w:r>
      <w:r>
        <w:rPr>
          <w:rFonts w:hint="default" w:ascii="Times New Roman" w:hAnsi="Times New Roman" w:eastAsia="AdvOTdd63dae3" w:cs="Times New Roman"/>
          <w:color w:val="000000"/>
          <w:kern w:val="0"/>
          <w:sz w:val="28"/>
          <w:szCs w:val="28"/>
          <w:lang w:val="en-US" w:eastAsia="zh-CN" w:bidi="ar"/>
        </w:rPr>
        <w:t>rst 2 years and every 6 months thereafter; (2) chest X-</w:t>
      </w:r>
      <w:r>
        <w:rPr>
          <w:rFonts w:hint="default" w:ascii="Times New Roman" w:hAnsi="Times New Roman" w:eastAsia="AdvOTdd63dae3" w:cs="Times New Roman"/>
          <w:color w:val="auto"/>
          <w:kern w:val="0"/>
          <w:sz w:val="28"/>
          <w:szCs w:val="28"/>
          <w:lang w:val="en-US" w:eastAsia="zh-CN" w:bidi="ar"/>
        </w:rPr>
        <w:t xml:space="preserve">ray and abdominal computed tomographic scans every 6 months for </w:t>
      </w:r>
      <w:r>
        <w:rPr>
          <w:rFonts w:hint="eastAsia" w:ascii="Times New Roman" w:hAnsi="Times New Roman" w:eastAsia="AdvOTdd63dae3" w:cs="Times New Roman"/>
          <w:color w:val="auto"/>
          <w:kern w:val="0"/>
          <w:sz w:val="28"/>
          <w:szCs w:val="28"/>
          <w:lang w:val="en-US" w:eastAsia="zh-CN" w:bidi="ar"/>
        </w:rPr>
        <w:t xml:space="preserve">the first </w:t>
      </w:r>
      <w:r>
        <w:rPr>
          <w:rFonts w:hint="default" w:ascii="Times New Roman" w:hAnsi="Times New Roman" w:eastAsia="AdvOTdd63dae3" w:cs="Times New Roman"/>
          <w:color w:val="auto"/>
          <w:kern w:val="0"/>
          <w:sz w:val="28"/>
          <w:szCs w:val="28"/>
          <w:lang w:val="en-US" w:eastAsia="zh-CN" w:bidi="ar"/>
        </w:rPr>
        <w:t>3 years</w:t>
      </w:r>
      <w:r>
        <w:rPr>
          <w:rFonts w:hint="eastAsia" w:ascii="Times New Roman" w:hAnsi="Times New Roman" w:eastAsia="AdvOTdd63dae3" w:cs="Times New Roman"/>
          <w:color w:val="auto"/>
          <w:kern w:val="0"/>
          <w:sz w:val="28"/>
          <w:szCs w:val="28"/>
          <w:lang w:val="en-US" w:eastAsia="zh-CN" w:bidi="ar"/>
        </w:rPr>
        <w:t xml:space="preserve"> and annually </w:t>
      </w:r>
      <w:r>
        <w:rPr>
          <w:rFonts w:hint="default" w:ascii="Times New Roman" w:hAnsi="Times New Roman" w:eastAsia="AdvOTdd63dae3" w:cs="Times New Roman"/>
          <w:color w:val="auto"/>
          <w:kern w:val="0"/>
          <w:sz w:val="28"/>
          <w:szCs w:val="28"/>
          <w:lang w:val="en-US" w:eastAsia="zh-CN" w:bidi="ar"/>
        </w:rPr>
        <w:t xml:space="preserve">thereafter; and (3) annual upper gastrointestinal endoscopy for </w:t>
      </w:r>
      <w:r>
        <w:rPr>
          <w:rFonts w:hint="eastAsia" w:ascii="Times New Roman" w:hAnsi="Times New Roman" w:eastAsia="AdvOTdd63dae3" w:cs="Times New Roman"/>
          <w:color w:val="auto"/>
          <w:kern w:val="0"/>
          <w:sz w:val="28"/>
          <w:szCs w:val="28"/>
          <w:lang w:val="en-US" w:eastAsia="zh-CN" w:bidi="ar"/>
        </w:rPr>
        <w:t>5</w:t>
      </w:r>
      <w:r>
        <w:rPr>
          <w:rFonts w:hint="eastAsia" w:ascii="Times New Roman" w:hAnsi="Times New Roman" w:eastAsia="AdvOTdd63dae3" w:cs="Times New Roman"/>
          <w:color w:val="auto"/>
          <w:kern w:val="0"/>
          <w:sz w:val="28"/>
          <w:szCs w:val="28"/>
          <w:vertAlign w:val="superscript"/>
          <w:lang w:val="en-US" w:eastAsia="zh-CN" w:bidi="ar"/>
        </w:rPr>
        <w:t xml:space="preserve"> </w:t>
      </w:r>
      <w:r>
        <w:rPr>
          <w:rFonts w:hint="default" w:ascii="Times New Roman" w:hAnsi="Times New Roman" w:eastAsia="AdvOTdd63dae3" w:cs="Times New Roman"/>
          <w:color w:val="auto"/>
          <w:kern w:val="0"/>
          <w:sz w:val="28"/>
          <w:szCs w:val="28"/>
          <w:lang w:val="en-US" w:eastAsia="zh-CN" w:bidi="ar"/>
        </w:rPr>
        <w:t xml:space="preserve">years. 18F- </w:t>
      </w:r>
      <w:r>
        <w:rPr>
          <w:rFonts w:hint="default" w:ascii="Times New Roman" w:hAnsi="Times New Roman" w:eastAsia="AdvOTdd63dae3 + fb" w:cs="Times New Roman"/>
          <w:color w:val="auto"/>
          <w:kern w:val="0"/>
          <w:sz w:val="28"/>
          <w:szCs w:val="28"/>
          <w:lang w:val="en-US" w:eastAsia="zh-CN" w:bidi="ar"/>
        </w:rPr>
        <w:t>fl</w:t>
      </w:r>
      <w:r>
        <w:rPr>
          <w:rFonts w:hint="default" w:ascii="Times New Roman" w:hAnsi="Times New Roman" w:eastAsia="AdvOTdd63dae3" w:cs="Times New Roman"/>
          <w:color w:val="auto"/>
          <w:kern w:val="0"/>
          <w:sz w:val="28"/>
          <w:szCs w:val="28"/>
          <w:lang w:val="en-US" w:eastAsia="zh-CN" w:bidi="ar"/>
        </w:rPr>
        <w:t>uorodeoxyglucose positron emission tomography/computed tomogr</w:t>
      </w:r>
      <w:r>
        <w:rPr>
          <w:rFonts w:hint="default" w:ascii="Times New Roman" w:hAnsi="Times New Roman" w:eastAsia="AdvOTdd63dae3" w:cs="Times New Roman"/>
          <w:color w:val="000000"/>
          <w:kern w:val="0"/>
          <w:sz w:val="28"/>
          <w:szCs w:val="28"/>
          <w:lang w:val="en-US" w:eastAsia="zh-CN" w:bidi="ar"/>
        </w:rPr>
        <w:t>aphy (18F-FDG PET/CT) was recommended if recurrence was suspected. Recurrence was identi</w:t>
      </w:r>
      <w:r>
        <w:rPr>
          <w:rFonts w:hint="default" w:ascii="Times New Roman" w:hAnsi="Times New Roman" w:eastAsia="AdvOTdd63dae3 + fb" w:cs="Times New Roman"/>
          <w:color w:val="000000"/>
          <w:kern w:val="0"/>
          <w:sz w:val="28"/>
          <w:szCs w:val="28"/>
          <w:lang w:val="en-US" w:eastAsia="zh-CN" w:bidi="ar"/>
        </w:rPr>
        <w:t>fi</w:t>
      </w:r>
      <w:r>
        <w:rPr>
          <w:rFonts w:hint="default" w:ascii="Times New Roman" w:hAnsi="Times New Roman" w:eastAsia="AdvOTdd63dae3" w:cs="Times New Roman"/>
          <w:color w:val="000000"/>
          <w:kern w:val="0"/>
          <w:sz w:val="28"/>
          <w:szCs w:val="28"/>
          <w:lang w:val="en-US" w:eastAsia="zh-CN" w:bidi="ar"/>
        </w:rPr>
        <w:t>ed based on medical history and physical examination in combination with imaging evaluation, cytology, or tissue biopsy (preferred when feasible). Otherwise, patients attended follow-up visits at shorter intervals than the planned schedule. Patients with speci</w:t>
      </w:r>
      <w:r>
        <w:rPr>
          <w:rFonts w:hint="default" w:ascii="Times New Roman" w:hAnsi="Times New Roman" w:eastAsia="AdvOTdd63dae3 + fb" w:cs="Times New Roman"/>
          <w:color w:val="000000"/>
          <w:kern w:val="0"/>
          <w:sz w:val="28"/>
          <w:szCs w:val="28"/>
          <w:lang w:val="en-US" w:eastAsia="zh-CN" w:bidi="ar"/>
        </w:rPr>
        <w:t>fi</w:t>
      </w:r>
      <w:r>
        <w:rPr>
          <w:rFonts w:hint="default" w:ascii="Times New Roman" w:hAnsi="Times New Roman" w:eastAsia="AdvOTdd63dae3" w:cs="Times New Roman"/>
          <w:color w:val="000000"/>
          <w:kern w:val="0"/>
          <w:sz w:val="28"/>
          <w:szCs w:val="28"/>
          <w:lang w:val="en-US" w:eastAsia="zh-CN" w:bidi="ar"/>
        </w:rPr>
        <w:t xml:space="preserve">c symptoms, such as abdominal mass, weight loss, or obstruction that could develop concurrently with recurrence were evaluated, regardless of their follow-up schedule. </w:t>
      </w:r>
    </w:p>
    <w:p w14:paraId="1A0D50BD">
      <w:pPr>
        <w:spacing w:line="480" w:lineRule="auto"/>
        <w:ind w:firstLine="560" w:firstLineChars="200"/>
        <w:jc w:val="both"/>
        <w:rPr>
          <w:rFonts w:hint="default" w:ascii="Times New Roman" w:hAnsi="Times New Roman" w:eastAsia="宋体" w:cs="Times New Roman"/>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dvOTdd63dae3">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dvOT3d287b35 . B">
    <w:altName w:val="Segoe Print"/>
    <w:panose1 w:val="00000000000000000000"/>
    <w:charset w:val="00"/>
    <w:family w:val="auto"/>
    <w:pitch w:val="default"/>
    <w:sig w:usb0="00000000" w:usb1="00000000" w:usb2="00000000" w:usb3="00000000" w:csb0="00000000" w:csb1="00000000"/>
  </w:font>
  <w:font w:name="AdvOT70e1938e">
    <w:altName w:val="Segoe Print"/>
    <w:panose1 w:val="00000000000000000000"/>
    <w:charset w:val="00"/>
    <w:family w:val="auto"/>
    <w:pitch w:val="default"/>
    <w:sig w:usb0="00000000" w:usb1="00000000" w:usb2="00000000" w:usb3="00000000" w:csb0="00000000" w:csb1="00000000"/>
  </w:font>
  <w:font w:name="AdvOTdd63dae3 + fb">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5Y2I3M2E4NDY4OGY1NGNlY2FlZmFmOTY1NmRhNTAifQ=="/>
  </w:docVars>
  <w:rsids>
    <w:rsidRoot w:val="00000000"/>
    <w:rsid w:val="00564299"/>
    <w:rsid w:val="0422003D"/>
    <w:rsid w:val="06514C09"/>
    <w:rsid w:val="07726BE5"/>
    <w:rsid w:val="08B51480"/>
    <w:rsid w:val="0988000E"/>
    <w:rsid w:val="09E87633"/>
    <w:rsid w:val="09FE73CF"/>
    <w:rsid w:val="0DC9777B"/>
    <w:rsid w:val="10156CA8"/>
    <w:rsid w:val="150F1F18"/>
    <w:rsid w:val="1E430E84"/>
    <w:rsid w:val="298567F4"/>
    <w:rsid w:val="2A935F54"/>
    <w:rsid w:val="2C6170A5"/>
    <w:rsid w:val="2CFA4E04"/>
    <w:rsid w:val="3A865F28"/>
    <w:rsid w:val="3A8B1791"/>
    <w:rsid w:val="4010076E"/>
    <w:rsid w:val="44580936"/>
    <w:rsid w:val="49255875"/>
    <w:rsid w:val="496C4D4B"/>
    <w:rsid w:val="50DB6B76"/>
    <w:rsid w:val="524E5317"/>
    <w:rsid w:val="57867EE9"/>
    <w:rsid w:val="600D4872"/>
    <w:rsid w:val="6457430E"/>
    <w:rsid w:val="6DCC18C9"/>
    <w:rsid w:val="6E62093E"/>
    <w:rsid w:val="755C1784"/>
    <w:rsid w:val="77275DC2"/>
    <w:rsid w:val="78C31B1A"/>
    <w:rsid w:val="7A9674E6"/>
    <w:rsid w:val="7E964AEA"/>
    <w:rsid w:val="7F062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Arial"/>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489</Words>
  <Characters>2798</Characters>
  <Lines>0</Lines>
  <Paragraphs>0</Paragraphs>
  <TotalTime>23</TotalTime>
  <ScaleCrop>false</ScaleCrop>
  <LinksUpToDate>false</LinksUpToDate>
  <CharactersWithSpaces>3284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2024-08-14T07:31:00Z</dcterms:created>
  <dc:creator>woodieEsoftware</dc:creator>
  <cp:lastModifiedBy>DongWu</cp:lastModifiedBy>
  <dcterms:modified xsi:type="dcterms:W3CDTF">2025-02-02T06:48:52Z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42B96C25C05646118695939A9D36D148_12</vt:lpwstr>
  </property>
  <property fmtid="{D5CDD505-2E9C-101B-9397-08002B2CF9AE}" pid="4" name="KSOTemplateDocerSaveRecord">
    <vt:lpwstr>eyJoZGlkIjoiMWE5Y2I3M2E4NDY4OGY1NGNlY2FlZmFmOTY1NmRhNTAiLCJ1c2VySWQiOiIxOTg0OTI1NzUifQ==</vt:lpwstr>
  </property>
</Properties>
</file>